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5940" w:type="dxa"/>
            <w:vAlign w:val="bottom"/>
          </w:tcPr>
          <w:p>
            <w:pPr>
              <w:jc w:val="center"/>
              <w:ind w:right="3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79"/>
              <w:spacing w:after="0"/>
              <w:rPr>
                <w:sz w:val="20"/>
                <w:szCs w:val="20"/>
                <w:color w:val="auto"/>
              </w:rPr>
            </w:pPr>
            <w:r>
              <w:rPr>
                <w:rFonts w:ascii="Arial" w:cs="Arial" w:eastAsia="Arial" w:hAnsi="Arial"/>
                <w:sz w:val="14"/>
                <w:szCs w:val="14"/>
                <w:b w:val="1"/>
                <w:bCs w:val="1"/>
                <w:color w:val="auto"/>
                <w:w w:val="92"/>
              </w:rPr>
              <w:t>of incorporation)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Securities registered or to be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GALT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number of shares outstanding of the registrant’s common stock as of May 5, 2020 was 57,029,209.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30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MARCH 31,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0000EE"/>
              </w:rPr>
              <w:t>PART I — FINANCIAL INFORMATION</w:t>
            </w:r>
          </w:p>
        </w:tc>
        <w:tc>
          <w:tcPr>
            <w:tcW w:w="3280" w:type="dxa"/>
            <w:vAlign w:val="bottom"/>
            <w:gridSpan w:val="2"/>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60" w:type="dxa"/>
            <w:vAlign w:val="bottom"/>
            <w:tcBorders>
              <w:bottom w:val="single" w:sz="8" w:color="0000EE"/>
            </w:tcBorders>
            <w:gridSpan w:val="3"/>
            <w:vMerge w:val="continue"/>
          </w:tcPr>
          <w:p>
            <w:pPr>
              <w:spacing w:after="0"/>
              <w:rPr>
                <w:sz w:val="14"/>
                <w:szCs w:val="14"/>
                <w:color w:val="auto"/>
              </w:rPr>
            </w:pPr>
          </w:p>
        </w:tc>
        <w:tc>
          <w:tcPr>
            <w:tcW w:w="32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7"/>
          </w:tcPr>
          <w:p>
            <w:pPr>
              <w:spacing w:after="0"/>
              <w:rPr>
                <w:sz w:val="20"/>
                <w:szCs w:val="20"/>
                <w:color w:val="auto"/>
              </w:rPr>
            </w:pPr>
            <w:r>
              <w:rPr>
                <w:rFonts w:ascii="Arial" w:cs="Arial" w:eastAsia="Arial" w:hAnsi="Arial"/>
                <w:sz w:val="18"/>
                <w:szCs w:val="18"/>
                <w:color w:val="0000EE"/>
              </w:rPr>
              <w:t>Unaudited Condensed Consolidated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3"/>
        </w:trPr>
        <w:tc>
          <w:tcPr>
            <w:tcW w:w="96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Changes in Redeemable Convertible Preferred Stock and Stockholders’ Equity (Deficit)</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 the three months ended March 31, 2020 and 2019</w:t>
              </w:r>
            </w:hyperlink>
          </w:p>
        </w:tc>
        <w:tc>
          <w:tcPr>
            <w:tcW w:w="4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6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7"/>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7"/>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7"/>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540" w:type="dxa"/>
            <w:vAlign w:val="bottom"/>
            <w:gridSpan w:val="5"/>
          </w:tcPr>
          <w:p>
            <w:pPr>
              <w:jc w:val="center"/>
              <w:ind w:right="32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PART II — OTHER INFORMATION</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60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10560" w:type="dxa"/>
            <w:vAlign w:val="bottom"/>
            <w:gridSpan w:val="8"/>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43,328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47,480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43,884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48,209</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48,467</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C super dividend redeemable convertible preferred stock; 1,000 shares authorized, 176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March 31, 2020 and December 31, 2019, redemption value: $8,573,000, liquidation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$1,760,000 at March 31, 2020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Undesignated stock, $0.01 par value; 20,000,000 shares authorized, 20,000,000 designated at March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2020 and December 31, 2019, 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tcPr>
          <w:p>
            <w:pPr>
              <w:ind w:left="720"/>
              <w:spacing w:after="0" w:line="201" w:lineRule="exact"/>
              <w:rPr>
                <w:sz w:val="20"/>
                <w:szCs w:val="20"/>
                <w:color w:val="auto"/>
              </w:rPr>
            </w:pPr>
            <w:r>
              <w:rPr>
                <w:rFonts w:ascii="Arial" w:cs="Arial" w:eastAsia="Arial" w:hAnsi="Arial"/>
                <w:sz w:val="18"/>
                <w:szCs w:val="18"/>
                <w:color w:val="auto"/>
                <w:w w:val="94"/>
              </w:rPr>
              <w:t>Series A 12% convertible preferred stock; 1,742,500 shares authorized, 1,327,500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900"/>
              <w:spacing w:after="0"/>
              <w:rPr>
                <w:sz w:val="20"/>
                <w:szCs w:val="20"/>
                <w:color w:val="auto"/>
              </w:rPr>
            </w:pPr>
            <w:r>
              <w:rPr>
                <w:rFonts w:ascii="Arial" w:cs="Arial" w:eastAsia="Arial" w:hAnsi="Arial"/>
                <w:sz w:val="18"/>
                <w:szCs w:val="18"/>
                <w:color w:val="auto"/>
              </w:rPr>
              <w:t>March 31, 2020 and December 31, 2019, liquidation value $1,327,500 at March 31, 2020</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3"/>
              </w:rPr>
              <w:t>Common stock, $0.001 par value; 100,000,000 shares authorized at March 31, 2020 and December 31,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57,029,209 and 56,894,642 issued and outstanding at March 31, 2020 and December 31, 2019,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260,382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259,673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(219,945)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(216,394)</w:t>
            </w:r>
          </w:p>
        </w:tc>
        <w:tc>
          <w:tcPr>
            <w:tcW w:w="0" w:type="dxa"/>
            <w:vAlign w:val="bottom"/>
          </w:tcPr>
          <w:p>
            <w:pPr>
              <w:spacing w:after="0"/>
              <w:rPr>
                <w:sz w:val="1"/>
                <w:szCs w:val="1"/>
                <w:color w:val="auto"/>
              </w:rPr>
            </w:pPr>
          </w:p>
        </w:tc>
      </w:tr>
      <w:tr>
        <w:trPr>
          <w:trHeight w:val="230"/>
        </w:trPr>
        <w:tc>
          <w:tcPr>
            <w:tcW w:w="8900" w:type="dxa"/>
            <w:vAlign w:val="bottom"/>
          </w:tcPr>
          <w:p>
            <w:pPr>
              <w:ind w:left="10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41,030</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48,467</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9"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Three Months Ended</w:t>
      </w:r>
    </w:p>
    <w:p>
      <w:pPr>
        <w:jc w:val="center"/>
        <w:ind w:left="8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4"/>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2,144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30"/>
        </w:trPr>
        <w:tc>
          <w:tcPr>
            <w:tcW w:w="8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loss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Warrant modification (Note 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(9,093)</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4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56,956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Three Months Ended</w:t>
      </w:r>
    </w:p>
    <w:p>
      <w:pPr>
        <w:jc w:val="center"/>
        <w:ind w:left="9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right"/>
              <w:ind w:right="15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(2,375)</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720"/>
              <w:spacing w:after="0"/>
              <w:rPr>
                <w:sz w:val="20"/>
                <w:szCs w:val="20"/>
                <w:color w:val="auto"/>
              </w:rPr>
            </w:pPr>
            <w:r>
              <w:rPr>
                <w:rFonts w:ascii="Arial" w:cs="Arial" w:eastAsia="Arial" w:hAnsi="Arial"/>
                <w:sz w:val="18"/>
                <w:szCs w:val="18"/>
                <w:color w:val="auto"/>
              </w:rPr>
              <w:t>Payment of preferred stock dividends</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9520" w:type="dxa"/>
            <w:vAlign w:val="bottom"/>
          </w:tcPr>
          <w:p>
            <w:pPr>
              <w:ind w:left="720"/>
              <w:spacing w:after="0"/>
              <w:rPr>
                <w:sz w:val="20"/>
                <w:szCs w:val="20"/>
                <w:color w:val="auto"/>
              </w:rPr>
            </w:pPr>
            <w:r>
              <w:rPr>
                <w:rFonts w:ascii="Arial" w:cs="Arial" w:eastAsia="Arial" w:hAnsi="Arial"/>
                <w:sz w:val="18"/>
                <w:szCs w:val="18"/>
                <w:color w:val="auto"/>
              </w:rPr>
              <w:t>Amortization of right to use lease asset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52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520" w:type="dxa"/>
            <w:vAlign w:val="bottom"/>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(1,449)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(4,371)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(3,284)</w:t>
            </w:r>
          </w:p>
        </w:tc>
        <w:tc>
          <w:tcPr>
            <w:tcW w:w="0" w:type="dxa"/>
            <w:vAlign w:val="bottom"/>
          </w:tcPr>
          <w:p>
            <w:pPr>
              <w:spacing w:after="0"/>
              <w:rPr>
                <w:sz w:val="1"/>
                <w:szCs w:val="1"/>
                <w:color w:val="auto"/>
              </w:rPr>
            </w:pPr>
          </w:p>
        </w:tc>
      </w:tr>
      <w:tr>
        <w:trPr>
          <w:trHeight w:val="223"/>
        </w:trPr>
        <w:tc>
          <w:tcPr>
            <w:tcW w:w="9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2,003</w:t>
            </w:r>
          </w:p>
        </w:tc>
        <w:tc>
          <w:tcPr>
            <w:tcW w:w="0" w:type="dxa"/>
            <w:vAlign w:val="bottom"/>
          </w:tcPr>
          <w:p>
            <w:pPr>
              <w:spacing w:after="0"/>
              <w:rPr>
                <w:sz w:val="1"/>
                <w:szCs w:val="1"/>
                <w:color w:val="auto"/>
              </w:rPr>
            </w:pPr>
          </w:p>
        </w:tc>
      </w:tr>
      <w:tr>
        <w:trPr>
          <w:trHeight w:val="230"/>
        </w:trPr>
        <w:tc>
          <w:tcPr>
            <w:tcW w:w="9520" w:type="dxa"/>
            <w:vAlign w:val="bottom"/>
          </w:tcPr>
          <w:p>
            <w:pPr>
              <w:ind w:left="720"/>
              <w:spacing w:after="0"/>
              <w:rPr>
                <w:sz w:val="20"/>
                <w:szCs w:val="20"/>
                <w:color w:val="auto"/>
              </w:rPr>
            </w:pPr>
            <w:r>
              <w:rPr>
                <w:rFonts w:ascii="Arial" w:cs="Arial" w:eastAsia="Arial" w:hAnsi="Arial"/>
                <w:sz w:val="18"/>
                <w:szCs w:val="18"/>
                <w:color w:val="auto"/>
              </w:rPr>
              <w:t>Net cash flows from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(4,152)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(1,281)</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47,480</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8,253</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43,328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6,972</w:t>
            </w: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Dividend Redeemable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5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b w:val="1"/>
                <w:bCs w:val="1"/>
                <w:color w:val="auto"/>
              </w:rPr>
              <w:t>Balance at March 31, 2019</w:t>
            </w:r>
          </w:p>
        </w:tc>
        <w:tc>
          <w:tcPr>
            <w:tcW w:w="55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6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$ 1,723</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5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500" w:type="dxa"/>
            <w:vAlign w:val="bottom"/>
            <w:vMerge w:val="restart"/>
          </w:tcPr>
          <w:p>
            <w:pPr>
              <w:jc w:val="right"/>
              <w:ind w:right="375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 (Continued)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Three Month Ended March 31,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980" w:type="dxa"/>
            <w:vAlign w:val="bottom"/>
            <w:gridSpan w:val="3"/>
          </w:tcPr>
          <w:p>
            <w:pPr>
              <w:jc w:val="center"/>
              <w:ind w:left="173"/>
              <w:spacing w:after="0"/>
              <w:rPr>
                <w:sz w:val="20"/>
                <w:szCs w:val="20"/>
                <w:color w:val="auto"/>
              </w:rPr>
            </w:pPr>
            <w:r>
              <w:rPr>
                <w:rFonts w:ascii="Arial" w:cs="Arial" w:eastAsia="Arial" w:hAnsi="Arial"/>
                <w:sz w:val="13"/>
                <w:szCs w:val="13"/>
                <w:b w:val="1"/>
                <w:bCs w:val="1"/>
                <w:color w:val="auto"/>
                <w:w w:val="90"/>
              </w:rPr>
              <w:t>Series A 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0"/>
              </w:rPr>
              <w:t>Series B-1 12%</w:t>
            </w:r>
          </w:p>
        </w:tc>
        <w:tc>
          <w:tcPr>
            <w:tcW w:w="146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7"/>
              </w:rPr>
              <w:t>Series B-2 12%</w:t>
            </w:r>
          </w:p>
        </w:tc>
        <w:tc>
          <w:tcPr>
            <w:tcW w:w="146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8"/>
              </w:rPr>
              <w:t>Series B-3 8%</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980" w:type="dxa"/>
            <w:vAlign w:val="bottom"/>
            <w:gridSpan w:val="3"/>
          </w:tcPr>
          <w:p>
            <w:pPr>
              <w:jc w:val="center"/>
              <w:ind w:left="173"/>
              <w:spacing w:after="0" w:line="135" w:lineRule="exact"/>
              <w:rPr>
                <w:sz w:val="20"/>
                <w:szCs w:val="20"/>
                <w:color w:val="auto"/>
              </w:rPr>
            </w:pPr>
            <w:r>
              <w:rPr>
                <w:rFonts w:ascii="Arial" w:cs="Arial" w:eastAsia="Arial" w:hAnsi="Arial"/>
                <w:sz w:val="13"/>
                <w:szCs w:val="13"/>
                <w:b w:val="1"/>
                <w:bCs w:val="1"/>
                <w:color w:val="auto"/>
                <w:w w:val="86"/>
              </w:rPr>
              <w:t>Convertible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46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46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Preferred Stock</w:t>
            </w:r>
          </w:p>
        </w:tc>
        <w:tc>
          <w:tcPr>
            <w:tcW w:w="136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6"/>
              </w:rPr>
              <w:t>Preferred Stock</w:t>
            </w:r>
          </w:p>
        </w:tc>
        <w:tc>
          <w:tcPr>
            <w:tcW w:w="146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146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6"/>
              </w:rPr>
              <w:t>Preferred Stock</w:t>
            </w:r>
          </w:p>
        </w:tc>
        <w:tc>
          <w:tcPr>
            <w:tcW w:w="1080" w:type="dxa"/>
            <w:vAlign w:val="bottom"/>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97"/>
        </w:trPr>
        <w:tc>
          <w:tcPr>
            <w:tcW w:w="16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Number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Number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of</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Paid-In</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Deficit</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6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 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1,327,500</w:t>
            </w:r>
          </w:p>
        </w:tc>
        <w:tc>
          <w:tcPr>
            <w:tcW w:w="12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4"/>
              </w:rPr>
              <w:t>537</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900,000</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1,761</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2,100,000</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3,697</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2,508,000</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1,224</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4"/>
              </w:rPr>
              <w:t>41,190,905</w:t>
            </w:r>
          </w:p>
        </w:tc>
        <w:tc>
          <w:tcPr>
            <w:tcW w:w="2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41</w:t>
            </w:r>
          </w:p>
        </w:tc>
        <w:tc>
          <w:tcPr>
            <w:tcW w:w="8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$ 194,130</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86"/>
              </w:rPr>
              <w:t>$ (196,215)</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5,175</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rPr>
              <w:t>Series A 12% convertible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dividend</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rPr>
              <w:t>Series B-2 12%</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B-3 8% convertible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dividend</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rPr>
              <w:t>Series C super dividend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redeemable convertible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Issuance of common stock</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395,233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1,865</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rPr>
              <w:t>Conversion of Series B</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common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(1,761)</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(2,100,000)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(3,697)</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(2,508,000)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(1,224)</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3,789,346</w:t>
            </w:r>
          </w:p>
        </w:tc>
        <w:tc>
          <w:tcPr>
            <w:tcW w:w="26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6,678</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for exercise of warrants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options</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218,927</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138</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rPr>
              <w:t>Warrant modification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(Note 9)</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6,622</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(6,622)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Stock-based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412</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8"/>
        </w:trPr>
        <w:tc>
          <w:tcPr>
            <w:tcW w:w="16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(2,375)</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March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1,327,500</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537</w:t>
            </w:r>
          </w:p>
        </w:tc>
        <w:tc>
          <w:tcPr>
            <w:tcW w:w="120" w:type="dxa"/>
            <w:vAlign w:val="bottom"/>
            <w:vMerge w:val="restart"/>
            <w:shd w:val="clear" w:color="auto" w:fill="CCEEFF"/>
          </w:tcPr>
          <w:p>
            <w:pPr>
              <w:spacing w:after="0"/>
              <w:rPr>
                <w:sz w:val="10"/>
                <w:szCs w:val="10"/>
                <w:color w:val="auto"/>
              </w:rPr>
            </w:pPr>
          </w:p>
        </w:tc>
        <w:tc>
          <w:tcPr>
            <w:tcW w:w="5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4"/>
              </w:rPr>
              <w:t>45,594,411</w:t>
            </w:r>
          </w:p>
        </w:tc>
        <w:tc>
          <w:tcPr>
            <w:tcW w:w="2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45</w:t>
            </w:r>
          </w:p>
        </w:tc>
        <w:tc>
          <w:tcPr>
            <w:tcW w:w="8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$ 209,845</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86"/>
              </w:rPr>
              <w:t>$ (205,308)</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5,119</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160" w:lineRule="exact"/>
              <w:rPr>
                <w:sz w:val="20"/>
                <w:szCs w:val="20"/>
                <w:color w:val="auto"/>
              </w:rPr>
            </w:pPr>
            <w:r>
              <w:rPr>
                <w:rFonts w:ascii="Arial" w:cs="Arial" w:eastAsia="Arial" w:hAnsi="Arial"/>
                <w:sz w:val="14"/>
                <w:szCs w:val="14"/>
                <w:b w:val="1"/>
                <w:bCs w:val="1"/>
                <w:color w:val="auto"/>
                <w:w w:val="99"/>
              </w:rPr>
              <w:t>Balance at December 31,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60" w:type="dxa"/>
            <w:vAlign w:val="bottom"/>
            <w:vMerge w:val="continue"/>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1,327,500</w:t>
            </w:r>
          </w:p>
        </w:tc>
        <w:tc>
          <w:tcPr>
            <w:tcW w:w="120" w:type="dxa"/>
            <w:vAlign w:val="bottom"/>
          </w:tcPr>
          <w:p>
            <w:pPr>
              <w:spacing w:after="0"/>
              <w:rPr>
                <w:sz w:val="10"/>
                <w:szCs w:val="10"/>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537</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56,894,642</w:t>
            </w: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56</w:t>
            </w: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$ 259,673</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6"/>
              </w:rPr>
              <w:t>$ (216,394)</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43,872</w:t>
            </w:r>
          </w:p>
        </w:tc>
        <w:tc>
          <w:tcPr>
            <w:tcW w:w="0" w:type="dxa"/>
            <w:vAlign w:val="bottom"/>
          </w:tcPr>
          <w:p>
            <w:pPr>
              <w:spacing w:after="0"/>
              <w:rPr>
                <w:sz w:val="1"/>
                <w:szCs w:val="1"/>
                <w:color w:val="auto"/>
              </w:rPr>
            </w:pPr>
          </w:p>
        </w:tc>
      </w:tr>
      <w:tr>
        <w:trPr>
          <w:trHeight w:val="171"/>
        </w:trPr>
        <w:tc>
          <w:tcPr>
            <w:tcW w:w="166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12% convertible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dividend</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13,275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rPr>
              <w:t>Series C super dividend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redeemable convertible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17,600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34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 exercise of options</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84,624</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219</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30"/>
        </w:trPr>
        <w:tc>
          <w:tcPr>
            <w:tcW w:w="1660" w:type="dxa"/>
            <w:vAlign w:val="bottom"/>
          </w:tcPr>
          <w:p>
            <w:pPr>
              <w:spacing w:after="0" w:line="130" w:lineRule="exact"/>
              <w:rPr>
                <w:sz w:val="20"/>
                <w:szCs w:val="20"/>
                <w:color w:val="auto"/>
              </w:rPr>
            </w:pPr>
            <w:r>
              <w:rPr>
                <w:rFonts w:ascii="Arial" w:cs="Arial" w:eastAsia="Arial" w:hAnsi="Arial"/>
                <w:sz w:val="14"/>
                <w:szCs w:val="14"/>
                <w:color w:val="auto"/>
                <w:w w:val="97"/>
              </w:rPr>
              <w:t>Stock-based compensation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140"/>
              <w:spacing w:after="0"/>
              <w:rPr>
                <w:sz w:val="20"/>
                <w:szCs w:val="20"/>
                <w:color w:val="auto"/>
              </w:rPr>
            </w:pPr>
            <w:r>
              <w:rPr>
                <w:rFonts w:ascii="Arial" w:cs="Arial" w:eastAsia="Arial" w:hAnsi="Arial"/>
                <w:sz w:val="14"/>
                <w:szCs w:val="14"/>
                <w:color w:val="auto"/>
              </w:rPr>
              <w:t>expense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19,068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430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(3,556)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153" w:lineRule="exact"/>
              <w:rPr>
                <w:sz w:val="20"/>
                <w:szCs w:val="20"/>
                <w:color w:val="auto"/>
              </w:rPr>
            </w:pPr>
            <w:r>
              <w:rPr>
                <w:rFonts w:ascii="Arial" w:cs="Arial" w:eastAsia="Arial" w:hAnsi="Arial"/>
                <w:sz w:val="14"/>
                <w:szCs w:val="14"/>
                <w:b w:val="1"/>
                <w:bCs w:val="1"/>
                <w:color w:val="auto"/>
              </w:rPr>
              <w:t>Balance at March 31,</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60" w:type="dxa"/>
            <w:vAlign w:val="bottom"/>
            <w:vMerge w:val="continue"/>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1,327,500</w:t>
            </w:r>
          </w:p>
        </w:tc>
        <w:tc>
          <w:tcPr>
            <w:tcW w:w="120" w:type="dxa"/>
            <w:vAlign w:val="bottom"/>
          </w:tcPr>
          <w:p>
            <w:pPr>
              <w:spacing w:after="0"/>
              <w:rPr>
                <w:sz w:val="11"/>
                <w:szCs w:val="11"/>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537</w:t>
            </w:r>
          </w:p>
        </w:tc>
        <w:tc>
          <w:tcPr>
            <w:tcW w:w="120" w:type="dxa"/>
            <w:vAlign w:val="bottom"/>
            <w:vMerge w:val="restart"/>
          </w:tcPr>
          <w:p>
            <w:pPr>
              <w:spacing w:after="0"/>
              <w:rPr>
                <w:sz w:val="11"/>
                <w:szCs w:val="11"/>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57,029,209</w:t>
            </w: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56</w:t>
            </w: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$ 260,382</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6"/>
              </w:rPr>
              <w:t>$ (219,945)</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41,030</w:t>
            </w:r>
          </w:p>
        </w:tc>
        <w:tc>
          <w:tcPr>
            <w:tcW w:w="0" w:type="dxa"/>
            <w:vAlign w:val="bottom"/>
          </w:tcPr>
          <w:p>
            <w:pPr>
              <w:spacing w:after="0"/>
              <w:rPr>
                <w:sz w:val="1"/>
                <w:szCs w:val="1"/>
                <w:color w:val="auto"/>
              </w:rPr>
            </w:pPr>
          </w:p>
        </w:tc>
      </w:tr>
      <w:tr>
        <w:trPr>
          <w:trHeight w:val="171"/>
        </w:trPr>
        <w:tc>
          <w:tcPr>
            <w:tcW w:w="166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March 31, 2020 and the results of its operations for the three months ended March 31, 2020 and 2019 and its cash flows for the three months ended March 31, 2020 and 2019. All adjustments made to the interim financial statements include all those of a normal and recurring nature. Amounts presented in the condensed consolidated balance sheet as of December 31, 2019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2019.</w:t>
      </w:r>
    </w:p>
    <w:p>
      <w:pPr>
        <w:spacing w:after="0" w:line="18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Company has operated at a loss since its inception and has had no revenues. The Company anticipates that losses will continue for the foreseeable future. At March 31, 2020, the Company had $43,328,000 of unrestricted cash and cash equivalents available to fund future operations. The Company believes there is sufficient cash, including availability of the line of credit (see Note 3), to fund currently planned operations at least through September 30, 2021. We will require more cash to fund our operations after September 30, 2021 and believe we will be able to obtain additional financing. The currently planned operations include costs related to a planned adaptively designed Phase 2b/3 clinical trial. While the costs of the trial and general overhead during the first stage of the trial are currently estimated to be approximately $125 million, the costs and timing of such trial is not yet finalized. These costs will require additional funding. However, there can be no assurance that we will be successful in obtaining such new financing or, if available, that such financing will be on terms favorable to us. If we are unsuccessful in raising additional capital to fund operations before September 30, 2021,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16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Accrued Expenses and Other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w w:val="93"/>
              </w:rPr>
              <w:t>March 31,</w:t>
            </w:r>
          </w:p>
        </w:tc>
        <w:tc>
          <w:tcPr>
            <w:tcW w:w="6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6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6"/>
              </w:rPr>
              <w:t>2020</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4"/>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r>
      <w:tr>
        <w:trPr>
          <w:trHeight w:val="20"/>
        </w:trPr>
        <w:tc>
          <w:tcPr>
            <w:tcW w:w="6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December 19, 2017, the Company entered into a $10 million Line of Credit arrangement with Richard E. Uihlein, a director and shareholder. Originally, borrowings may be made by the Company through December 31, 2018. Borrowings bear interest at the Applicable Federal Rate for short term loans published by the Internal Revenue Service (1.6% in December 2019). All borrowings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interest were originally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to date.</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9),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three months ended March 31, 2020 and 2019 of $22,000 and $22,000,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89"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Three Months Ended</w:t>
      </w:r>
    </w:p>
    <w:p>
      <w:pPr>
        <w:jc w:val="center"/>
        <w:ind w:left="58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880" w:type="dxa"/>
        <w:tblCellMar>
          <w:top w:w="0" w:type="dxa"/>
          <w:left w:w="0" w:type="dxa"/>
          <w:bottom w:w="0" w:type="dxa"/>
          <w:right w:w="0" w:type="dxa"/>
        </w:tblCellMar>
      </w:tblPr>
      <w:tr>
        <w:trPr>
          <w:trHeight w:val="142"/>
        </w:trPr>
        <w:tc>
          <w:tcPr>
            <w:tcW w:w="350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2020</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Total stock-based compensation expense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20" w:type="dxa"/>
            <w:vAlign w:val="bottom"/>
            <w:vMerge w:val="restart"/>
          </w:tcPr>
          <w:p>
            <w:pPr>
              <w:jc w:val="right"/>
              <w:ind w:right="205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2019 through March 31, 2020:</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67"/>
        </w:trPr>
        <w:tc>
          <w:tcPr>
            <w:tcW w:w="586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3,000,256</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845,000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(84,624)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Options forfeited/cancelled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(23,057)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7"/>
        </w:trPr>
        <w:tc>
          <w:tcPr>
            <w:tcW w:w="5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2020</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3,737,575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0"/>
        </w:trPr>
        <w:tc>
          <w:tcPr>
            <w:tcW w:w="5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of March 31, 2020, there was $1,732,000 of unrecognized compensation related to 967,500 unvested options, which is expected to be recognized over a weighted–average period of approximately 2.14 years. The weighted-average grant date fair value for options granted during the three months ended March 31, 2020 was $1.92. The Company granted 845,000 stock options during the three months ended March 31, 2020.</w:t>
      </w:r>
    </w:p>
    <w:p>
      <w:pPr>
        <w:spacing w:after="0" w:line="16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color w:val="auto"/>
                <w:w w:val="92"/>
              </w:rPr>
              <w:t>Three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Three</w:t>
            </w:r>
          </w:p>
        </w:tc>
      </w:tr>
      <w:tr>
        <w:trPr>
          <w:trHeight w:val="148"/>
        </w:trPr>
        <w:tc>
          <w:tcPr>
            <w:tcW w:w="576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Months Ended</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576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color w:val="auto"/>
                <w:w w:val="93"/>
              </w:rPr>
              <w:t>March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March 31,</w:t>
            </w:r>
          </w:p>
        </w:tc>
      </w:tr>
      <w:tr>
        <w:trPr>
          <w:trHeight w:val="142"/>
        </w:trPr>
        <w:tc>
          <w:tcPr>
            <w:tcW w:w="57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2020</w:t>
            </w:r>
          </w:p>
        </w:tc>
        <w:tc>
          <w:tcPr>
            <w:tcW w:w="7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6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January 2019, two directors elected to take restricted stock grants in lieu of cash retainers for 2019. A total of 19,068 shares of restricted stock valued at approximately $90,000 was amortized to expense on a straight-line basis until January 16, 2020 when the stock vested in full.</w:t>
      </w:r>
    </w:p>
    <w:p>
      <w:pPr>
        <w:spacing w:after="0" w:line="12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January 2020, two directors elected to take restricted stock grants in lieu of cash retainers for 2020. A total of 32,693 shares of restricted stock valued at approximately $93,500 is being amortized to expense on a straight-line basis until January 9, 2021 when the stock vests in full.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common stock warrant activity from December 31, 2019 through March 31, 2020:</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w w:val="93"/>
              </w:rPr>
              <w:t>Weighted Average</w:t>
            </w:r>
          </w:p>
        </w:tc>
      </w:tr>
      <w:tr>
        <w:trPr>
          <w:trHeight w:val="167"/>
        </w:trPr>
        <w:tc>
          <w:tcPr>
            <w:tcW w:w="584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12,538,204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4.22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center"/>
              <w:ind w:left="453"/>
              <w:spacing w:after="0"/>
              <w:rPr>
                <w:sz w:val="20"/>
                <w:szCs w:val="20"/>
                <w:color w:val="auto"/>
              </w:rPr>
            </w:pPr>
            <w:r>
              <w:rPr>
                <w:rFonts w:ascii="Arial" w:cs="Arial" w:eastAsia="Arial" w:hAnsi="Arial"/>
                <w:sz w:val="18"/>
                <w:szCs w:val="18"/>
                <w:color w:val="auto"/>
                <w:w w:val="99"/>
              </w:rPr>
              <w:t>—</w:t>
            </w: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99"/>
              </w:rPr>
              <w:t>—</w:t>
            </w:r>
          </w:p>
        </w:tc>
      </w:tr>
      <w:tr>
        <w:trPr>
          <w:trHeight w:val="223"/>
        </w:trPr>
        <w:tc>
          <w:tcPr>
            <w:tcW w:w="584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left="453"/>
              <w:spacing w:after="0"/>
              <w:rPr>
                <w:sz w:val="20"/>
                <w:szCs w:val="20"/>
                <w:color w:val="auto"/>
              </w:rPr>
            </w:pPr>
            <w:r>
              <w:rPr>
                <w:rFonts w:ascii="Arial" w:cs="Arial" w:eastAsia="Arial" w:hAnsi="Arial"/>
                <w:sz w:val="18"/>
                <w:szCs w:val="18"/>
                <w:color w:val="auto"/>
                <w:w w:val="99"/>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2020</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12,538,204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1"/>
              </w:rPr>
              <w:t>4.22</w:t>
            </w:r>
          </w:p>
        </w:tc>
      </w:tr>
      <w:tr>
        <w:trPr>
          <w:trHeight w:val="20"/>
        </w:trPr>
        <w:tc>
          <w:tcPr>
            <w:tcW w:w="5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March 31, 2020 or December 31, 2019.</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March 31, 2020</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March 31, 2019</w:t>
            </w:r>
          </w:p>
        </w:tc>
      </w:tr>
      <w:tr>
        <w:trPr>
          <w:trHeight w:val="167"/>
        </w:trPr>
        <w:tc>
          <w:tcPr>
            <w:tcW w:w="618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color w:val="auto"/>
                <w:w w:val="85"/>
              </w:rPr>
              <w:t>(shares)</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12,538,204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10,418,525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3,737,575</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3,071,044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514,602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514,602</w:t>
            </w:r>
          </w:p>
        </w:tc>
      </w:tr>
      <w:tr>
        <w:trPr>
          <w:trHeight w:val="223"/>
        </w:trPr>
        <w:tc>
          <w:tcPr>
            <w:tcW w:w="6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16,790,381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14,004,171</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three months ended March 31, 2019, the Company issued 395,233 shares of its common stock under the 2017 At Market Agreement for net proceeds of approximately $1,865,000. There were no issuances of common stock under the 2017 At Market Agreement during the three months ended March 31, 2020.</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the three months ended March 31, 2020, the Company has issued a total of 30,875 shares of common stock for dividends on Series A and Series C Preferred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Preferred Stock Conversion into Common Stock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On January 11, 2019, 10X Fund L.P. (“10X Fund”), converted all of its Series B Convertible Preferred Stock into Common Stock of Galectin Therapeutics. Pursuant to the terms of the conversion, as of January 11, 2019, 10X Fund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188"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three-month periods ended March 31, 2020 and 2019 was $11,000 for each period and is included in general and administrative expenses. As of March 31, 2020, the right to use lease asset consisted of $75,000 and is included in other assets. Also, at March 31, 2020, current lease liability of $40,000 is included in accrued expenses and other and noncurrent lease liability of $41,000 is in other liabilities.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Maturity of operating lease as of March 31, 2020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7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2"/>
          </w:tcPr>
          <w:p>
            <w:pPr>
              <w:ind w:left="13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gridSpan w:val="2"/>
          </w:tcPr>
          <w:p>
            <w:pPr>
              <w:ind w:left="1320"/>
              <w:spacing w:after="0"/>
              <w:rPr>
                <w:sz w:val="20"/>
                <w:szCs w:val="20"/>
                <w:color w:val="auto"/>
              </w:rPr>
            </w:pPr>
            <w:r>
              <w:rPr>
                <w:rFonts w:ascii="Arial" w:cs="Arial" w:eastAsia="Arial" w:hAnsi="Arial"/>
                <w:sz w:val="18"/>
                <w:szCs w:val="18"/>
                <w:color w:val="auto"/>
              </w:rPr>
              <w:t>Present value of lease liability</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$ 81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Galectin Sciences LLC</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$2,158,000, including $207,000 for the three months ended March 31, 2020, for expenses of the LLC. Since the end of 2014, SBH has contributed $158,000 for expenses in the LLC. As of March 31, 2020, the Company’s ownership percentage in the LLC was 82.1%. The Company accounts for the interest in the LLC as a consolidated, less than wholly owned subsidiary. Because the LLC’s equity is immaterial, the value of the non-controlling interest is also deemed to be immaterial.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September 30, 2021;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2019, and our subsequent SEC filings.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consistent with the natural history of the disease and to seek strategic partners when a program becomes advanced and requires significant additional resources.</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lead galectin-3 inhibitor is belapectin (GR-MD-02), which has been demonstrated in preclinical models to reverse liver fibrosis and cirrhosis.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gene. Galectin Therapeutics Inc. is using its galectin-3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(NASH-CX). We announced, in December 2017 top line results from our NASH-CX trial and results of an End of Phase 2 meeting with the FDA in May 2018 that provided direction on potentially acceptable end points for a Phase 3 trial. The latter was confirmed in a Type C meeting with FDA in February 2019. Thereafter, the Company with its external NASH consultants designed a Phase 3 study that was sent to various contract research organizations (CROs) for their input on feasibility, timing costs and other important considerations. At the request of the United States Food and Drug Administration (FDA), the trial protocol and answers to questions raised by FDA at the February meeting was submitted as a Type C (Written Response Only) request to FDA on July 17, 2019; this response sought FDA feedback and agreement with regards to the proposed clinical program. Further details on results of the NASH-CX trial were published in the journal Gastroenterology in December 2019.</w:t>
      </w:r>
    </w:p>
    <w:p>
      <w:pPr>
        <w:spacing w:after="0" w:line="185"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Comments from FDA were received in late October 2019 and have been incorporated into the final version of the clinical trial protocol by the Company in conjunction with its hepatology consultants and medical and other experts at Covance, its chosen CRO. This modified trial design was discussed with FDA in a meeting on November 14, 2019 at which FDA indicated the design was reasonable (subject to a review of the protocol). The Company together with its advisors and Covance has modified the protocol and associated statistical analysis plans in conformance with the feedback received from FDA. In addition, the Company has been working to complete the various additional information requested by FDA. Design aspects of the study were presented in greater detail in the presentation following our Annual Meeting on December 4, 2019 and have been modified thereafter.</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A study protocol entitled “A Single-dose, Open-label, Pharmacokinetic Study of </w:t>
      </w:r>
      <w:r>
        <w:rPr>
          <w:rFonts w:ascii="Arial" w:cs="Arial" w:eastAsia="Arial" w:hAnsi="Arial"/>
          <w:sz w:val="17"/>
          <w:szCs w:val="17"/>
          <w:u w:val="single" w:color="auto"/>
          <w:color w:val="auto"/>
        </w:rPr>
        <w:t>Belapectin</w:t>
      </w:r>
      <w:r>
        <w:rPr>
          <w:rFonts w:ascii="Arial" w:cs="Arial" w:eastAsia="Arial" w:hAnsi="Arial"/>
          <w:sz w:val="17"/>
          <w:szCs w:val="17"/>
          <w:color w:val="auto"/>
        </w:rPr>
        <w:t xml:space="preserve"> (GR-MD-02) in Subjects With Normal Hepatic Function and Subjects With Varying Degrees of Hepatic Impairment” has been filed with FDA to examine the effects of the drug in subjects with normal hepatic function and subjects with varying degrees of hepatic impairment (study details are listed under study NCT04332432 on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this study is expected to start enrolling patients in Q2-2020 A study protocol was filed with FDA on April 30, 2020 for a seamless adaptively-designed Phase 2b/3 clinical study, the NASH-RX trial, evaluating the safety and efficacy of its galectin-3 inhibitor, belapectin (GR-MD-02), for the prevention of esophageal varices in patients with non-alcoholic steatohepatitis (NASH) cirrhosis (Further details are available at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under study NCT04365868); this study is expected to begin enrolling patients in Q2-2020..</w:t>
      </w:r>
    </w:p>
    <w:p>
      <w:pPr>
        <w:spacing w:after="0" w:line="17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Initial results of the efforts at Galectin Sciences LLC were presented by Dr. E. Zomer at the AFDD meeting in Boston in Fall, 2019. We are also pursuing a development pathway to clinical enhancement and commercialization for our lead compounds in immuno-oncology for cancer therapy. However, our clinical development efforts are primarily focused on liver fibrosis and fatty liver disease. All of our proposed products are presently in development, including pre-clinical and clinical trials.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one new proprietary chemical entity (NCE) in development, belapectin, which has shown promise in preclinical and early clinical studies in treatment of fibrosis, severe skin disease, and in cancer therapy. Currently we are focusing on development of belapectin intended to be used in the treatment of liver fibrosis associated with fatty liver disease (NASH) and more specifically in NASH cirrhosis. We have also leveraged our relationships with well-known investigators to demonstrate clinical effects of belapectin in treating moderate to severe plaque psoriasis, severe atopic dermatitis, and in cancer therapy in combination with immune-system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modifying agent(s). Belapectin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pipeline is shown below:</w:t>
      </w:r>
    </w:p>
    <w:p>
      <w:pPr>
        <w:sectPr>
          <w:pgSz w:w="11900" w:h="16838" w:orient="portrait"/>
          <w:cols w:equalWidth="0" w:num="1">
            <w:col w:w="11100"/>
          </w:cols>
          <w:pgMar w:left="320" w:top="459" w:right="479" w:bottom="1440" w:gutter="0" w:footer="0" w:header="0"/>
        </w:sect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Indication</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Fibrosis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NASH with Advanced Fibrosis: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NASH-CX trial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NASH-FX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NASH – RX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Lung Fibrosis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Kidney Fibrosis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Drug</w:t>
            </w:r>
          </w:p>
        </w:tc>
        <w:tc>
          <w:tcPr>
            <w:tcW w:w="2280" w:type="dxa"/>
            <w:vAlign w:val="bottom"/>
          </w:tcPr>
          <w:p>
            <w:pPr>
              <w:spacing w:after="0"/>
              <w:rPr>
                <w:sz w:val="16"/>
                <w:szCs w:val="16"/>
                <w:color w:val="auto"/>
              </w:rPr>
            </w:pPr>
          </w:p>
        </w:tc>
        <w:tc>
          <w:tcPr>
            <w:tcW w:w="2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Status</w:t>
            </w:r>
          </w:p>
        </w:tc>
      </w:tr>
      <w:tr>
        <w:trPr>
          <w:trHeight w:val="511"/>
        </w:trPr>
        <w:tc>
          <w:tcPr>
            <w:tcW w:w="1040" w:type="dxa"/>
            <w:vAlign w:val="bottom"/>
          </w:tcPr>
          <w:p>
            <w:pPr>
              <w:spacing w:after="0"/>
              <w:rPr>
                <w:sz w:val="20"/>
                <w:szCs w:val="20"/>
                <w:color w:val="auto"/>
              </w:rPr>
            </w:pPr>
            <w:r>
              <w:rPr>
                <w:rFonts w:ascii="Arial" w:cs="Arial" w:eastAsia="Arial" w:hAnsi="Arial"/>
                <w:sz w:val="18"/>
                <w:szCs w:val="18"/>
                <w:color w:val="auto"/>
              </w:rPr>
              <w:t>belapectin</w:t>
            </w: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1"/>
              </w:rPr>
              <w:t>IND submitted January 2013. Results from the Phase 1 clinical</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trial were reported in 2014, with final results reported in</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1"/>
              </w:rPr>
              <w:t>January 2015. End of Phase 1 meeting held with FDA in 2014.</w:t>
            </w:r>
          </w:p>
        </w:tc>
      </w:tr>
      <w:tr>
        <w:trPr>
          <w:trHeight w:val="230"/>
        </w:trPr>
        <w:tc>
          <w:tcPr>
            <w:tcW w:w="1040" w:type="dxa"/>
            <w:vAlign w:val="bottom"/>
          </w:tcPr>
          <w:p>
            <w:pPr>
              <w:spacing w:after="0"/>
              <w:rPr>
                <w:sz w:val="20"/>
                <w:szCs w:val="20"/>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Two Phase 2 clinical trials were designed.</w:t>
            </w:r>
          </w:p>
        </w:tc>
      </w:tr>
      <w:tr>
        <w:trPr>
          <w:trHeight w:val="323"/>
        </w:trPr>
        <w:tc>
          <w:tcPr>
            <w:tcW w:w="1040" w:type="dxa"/>
            <w:vAlign w:val="bottom"/>
          </w:tcPr>
          <w:p>
            <w:pPr>
              <w:spacing w:after="0"/>
              <w:rPr>
                <w:sz w:val="24"/>
                <w:szCs w:val="24"/>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5"/>
              </w:rPr>
              <w:t>The NASH FX trial was designed for patients with advanced</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3"/>
              </w:rPr>
              <w:t>fibrosis but not cirrhosis. Its principal purpose was to evaluate</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6"/>
              </w:rPr>
              <w:t>various imaging modalities. The NASH FX trial top line data</w:t>
            </w:r>
          </w:p>
        </w:tc>
      </w:tr>
      <w:tr>
        <w:trPr>
          <w:trHeight w:val="230"/>
        </w:trPr>
        <w:tc>
          <w:tcPr>
            <w:tcW w:w="1040" w:type="dxa"/>
            <w:vAlign w:val="bottom"/>
          </w:tcPr>
          <w:p>
            <w:pPr>
              <w:spacing w:after="0"/>
              <w:rPr>
                <w:sz w:val="20"/>
                <w:szCs w:val="20"/>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was reported in September 2016</w:t>
            </w:r>
          </w:p>
        </w:tc>
      </w:tr>
      <w:tr>
        <w:trPr>
          <w:trHeight w:val="323"/>
        </w:trPr>
        <w:tc>
          <w:tcPr>
            <w:tcW w:w="1040" w:type="dxa"/>
            <w:vAlign w:val="bottom"/>
          </w:tcPr>
          <w:p>
            <w:pPr>
              <w:spacing w:after="0"/>
              <w:rPr>
                <w:sz w:val="24"/>
                <w:szCs w:val="24"/>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The NASH CX trial, was designed for patients with well</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4"/>
              </w:rPr>
              <w:t>compensated cirrhosis. The NASH CX trial top line data was</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reported in December 2017 and was published in</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i w:val="1"/>
                <w:iCs w:val="1"/>
                <w:color w:val="auto"/>
                <w:w w:val="89"/>
              </w:rPr>
              <w:t xml:space="preserve">Gastroenterology </w:t>
            </w:r>
            <w:r>
              <w:rPr>
                <w:rFonts w:ascii="Arial" w:cs="Arial" w:eastAsia="Arial" w:hAnsi="Arial"/>
                <w:sz w:val="18"/>
                <w:szCs w:val="18"/>
                <w:color w:val="auto"/>
                <w:w w:val="89"/>
              </w:rPr>
              <w:t>in 2020. End of Phase 2 (EOP2) meeting held</w:t>
            </w:r>
          </w:p>
        </w:tc>
      </w:tr>
      <w:tr>
        <w:trPr>
          <w:trHeight w:val="230"/>
        </w:trPr>
        <w:tc>
          <w:tcPr>
            <w:tcW w:w="1040" w:type="dxa"/>
            <w:vAlign w:val="bottom"/>
          </w:tcPr>
          <w:p>
            <w:pPr>
              <w:spacing w:after="0"/>
              <w:rPr>
                <w:sz w:val="20"/>
                <w:szCs w:val="20"/>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with FDA in May 2018.</w:t>
            </w:r>
          </w:p>
        </w:tc>
      </w:tr>
      <w:tr>
        <w:trPr>
          <w:trHeight w:val="310"/>
        </w:trPr>
        <w:tc>
          <w:tcPr>
            <w:tcW w:w="1040" w:type="dxa"/>
            <w:vAlign w:val="bottom"/>
          </w:tcPr>
          <w:p>
            <w:pPr>
              <w:spacing w:after="0"/>
              <w:rPr>
                <w:sz w:val="24"/>
                <w:szCs w:val="24"/>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6"/>
              </w:rPr>
              <w:t>Based on recent FDA feedback, the NASH-RX trial is being</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2"/>
              </w:rPr>
              <w:t>designed as an adaptive Phase 2b/3 trial for the prevention of</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3"/>
              </w:rPr>
              <w:t>varices in NASH patients with well compensated cirrhosis. An</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interim efficacy analysis will be incorporated to confirm</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4"/>
              </w:rPr>
              <w:t>previous Phase 2 data, confirm an optimal dose and reaffirm</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efficacy, and the end of study endpoints will include</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development of varices and a composite clinical endpoint</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9"/>
              </w:rPr>
              <w:t>including progression to varices requiring treatment (large</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2"/>
              </w:rPr>
              <w:t>varices or varices with a red wale). Comments from FDA were</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2"/>
              </w:rPr>
              <w:t>received in late October 2019, refined in a teleconference with</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0"/>
              </w:rPr>
              <w:t>FDA on November 14, 2019 and have been incorporated into a</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revised protocol by the Company in conjunction with its</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hepatology consultants and medical and other experts at</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5"/>
              </w:rPr>
              <w:t>Covance, its chosen CRO. Patient enrollment is expected to</w:t>
            </w:r>
          </w:p>
        </w:tc>
      </w:tr>
      <w:tr>
        <w:trPr>
          <w:trHeight w:val="230"/>
        </w:trPr>
        <w:tc>
          <w:tcPr>
            <w:tcW w:w="1040" w:type="dxa"/>
            <w:vAlign w:val="bottom"/>
          </w:tcPr>
          <w:p>
            <w:pPr>
              <w:spacing w:after="0"/>
              <w:rPr>
                <w:sz w:val="20"/>
                <w:szCs w:val="20"/>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start in Q2-2020</w:t>
            </w:r>
          </w:p>
        </w:tc>
      </w:tr>
      <w:tr>
        <w:trPr>
          <w:trHeight w:val="323"/>
        </w:trPr>
        <w:tc>
          <w:tcPr>
            <w:tcW w:w="1040" w:type="dxa"/>
            <w:vAlign w:val="bottom"/>
          </w:tcPr>
          <w:p>
            <w:pPr>
              <w:spacing w:after="0"/>
              <w:rPr>
                <w:sz w:val="24"/>
                <w:szCs w:val="24"/>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4"/>
              </w:rPr>
              <w:t>A protocol for a hepatic impairment study was filed with FDA</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6"/>
              </w:rPr>
              <w:t>on March 30, 2020 This study will be conducted in subjects</w:t>
            </w:r>
          </w:p>
        </w:tc>
      </w:tr>
      <w:tr>
        <w:trPr>
          <w:trHeight w:val="216"/>
        </w:trPr>
        <w:tc>
          <w:tcPr>
            <w:tcW w:w="104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1"/>
              </w:rPr>
              <w:t>with normal hepatic function and subjects with varying degrees</w:t>
            </w:r>
          </w:p>
        </w:tc>
      </w:tr>
      <w:tr>
        <w:trPr>
          <w:trHeight w:val="190"/>
        </w:trPr>
        <w:tc>
          <w:tcPr>
            <w:tcW w:w="1040" w:type="dxa"/>
            <w:vAlign w:val="bottom"/>
          </w:tcPr>
          <w:p>
            <w:pPr>
              <w:spacing w:after="0"/>
              <w:rPr>
                <w:sz w:val="16"/>
                <w:szCs w:val="16"/>
                <w:color w:val="auto"/>
              </w:rPr>
            </w:pPr>
          </w:p>
        </w:tc>
        <w:tc>
          <w:tcPr>
            <w:tcW w:w="4860" w:type="dxa"/>
            <w:vAlign w:val="bottom"/>
            <w:gridSpan w:val="3"/>
          </w:tcPr>
          <w:p>
            <w:pPr>
              <w:ind w:left="280"/>
              <w:spacing w:after="0" w:line="190" w:lineRule="exact"/>
              <w:rPr>
                <w:sz w:val="20"/>
                <w:szCs w:val="20"/>
                <w:color w:val="auto"/>
              </w:rPr>
            </w:pPr>
            <w:r>
              <w:rPr>
                <w:rFonts w:ascii="Arial" w:cs="Arial" w:eastAsia="Arial" w:hAnsi="Arial"/>
                <w:sz w:val="18"/>
                <w:szCs w:val="18"/>
                <w:color w:val="auto"/>
              </w:rPr>
              <w:t>of hepatic impairment (CF: www.clinicaltrials.gov</w:t>
            </w:r>
          </w:p>
        </w:tc>
      </w:tr>
      <w:tr>
        <w:trPr>
          <w:trHeight w:val="20"/>
        </w:trPr>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1040" w:type="dxa"/>
            <w:vAlign w:val="bottom"/>
          </w:tcPr>
          <w:p>
            <w:pPr>
              <w:spacing w:after="0"/>
              <w:rPr>
                <w:sz w:val="19"/>
                <w:szCs w:val="19"/>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0"/>
              </w:rPr>
              <w:t>NCT04332432) and is expected to start enrolling patients in Q2</w:t>
            </w:r>
          </w:p>
        </w:tc>
      </w:tr>
      <w:tr>
        <w:trPr>
          <w:trHeight w:val="230"/>
        </w:trPr>
        <w:tc>
          <w:tcPr>
            <w:tcW w:w="1040" w:type="dxa"/>
            <w:vAlign w:val="bottom"/>
          </w:tcPr>
          <w:p>
            <w:pPr>
              <w:spacing w:after="0"/>
              <w:rPr>
                <w:sz w:val="20"/>
                <w:szCs w:val="20"/>
                <w:color w:val="auto"/>
              </w:rPr>
            </w:pPr>
          </w:p>
        </w:tc>
        <w:tc>
          <w:tcPr>
            <w:tcW w:w="2280" w:type="dxa"/>
            <w:vAlign w:val="bottom"/>
          </w:tcPr>
          <w:p>
            <w:pPr>
              <w:ind w:left="280"/>
              <w:spacing w:after="0"/>
              <w:rPr>
                <w:sz w:val="20"/>
                <w:szCs w:val="20"/>
                <w:color w:val="auto"/>
              </w:rPr>
            </w:pPr>
            <w:r>
              <w:rPr>
                <w:rFonts w:ascii="Arial" w:cs="Arial" w:eastAsia="Arial" w:hAnsi="Arial"/>
                <w:sz w:val="18"/>
                <w:szCs w:val="18"/>
                <w:color w:val="auto"/>
              </w:rPr>
              <w:t>- 2020.</w:t>
            </w:r>
          </w:p>
        </w:tc>
        <w:tc>
          <w:tcPr>
            <w:tcW w:w="1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belapectin</w:t>
            </w: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In pre-clinical development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belapectin</w:t>
            </w: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In pre-clinical development</w:t>
            </w:r>
          </w:p>
        </w:tc>
      </w:tr>
      <w:tr>
        <w:trPr>
          <w:trHeight w:val="364"/>
        </w:trPr>
        <w:tc>
          <w:tcPr>
            <w:tcW w:w="1040" w:type="dxa"/>
            <w:vAlign w:val="bottom"/>
          </w:tcPr>
          <w:p>
            <w:pPr>
              <w:ind w:left="340"/>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2">
            <w:col w:w="4480" w:space="720"/>
            <w:col w:w="5900"/>
          </w:cols>
          <w:pgMar w:left="320" w:top="459" w:right="47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Indication</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Cardiac and Vascular Fibrosis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Cancer Immunotherapy</w:t>
      </w:r>
    </w:p>
    <w:p>
      <w:pPr>
        <w:spacing w:after="0" w:line="121" w:lineRule="exact"/>
        <w:rPr>
          <w:sz w:val="20"/>
          <w:szCs w:val="20"/>
          <w:color w:val="auto"/>
        </w:rPr>
      </w:pPr>
    </w:p>
    <w:p>
      <w:pPr>
        <w:ind w:left="120" w:right="1520"/>
        <w:spacing w:after="0" w:line="277" w:lineRule="auto"/>
        <w:rPr>
          <w:sz w:val="20"/>
          <w:szCs w:val="20"/>
          <w:color w:val="auto"/>
        </w:rPr>
      </w:pPr>
      <w:r>
        <w:rPr>
          <w:rFonts w:ascii="Arial" w:cs="Arial" w:eastAsia="Arial" w:hAnsi="Arial"/>
          <w:sz w:val="18"/>
          <w:szCs w:val="18"/>
          <w:color w:val="auto"/>
        </w:rPr>
        <w:t>Melanoma, Head, Neck Squamous Cell Carcinoma (HNSCC)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Psoriasis</w:t>
      </w:r>
    </w:p>
    <w:p>
      <w:pPr>
        <w:spacing w:after="0" w:line="117" w:lineRule="exact"/>
        <w:rPr>
          <w:sz w:val="20"/>
          <w:szCs w:val="20"/>
          <w:color w:val="auto"/>
        </w:rPr>
      </w:pPr>
    </w:p>
    <w:p>
      <w:pPr>
        <w:ind w:left="120" w:right="1740"/>
        <w:spacing w:after="0" w:line="308" w:lineRule="auto"/>
        <w:rPr>
          <w:sz w:val="20"/>
          <w:szCs w:val="20"/>
          <w:color w:val="auto"/>
        </w:rPr>
      </w:pPr>
      <w:r>
        <w:rPr>
          <w:rFonts w:ascii="Arial" w:cs="Arial" w:eastAsia="Arial" w:hAnsi="Arial"/>
          <w:sz w:val="17"/>
          <w:szCs w:val="17"/>
          <w:color w:val="auto"/>
        </w:rPr>
        <w:t>Moderate to Severe Plaque Psoriasis Severe Atopic Dermatitis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440"/>
        <w:spacing w:after="0"/>
        <w:tabs>
          <w:tab w:leader="none" w:pos="3420" w:val="left"/>
        </w:tabs>
        <w:rPr>
          <w:sz w:val="20"/>
          <w:szCs w:val="20"/>
          <w:color w:val="auto"/>
        </w:rPr>
      </w:pPr>
      <w:r>
        <w:rPr>
          <w:rFonts w:ascii="Arial" w:cs="Arial" w:eastAsia="Arial" w:hAnsi="Arial"/>
          <w:sz w:val="14"/>
          <w:szCs w:val="14"/>
          <w:b w:val="1"/>
          <w:bCs w:val="1"/>
          <w:color w:val="auto"/>
        </w:rPr>
        <w:t>Drug</w:t>
      </w:r>
      <w:r>
        <w:rPr>
          <w:sz w:val="20"/>
          <w:szCs w:val="20"/>
          <w:color w:val="auto"/>
        </w:rPr>
        <w:tab/>
      </w:r>
      <w:r>
        <w:rPr>
          <w:rFonts w:ascii="Arial" w:cs="Arial" w:eastAsia="Arial" w:hAnsi="Arial"/>
          <w:sz w:val="14"/>
          <w:szCs w:val="14"/>
          <w:b w:val="1"/>
          <w:bCs w:val="1"/>
          <w:color w:val="auto"/>
        </w:rPr>
        <w:t>Status</w:t>
      </w:r>
    </w:p>
    <w:p>
      <w:pPr>
        <w:spacing w:after="0" w:line="1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belapectin and</w:t>
      </w:r>
      <w:r>
        <w:rPr>
          <w:sz w:val="20"/>
          <w:szCs w:val="20"/>
          <w:color w:val="auto"/>
        </w:rPr>
        <w:tab/>
      </w:r>
      <w:r>
        <w:rPr>
          <w:rFonts w:ascii="Arial" w:cs="Arial" w:eastAsia="Arial" w:hAnsi="Arial"/>
          <w:sz w:val="16"/>
          <w:szCs w:val="16"/>
          <w:color w:val="auto"/>
        </w:rPr>
        <w:t>In pre-clinical development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GM-CT-01</w:t>
      </w:r>
    </w:p>
    <w:p>
      <w:pPr>
        <w:spacing w:after="0" w:line="200" w:lineRule="exact"/>
        <w:rPr>
          <w:sz w:val="20"/>
          <w:szCs w:val="20"/>
          <w:color w:val="auto"/>
        </w:rPr>
      </w:pPr>
    </w:p>
    <w:p>
      <w:pPr>
        <w:spacing w:after="0" w:line="227"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belapectin</w:t>
      </w:r>
      <w:r>
        <w:rPr>
          <w:sz w:val="20"/>
          <w:szCs w:val="20"/>
          <w:color w:val="auto"/>
        </w:rPr>
        <w:tab/>
      </w:r>
      <w:r>
        <w:rPr>
          <w:rFonts w:ascii="Arial" w:cs="Arial" w:eastAsia="Arial" w:hAnsi="Arial"/>
          <w:sz w:val="16"/>
          <w:szCs w:val="16"/>
          <w:color w:val="auto"/>
        </w:rPr>
        <w:t>Investigator IND submitted in December 2013. Phase 1B study</w:t>
      </w:r>
    </w:p>
    <w:p>
      <w:pPr>
        <w:spacing w:after="0" w:line="46" w:lineRule="exact"/>
        <w:rPr>
          <w:sz w:val="20"/>
          <w:szCs w:val="20"/>
          <w:color w:val="auto"/>
        </w:rPr>
      </w:pPr>
    </w:p>
    <w:p>
      <w:pPr>
        <w:ind w:left="1320" w:right="180"/>
        <w:spacing w:after="0" w:line="255" w:lineRule="auto"/>
        <w:rPr>
          <w:sz w:val="20"/>
          <w:szCs w:val="20"/>
          <w:color w:val="auto"/>
        </w:rPr>
      </w:pPr>
      <w:r>
        <w:rPr>
          <w:rFonts w:ascii="Arial" w:cs="Arial" w:eastAsia="Arial" w:hAnsi="Arial"/>
          <w:sz w:val="18"/>
          <w:szCs w:val="18"/>
          <w:color w:val="auto"/>
        </w:rPr>
        <w:t>in process. A second Phase 1B study began in Q-1 2016. Investigator IND for that study submitted in September 2015. Early data was reported in</w:t>
      </w:r>
    </w:p>
    <w:p>
      <w:pPr>
        <w:spacing w:after="0" w:line="8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February 2017 and studies with the 3</w:t>
      </w:r>
      <w:r>
        <w:rPr>
          <w:rFonts w:ascii="Arial" w:cs="Arial" w:eastAsia="Arial" w:hAnsi="Arial"/>
          <w:sz w:val="13"/>
          <w:szCs w:val="13"/>
          <w:color w:val="auto"/>
        </w:rPr>
        <w:t>rd</w:t>
      </w:r>
      <w:r>
        <w:rPr>
          <w:rFonts w:ascii="Arial" w:cs="Arial" w:eastAsia="Arial" w:hAnsi="Arial"/>
          <w:sz w:val="16"/>
          <w:szCs w:val="16"/>
          <w:color w:val="auto"/>
        </w:rPr>
        <w:t xml:space="preserve"> cohort were reported in</w:t>
      </w:r>
    </w:p>
    <w:p>
      <w:pPr>
        <w:spacing w:after="0" w:line="4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September 2018. Continuation of trial is ongoing to expand the</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dataset of melanoma and HNSCC patients at the 4 mg/Kg dose</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 determine if a possible Phase 2 trial is warranted.</w:t>
      </w:r>
    </w:p>
    <w:p>
      <w:pPr>
        <w:spacing w:after="0" w:line="200" w:lineRule="exact"/>
        <w:rPr>
          <w:sz w:val="20"/>
          <w:szCs w:val="20"/>
          <w:color w:val="auto"/>
        </w:rPr>
      </w:pPr>
    </w:p>
    <w:p>
      <w:pPr>
        <w:spacing w:after="0" w:line="227"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belapectin</w:t>
      </w:r>
      <w:r>
        <w:rPr>
          <w:sz w:val="20"/>
          <w:szCs w:val="20"/>
          <w:color w:val="auto"/>
        </w:rPr>
        <w:tab/>
      </w:r>
      <w:r>
        <w:rPr>
          <w:rFonts w:ascii="Arial" w:cs="Arial" w:eastAsia="Arial" w:hAnsi="Arial"/>
          <w:sz w:val="17"/>
          <w:szCs w:val="17"/>
          <w:color w:val="auto"/>
        </w:rPr>
        <w:t>IND submitted March 2015. A phase 2a trial in moderate to</w:t>
      </w:r>
    </w:p>
    <w:p>
      <w:pPr>
        <w:spacing w:after="0" w:line="35" w:lineRule="exact"/>
        <w:rPr>
          <w:sz w:val="20"/>
          <w:szCs w:val="20"/>
          <w:color w:val="auto"/>
        </w:rPr>
      </w:pPr>
    </w:p>
    <w:p>
      <w:pPr>
        <w:ind w:left="1320"/>
        <w:spacing w:after="0" w:line="288" w:lineRule="auto"/>
        <w:rPr>
          <w:sz w:val="20"/>
          <w:szCs w:val="20"/>
          <w:color w:val="auto"/>
        </w:rPr>
      </w:pPr>
      <w:r>
        <w:rPr>
          <w:rFonts w:ascii="Arial" w:cs="Arial" w:eastAsia="Arial" w:hAnsi="Arial"/>
          <w:sz w:val="16"/>
          <w:szCs w:val="16"/>
          <w:color w:val="auto"/>
        </w:rPr>
        <w:t>severe plaque psoriasis patients began in January 2016. Interim data on the first four patients were positive and were reported in May 2016. Further positive data was reported in September 2016. Investigator initiated IND submitted for treatment of three patients with severe atopic dermatitis, with positive preliminary data presented in February 2017. Further studies are dependent on finding a suitable strategic partner.</w:t>
      </w:r>
    </w:p>
    <w:p>
      <w:pPr>
        <w:spacing w:after="0" w:line="168" w:lineRule="exact"/>
        <w:rPr>
          <w:sz w:val="20"/>
          <w:szCs w:val="20"/>
          <w:color w:val="auto"/>
        </w:rPr>
      </w:pPr>
    </w:p>
    <w:p>
      <w:pPr>
        <w:sectPr>
          <w:pgSz w:w="11900" w:h="16838" w:orient="portrait"/>
          <w:cols w:equalWidth="0" w:num="2">
            <w:col w:w="4480" w:space="720"/>
            <w:col w:w="5920"/>
          </w:cols>
          <w:pgMar w:left="320" w:top="459" w:right="459" w:bottom="1440" w:gutter="0" w:footer="0" w:header="0"/>
          <w:type w:val="continuous"/>
        </w:sectPr>
      </w:pPr>
    </w:p>
    <w:p>
      <w:pPr>
        <w:ind w:left="120" w:right="60" w:firstLine="440"/>
        <w:spacing w:after="0" w:line="268"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Belapectin is our lead product candidate for treatment of fibrotic disease. Our preclinical data show that belapectin has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belapectin has been shown to reduce liver fat, inflammation, and ballooning degeneration or death of liver cells. Therefore, we chose belapectin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belapectin at the 8 mg/kg dose with a decrease in alpha 2 macroglobulin, a serum marker of fibrotic activity, and a reduction in liver stiffness as determined by FibroScan</w:t>
      </w:r>
      <w:r>
        <w:rPr>
          <w:rFonts w:ascii="Arial" w:cs="Arial" w:eastAsia="Arial" w:hAnsi="Arial"/>
          <w:sz w:val="14"/>
          <w:szCs w:val="14"/>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belapectin and it showed that with 8 mg/kg dose of belapectin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belapectin affect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pharmacokinetics (PK) of midazolam. The secondary objective was to assess the safety and tolerability of belapectin when administered concomitantly with midazolam. The lack of a drug interaction in this study enabled the Company to expand the number of patients eligible for its Phase 2 clinical trial. In addition, should belapectin be approved for marketing, the success of this study supports a broader patient population for the drug label.</w:t>
      </w:r>
    </w:p>
    <w:p>
      <w:pPr>
        <w:spacing w:after="0" w:line="149"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well compensated cirrhosis, which began enrolling in June 2015. This study was the primary focus of our program and is a randomized, placebo-controlled, double-blind, parallel-group Phase 2b trial to evaluate the safety and efficacy of belapectin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5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NASH-FX for patients with NASH advanced fibrosis that explored use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non-invasive imaging technologies, is now complete. It was a short, single site, four-month trial in 30 NASH patients with advanced fibrosis, but not cirrhosis, randomized 1:1 to either 9 bi-weekly doses of 8 mg/kg of belapectin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3"/>
          <w:szCs w:val="13"/>
          <w:color w:val="auto"/>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belapectin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belapectin remains promising for the treatment of NASH fibrosis. Of note is that belapectin has demonstrated an improved clinical effect in moderate-to-severe psoriasis, suggesting the compound has activity in humans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well-designed multi-center clinical trial that explored use of belapectin for the treatment of</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liver fibrosis and resultant portal hypertension in patients with well-compensated NASH cirrhosis. Enrollment in this trial was completed in September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2016, and a total of 162 patients at 36 sites in the United States were randomized to receive either 2 mg/kg of belapectin, 8 mg/kg of belapectin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placebo, with approximately 54 patients in each group. The primary endpoint was a reduction in change in hepatic venous pressure gradient (HVPG).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Patients received an infusion every other week for one year, total of 26 infusions, and were evaluated to determine the change in HVPG as compared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placebo. HVPG was also correlated with secondary endpoints of fibrosis on liver biopsy as well as with measurement of liver stiffness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future studies. Top line data readout was reported in December 2017 demonstrating positive efficacy data and safety and clinically meaningful results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1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dose and 8 mg/kg dose of belapectin,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those NASH cirrhosis patients without varices at baseline (about 50% of the total population), there was a statistically significant effect of the 2 mg/kg dose of belapectin on the absolute change in HVPG (-1.08 mm Hg, p&lt;0.01). The effect of the 8 mg/Kg dose of belapectin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belapectin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belapectin on the change in HVPG.</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group was statistically significant (p&lt;0.01) while that of the 8 mg/kg group was not.</w:t>
      </w:r>
    </w:p>
    <w:p>
      <w:pPr>
        <w:spacing w:after="0" w:line="18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major conclusions, to date from the NASH-CX trial results are that: i) belapectin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belapectin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belapectin, (v) belapectin appears to be safe and well tolerated in this one year clinical trial and (vi) We believe this is the first large, randomized clinical trial of any drug to demonstrate a clinically meaningful improvement in portal hypertension or liver biopsy in patients with compensated NASH cirrhosis without esophageal varices.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w:t>
      </w:r>
    </w:p>
    <w:p>
      <w:pPr>
        <w:spacing w:after="0" w:line="16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b w:val="1"/>
          <w:bCs w:val="1"/>
          <w:color w:val="auto"/>
        </w:rPr>
        <w:t xml:space="preserve">NASH-RX Trial: </w:t>
      </w:r>
      <w:r>
        <w:rPr>
          <w:rFonts w:ascii="Arial" w:cs="Arial" w:eastAsia="Arial" w:hAnsi="Arial"/>
          <w:sz w:val="18"/>
          <w:szCs w:val="18"/>
          <w:color w:val="auto"/>
        </w:rPr>
        <w:t>The NASH-RX Trial was initially designed as a Phase 3 trial of belapectin in NASH cirrhosis patients based on FDA feedback</w:t>
      </w:r>
      <w:r>
        <w:rPr>
          <w:rFonts w:ascii="Arial" w:cs="Arial" w:eastAsia="Arial" w:hAnsi="Arial"/>
          <w:sz w:val="18"/>
          <w:szCs w:val="18"/>
          <w:b w:val="1"/>
          <w:bCs w:val="1"/>
          <w:color w:val="auto"/>
        </w:rPr>
        <w:t xml:space="preserve"> </w:t>
      </w:r>
      <w:r>
        <w:rPr>
          <w:rFonts w:ascii="Arial" w:cs="Arial" w:eastAsia="Arial" w:hAnsi="Arial"/>
          <w:sz w:val="18"/>
          <w:szCs w:val="18"/>
          <w:color w:val="auto"/>
        </w:rPr>
        <w:t>from a February 2019 meeting between the Company and the FDA. The trial design is being refined as a result of further input received from the FDA in late October 2019 and ongoing input from the FDA. The late October 2019 comments received from FDA in response to our July submission were evaluated and incorporated by the Company in conjunction with its external hepatology experts and medical and other experts at Covance. FDA suggested that we affirm NASH-CX efficacy and dose selection. In conjunction with KOLs and Covance, we developed a response including an adaptively-designed Phase 2b/3 trial with an interim efficacy analysis with proposed surrogate endpoint. The FDA also made additional constructive comments and suggestions mostly of an operational nature.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 together with its co-PIs and FDA had a follow up telephone conference on November 14, 2019 seeking clarifications during which the Company proposed a new study design to address FDA comments received in the Agency’s October response. In this teleconference, FDA indicated the new design was more reasonable (subject to review of the protocol), and FDA indicated that they were still supportive of the surrogate end-point concepts originally proposed. The revised study design was disclosed in the Company’s presentation following its Annual Meeting on December 4, 2019.</w:t>
      </w:r>
    </w:p>
    <w:p>
      <w:pPr>
        <w:spacing w:after="0" w:line="8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Currently, as a result of the Agency’s feedback and after consultation with external experts, the Company plans to conduct a seamless adaptively-designed Phase 2b/3 clinical study, the NASH-RX trial, evaluating the safety and efficacy of its galectin-3 inhibitor, belapectin (GR-MD-02), for the prevention of esophageal varices in patient with non-alcoholic steatohepatitis (NASH) cirrhosis. The major features of this innovative, seamless adaptively designed Phase 2b/3 study design are: i) In patients with NASH cirrhosis and clinical signs of portal hypertension but without esophageal varices at baseline, this trial will assess the effect of belapectin on the incidence of new varices (the primary endpoint) – as well as assessing effect on the incidence of long-term, clinically significant cirrhosis-related outcomes (a key secondary efficacy endpoint), (ii) The study targets NASH patients with a clearly identified unmet medical need: patients with compensated cirrhosis who are at risk of developing esophageal varices, a potentially life-threatening complication of cirrhosis (bleeding varices are a cause of death in about one-third of cirrhotic patients). There is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one belapectin dose will be selected based on efficacy and safety, for continued evaluation (Phase 3). The belapectin dose selected for the phase 2b/3 are based on the analysis of the NASH-CX trial, including a dose response pharmacokinetic analysis of the hepatic venous gradient pressure (HVPG, a reflection of portal hypertension). Prior belapectin clinical studies have also indicated the good tolerance and good safety profile of belapectin with doses of up to 8 mg/kg for 52 weeks (Phase 2b Study GT-026), an important feature of the future risk benefit analysis in patients with NASH cirrhosis.</w:t>
      </w:r>
    </w:p>
    <w:p>
      <w:pPr>
        <w:spacing w:after="0" w:line="16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study design has been modified and further refined from designs disclosed earlier such that it provides for a pre-specified interim analysis (IA). The IA of efficacy and safety data will be conducted after all planned subjects in Phase 2b component have completed at least 78 weeks (18 months) of treatment and a gastro-esophageal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CTP status, (5) and/or termination of the study for overwhelming efficacy or for futility.</w:t>
      </w:r>
    </w:p>
    <w:p>
      <w:pPr>
        <w:spacing w:after="0" w:line="16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new trial design also includes a blinded sample size re-estimation during the Phase 2b, prior to the IA, to allow for potential sample size readjustment. This will allow to confirm the underlying assumption regarding the rate of varices development, currently estimated from our prior Phase 2b trial (NASH-CX). The study design also minimizes invasive testing requirements, such as the measurement of HVPG or repeated liver biopsies, which we believe will facilitate enrollment and retention of patients. It also provides for a seamless transition of patients from the phase 2b component into the phase 3 stage, including the potential addition of new patients. The trial design preserves the surrogate end-point concepts previously discussed with FDA.</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believe that these adaptations taken together are innovative and optimize conduct of the NASH-RX trial giving belapectin (belapectin) the best opportunity to show a positive therapeutic effect to address an unmet medical need. If the results of the NASH-RX trial are compelling, there could be the potential for accelerated FDA approval and/or partnership opportunity with a large pharmaceutical company.</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a low platelet count, an increased spleen size and/or evidence of collaterals circulation. These current plans are subject to modification after the revised protocol is filed to FDA. The filing of the protocol to FDA occurred on April 30, 2020.</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and/or reverse portal hypertension in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key milestones and associated target dates for the NASH-RX trial will be announced as trial enrollment begins. We currently expect the first patient to be enrolled in the second quarter of 2020. This represents a delay from our original target dates due to the need to redesign the trial and protocol pursuant to FDA questions and remains subject to site delays due to the impact of the global COVID-19 pandemic.</w:t>
      </w:r>
    </w:p>
    <w:p>
      <w:pPr>
        <w:spacing w:after="0" w:line="16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Covance has already begun extensive work on site and startup activities with vendors, notably to establish a quality-controlled system for the central reading of video recording of esophago-gastro-duodeno endoscopies (EGD). We are also including a NASH-specific site network to accelerate site startup and patient enrollment for this trial. A startup agreement has been executed with Covance that allowed them to start work on protocol development, statistical analysis plans, support us in addressing some of FDAs questions, and engage vendors for various activities in support of the NASH-RX trial.</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Covance has also identified more than 125 clinical trial sites in 11 countries interested in the trial, and many sites have been qualified by pre-study visits late in 2019 and their continued interest and estimated startup dates are being reconfirmed. Various procedural manuals related to conduct and evaluation EGDs have been compiled, charters for various oversight committees such as the adjudication committee, and data safety monitoring board, amongst others are being finalized, and key members of these committees have been identified and contracted. Additional activities well underway include defining the initial structure of the electronic data capture systems and its initial build and the contracting for key patient questionnaires, organizing vendors for product labeling and distribution globally, and preparing submissions to foreign regulatory agencies.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Further details on the NASH-RX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The Company also soon will commence a Hepatic Impairment Study, which will run in parallel with the phase 2b/3 trial as part of the Phase 3 development program. The Company and Covance have executed the Master Services Agreement that will cover both the Phase 2b/3 trial and this additional study, and the Work Order for this Hepatic Impairment study has also been signed. The Hepatic Impairment Study will be conducted at up to four sites and will involve approximately 40 patients (divided amongst normal healthy volunteers, and patients with hepatic impairment categorized as Child-Turcotte-Pugh (CTP) classes A, B, and C). Each subject will receive a single infusion of belapectin and their serum belapectin levels will be monitored for up to approximately two weeks to define the effects of various stages of cirrhosis on serum belapectin levels and safety. The prior trials undertaken by the Company limited trial subjects to patients who had compensated cirrhosis. Patients with compensated cirrhosis are categorized as being CTP Class A. Patients with more advanced or decompensated cirrhosis are CTP Class B or Class C. Based on the results from this hepatic impairment study, the Company may consider including patients with more advanced cirrhosis in the Phase 3 portion of its NASH-RX trial. First, however, a specific Hepatic Impairment Study needs to be conducted to indicate that belapectin dosing and drug exposure are appropriate and inform about its potential safety profile in CTP Class B and Class C patients, just as earlier trials indicated belapectin dosing and safety in CTP Class A patients. Until dosing and safety profile is further informed in CTP Class B and/or Class C patients, the NASH-RX trial will enroll only CTP Class A patients. Further details on this hepatic impairment study can be found on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study NCT04332432.</w:t>
      </w:r>
    </w:p>
    <w:p>
      <w:pPr>
        <w:spacing w:after="0" w:line="17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belapectin in combination with Yervoy</w:t>
      </w:r>
      <w:r>
        <w:rPr>
          <w:rFonts w:ascii="Arial" w:cs="Arial" w:eastAsia="Arial" w:hAnsi="Arial"/>
          <w:sz w:val="14"/>
          <w:szCs w:val="14"/>
          <w:color w:val="auto"/>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Data on this combination immunotherapy program was initially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belapectin with different types of immune modulators, providing a case for progressing studies into human patients with cancer. Seven patients were treated in the belapectin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belapectin with pembrolizumab (KEYTRUDA). Cohort 1 was completed (n=6, 5 with melanoma, one head and neck) with one partial response and one mixed response in 5 melanoma patients. There was a rapid and marked tumor response after 3 doses of combined belapectin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belapectin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will target to include 15 patients and is planned to have continued belapectin dosing as long as pembrolizumab is administered. Currently 40% of the patients in the expansion cohart have been enrolled and further information will be reported as it becomes available. Assuming these additional data are positive, the next logical step could be a Phase II trial.</w:t>
      </w:r>
    </w:p>
    <w:p>
      <w:pPr>
        <w:spacing w:after="0" w:line="39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belapectin, a clinical effect on plaque psoriasis was observed in a NASH patient</w:t>
      </w:r>
      <w:r>
        <w:rPr>
          <w:rFonts w:ascii="Arial" w:cs="Arial" w:eastAsia="Arial" w:hAnsi="Arial"/>
          <w:sz w:val="17"/>
          <w:szCs w:val="17"/>
          <w:i w:val="1"/>
          <w:iCs w:val="1"/>
          <w:color w:val="auto"/>
        </w:rPr>
        <w:t xml:space="preserve"> </w:t>
      </w:r>
      <w:r>
        <w:rPr>
          <w:rFonts w:ascii="Arial" w:cs="Arial" w:eastAsia="Arial" w:hAnsi="Arial"/>
          <w:sz w:val="17"/>
          <w:szCs w:val="17"/>
          <w:color w:val="auto"/>
        </w:rPr>
        <w:t>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belapectin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belapectin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belapectin, the next steps would entail a controlled, does-ranging clinical trial which we do not expect to conduct absent a strategic partnership.</w:t>
      </w:r>
    </w:p>
    <w:p>
      <w:pPr>
        <w:spacing w:after="0" w:line="172"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We believe the mechanism of action for belapectin is based upon interaction with, and inhibition of, galectin proteins, particularly galectin-3, which are expressed at high levels in certain pathological states including inflammation, fibrosis and cancer. While belapectin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previously.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80" w:type="dxa"/>
            <w:vAlign w:val="bottom"/>
            <w:gridSpan w:val="3"/>
          </w:tcPr>
          <w:p>
            <w:pPr>
              <w:jc w:val="center"/>
              <w:ind w:right="400"/>
              <w:spacing w:after="0"/>
              <w:rPr>
                <w:sz w:val="20"/>
                <w:szCs w:val="20"/>
                <w:color w:val="auto"/>
              </w:rPr>
            </w:pPr>
            <w:r>
              <w:rPr>
                <w:rFonts w:ascii="Arial" w:cs="Arial" w:eastAsia="Arial" w:hAnsi="Arial"/>
                <w:sz w:val="14"/>
                <w:szCs w:val="14"/>
                <w:color w:val="auto"/>
                <w:w w:val="92"/>
              </w:rPr>
              <w:t>Three Months</w:t>
            </w:r>
          </w:p>
        </w:tc>
        <w:tc>
          <w:tcPr>
            <w:tcW w:w="200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2020 as Compared to 2019</w:t>
            </w:r>
          </w:p>
        </w:tc>
      </w:tr>
      <w:tr>
        <w:trPr>
          <w:trHeight w:val="167"/>
        </w:trPr>
        <w:tc>
          <w:tcPr>
            <w:tcW w:w="6440" w:type="dxa"/>
            <w:vAlign w:val="bottom"/>
          </w:tcPr>
          <w:p>
            <w:pPr>
              <w:spacing w:after="0"/>
              <w:rPr>
                <w:sz w:val="14"/>
                <w:szCs w:val="14"/>
                <w:color w:val="auto"/>
              </w:rPr>
            </w:pPr>
          </w:p>
        </w:tc>
        <w:tc>
          <w:tcPr>
            <w:tcW w:w="1680" w:type="dxa"/>
            <w:vAlign w:val="bottom"/>
            <w:gridSpan w:val="3"/>
          </w:tcPr>
          <w:p>
            <w:pPr>
              <w:jc w:val="center"/>
              <w:ind w:right="400"/>
              <w:spacing w:after="0"/>
              <w:rPr>
                <w:sz w:val="20"/>
                <w:szCs w:val="20"/>
                <w:color w:val="auto"/>
              </w:rPr>
            </w:pPr>
            <w:r>
              <w:rPr>
                <w:rFonts w:ascii="Arial" w:cs="Arial" w:eastAsia="Arial" w:hAnsi="Arial"/>
                <w:sz w:val="14"/>
                <w:szCs w:val="14"/>
                <w:color w:val="auto"/>
                <w:w w:val="93"/>
              </w:rPr>
              <w:t>Ended March 31,</w:t>
            </w:r>
          </w:p>
        </w:tc>
        <w:tc>
          <w:tcPr>
            <w:tcW w:w="20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Three Months</w:t>
            </w:r>
          </w:p>
        </w:tc>
      </w:tr>
      <w:tr>
        <w:trPr>
          <w:trHeight w:val="142"/>
        </w:trPr>
        <w:tc>
          <w:tcPr>
            <w:tcW w:w="64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color w:val="auto"/>
              </w:rPr>
              <w:t>2020</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244"/>
              <w:spacing w:after="0" w:line="142" w:lineRule="exact"/>
              <w:rPr>
                <w:sz w:val="20"/>
                <w:szCs w:val="20"/>
                <w:color w:val="auto"/>
              </w:rPr>
            </w:pPr>
            <w:r>
              <w:rPr>
                <w:rFonts w:ascii="Arial" w:cs="Arial" w:eastAsia="Arial" w:hAnsi="Arial"/>
                <w:sz w:val="14"/>
                <w:szCs w:val="14"/>
                <w:color w:val="auto"/>
                <w:w w:val="92"/>
              </w:rPr>
              <w:t>$ Change</w:t>
            </w:r>
          </w:p>
        </w:tc>
        <w:tc>
          <w:tcPr>
            <w:tcW w:w="8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color w:val="auto"/>
                <w:w w:val="97"/>
              </w:rPr>
              <w:t>% Change</w:t>
            </w:r>
          </w:p>
        </w:tc>
        <w:tc>
          <w:tcPr>
            <w:tcW w:w="20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40" w:type="dxa"/>
            <w:vAlign w:val="bottom"/>
            <w:gridSpan w:val="3"/>
          </w:tcPr>
          <w:p>
            <w:pPr>
              <w:ind w:left="320"/>
              <w:spacing w:after="0" w:line="142" w:lineRule="exact"/>
              <w:rPr>
                <w:sz w:val="20"/>
                <w:szCs w:val="20"/>
                <w:color w:val="auto"/>
              </w:rPr>
            </w:pPr>
            <w:r>
              <w:rPr>
                <w:rFonts w:ascii="Arial" w:cs="Arial" w:eastAsia="Arial" w:hAnsi="Arial"/>
                <w:sz w:val="14"/>
                <w:szCs w:val="14"/>
                <w:color w:val="auto"/>
              </w:rPr>
              <w:t>(In thousands, except %)</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w w:val="87"/>
              </w:rPr>
              <w:t>$2,144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$646</w:t>
            </w:r>
          </w:p>
        </w:tc>
        <w:tc>
          <w:tcPr>
            <w:tcW w:w="96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w w:val="95"/>
              </w:rPr>
              <w:t>$  1,498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r>
    </w:tbl>
    <w:p>
      <w:pPr>
        <w:spacing w:after="0" w:line="2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Three Months</w:t>
            </w:r>
          </w:p>
        </w:tc>
      </w:tr>
      <w:tr>
        <w:trPr>
          <w:trHeight w:val="148"/>
        </w:trPr>
        <w:tc>
          <w:tcPr>
            <w:tcW w:w="7100" w:type="dxa"/>
            <w:vAlign w:val="bottom"/>
          </w:tcPr>
          <w:p>
            <w:pPr>
              <w:spacing w:after="0"/>
              <w:rPr>
                <w:sz w:val="12"/>
                <w:szCs w:val="12"/>
                <w:color w:val="auto"/>
              </w:rPr>
            </w:pPr>
          </w:p>
        </w:tc>
        <w:tc>
          <w:tcPr>
            <w:tcW w:w="780" w:type="dxa"/>
            <w:vAlign w:val="bottom"/>
            <w:gridSpan w:val="2"/>
          </w:tcPr>
          <w:p>
            <w:pPr>
              <w:jc w:val="center"/>
              <w:ind w:left="300"/>
              <w:spacing w:after="0" w:line="149" w:lineRule="exact"/>
              <w:rPr>
                <w:sz w:val="20"/>
                <w:szCs w:val="20"/>
                <w:color w:val="auto"/>
              </w:rPr>
            </w:pPr>
            <w:r>
              <w:rPr>
                <w:rFonts w:ascii="Arial" w:cs="Arial" w:eastAsia="Arial" w:hAnsi="Arial"/>
                <w:sz w:val="14"/>
                <w:szCs w:val="14"/>
                <w:color w:val="auto"/>
                <w:w w:val="88"/>
              </w:rPr>
              <w:t>Ended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10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color w:val="auto"/>
                <w:w w:val="96"/>
              </w:rPr>
              <w:t>March 31,</w:t>
            </w:r>
          </w:p>
        </w:tc>
      </w:tr>
      <w:tr>
        <w:trPr>
          <w:trHeight w:val="123"/>
        </w:trPr>
        <w:tc>
          <w:tcPr>
            <w:tcW w:w="7100" w:type="dxa"/>
            <w:vAlign w:val="bottom"/>
          </w:tcPr>
          <w:p>
            <w:pPr>
              <w:spacing w:after="0"/>
              <w:rPr>
                <w:sz w:val="10"/>
                <w:szCs w:val="10"/>
                <w:color w:val="auto"/>
              </w:rPr>
            </w:pPr>
          </w:p>
        </w:tc>
        <w:tc>
          <w:tcPr>
            <w:tcW w:w="500" w:type="dxa"/>
            <w:vAlign w:val="bottom"/>
            <w:tcBorders>
              <w:top w:val="single" w:sz="8" w:color="auto"/>
            </w:tcBorders>
          </w:tcPr>
          <w:p>
            <w:pPr>
              <w:jc w:val="right"/>
              <w:ind w:right="20"/>
              <w:spacing w:after="0" w:line="123" w:lineRule="exact"/>
              <w:rPr>
                <w:sz w:val="20"/>
                <w:szCs w:val="20"/>
                <w:color w:val="auto"/>
              </w:rPr>
            </w:pPr>
            <w:r>
              <w:rPr>
                <w:rFonts w:ascii="Arial" w:cs="Arial" w:eastAsia="Arial" w:hAnsi="Arial"/>
                <w:sz w:val="14"/>
                <w:szCs w:val="14"/>
                <w:color w:val="auto"/>
              </w:rPr>
              <w:t>2020</w:t>
            </w: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2019</w:t>
            </w:r>
          </w:p>
        </w:tc>
        <w:tc>
          <w:tcPr>
            <w:tcW w:w="100" w:type="dxa"/>
            <w:vAlign w:val="bottom"/>
          </w:tcPr>
          <w:p>
            <w:pPr>
              <w:spacing w:after="0"/>
              <w:rPr>
                <w:sz w:val="10"/>
                <w:szCs w:val="10"/>
                <w:color w:val="auto"/>
              </w:rPr>
            </w:pPr>
          </w:p>
        </w:tc>
      </w:tr>
      <w:tr>
        <w:trPr>
          <w:trHeight w:val="167"/>
        </w:trPr>
        <w:tc>
          <w:tcPr>
            <w:tcW w:w="7100" w:type="dxa"/>
            <w:vAlign w:val="bottom"/>
          </w:tcPr>
          <w:p>
            <w:pPr>
              <w:spacing w:after="0"/>
              <w:rPr>
                <w:sz w:val="14"/>
                <w:szCs w:val="14"/>
                <w:color w:val="auto"/>
              </w:rPr>
            </w:pPr>
          </w:p>
        </w:tc>
        <w:tc>
          <w:tcPr>
            <w:tcW w:w="1260" w:type="dxa"/>
            <w:vAlign w:val="bottom"/>
            <w:gridSpan w:val="5"/>
          </w:tcPr>
          <w:p>
            <w:pPr>
              <w:jc w:val="center"/>
              <w:ind w:right="80"/>
              <w:spacing w:after="0"/>
              <w:rPr>
                <w:sz w:val="20"/>
                <w:szCs w:val="20"/>
                <w:color w:val="auto"/>
              </w:rPr>
            </w:pPr>
            <w:r>
              <w:rPr>
                <w:rFonts w:ascii="Arial" w:cs="Arial" w:eastAsia="Arial" w:hAnsi="Arial"/>
                <w:sz w:val="14"/>
                <w:szCs w:val="14"/>
                <w:color w:val="auto"/>
                <w:w w:val="92"/>
              </w:rPr>
              <w:t>(in thousands)</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Clinical activities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$1,019</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 (15)</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882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7"/>
        </w:trPr>
        <w:tc>
          <w:tcPr>
            <w:tcW w:w="7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2,144</w:t>
            </w: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646</w:t>
            </w:r>
          </w:p>
        </w:tc>
      </w:tr>
      <w:tr>
        <w:trPr>
          <w:trHeight w:val="20"/>
        </w:trPr>
        <w:tc>
          <w:tcPr>
            <w:tcW w:w="7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Clinical programs expenses increased primarily due to costs related to our NASH-RX trial during the three months ended March 31, 2020. Other research and development expense increased primarily due to increased payroll related to the hiring of Dr. Pol Boudes as Chief Medical Officer in March 2020.</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Three Months</w:t>
            </w:r>
          </w:p>
        </w:tc>
        <w:tc>
          <w:tcPr>
            <w:tcW w:w="240" w:type="dxa"/>
            <w:vAlign w:val="bottom"/>
          </w:tcPr>
          <w:p>
            <w:pPr>
              <w:spacing w:after="0"/>
              <w:rPr>
                <w:sz w:val="14"/>
                <w:szCs w:val="14"/>
                <w:color w:val="auto"/>
              </w:rPr>
            </w:pPr>
          </w:p>
        </w:tc>
        <w:tc>
          <w:tcPr>
            <w:tcW w:w="2040" w:type="dxa"/>
            <w:vAlign w:val="bottom"/>
            <w:gridSpan w:val="3"/>
          </w:tcPr>
          <w:p>
            <w:pPr>
              <w:jc w:val="center"/>
              <w:ind w:right="260"/>
              <w:spacing w:after="0"/>
              <w:rPr>
                <w:sz w:val="20"/>
                <w:szCs w:val="20"/>
                <w:color w:val="auto"/>
              </w:rPr>
            </w:pPr>
            <w:r>
              <w:rPr>
                <w:rFonts w:ascii="Arial" w:cs="Arial" w:eastAsia="Arial" w:hAnsi="Arial"/>
                <w:sz w:val="14"/>
                <w:szCs w:val="14"/>
                <w:color w:val="auto"/>
                <w:w w:val="90"/>
              </w:rPr>
              <w:t>2020 as Compared to 2019</w:t>
            </w:r>
          </w:p>
        </w:tc>
      </w:tr>
      <w:tr>
        <w:trPr>
          <w:trHeight w:val="167"/>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Ended March 31,</w:t>
            </w:r>
          </w:p>
        </w:tc>
        <w:tc>
          <w:tcPr>
            <w:tcW w:w="240" w:type="dxa"/>
            <w:vAlign w:val="bottom"/>
          </w:tcPr>
          <w:p>
            <w:pPr>
              <w:spacing w:after="0"/>
              <w:rPr>
                <w:sz w:val="14"/>
                <w:szCs w:val="14"/>
                <w:color w:val="auto"/>
              </w:rPr>
            </w:pPr>
          </w:p>
        </w:tc>
        <w:tc>
          <w:tcPr>
            <w:tcW w:w="2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Three Months</w:t>
            </w:r>
          </w:p>
        </w:tc>
      </w:tr>
      <w:tr>
        <w:trPr>
          <w:trHeight w:val="142"/>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2020</w:t>
            </w:r>
          </w:p>
        </w:tc>
        <w:tc>
          <w:tcPr>
            <w:tcW w:w="7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92"/>
              </w:rPr>
              <w:t>$ Change</w:t>
            </w:r>
          </w:p>
        </w:tc>
        <w:tc>
          <w:tcPr>
            <w:tcW w:w="8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4"/>
          </w:tcPr>
          <w:p>
            <w:pPr>
              <w:jc w:val="right"/>
              <w:ind w:right="188"/>
              <w:spacing w:after="0" w:line="142" w:lineRule="exact"/>
              <w:rPr>
                <w:sz w:val="20"/>
                <w:szCs w:val="20"/>
                <w:color w:val="auto"/>
              </w:rPr>
            </w:pPr>
            <w:r>
              <w:rPr>
                <w:rFonts w:ascii="Arial" w:cs="Arial" w:eastAsia="Arial" w:hAnsi="Arial"/>
                <w:sz w:val="14"/>
                <w:szCs w:val="14"/>
                <w:color w:val="auto"/>
              </w:rPr>
              <w:t>(In thousands, except %)</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$1,440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$1,721</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(281)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three-months ended March 31, 2020 as compared to the same period in 2019 is due to a decrease in legal expenses of approximately $319,000 partially offset by an increase in insurance expense of $70,000.</w:t>
      </w:r>
    </w:p>
    <w:p>
      <w:pPr>
        <w:sectPr>
          <w:pgSz w:w="11900" w:h="16838" w:orient="portrait"/>
          <w:cols w:equalWidth="0" w:num="1">
            <w:col w:w="11120"/>
          </w:cols>
          <w:pgMar w:left="320" w:top="459"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March 31, 2020, we raised a net total of $197.4 million from these offerings. We have operated at a loss since our inception and have had no significant revenues. We anticipate that losses will continue for the foreseeable future. At March 31, 2020, the Company had $43.3 million of unrestricted cash and cash equivalents available to fund future operations. In December 2018, the Company announced the extension of its $10 million unsecured line of credit facility with stockholder and director, Richard E. Uihlein. The Company has not drawn under the line of credit. The Company believes there is sufficient cash, including availability of the line of credit, to fund currently planned operations at least through September 30, 2021. We will require more cash to fund our operations after September 30, 2021 and believe we will be able to obtain additional financing. The currently planned operations include costs related to a planned adaptively designed Phase 2b/3 clinical trial. While the costs of the trial and general overhead during the first stage of the Phase 3 trial are currently estimated to be approximately $125 million, the costs and timing of such trial are not yet finalized. The Company has not made commitments for such trial that cannot be covered with available cash, but we will require additional funding in order to complete the trial. However, there can be no assurance that we will be successful in obtaining such new financing or, if available, that such financing will be on terms favorable to us.</w:t>
      </w:r>
    </w:p>
    <w:p>
      <w:pPr>
        <w:spacing w:after="0" w:line="17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cash used in operations increased by $1,087,000 to $4,371,000 for the three months ended March 31, 2020, as compared to $3,284,000 for the three months ended March 31, 2019. Cash operating expenses increased principally due to the preparations and expenses related to our NASH-RX clinical trial with belapectin.</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Net cash provided by financing activities for the three months ended March 31, 2020, of $219,000 represents proceeds from the exercise of common stock options. Net cash provided by financing activities for the three months ended March 31, 2019, of $2,003,000 represents proceeds from the issuance of common stock from the ATM of $1,865,000 and $138,000 from the exercise of common stock options and warrants.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120" w:right="160" w:firstLine="440"/>
        <w:spacing w:after="0" w:line="296"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6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2019 Annual Report on Form 10-K.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2020, our disclosure controls and procedures were effective. During the quarter ended March 31, 2020, no change in our internal control over financial reporting has materially affected, or is reasonably likely to materially affect, our internal control over financial reporting.</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2019, which could materially impact our business, financial condition or future results.</w:t>
      </w:r>
    </w:p>
    <w:p>
      <w:pPr>
        <w:spacing w:after="0" w:line="12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The outbreak of the novel strain of coronavirus, SARS-CoV-2, which causes COVID-19, could adversely impact our business, including our preclinical studies and clinical trials.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Public health crises such as pandemics or similar outbreaks could adversely impact our business. In December 2019, a novel strain of coronavirus, SARS-CoV-2, which causes coronavirus disease 2019 (“COVID-19”), surfaced in Wuhan, China. Since then, COVID-19 has spread to multiple countries, including the United States. In response to the spread of COVID-19, we have closed our executive offices with our administrative employees continuing their work outside of our offices, restricted on-site staff to only those required to execute their job responsibilities and limited the number of staff in any given research and development laboratory.</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a result of the COVID-19 outbreak, or similar pandemics, we have and may in the future experience disruptions that could severely impact our business and our anticipated rollout of our Phase 2b/3 NASH-RX trial, including:</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disruptions in non-clinical experiments due to unforeseen circumstances at contract research organizations and vendors along their supply chain;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not accepting home health visits;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sites for our NASH-RX trials and hospital staff supporting the conduct of such trials;</w:t>
      </w:r>
    </w:p>
    <w:p>
      <w:pPr>
        <w:spacing w:after="0" w:line="75" w:lineRule="exact"/>
        <w:rPr>
          <w:rFonts w:ascii="Arial" w:cs="Arial" w:eastAsia="Arial" w:hAnsi="Arial"/>
          <w:sz w:val="18"/>
          <w:szCs w:val="18"/>
          <w:color w:val="auto"/>
        </w:rPr>
      </w:pPr>
    </w:p>
    <w:p>
      <w:pPr>
        <w:jc w:val="both"/>
        <w:ind w:left="1080" w:right="100" w:hanging="424"/>
        <w:spacing w:after="0" w:line="31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 or delays in the operations of the FDA and comparable foreign regulatory agencies, which may impact approval timelines;</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have a material adverse impact on our operations and financial condition and results.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the trading prices for our common stock and other biopharmaceutical companies have been highly volatile as a result of the COVID-19 epidemic. As a result, we may face difficulties raising capital through sales of our common stock or such sales may be on unfavorable terms. The COVID-19 outbreak continues to rapidly evolve. The extent to which the outbreak may impact our business, preclinical studies and clinical trials will depend on future developments, which are highly uncertain and cannot be predicted with confidence,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center"/>
        <w:ind w:right="8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2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20" w:type="dxa"/>
            <w:vAlign w:val="bottom"/>
            <w:gridSpan w:val="8"/>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680" w:type="dxa"/>
            <w:vAlign w:val="bottom"/>
          </w:tcPr>
          <w:p>
            <w:pPr>
              <w:spacing w:after="0"/>
              <w:rPr>
                <w:sz w:val="15"/>
                <w:szCs w:val="15"/>
                <w:color w:val="auto"/>
              </w:rPr>
            </w:pPr>
          </w:p>
        </w:tc>
        <w:tc>
          <w:tcPr>
            <w:tcW w:w="8500" w:type="dxa"/>
            <w:vAlign w:val="bottom"/>
            <w:tcBorders>
              <w:top w:val="single" w:sz="8" w:color="auto"/>
            </w:tcBorders>
            <w:gridSpan w:val="11"/>
          </w:tcPr>
          <w:p>
            <w:pPr>
              <w:spacing w:after="0" w:line="176"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Master Services Agreement, effective as of March 12, 2020, by and between Galectin Therapeutics, Inc. and</w:t>
              </w:r>
            </w:hyperlink>
          </w:p>
        </w:tc>
        <w:tc>
          <w:tcPr>
            <w:tcW w:w="6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3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Covance Inc. (incorporated by reference to the Company’s Current Report on Form 8-K filed with the Commission</w:t>
              </w:r>
            </w:hyperlink>
          </w:p>
        </w:tc>
        <w:tc>
          <w:tcPr>
            <w:tcW w:w="80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00" w:type="dxa"/>
            <w:vAlign w:val="bottom"/>
            <w:gridSpan w:val="12"/>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on March 17, 2020)*</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8480" w:type="dxa"/>
            <w:vAlign w:val="bottom"/>
            <w:tcBorders>
              <w:bottom w:val="single" w:sz="8" w:color="0000EE"/>
            </w:tcBorders>
            <w:gridSpan w:val="10"/>
          </w:tcPr>
          <w:p>
            <w:pPr>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Work Order, dated as of March 12, 2020, by and between Galectin Therapeutics, Inc. and Covance Clinical Research</w:t>
              </w:r>
            </w:hyperlink>
          </w:p>
        </w:tc>
        <w:tc>
          <w:tcPr>
            <w:tcW w:w="6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00" w:type="dxa"/>
            <w:vAlign w:val="bottom"/>
            <w:gridSpan w:val="12"/>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Unit Inc. (incorporated by reference to the Company’s Current Report on Form 8-K filed with the Commission on</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March 17, 2020)*</w:t>
              </w:r>
            </w:hyperlink>
          </w:p>
        </w:tc>
        <w:tc>
          <w:tcPr>
            <w:tcW w:w="90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gridSpan w:val="2"/>
          </w:tcPr>
          <w:p>
            <w:pPr>
              <w:ind w:left="80"/>
              <w:spacing w:after="0"/>
              <w:rPr>
                <w:sz w:val="20"/>
                <w:szCs w:val="20"/>
                <w:color w:val="auto"/>
              </w:rPr>
            </w:pPr>
            <w:r>
              <w:rPr>
                <w:rFonts w:ascii="Arial" w:cs="Arial" w:eastAsia="Arial" w:hAnsi="Arial"/>
                <w:sz w:val="18"/>
                <w:szCs w:val="18"/>
                <w:color w:val="auto"/>
                <w:w w:val="97"/>
              </w:rPr>
              <w:t>31.1**</w:t>
            </w:r>
          </w:p>
        </w:tc>
        <w:tc>
          <w:tcPr>
            <w:tcW w:w="68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Pursuant to Rule 13a-14(a) of the Securities Exchange Act of 1934</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w w:val="97"/>
              </w:rPr>
              <w:t>31.2**</w:t>
            </w:r>
          </w:p>
        </w:tc>
        <w:tc>
          <w:tcPr>
            <w:tcW w:w="68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Pursuant to Rule 13a-14(a) of the Securities Exchange Act of 1934</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gridSpan w:val="3"/>
          </w:tcPr>
          <w:p>
            <w:pPr>
              <w:ind w:left="80"/>
              <w:spacing w:after="0"/>
              <w:rPr>
                <w:sz w:val="20"/>
                <w:szCs w:val="20"/>
                <w:color w:val="auto"/>
              </w:rPr>
            </w:pPr>
            <w:r>
              <w:rPr>
                <w:rFonts w:ascii="Arial" w:cs="Arial" w:eastAsia="Arial" w:hAnsi="Arial"/>
                <w:sz w:val="18"/>
                <w:szCs w:val="18"/>
                <w:color w:val="auto"/>
              </w:rPr>
              <w:t>32.1***</w:t>
            </w:r>
          </w:p>
        </w:tc>
        <w:tc>
          <w:tcPr>
            <w:tcW w:w="9100" w:type="dxa"/>
            <w:vAlign w:val="bottom"/>
            <w:gridSpan w:val="12"/>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Certification Pursuant to 18 U.S.C. Section 1350, as Adopted Pursuant to Section 906 of the Sarbanes-Oxley Act of</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2002</w:t>
              </w:r>
            </w:hyperlink>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ind w:left="80"/>
              <w:spacing w:after="0"/>
              <w:rPr>
                <w:sz w:val="20"/>
                <w:szCs w:val="20"/>
                <w:color w:val="auto"/>
              </w:rPr>
            </w:pPr>
            <w:r>
              <w:rPr>
                <w:rFonts w:ascii="Arial" w:cs="Arial" w:eastAsia="Arial" w:hAnsi="Arial"/>
                <w:sz w:val="18"/>
                <w:szCs w:val="18"/>
                <w:color w:val="auto"/>
              </w:rPr>
              <w:t>32.2***</w:t>
            </w:r>
          </w:p>
        </w:tc>
        <w:tc>
          <w:tcPr>
            <w:tcW w:w="9100" w:type="dxa"/>
            <w:vAlign w:val="bottom"/>
            <w:gridSpan w:val="12"/>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Certification Pursuant to 18 U.S.C. Section 1350, as Adopted Pursuant to Section 906 of the Sarbanes-Oxley Act of</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2002</w:t>
              </w:r>
            </w:hyperlink>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1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3"/>
          </w:tcPr>
          <w:p>
            <w:pPr>
              <w:jc w:val="center"/>
              <w:ind w:right="600"/>
              <w:spacing w:after="0"/>
              <w:rPr>
                <w:sz w:val="20"/>
                <w:szCs w:val="20"/>
                <w:color w:val="auto"/>
              </w:rPr>
            </w:pPr>
            <w:r>
              <w:rPr>
                <w:rFonts w:ascii="Arial" w:cs="Arial" w:eastAsia="Arial" w:hAnsi="Arial"/>
                <w:sz w:val="18"/>
                <w:szCs w:val="18"/>
                <w:color w:val="auto"/>
                <w:w w:val="90"/>
              </w:rPr>
              <w:t>101.SCH</w:t>
            </w:r>
          </w:p>
        </w:tc>
        <w:tc>
          <w:tcPr>
            <w:tcW w:w="91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101.CAL</w:t>
            </w:r>
          </w:p>
        </w:tc>
        <w:tc>
          <w:tcPr>
            <w:tcW w:w="9100" w:type="dxa"/>
            <w:vAlign w:val="bottom"/>
            <w:gridSpan w:val="12"/>
          </w:tcPr>
          <w:p>
            <w:pPr>
              <w:spacing w:after="0"/>
              <w:rPr>
                <w:sz w:val="20"/>
                <w:szCs w:val="20"/>
                <w:color w:val="auto"/>
              </w:rPr>
            </w:pPr>
            <w:r>
              <w:rPr>
                <w:rFonts w:ascii="Arial" w:cs="Arial" w:eastAsia="Arial" w:hAnsi="Arial"/>
                <w:sz w:val="18"/>
                <w:szCs w:val="18"/>
                <w:color w:val="auto"/>
              </w:rPr>
              <w:t>XBRL Taxonomy Calculation Linkbase Document**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3"/>
          </w:tcPr>
          <w:p>
            <w:pPr>
              <w:jc w:val="center"/>
              <w:ind w:right="600"/>
              <w:spacing w:after="0"/>
              <w:rPr>
                <w:sz w:val="20"/>
                <w:szCs w:val="20"/>
                <w:color w:val="auto"/>
              </w:rPr>
            </w:pPr>
            <w:r>
              <w:rPr>
                <w:rFonts w:ascii="Arial" w:cs="Arial" w:eastAsia="Arial" w:hAnsi="Arial"/>
                <w:sz w:val="18"/>
                <w:szCs w:val="18"/>
                <w:color w:val="auto"/>
                <w:w w:val="92"/>
              </w:rPr>
              <w:t>101.DEF</w:t>
            </w:r>
          </w:p>
        </w:tc>
        <w:tc>
          <w:tcPr>
            <w:tcW w:w="91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3"/>
          </w:tcPr>
          <w:p>
            <w:pPr>
              <w:jc w:val="center"/>
              <w:ind w:right="580"/>
              <w:spacing w:after="0"/>
              <w:rPr>
                <w:sz w:val="20"/>
                <w:szCs w:val="20"/>
                <w:color w:val="auto"/>
              </w:rPr>
            </w:pPr>
            <w:r>
              <w:rPr>
                <w:rFonts w:ascii="Arial" w:cs="Arial" w:eastAsia="Arial" w:hAnsi="Arial"/>
                <w:sz w:val="18"/>
                <w:szCs w:val="18"/>
                <w:color w:val="auto"/>
                <w:w w:val="98"/>
              </w:rPr>
              <w:t>101.LAB</w:t>
            </w:r>
          </w:p>
        </w:tc>
        <w:tc>
          <w:tcPr>
            <w:tcW w:w="9100" w:type="dxa"/>
            <w:vAlign w:val="bottom"/>
            <w:gridSpan w:val="12"/>
          </w:tcPr>
          <w:p>
            <w:pPr>
              <w:spacing w:after="0"/>
              <w:rPr>
                <w:sz w:val="20"/>
                <w:szCs w:val="20"/>
                <w:color w:val="auto"/>
              </w:rPr>
            </w:pPr>
            <w:r>
              <w:rPr>
                <w:rFonts w:ascii="Arial" w:cs="Arial" w:eastAsia="Arial" w:hAnsi="Arial"/>
                <w:sz w:val="18"/>
                <w:szCs w:val="18"/>
                <w:color w:val="auto"/>
              </w:rPr>
              <w:t>XBRL Taxonomy Label Linkbase Document**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3"/>
          </w:tcPr>
          <w:p>
            <w:pPr>
              <w:jc w:val="center"/>
              <w:ind w:right="620"/>
              <w:spacing w:after="0"/>
              <w:rPr>
                <w:sz w:val="20"/>
                <w:szCs w:val="20"/>
                <w:color w:val="auto"/>
              </w:rPr>
            </w:pPr>
            <w:r>
              <w:rPr>
                <w:rFonts w:ascii="Arial" w:cs="Arial" w:eastAsia="Arial" w:hAnsi="Arial"/>
                <w:sz w:val="18"/>
                <w:szCs w:val="18"/>
                <w:color w:val="auto"/>
                <w:w w:val="88"/>
              </w:rPr>
              <w:t>101.PRE</w:t>
            </w:r>
          </w:p>
        </w:tc>
        <w:tc>
          <w:tcPr>
            <w:tcW w:w="9100" w:type="dxa"/>
            <w:vAlign w:val="bottom"/>
            <w:gridSpan w:val="12"/>
          </w:tcPr>
          <w:p>
            <w:pPr>
              <w:spacing w:after="0"/>
              <w:rPr>
                <w:sz w:val="20"/>
                <w:szCs w:val="20"/>
                <w:color w:val="auto"/>
              </w:rPr>
            </w:pPr>
            <w:r>
              <w:rPr>
                <w:rFonts w:ascii="Arial" w:cs="Arial" w:eastAsia="Arial" w:hAnsi="Arial"/>
                <w:sz w:val="18"/>
                <w:szCs w:val="18"/>
                <w:color w:val="auto"/>
              </w:rPr>
              <w:t>XBRL Taxonomy Presentation Linkbase Document**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00" w:hanging="424"/>
        <w:spacing w:after="0" w:line="25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Regulation S-K Item 601(b) because it is both (i) not material to investors and (ii) likely to cause competitive harm to the Company if publicly disclosed.</w:t>
      </w:r>
    </w:p>
    <w:p>
      <w:pPr>
        <w:spacing w:after="0" w:line="1"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11, 2020.</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Harold H. Shlevin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r>
        <w:trPr>
          <w:trHeight w:val="44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Jack W. Callicutt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May 11,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4"/>
          </w:cols>
          <w:pgMar w:left="436"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May 11,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28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2020 as filed with the Securities and Exchange Commission on the date hereof (the “Report”), I, Harold H. Shlevin,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May 11,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2020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May 11,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5" Type="http://schemas.openxmlformats.org/officeDocument/2006/relationships/hyperlink" Target="http://www.sec.gov/Archives/edgar/data/1133416/000119312520075484/d883597dex101.htm" TargetMode="External"/><Relationship Id="rId46" Type="http://schemas.openxmlformats.org/officeDocument/2006/relationships/hyperlink" Target="http://www.sec.gov/Archives/edgar/data/1133416/000119312520075484/d88359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2020-05-11T05:33:20Z</dcterms:created>
  <dcterms:modified xsi:type="dcterms:W3CDTF">2020-05-11T05:33:20Z</dcterms:modified>
</cp:coreProperties>
</file>