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25" w:right="1440" w:bottom="1440" w:gutter="0" w:footer="0" w:header="0"/>
        </w:sectPr>
      </w:pPr>
    </w:p>
    <w:bookmarkStart w:id="2" w:name="page3"/>
    <w:bookmarkEnd w:id="2"/>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229806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98065" cy="523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8,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are cordially invited to attend the annual meeting of stockholders of Galectin Therapeutics Inc. The meeting will be held on Wednesday, May 21, 2015 at 9:00 a.m., local time, at the offices of McKenna Long &amp; Aldridge LLP, located at 303 Peachtree Street NE, Suite 5300, Atlanta, GA 30308, for the following purposes:</w:t>
      </w:r>
    </w:p>
    <w:p>
      <w:pPr>
        <w:spacing w:after="0" w:line="59" w:lineRule="exact"/>
        <w:rPr>
          <w:sz w:val="20"/>
          <w:szCs w:val="20"/>
          <w:color w:val="auto"/>
        </w:rPr>
      </w:pPr>
    </w:p>
    <w:p>
      <w:pPr>
        <w:ind w:left="900" w:right="1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eight nominees named in this proxy statement for director to hold office for a one-year term, expiring at the 2016 annual meeting of our stockholders.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McGladrey LLP as our independent registered public accounting firm for the fiscal year ending December 31, 2015.</w:t>
      </w:r>
    </w:p>
    <w:p>
      <w:pPr>
        <w:spacing w:after="0" w:line="50"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re-approve the material terms of the performance goals under the Galectin Therapeutics, Inc. Amended and Restated 2009 Incentive Compensation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vote is very important. Whether or not you plan to attend the annual meeting in person, please complete and return the enclosed proxy card.</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30365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Chief Medical Officer</w:t>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80" w:type="dxa"/>
            <w:vAlign w:val="bottom"/>
            <w:gridSpan w:val="2"/>
          </w:tcPr>
          <w:p>
            <w:pPr>
              <w:jc w:val="center"/>
              <w:ind w:right="2212"/>
              <w:spacing w:after="0"/>
              <w:rPr>
                <w:sz w:val="20"/>
                <w:szCs w:val="20"/>
                <w:color w:val="auto"/>
              </w:rPr>
            </w:pPr>
            <w:r>
              <w:rPr>
                <w:rFonts w:ascii="Arial" w:cs="Arial" w:eastAsia="Arial" w:hAnsi="Arial"/>
                <w:sz w:val="22"/>
                <w:szCs w:val="22"/>
                <w:b w:val="1"/>
                <w:bCs w:val="1"/>
                <w:color w:val="auto"/>
              </w:rPr>
              <w:t>GALECTIN THERAPEUTICS INC.</w:t>
            </w:r>
          </w:p>
        </w:tc>
      </w:tr>
      <w:tr>
        <w:trPr>
          <w:trHeight w:val="256"/>
        </w:trPr>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80" w:type="dxa"/>
            <w:vAlign w:val="bottom"/>
            <w:gridSpan w:val="2"/>
          </w:tcPr>
          <w:p>
            <w:pPr>
              <w:jc w:val="center"/>
              <w:ind w:right="2212"/>
              <w:spacing w:after="0"/>
              <w:rPr>
                <w:sz w:val="20"/>
                <w:szCs w:val="20"/>
                <w:color w:val="auto"/>
              </w:rPr>
            </w:pPr>
            <w:r>
              <w:rPr>
                <w:rFonts w:ascii="Arial" w:cs="Arial" w:eastAsia="Arial" w:hAnsi="Arial"/>
                <w:sz w:val="22"/>
                <w:szCs w:val="22"/>
                <w:b w:val="1"/>
                <w:bCs w:val="1"/>
                <w:color w:val="auto"/>
                <w:w w:val="88"/>
              </w:rPr>
              <w:t>4960 Peachtree Industrial Blvd., Suite 240</w:t>
            </w:r>
          </w:p>
        </w:tc>
      </w:tr>
      <w:tr>
        <w:trPr>
          <w:trHeight w:val="228"/>
        </w:trPr>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960" w:type="dxa"/>
            <w:vAlign w:val="bottom"/>
          </w:tcPr>
          <w:p>
            <w:pPr>
              <w:jc w:val="center"/>
              <w:ind w:right="4112"/>
              <w:spacing w:after="0"/>
              <w:rPr>
                <w:sz w:val="20"/>
                <w:szCs w:val="20"/>
                <w:color w:val="auto"/>
              </w:rPr>
            </w:pPr>
            <w:r>
              <w:rPr>
                <w:rFonts w:ascii="Arial" w:cs="Arial" w:eastAsia="Arial" w:hAnsi="Arial"/>
                <w:sz w:val="18"/>
                <w:szCs w:val="18"/>
                <w:b w:val="1"/>
                <w:bCs w:val="1"/>
                <w:color w:val="auto"/>
                <w:w w:val="86"/>
              </w:rPr>
              <w:t>Norcross, Georgia 30071</w:t>
            </w:r>
          </w:p>
        </w:tc>
      </w:tr>
      <w:tr>
        <w:trPr>
          <w:trHeight w:val="417"/>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2"/>
          </w:tcPr>
          <w:p>
            <w:pPr>
              <w:jc w:val="center"/>
              <w:ind w:right="2212"/>
              <w:spacing w:after="0"/>
              <w:rPr>
                <w:sz w:val="20"/>
                <w:szCs w:val="20"/>
                <w:color w:val="auto"/>
              </w:rPr>
            </w:pPr>
            <w:r>
              <w:rPr>
                <w:rFonts w:ascii="Arial" w:cs="Arial" w:eastAsia="Arial" w:hAnsi="Arial"/>
                <w:sz w:val="22"/>
                <w:szCs w:val="22"/>
                <w:b w:val="1"/>
                <w:bCs w:val="1"/>
                <w:color w:val="auto"/>
                <w:w w:val="98"/>
              </w:rPr>
              <w:t>NOTICE OF THE 2015 ANNUAL MEETING OF STOCKHOLDERS</w:t>
            </w:r>
          </w:p>
        </w:tc>
      </w:tr>
      <w:tr>
        <w:trPr>
          <w:trHeight w:val="407"/>
        </w:trPr>
        <w:tc>
          <w:tcPr>
            <w:tcW w:w="21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120" w:type="dxa"/>
            <w:vAlign w:val="bottom"/>
            <w:gridSpan w:val="3"/>
          </w:tcPr>
          <w:p>
            <w:pPr>
              <w:spacing w:after="0"/>
              <w:rPr>
                <w:sz w:val="20"/>
                <w:szCs w:val="20"/>
                <w:color w:val="auto"/>
              </w:rPr>
            </w:pPr>
            <w:r>
              <w:rPr>
                <w:rFonts w:ascii="Arial" w:cs="Arial" w:eastAsia="Arial" w:hAnsi="Arial"/>
                <w:sz w:val="18"/>
                <w:szCs w:val="18"/>
                <w:color w:val="auto"/>
              </w:rPr>
              <w:t>9:00 a.m. on Wednesday, May 21, 2015</w:t>
            </w:r>
          </w:p>
        </w:tc>
      </w:tr>
      <w:tr>
        <w:trPr>
          <w:trHeight w:val="318"/>
        </w:trPr>
        <w:tc>
          <w:tcPr>
            <w:tcW w:w="21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120" w:type="dxa"/>
            <w:vAlign w:val="bottom"/>
            <w:gridSpan w:val="3"/>
          </w:tcPr>
          <w:p>
            <w:pPr>
              <w:spacing w:after="0"/>
              <w:rPr>
                <w:sz w:val="20"/>
                <w:szCs w:val="20"/>
                <w:color w:val="auto"/>
              </w:rPr>
            </w:pPr>
            <w:r>
              <w:rPr>
                <w:rFonts w:ascii="Arial" w:cs="Arial" w:eastAsia="Arial" w:hAnsi="Arial"/>
                <w:sz w:val="18"/>
                <w:szCs w:val="18"/>
                <w:color w:val="auto"/>
              </w:rPr>
              <w:t>McKenna Long &amp; Aldridge LLP</w:t>
            </w:r>
          </w:p>
        </w:tc>
      </w:tr>
      <w:tr>
        <w:trPr>
          <w:trHeight w:val="216"/>
        </w:trPr>
        <w:tc>
          <w:tcPr>
            <w:tcW w:w="218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303 Peachtree Street NE, Suite 5300,</w:t>
            </w:r>
          </w:p>
        </w:tc>
      </w:tr>
      <w:tr>
        <w:trPr>
          <w:trHeight w:val="222"/>
        </w:trPr>
        <w:tc>
          <w:tcPr>
            <w:tcW w:w="2180" w:type="dxa"/>
            <w:vAlign w:val="bottom"/>
          </w:tcPr>
          <w:p>
            <w:pPr>
              <w:spacing w:after="0"/>
              <w:rPr>
                <w:sz w:val="19"/>
                <w:szCs w:val="19"/>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Atlanta, GA 30308</w:t>
            </w:r>
          </w:p>
        </w:tc>
      </w:tr>
      <w:tr>
        <w:trPr>
          <w:trHeight w:val="331"/>
        </w:trPr>
        <w:tc>
          <w:tcPr>
            <w:tcW w:w="21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w w:val="89"/>
              </w:rPr>
              <w:t>To elect the eight (8) nominees named in this proxy statement to serve for one-year terms, expiring at our 2016 annual</w:t>
            </w:r>
          </w:p>
        </w:tc>
      </w:tr>
      <w:tr>
        <w:trPr>
          <w:trHeight w:val="222"/>
        </w:trPr>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rPr>
              <w:t>meeting of stockholders.</w:t>
            </w:r>
          </w:p>
        </w:tc>
      </w:tr>
      <w:tr>
        <w:trPr>
          <w:trHeight w:val="318"/>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w w:val="96"/>
              </w:rPr>
              <w:t>To ratify the selection by the Audit Committee of the Board of Directors of McGladrey LLP as our independent</w:t>
            </w:r>
          </w:p>
        </w:tc>
      </w:tr>
      <w:tr>
        <w:trPr>
          <w:trHeight w:val="222"/>
        </w:trPr>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rPr>
              <w:t>registered public accounting firm for the fiscal year ending December 31, 2015.</w:t>
            </w:r>
          </w:p>
        </w:tc>
      </w:tr>
      <w:tr>
        <w:trPr>
          <w:trHeight w:val="318"/>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w w:val="87"/>
              </w:rPr>
              <w:t>To re-approve the material terms of the performance goals under the Galectin Therapeutics, Inc. Amended and Restated</w:t>
            </w:r>
          </w:p>
        </w:tc>
      </w:tr>
      <w:tr>
        <w:trPr>
          <w:trHeight w:val="222"/>
        </w:trPr>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rPr>
              <w:t>2009 Incentive Compensation Plan.</w:t>
            </w:r>
          </w:p>
        </w:tc>
      </w:tr>
      <w:tr>
        <w:trPr>
          <w:trHeight w:val="324"/>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(4)</w:t>
            </w:r>
          </w:p>
        </w:tc>
        <w:tc>
          <w:tcPr>
            <w:tcW w:w="8880" w:type="dxa"/>
            <w:vAlign w:val="bottom"/>
            <w:gridSpan w:val="2"/>
          </w:tcPr>
          <w:p>
            <w:pPr>
              <w:ind w:left="460"/>
              <w:spacing w:after="0"/>
              <w:rPr>
                <w:sz w:val="20"/>
                <w:szCs w:val="20"/>
                <w:color w:val="auto"/>
              </w:rPr>
            </w:pPr>
            <w:r>
              <w:rPr>
                <w:rFonts w:ascii="Arial" w:cs="Arial" w:eastAsia="Arial" w:hAnsi="Arial"/>
                <w:sz w:val="18"/>
                <w:szCs w:val="18"/>
                <w:color w:val="auto"/>
              </w:rPr>
              <w:t>To transact such other business as may properly come before the meeting.</w:t>
            </w:r>
          </w:p>
        </w:tc>
      </w:tr>
      <w:tr>
        <w:trPr>
          <w:trHeight w:val="318"/>
        </w:trPr>
        <w:tc>
          <w:tcPr>
            <w:tcW w:w="21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120" w:type="dxa"/>
            <w:vAlign w:val="bottom"/>
            <w:gridSpan w:val="3"/>
          </w:tcPr>
          <w:p>
            <w:pPr>
              <w:spacing w:after="0"/>
              <w:rPr>
                <w:sz w:val="20"/>
                <w:szCs w:val="20"/>
                <w:color w:val="auto"/>
              </w:rPr>
            </w:pPr>
            <w:r>
              <w:rPr>
                <w:rFonts w:ascii="Arial" w:cs="Arial" w:eastAsia="Arial" w:hAnsi="Arial"/>
                <w:sz w:val="18"/>
                <w:szCs w:val="18"/>
                <w:color w:val="auto"/>
                <w:w w:val="88"/>
              </w:rPr>
              <w:t>You can vote if you were a stockholder of record of our common stock, our Series A 12% Convertible Preferred Stock, our Series</w:t>
            </w:r>
          </w:p>
        </w:tc>
      </w:tr>
      <w:tr>
        <w:trPr>
          <w:trHeight w:val="222"/>
        </w:trPr>
        <w:tc>
          <w:tcPr>
            <w:tcW w:w="2180" w:type="dxa"/>
            <w:vAlign w:val="bottom"/>
          </w:tcPr>
          <w:p>
            <w:pPr>
              <w:spacing w:after="0"/>
              <w:rPr>
                <w:sz w:val="19"/>
                <w:szCs w:val="19"/>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w w:val="90"/>
              </w:rPr>
              <w:t>B-1 Convertible Preferred Stock or our Series B-2 Convertible Preferred Stock, as of the close of business on March 20, 2015.</w:t>
            </w:r>
          </w:p>
        </w:tc>
      </w:tr>
      <w:tr>
        <w:trPr>
          <w:trHeight w:val="324"/>
        </w:trPr>
        <w:tc>
          <w:tcPr>
            <w:tcW w:w="21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120" w:type="dxa"/>
            <w:vAlign w:val="bottom"/>
            <w:gridSpan w:val="3"/>
          </w:tcPr>
          <w:p>
            <w:pPr>
              <w:spacing w:after="0"/>
              <w:rPr>
                <w:sz w:val="20"/>
                <w:szCs w:val="20"/>
                <w:color w:val="auto"/>
              </w:rPr>
            </w:pPr>
            <w:r>
              <w:rPr>
                <w:rFonts w:ascii="Arial" w:cs="Arial" w:eastAsia="Arial" w:hAnsi="Arial"/>
                <w:sz w:val="18"/>
                <w:szCs w:val="18"/>
                <w:color w:val="auto"/>
              </w:rPr>
              <w:t>A copy of our 2014 Annual Report on Form 10-K is included with this proxy statement.</w:t>
            </w:r>
          </w:p>
        </w:tc>
      </w:tr>
      <w:tr>
        <w:trPr>
          <w:trHeight w:val="318"/>
        </w:trPr>
        <w:tc>
          <w:tcPr>
            <w:tcW w:w="21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120" w:type="dxa"/>
            <w:vAlign w:val="bottom"/>
            <w:gridSpan w:val="3"/>
          </w:tcPr>
          <w:p>
            <w:pPr>
              <w:spacing w:after="0"/>
              <w:rPr>
                <w:sz w:val="20"/>
                <w:szCs w:val="20"/>
                <w:color w:val="auto"/>
              </w:rPr>
            </w:pPr>
            <w:r>
              <w:rPr>
                <w:rFonts w:ascii="Arial" w:cs="Arial" w:eastAsia="Arial" w:hAnsi="Arial"/>
                <w:sz w:val="18"/>
                <w:szCs w:val="18"/>
                <w:color w:val="auto"/>
                <w:w w:val="95"/>
              </w:rPr>
              <w:t xml:space="preserve">You may also read our Annual Report and this Notice and proxy statement at </w:t>
            </w:r>
            <w:r>
              <w:rPr>
                <w:rFonts w:ascii="Arial" w:cs="Arial" w:eastAsia="Arial" w:hAnsi="Arial"/>
                <w:sz w:val="18"/>
                <w:szCs w:val="18"/>
                <w:i w:val="1"/>
                <w:iCs w:val="1"/>
                <w:color w:val="auto"/>
                <w:w w:val="95"/>
              </w:rPr>
              <w:t>www.proxyvote.com</w:t>
            </w:r>
            <w:r>
              <w:rPr>
                <w:rFonts w:ascii="Arial" w:cs="Arial" w:eastAsia="Arial" w:hAnsi="Arial"/>
                <w:sz w:val="18"/>
                <w:szCs w:val="18"/>
                <w:color w:val="auto"/>
                <w:w w:val="95"/>
              </w:rPr>
              <w:t xml:space="preserve"> and on our website at</w:t>
            </w:r>
          </w:p>
        </w:tc>
      </w:tr>
      <w:tr>
        <w:trPr>
          <w:trHeight w:val="184"/>
        </w:trPr>
        <w:tc>
          <w:tcPr>
            <w:tcW w:w="2180" w:type="dxa"/>
            <w:vAlign w:val="bottom"/>
          </w:tcPr>
          <w:p>
            <w:pPr>
              <w:spacing w:after="0"/>
              <w:rPr>
                <w:sz w:val="15"/>
                <w:szCs w:val="15"/>
                <w:color w:val="auto"/>
              </w:rPr>
            </w:pPr>
          </w:p>
        </w:tc>
        <w:tc>
          <w:tcPr>
            <w:tcW w:w="216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i w:val="1"/>
                <w:iCs w:val="1"/>
                <w:color w:val="auto"/>
                <w:w w:val="88"/>
              </w:rPr>
              <w:t>www.galectintherapeutics.com</w:t>
            </w:r>
          </w:p>
        </w:tc>
        <w:tc>
          <w:tcPr>
            <w:tcW w:w="6960" w:type="dxa"/>
            <w:vAlign w:val="bottom"/>
          </w:tcPr>
          <w:p>
            <w:pPr>
              <w:spacing w:after="0"/>
              <w:rPr>
                <w:sz w:val="15"/>
                <w:szCs w:val="15"/>
                <w:color w:val="auto"/>
              </w:rPr>
            </w:pPr>
          </w:p>
        </w:tc>
      </w:tr>
      <w:tr>
        <w:trPr>
          <w:trHeight w:val="343"/>
        </w:trPr>
        <w:tc>
          <w:tcPr>
            <w:tcW w:w="2180" w:type="dxa"/>
            <w:vAlign w:val="bottom"/>
          </w:tcPr>
          <w:p>
            <w:pPr>
              <w:spacing w:after="0"/>
              <w:rPr>
                <w:sz w:val="20"/>
                <w:szCs w:val="20"/>
                <w:color w:val="auto"/>
              </w:rPr>
            </w:pPr>
            <w:r>
              <w:rPr>
                <w:rFonts w:ascii="Arial" w:cs="Arial" w:eastAsia="Arial" w:hAnsi="Arial"/>
                <w:sz w:val="18"/>
                <w:szCs w:val="18"/>
                <w:b w:val="1"/>
                <w:bCs w:val="1"/>
                <w:color w:val="auto"/>
              </w:rPr>
              <w:t>Date of Mailing:</w:t>
            </w:r>
          </w:p>
        </w:tc>
        <w:tc>
          <w:tcPr>
            <w:tcW w:w="9120" w:type="dxa"/>
            <w:vAlign w:val="bottom"/>
            <w:gridSpan w:val="3"/>
          </w:tcPr>
          <w:p>
            <w:pPr>
              <w:spacing w:after="0"/>
              <w:rPr>
                <w:sz w:val="20"/>
                <w:szCs w:val="20"/>
                <w:color w:val="auto"/>
              </w:rPr>
            </w:pPr>
            <w:r>
              <w:rPr>
                <w:rFonts w:ascii="Arial" w:cs="Arial" w:eastAsia="Arial" w:hAnsi="Arial"/>
                <w:sz w:val="18"/>
                <w:szCs w:val="18"/>
                <w:color w:val="auto"/>
                <w:w w:val="96"/>
              </w:rPr>
              <w:t>This Notice, the proxy statement and the form of proxy are first being mailed to stockholders on or about April 8, 2015.</w:t>
            </w:r>
          </w:p>
        </w:tc>
      </w:tr>
      <w:tr>
        <w:trPr>
          <w:trHeight w:val="419"/>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rPr>
              <w:t>By Order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138430</wp:posOffset>
            </wp:positionV>
            <wp:extent cx="19812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Shlevin,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00"/>
          </w:cols>
          <w:pgMar w:left="240" w:top="251"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Norcross, Georgia 30071</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2015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2015</w:t>
      </w:r>
    </w:p>
    <w:p>
      <w:pPr>
        <w:spacing w:after="0" w:line="165"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This proxy statement contains information about our 2015 annual meeting of stockholders. The meeting will be held on Wednesday, May 21, 2015, beginning at 9:00 a.m. local time, at the offices of McKenna Long &amp; Aldridge LLP, located at 303 Peachtree Street NE, Suite 5300, Atlanta, GA 30308.</w:t>
      </w:r>
    </w:p>
    <w:p>
      <w:pPr>
        <w:spacing w:after="0" w:line="6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4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These proxy materials, together with our annual report to stockholders for our 2014 fiscal year, are first being mailed to stockholders on or about April 8, 2015 and are also available online at www.proxyvote.com and at www.galectintherapeutics.com. The Notice of Internet Availability of Proxy Materials is first being mailed to certain stockholders on or about April 8, 2015. For ease of voting, stockholders are encouraged to vote using the Internet. We encourage you to access and review all of the important information in the proxy materials before voting.</w:t>
      </w:r>
    </w:p>
    <w:p>
      <w:pPr>
        <w:spacing w:after="0" w:line="26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stockholders will consider and vote on the following matters:</w:t>
      </w:r>
    </w:p>
    <w:p>
      <w:pPr>
        <w:spacing w:after="0" w:line="90" w:lineRule="exact"/>
        <w:rPr>
          <w:sz w:val="20"/>
          <w:szCs w:val="20"/>
          <w:color w:val="auto"/>
        </w:rPr>
      </w:pPr>
    </w:p>
    <w:p>
      <w:pPr>
        <w:ind w:left="900" w:right="1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the eight nominees named in this proxy statement for director to hold office for a one-year term, expiring at the 2016 annual meeting of our stockholders.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our Board of Directors of McGladrey LLP as our independent registered public accounting firm for the fiscal year ending December 31, 2015.</w:t>
      </w:r>
    </w:p>
    <w:p>
      <w:pPr>
        <w:spacing w:after="0" w:line="50" w:lineRule="exact"/>
        <w:rPr>
          <w:rFonts w:ascii="Arial" w:cs="Arial" w:eastAsia="Arial" w:hAnsi="Arial"/>
          <w:sz w:val="18"/>
          <w:szCs w:val="18"/>
          <w:color w:val="auto"/>
        </w:rPr>
      </w:pPr>
    </w:p>
    <w:p>
      <w:pPr>
        <w:ind w:left="900" w:right="10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re-approve the material terms of the performance goals under the Galectin Therapeutics, Inc. Amended and Restated 2009 Incentive Compensation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March 20, 2015. Shares outstanding on the record date are the following: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23,627,667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1,402,500 shares of Series A 12% Convertible Preferred Stock (“Series A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 and</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2,100,000 shares of Series B-2 Convertible Preferred Stock (“Series B-2 preferred stock”, and together with the Series B-1 preferred stock, the “Series B preferred stock”).</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shares of Series A preferred stock and Series B preferred stock vote on an as-converted basis with the shares of common stock. The shares of our Series C Super Dividend Convertible Preferred Stock do not have voting rights prior to conversion to common stock. The shares of the Series A preferred stock, Series B preferred stock and the Series C Super Dividend Convertible Preferred Stock are hereafter referred to as the “Preferred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votes do I have?</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 preferred stock entitles you to two-thirds of a vote (i.e. three shares of Series B preferred stock equals two votes) on each matter that is submitted to a vote of holders of our common stock.</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6,422,488 shares of common stock or the common equivalent of voting preferred stock, representing approximately 25%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21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What is the difference between the Galectin Therapeutics securities that are traded under the NASDAQ trading symbols “GALT”, “GALTU”, and “GALTW” and how is each voted?</w:t>
      </w:r>
    </w:p>
    <w:p>
      <w:pPr>
        <w:spacing w:after="0" w:line="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common stock is listed and trades on the NASDAQ Capital Markets under the symbol “GALT”. The units of securities that we sold in our public offering that was closed on March 28, 2012, are listed and trade on the NASDAQ Capital Markets under the symbol “GALTU”. Each Unit consists of two shares of our common stock and one warrant to purchase one share of our common stock. A holder of a Unit has one vote for each of the two shares in the Unit. The warrants that we sold in the public offering are listed and now trade on the NASDAQ Capital Markets under the symbol “GALTW”. The warrants do not have voting rights.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45" w:lineRule="exact"/>
        <w:rPr>
          <w:sz w:val="20"/>
          <w:szCs w:val="20"/>
          <w:color w:val="auto"/>
        </w:rPr>
      </w:pPr>
    </w:p>
    <w:p>
      <w:pPr>
        <w:ind w:left="900" w:hanging="446"/>
        <w:spacing w:after="0" w:line="29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You may vote by completing and signing the proxy card enclosed with this proxy statement (or by requesting a paper copy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26" w:lineRule="exact"/>
        <w:rPr>
          <w:rFonts w:ascii="Arial" w:cs="Arial" w:eastAsia="Arial" w:hAnsi="Arial"/>
          <w:sz w:val="16"/>
          <w:szCs w:val="16"/>
          <w:color w:val="auto"/>
        </w:rPr>
      </w:pPr>
    </w:p>
    <w:p>
      <w:pPr>
        <w:ind w:left="900" w:right="100" w:hanging="446"/>
        <w:spacing w:after="0" w:line="25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by Internet</w:t>
      </w:r>
      <w:r>
        <w:rPr>
          <w:rFonts w:ascii="Arial" w:cs="Arial" w:eastAsia="Arial" w:hAnsi="Arial"/>
          <w:sz w:val="18"/>
          <w:szCs w:val="18"/>
          <w:color w:val="auto"/>
        </w:rPr>
        <w:t>. You may vote over the Internet as instructed on the proxy card enclosed with this proxy statement and accessing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The shares you own will be voted according to your instructions on the proxy card submitted electronically. If you return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but do not give any instructions on a particular matter described in this proxy statement, the shares you own will be voted in accordance with the recommendations of our Board of Directors.</w:t>
      </w:r>
    </w:p>
    <w:p>
      <w:pPr>
        <w:spacing w:after="0" w:line="55" w:lineRule="exact"/>
        <w:rPr>
          <w:rFonts w:ascii="Arial" w:cs="Arial" w:eastAsia="Arial" w:hAnsi="Arial"/>
          <w:sz w:val="18"/>
          <w:szCs w:val="18"/>
          <w:color w:val="auto"/>
        </w:rPr>
      </w:pPr>
    </w:p>
    <w:p>
      <w:pPr>
        <w:ind w:left="900" w:right="38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Ballots will be available at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left="460" w:right="300"/>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eight nominees to serve as directors on the Board of Directors, each for a term of one year, expiring at our 2016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460" w:right="7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w:t>
      </w:r>
      <w:r>
        <w:rPr>
          <w:rFonts w:ascii="Arial" w:cs="Arial" w:eastAsia="Arial" w:hAnsi="Arial"/>
          <w:sz w:val="18"/>
          <w:szCs w:val="18"/>
          <w:color w:val="auto"/>
        </w:rPr>
        <w:t>the re-approval of the material terms of the performance goals under the Galectin Therapeutics, Inc. Amended and Restated 2009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Plan.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McGladrey LLP, as our independent registered public accounting firm for the 2015 fiscal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vote is important no matter how many shares you own. Please take the time to vote. Take a moment to read the instructions in this proxy statement.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Choose the way to vote that is the easiest and most convenient for you and cast your vote as soon as possible.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Any Proxy Card returned without directions given will be voted (1) “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directors presented in this Proxy Statement to the Board of Directors, (2) “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McGladrey LLP as our independent registered public accounting firm to audit the financial statements for our 2015 fiscal year, (3) “ </w:t>
      </w:r>
      <w:r>
        <w:rPr>
          <w:rFonts w:ascii="Arial" w:cs="Arial" w:eastAsia="Arial" w:hAnsi="Arial"/>
          <w:sz w:val="18"/>
          <w:szCs w:val="18"/>
          <w:b w:val="1"/>
          <w:bCs w:val="1"/>
          <w:color w:val="auto"/>
        </w:rPr>
        <w:t>FOR</w:t>
      </w:r>
      <w:r>
        <w:rPr>
          <w:rFonts w:ascii="Arial" w:cs="Arial" w:eastAsia="Arial" w:hAnsi="Arial"/>
          <w:sz w:val="18"/>
          <w:szCs w:val="18"/>
          <w:color w:val="auto"/>
        </w:rPr>
        <w:t>” the re-approval of the material terms of the performance goals under the Galectin Therapeutics, Inc. Amended and Restated 2009 Incentive Compensation Plan and (4) as to any other business that may come before the annual meeting, in accordance with the judgment of the person or persons named in the proxy.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proposal to ratify the selection of McGladrey LLP as our independent auditor for fiscal year 2015 is considered a routine matter for which brokerage firms may vote shares for which they have not received voting instructions. The other proposals to be voted on at our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giving our Corporate Secretary, Dr. Harold Shlevin, Ph.D., written notice to that effect. He may be contacted at 4960 Peachtree Industrial Blvd., Suite 240, Norcross, GA 30071; telephone: 678-620-3186; e-mail: shlevin@galectintherapeutics.com;</w:t>
      </w:r>
    </w:p>
    <w:p>
      <w:pPr>
        <w:spacing w:after="0" w:line="51"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may view and also download our proxy materials, including the 2014 Annual Report, our Form 10-K for the year ended December 31, 2014, and the Notice by accessing www.proxyvote.com and on our website at www.galectintherapeutics.com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pays for the solicitation of Proxies?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25,869,751 shares of common stock outstanding or deemed outstanding based on voting rights of Series A preferred stock or Series B preferred stock on an as-converted basis. Thus, 8,623,250 shares must be represented by stockholders present at the meeting or by proxy to have a quorum.</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directors are elected by a plurality of the votes cast by the holders of shares entitled to vote in the election. There</w:t>
      </w:r>
      <w:r>
        <w:rPr>
          <w:rFonts w:ascii="Arial" w:cs="Arial" w:eastAsia="Arial" w:hAnsi="Arial"/>
          <w:sz w:val="18"/>
          <w:szCs w:val="18"/>
          <w:i w:val="1"/>
          <w:iCs w:val="1"/>
          <w:color w:val="auto"/>
        </w:rPr>
        <w:t xml:space="preserve"> </w:t>
      </w:r>
      <w:r>
        <w:rPr>
          <w:rFonts w:ascii="Arial" w:cs="Arial" w:eastAsia="Arial" w:hAnsi="Arial"/>
          <w:sz w:val="18"/>
          <w:szCs w:val="18"/>
          <w:color w:val="auto"/>
        </w:rPr>
        <w:t>are eight nominees and eight positions to be filled, this means that the eight individuals receiving the most votes will be elected. Abstentions and broker non-votes will therefore not be relevant to the outcome. If the shares you own are held in “street name” by a brokerage firm, your brokerage firm, as the record holder of your shares, is required to vote your shares according to your instructions. Our ninth director, whom we refer to as the Series B director, is nominated and elected by the holder(s) of the Series B preferred stock voting as a separate class.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votes cast “for” must exceed the votes cast “against” in order to ratify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selection of McGladrey LLP, as our independent registered public accounting firm. Accordingly, abstentions and broker non-votes will not be relevant to the outcome.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Re-approval of the material terms of the performance goals under the Galectin Therapeutics, Inc. Amended and Restated 2009 Incentive Compensation Plan. </w:t>
      </w:r>
      <w:r>
        <w:rPr>
          <w:rFonts w:ascii="Arial" w:cs="Arial" w:eastAsia="Arial" w:hAnsi="Arial"/>
          <w:sz w:val="18"/>
          <w:szCs w:val="18"/>
          <w:color w:val="auto"/>
        </w:rPr>
        <w:t>Under our bylaws, the votes cast “for” must exceed the votes cast “against” in order to re-approve the material terms of the performance goals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Galectin Therapeutics, Inc. Amended and Restated 2009 Incentive Compensation Plan. Accordingly, abstentions and broker non-votes will not be relevant to the outcome.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currently has eleven members. Why are only eight elected at the annual meeting?</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holders of our common stock will vote for the election of eight directors at the annual meeting and the holder(s) of our Series B preferred stock have the right, as long as any shares of Series B preferred stock are outstanding, to vote as a separate class to elect two additional directors, referred to as the Series B directors, although the holders of the Series B preferred stock only intend to elect one director, for a total of nine directors. As of March 20, 2015, 10X Fund L.P. is the owner of all of the issued and outstanding shares of the Series B</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stock. For additional information, please see “Security Ownership of Certain Beneficial Owners and Management” below. Additionally, our Board of Directors has determined to reduce the size of the Board of Directors from eleven members to nine members. Accordingly, two current members have not been nominated for re-election.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appoint an Inspector of Elections for the 2015 Annual Meeting who will not be an officer, director or nominee.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December 9, 2015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January 9, 2016, in order to be considered timely.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are also advised to review our bylaws, which contain additional requirements about advance notice of stockholder proposals and director nominations.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report the voting results on Form 8-K within four business days after the end of our annual meeting of stockholders.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as of March 20, 2015, certain information concerning the beneficial ownership of our common stock, Series A preferred stock and Series B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20, 2015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4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On March 23, 2012, we effected a one-for-six reverse split of our outstanding shares of common stock as well as the authorized but unissued shares of common stock. The reverse split by the same ratio affects the number of shares of our common stock issuable upon conversion of the shares of each series of Preferred Stock. All common share, common equivalent share ratios and per share amounts have been adjusted to reflect this reverse split.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Series B</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Preferred</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Series A</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Series B</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Address(1)</w:t>
            </w:r>
          </w:p>
        </w:tc>
        <w:tc>
          <w:tcPr>
            <w:tcW w:w="3620" w:type="dxa"/>
            <w:vAlign w:val="bottom"/>
            <w:vMerge w:val="restart"/>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14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7"/>
              </w:rPr>
              <w:t>Owned(2)</w:t>
            </w:r>
          </w:p>
        </w:tc>
        <w:tc>
          <w:tcPr>
            <w:tcW w:w="8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Stock(3)</w:t>
            </w:r>
          </w:p>
        </w:tc>
        <w:tc>
          <w:tcPr>
            <w:tcW w:w="12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Owned</w:t>
            </w:r>
          </w:p>
        </w:tc>
        <w:tc>
          <w:tcPr>
            <w:tcW w:w="108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Stock(4)</w:t>
            </w:r>
          </w:p>
        </w:tc>
        <w:tc>
          <w:tcPr>
            <w:tcW w:w="11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Owned(5)</w:t>
            </w:r>
          </w:p>
        </w:tc>
        <w:tc>
          <w:tcPr>
            <w:tcW w:w="7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90"/>
        </w:trPr>
        <w:tc>
          <w:tcPr>
            <w:tcW w:w="4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8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10,211,694(6)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3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(12)</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8,882,993(7)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9,096,122(8)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3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Smith (13)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Fivex LLC (13)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100,000(11)</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Other Named Executive Officers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10,211,694(6)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3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 J.D.</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9,096,122(8)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127,306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196,995(14)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142,228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53,662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68,611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50,000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36,930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Paul Pressler, J.D.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42,813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50,656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1,405,276(9)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237,189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99,035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All executive officers and directors as a group (13 persons)</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12,885,523(10)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363"/>
        </w:trPr>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left="452" w:hanging="408"/>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t>Less than 1%.</w:t>
      </w:r>
    </w:p>
    <w:p>
      <w:pPr>
        <w:spacing w:after="0" w:line="15" w:lineRule="exact"/>
        <w:rPr>
          <w:sz w:val="20"/>
          <w:szCs w:val="20"/>
          <w:color w:val="auto"/>
        </w:rPr>
      </w:pPr>
    </w:p>
    <w:p>
      <w:pPr>
        <w:ind w:left="452" w:right="200"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ind w:left="452" w:right="80" w:hanging="452"/>
        <w:spacing w:after="0" w:line="261"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March 20, 2015.</w:t>
      </w:r>
    </w:p>
    <w:p>
      <w:pPr>
        <w:spacing w:after="0" w:line="174"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58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w w:val="90"/>
              </w:rPr>
              <w:t>Options Exercisable Within 60 Days</w:t>
            </w:r>
          </w:p>
        </w:tc>
      </w:tr>
      <w:tr>
        <w:trPr>
          <w:trHeight w:val="203"/>
        </w:trPr>
        <w:tc>
          <w:tcPr>
            <w:tcW w:w="8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Jim C. Czirr</w:t>
            </w:r>
          </w:p>
        </w:tc>
        <w:tc>
          <w:tcPr>
            <w:tcW w:w="2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428,404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2080" w:type="dxa"/>
            <w:vAlign w:val="bottom"/>
          </w:tcPr>
          <w:p>
            <w:pPr>
              <w:jc w:val="right"/>
              <w:spacing w:after="0"/>
              <w:rPr>
                <w:sz w:val="20"/>
                <w:szCs w:val="20"/>
                <w:color w:val="auto"/>
              </w:rPr>
            </w:pPr>
            <w:r>
              <w:rPr>
                <w:rFonts w:ascii="Arial" w:cs="Arial" w:eastAsia="Arial" w:hAnsi="Arial"/>
                <w:sz w:val="18"/>
                <w:szCs w:val="18"/>
                <w:color w:val="auto"/>
              </w:rPr>
              <w:t>36,523</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2080" w:type="dxa"/>
            <w:vAlign w:val="bottom"/>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2080" w:type="dxa"/>
            <w:vAlign w:val="bottom"/>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Steve Prelack</w:t>
            </w:r>
          </w:p>
        </w:tc>
        <w:tc>
          <w:tcPr>
            <w:tcW w:w="2080" w:type="dxa"/>
            <w:vAlign w:val="bottom"/>
          </w:tcPr>
          <w:p>
            <w:pPr>
              <w:jc w:val="right"/>
              <w:spacing w:after="0"/>
              <w:rPr>
                <w:sz w:val="20"/>
                <w:szCs w:val="20"/>
                <w:color w:val="auto"/>
              </w:rPr>
            </w:pPr>
            <w:r>
              <w:rPr>
                <w:rFonts w:ascii="Arial" w:cs="Arial" w:eastAsia="Arial" w:hAnsi="Arial"/>
                <w:sz w:val="18"/>
                <w:szCs w:val="18"/>
                <w:color w:val="auto"/>
              </w:rPr>
              <w:t>22,882</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Pressler, J.D.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2080" w:type="dxa"/>
            <w:vAlign w:val="bottom"/>
          </w:tcPr>
          <w:p>
            <w:pPr>
              <w:jc w:val="right"/>
              <w:spacing w:after="0"/>
              <w:rPr>
                <w:sz w:val="20"/>
                <w:szCs w:val="20"/>
                <w:color w:val="auto"/>
              </w:rPr>
            </w:pPr>
            <w:r>
              <w:rPr>
                <w:rFonts w:ascii="Arial" w:cs="Arial" w:eastAsia="Arial" w:hAnsi="Arial"/>
                <w:sz w:val="18"/>
                <w:szCs w:val="18"/>
                <w:color w:val="auto"/>
              </w:rPr>
              <w:t>33,209</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1,203,942</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Harold Shlevin, Ph.D.</w:t>
            </w:r>
          </w:p>
        </w:tc>
        <w:tc>
          <w:tcPr>
            <w:tcW w:w="2080" w:type="dxa"/>
            <w:vAlign w:val="bottom"/>
          </w:tcPr>
          <w:p>
            <w:pPr>
              <w:jc w:val="right"/>
              <w:spacing w:after="0"/>
              <w:rPr>
                <w:sz w:val="20"/>
                <w:szCs w:val="20"/>
                <w:color w:val="auto"/>
              </w:rPr>
            </w:pPr>
            <w:r>
              <w:rPr>
                <w:rFonts w:ascii="Arial" w:cs="Arial" w:eastAsia="Arial" w:hAnsi="Arial"/>
                <w:sz w:val="18"/>
                <w:szCs w:val="18"/>
                <w:color w:val="auto"/>
              </w:rPr>
              <w:t>183,275</w:t>
            </w: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Callicutt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97,775</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2,187,589</w:t>
            </w:r>
          </w:p>
        </w:tc>
        <w:tc>
          <w:tcPr>
            <w:tcW w:w="100" w:type="dxa"/>
            <w:vAlign w:val="bottom"/>
          </w:tcPr>
          <w:p>
            <w:pPr>
              <w:spacing w:after="0"/>
              <w:rPr>
                <w:sz w:val="19"/>
                <w:szCs w:val="19"/>
                <w:color w:val="auto"/>
              </w:rPr>
            </w:pPr>
          </w:p>
        </w:tc>
      </w:tr>
    </w:tbl>
    <w:p>
      <w:pPr>
        <w:spacing w:after="0" w:line="86" w:lineRule="exact"/>
        <w:rPr>
          <w:sz w:val="20"/>
          <w:szCs w:val="20"/>
          <w:color w:val="auto"/>
        </w:rPr>
      </w:pPr>
    </w:p>
    <w:p>
      <w:pPr>
        <w:ind w:left="452" w:right="20" w:hanging="452"/>
        <w:spacing w:after="0" w:line="283"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23,627,667 shares of our common stock outstanding as of March 20, 2015 and (ii) the number of shares of our common stock that such person has the right to acquire within 60 days after March 20, 2015, which does not include any shares of common stock that may be issued in payment of dividends to holders of our preferred stock during that period.</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1,402,500 shares of Series A preferred stock outstanding as of March 20,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900,000 shares of Series B-1 preferred stock and 2,100,000 shares of Series B-2 preferred stock outstanding as of March 20, 2015.</w:t>
      </w:r>
    </w:p>
    <w:p>
      <w:pPr>
        <w:spacing w:after="0" w:line="32" w:lineRule="exact"/>
        <w:rPr>
          <w:rFonts w:ascii="Arial" w:cs="Arial" w:eastAsia="Arial" w:hAnsi="Arial"/>
          <w:sz w:val="16"/>
          <w:szCs w:val="16"/>
          <w:color w:val="auto"/>
        </w:rPr>
      </w:pPr>
    </w:p>
    <w:p>
      <w:pPr>
        <w:ind w:left="452" w:right="20" w:hanging="452"/>
        <w:spacing w:after="0" w:line="281"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4,000,000 common shares issuable upon exercise of warrants; (iv) 2,000,000 shares of common stock acquired upon exercise of warrants; and (v) 1,094,993 common shares issued as stock dividends paid on the Series B preferred stock less 212,000 shares sold,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16,667 shares of our common stock issuable upon conversion of Series A preferred stock owned by Mr. Czirr.</w:t>
      </w:r>
    </w:p>
    <w:p>
      <w:pPr>
        <w:spacing w:after="0" w:line="4" w:lineRule="exact"/>
        <w:rPr>
          <w:rFonts w:ascii="Arial" w:cs="Arial" w:eastAsia="Arial" w:hAnsi="Arial"/>
          <w:sz w:val="16"/>
          <w:szCs w:val="16"/>
          <w:color w:val="auto"/>
        </w:rPr>
      </w:pPr>
    </w:p>
    <w:p>
      <w:pPr>
        <w:ind w:left="452" w:hanging="452"/>
        <w:spacing w:after="0" w:line="290"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4,000,000 common shares issuable upon exercise of warrants; (iv) 2,000,000 shares of common stock acquired upon exercise of warrants, and (v) 1,094,993 common shares issued as stock dividends paid on the Series B preferred stock less 212,000 shares sold, as to which Mr. Martin and Mr. Czirr, in his capacity as a managing member of 10X Management, the general partner of 10X Fund, has shared voting and investment power, and disclaims beneficial ownership. Each of Mr. Czirr and Mr. Martin, in his capacity as a managing member of 10X Management, the general partner of 10X Fund, has voting and investment power, and disclaims beneficial ownership, of these securities.</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428" w:right="259" w:bottom="1440" w:gutter="0" w:footer="0" w:header="0"/>
        </w:sectPr>
      </w:pPr>
    </w:p>
    <w:bookmarkStart w:id="11" w:name="page12"/>
    <w:bookmarkEnd w:id="11"/>
    <w:p>
      <w:pPr>
        <w:ind w:left="460" w:hanging="452"/>
        <w:spacing w:after="0" w:line="28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(i) 600,000 common shares issuable upon conversion of 900,000 shares of Series B-1 preferred stock; (ii) 1,400,000 common shares issuable upon conversion of 2,100,000 shares of Series B-2 preferred stock; (iii) 4,000,000 common shares issuable upon exercise of warrants; (iv) 2,000,000 common shares acquired upon exercise of warrants, and (iv) 1,094,993 common shares issued as stock dividends paid on the Series B preferred stock less 212,000 shares sold, all of which are held of record by 10X Fund as to which Mr. Martin, in his capacity as a managing member of 10X Management, has shared voting and investment power, and disclaims beneficial ownership.</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100,000 common shares issuable upon exercise of warrants.</w:t>
      </w:r>
    </w:p>
    <w:p>
      <w:pPr>
        <w:spacing w:after="0" w:line="9" w:lineRule="exact"/>
        <w:rPr>
          <w:rFonts w:ascii="Arial" w:cs="Arial" w:eastAsia="Arial" w:hAnsi="Arial"/>
          <w:sz w:val="18"/>
          <w:szCs w:val="18"/>
          <w:color w:val="auto"/>
        </w:rPr>
      </w:pPr>
    </w:p>
    <w:p>
      <w:pPr>
        <w:ind w:left="460" w:right="3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(i) 6,000,000 common shares issuable upon conversion of the shares of Series B preferred stock and exercise of warrants and (ii) 2,882,993 common shares acquired upon exercise of warrants or issued as stock dividends on the Series B preferred stock net of 212,000 shares sold, as to which Messrs. Czirr and Martin share voting and investment control but are counted one time for purposes of this total. For additional information about the beneficial ownership of our capital stock by Messrs. Czirr and Martin, see notes 7 and 10 respectively.</w:t>
      </w:r>
    </w:p>
    <w:p>
      <w:pPr>
        <w:spacing w:after="0" w:line="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10X Capital Management, LLC 1099 Forest Lake Terrace, Niceville, FL 32578.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150,437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eight members currently serving on our Board to be re-elected at the annual meeting to serve one-year terms until the 2016 annual meeting of stockholders and until their respective successors are elected and qualified. Each nominee has agreed to serve if elected.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will be nine members of our Board of Directors. The Nominating and Corporate Governance Committee is nominating only eight directors to be elected to the Board of Directors because Mr. Czirr is the Series B director who is nominated and elected by the holder(s) of the Series B preferred stock voting as a separate class. Mr. Czirr serves as the Executive Chairman of the Board. Background information with respect to Mr. Czirr is provided below. If all of the nominees are elected at the annual meeting, our Board of Directors will have nine members.</w:t>
      </w:r>
    </w:p>
    <w:p>
      <w:pPr>
        <w:spacing w:after="0" w:line="14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20, 2015, including their ages, positions with Galectin Therapeutics,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27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8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6"/>
              </w:rPr>
              <w:t>Director Since</w:t>
            </w:r>
          </w:p>
        </w:tc>
      </w:tr>
      <w:tr>
        <w:trPr>
          <w:trHeight w:val="195"/>
        </w:trPr>
        <w:tc>
          <w:tcPr>
            <w:tcW w:w="1920" w:type="dxa"/>
            <w:vAlign w:val="bottom"/>
            <w:gridSpan w:val="2"/>
          </w:tcPr>
          <w:p>
            <w:pPr>
              <w:spacing w:after="0" w:line="195" w:lineRule="exact"/>
              <w:rPr>
                <w:sz w:val="20"/>
                <w:szCs w:val="20"/>
                <w:color w:val="auto"/>
              </w:rPr>
            </w:pPr>
            <w:r>
              <w:rPr>
                <w:rFonts w:ascii="Arial" w:cs="Arial" w:eastAsia="Arial" w:hAnsi="Arial"/>
                <w:sz w:val="18"/>
                <w:szCs w:val="18"/>
                <w:color w:val="auto"/>
              </w:rPr>
              <w:t>Gilbert F. Amelio, Ph.D</w:t>
            </w:r>
          </w:p>
        </w:tc>
        <w:tc>
          <w:tcPr>
            <w:tcW w:w="1980" w:type="dxa"/>
            <w:vAlign w:val="bottom"/>
          </w:tcPr>
          <w:p>
            <w:pPr>
              <w:spacing w:after="0"/>
              <w:rPr>
                <w:sz w:val="16"/>
                <w:szCs w:val="16"/>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78"/>
              </w:rPr>
              <w:t>72</w:t>
            </w:r>
          </w:p>
        </w:tc>
        <w:tc>
          <w:tcPr>
            <w:tcW w:w="280" w:type="dxa"/>
            <w:vAlign w:val="bottom"/>
          </w:tcPr>
          <w:p>
            <w:pPr>
              <w:spacing w:after="0"/>
              <w:rPr>
                <w:sz w:val="16"/>
                <w:szCs w:val="16"/>
                <w:color w:val="auto"/>
              </w:rPr>
            </w:pPr>
          </w:p>
        </w:tc>
        <w:tc>
          <w:tcPr>
            <w:tcW w:w="6080" w:type="dxa"/>
            <w:vAlign w:val="bottom"/>
            <w:gridSpan w:val="3"/>
          </w:tcPr>
          <w:p>
            <w:pPr>
              <w:ind w:left="260"/>
              <w:spacing w:after="0" w:line="195" w:lineRule="exact"/>
              <w:rPr>
                <w:sz w:val="20"/>
                <w:szCs w:val="20"/>
                <w:color w:val="auto"/>
              </w:rPr>
            </w:pPr>
            <w:r>
              <w:rPr>
                <w:rFonts w:ascii="Arial" w:cs="Arial" w:eastAsia="Arial" w:hAnsi="Arial"/>
                <w:sz w:val="18"/>
                <w:szCs w:val="18"/>
                <w:color w:val="auto"/>
              </w:rPr>
              <w:t>Director</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2009</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53</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Arthur R. Greenberg</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68</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John Mauldin</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65</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57</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60</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Gilbert S. Omenn, M.D., Ph.D.</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73</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22"/>
        </w:trPr>
        <w:tc>
          <w:tcPr>
            <w:tcW w:w="3900" w:type="dxa"/>
            <w:vAlign w:val="bottom"/>
            <w:gridSpan w:val="3"/>
          </w:tcPr>
          <w:p>
            <w:pPr>
              <w:spacing w:after="0"/>
              <w:rPr>
                <w:sz w:val="20"/>
                <w:szCs w:val="20"/>
                <w:color w:val="auto"/>
              </w:rPr>
            </w:pPr>
            <w:r>
              <w:rPr>
                <w:rFonts w:ascii="Arial" w:cs="Arial" w:eastAsia="Arial" w:hAnsi="Arial"/>
                <w:sz w:val="18"/>
                <w:szCs w:val="18"/>
                <w:color w:val="auto"/>
              </w:rPr>
              <w:t>Peter G. Traber, M.D.</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59</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President and 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r>
    </w:tbl>
    <w:p>
      <w:pPr>
        <w:spacing w:after="0" w:line="15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 has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consulting and advisory services through GFA, LLC, a California limited liability company. He was a Senior Partner of Sienna Ventures (a privately-held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includes his executive leadership and management experience, as well as his extensive experience with global companies, his financial expertise and his years of experience providing strategic advisory services to organizations.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ind w:right="10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C. Czirr</w:t>
      </w:r>
      <w:r>
        <w:rPr>
          <w:rFonts w:ascii="Arial" w:cs="Arial" w:eastAsia="Arial" w:hAnsi="Arial"/>
          <w:sz w:val="16"/>
          <w:szCs w:val="16"/>
          <w:color w:val="auto"/>
        </w:rPr>
        <w:t>, Chairman of the Board since February 2009 and Executive Chairman since February 2010, is a co-founder of l0X Fund, L.P. and is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of Directors and serve as Chairman of the Board because he is the director who was a co-founder of the Company and is very familiar with our business and industry, and capable of effectively identifying sources of capital as well as strategic priorities.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Kevin D. Freeman</w:t>
      </w:r>
      <w:r>
        <w:rPr>
          <w:rFonts w:ascii="Arial" w:cs="Arial" w:eastAsia="Arial" w:hAnsi="Arial"/>
          <w:sz w:val="16"/>
          <w:szCs w:val="16"/>
          <w:color w:val="auto"/>
        </w:rPr>
        <w:t>, a director since May 2011, holds the Chartered Financial Analyst designation and is Chief Executive Officer of Cross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an investment advisory and consulting firm founded in 2004. He is also author of a New York Times best-selling book about the stock market and economy.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Arthur R. Greenberg</w:t>
      </w:r>
      <w:r>
        <w:rPr>
          <w:rFonts w:ascii="Arial" w:cs="Arial" w:eastAsia="Arial" w:hAnsi="Arial"/>
          <w:sz w:val="16"/>
          <w:szCs w:val="16"/>
          <w:color w:val="auto"/>
        </w:rPr>
        <w:t>, a director since August 2009, has more than 40 years in the semiconductor equipment and materials industries. He is the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Founder and owner of Prism Technologies, Inc. since 1983, which provides professional sales and marketing services as well as business development and consulting services. Mr. Greenberg is a member of the board of UV Tech Systems, a designer and manufacturer of equipment used to fabricate semiconductor devices. Previously, he has been a founder of several successful companies in Silicon Valley and was the first President of SEMI, North America, a semiconductor equipment and materials industry trade association representing the interests, including public policy, of all SEMI members doing business in North America. Mr. Greenberg is also a member of the advisory board of the Salvation Army of Santa Clara County. Mr. Greenberg received his B.S.B.A. degree in Business Administration from Henderson State University. We believe Mr. Greenberg’s qualifications to sit on our Board of Directors includes his executive leadership and management experience, as well as his extensive experience with business development.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John Mauldin</w:t>
      </w:r>
      <w:r>
        <w:rPr>
          <w:rFonts w:ascii="Arial" w:cs="Arial" w:eastAsia="Arial" w:hAnsi="Arial"/>
          <w:sz w:val="18"/>
          <w:szCs w:val="18"/>
          <w:color w:val="auto"/>
        </w:rPr>
        <w:t>, a director since May 2011, is President of Millennium Wave Advisors LLC, an investment advisory firm founded in 1999, and a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of Millennium Wave Securities, LLC, a FINRA registered broker-dealer which was founded in 2003. Previously he was Chief Executive Officer of the American Bureau of Economic Research. He has many publications on investments and financial topics, including a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bestseller and articles in the </w:t>
      </w:r>
      <w:r>
        <w:rPr>
          <w:rFonts w:ascii="Arial" w:cs="Arial" w:eastAsia="Arial" w:hAnsi="Arial"/>
          <w:sz w:val="18"/>
          <w:szCs w:val="18"/>
          <w:i w:val="1"/>
          <w:iCs w:val="1"/>
          <w:color w:val="auto"/>
        </w:rPr>
        <w:t>Financial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Daily Reckoning</w:t>
      </w:r>
      <w:r>
        <w:rPr>
          <w:rFonts w:ascii="Arial" w:cs="Arial" w:eastAsia="Arial" w:hAnsi="Arial"/>
          <w:sz w:val="18"/>
          <w:szCs w:val="18"/>
          <w:color w:val="auto"/>
        </w:rPr>
        <w:t>, and has been a frequent guest on CNBC, Yahoo Tech Ticker and Bloomberg TV. He holds a B.A. from Rice University and a M.Div. from Southwestern Baptist Theological Seminary. We believe Mr. Mauldin’s qualifications to sit on our Board of Directors include his extensive financial management and advisory experience.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Steven Prelack</w:t>
      </w:r>
      <w:r>
        <w:rPr>
          <w:rFonts w:ascii="Arial" w:cs="Arial" w:eastAsia="Arial" w:hAnsi="Arial"/>
          <w:sz w:val="16"/>
          <w:szCs w:val="16"/>
          <w:color w:val="auto"/>
        </w:rPr>
        <w:t>, a director since April 2003, is currently Senior Vice President and Chief Operating Officer of VetCor, which owns and operates 133</w:t>
      </w:r>
      <w:r>
        <w:rPr>
          <w:rFonts w:ascii="Arial" w:cs="Arial" w:eastAsia="Arial" w:hAnsi="Arial"/>
          <w:sz w:val="16"/>
          <w:szCs w:val="16"/>
          <w:i w:val="1"/>
          <w:iCs w:val="1"/>
          <w:color w:val="auto"/>
        </w:rPr>
        <w:t xml:space="preserve"> </w:t>
      </w:r>
      <w:r>
        <w:rPr>
          <w:rFonts w:ascii="Arial" w:cs="Arial" w:eastAsia="Arial" w:hAnsi="Arial"/>
          <w:sz w:val="16"/>
          <w:szCs w:val="16"/>
          <w:color w:val="auto"/>
        </w:rPr>
        <w:t>veterinary hospitals across the country. Mr. Prelack has held that position since May 2010. Mr. Prelack is also currently a Director and Audit Committee Chair for Pieris Pharmaceuticals, Inc., a developer of Anticalin products utilized in cancer treatment. Mr. Prelack formerly served as Director and Audit Committee Chair for BioVex from 2007 through 2009. Mr. Prelack, a Certified Public Accountant, received a B.B.A. degree from the University of Massachusetts at Amherst in 1979 and is a member of the National Association of Corporate Directors. We believe Mr. Prelack’s qualifications to sit on our Board of Directors is evidenced by his extensive executive leadership experience, as well as his many years serving in senior financial management roles.</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Marc Rubin, M.D, </w:t>
      </w:r>
      <w:r>
        <w:rPr>
          <w:rFonts w:ascii="Arial" w:cs="Arial" w:eastAsia="Arial" w:hAnsi="Arial"/>
          <w:sz w:val="18"/>
          <w:szCs w:val="18"/>
          <w:color w:val="auto"/>
        </w:rPr>
        <w:t>a director since October 2011, is Executive Chairman of the Board of Directors of Titan Pharmaceuticals, Inc. (TTNP: OTC BB)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its President and Chief Executive Officer from October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Mr. Rubin’s qualifications to sit on our Board of Directors include his extensive executive leadership and management experience in the pharmaceutical industry.</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 Inc. for 27 years and of Rohm &amp; Haas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 22 years. He currently serves on the boards of Esperion Therapeutics Inc., Etubics Corp., and OncoFusion Therapeutics Inc.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He is the author of more than 530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Peter G. Traber, M.D., </w:t>
      </w:r>
      <w:r>
        <w:rPr>
          <w:rFonts w:ascii="Arial" w:cs="Arial" w:eastAsia="Arial" w:hAnsi="Arial"/>
          <w:sz w:val="16"/>
          <w:szCs w:val="16"/>
          <w:color w:val="auto"/>
        </w:rPr>
        <w:t>a director since February 2009, became President and Chief Executive Officer in March 2011, and is also our Chief Medical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and was named as a director of NeoStem, Inc. (Nasdaq:NBS) in 2015. Dr. Traber received his M.D. from Wayne State School of Medicine and a B.S. in chemical engineering from the University of Michigan. We believe that Dr. Traber is best situated to sit on our Board of Directors because, in addition to serving as our Chief Executive Officer and President as well as serving as our Chief Medical Officer, he brings extensive industry and company-specific experience and expertise to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key consultants: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Peter G. Traber, MD</w:t>
      </w:r>
      <w:r>
        <w:rPr>
          <w:rFonts w:ascii="Arial" w:cs="Arial" w:eastAsia="Arial" w:hAnsi="Arial"/>
          <w:sz w:val="18"/>
          <w:szCs w:val="18"/>
          <w:color w:val="auto"/>
        </w:rPr>
        <w:t>., Chief Executive Officer and President (see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James C. Czirr</w:t>
      </w:r>
      <w:r>
        <w:rPr>
          <w:rFonts w:ascii="Arial" w:cs="Arial" w:eastAsia="Arial" w:hAnsi="Arial"/>
          <w:sz w:val="18"/>
          <w:szCs w:val="18"/>
          <w:color w:val="auto"/>
        </w:rPr>
        <w:t>, Executive Chairman and Chairman of the Board (see Board of Directors)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Harold Shlevin, Ph.D.</w:t>
      </w:r>
      <w:r>
        <w:rPr>
          <w:rFonts w:ascii="Arial" w:cs="Arial" w:eastAsia="Arial" w:hAnsi="Arial"/>
          <w:sz w:val="18"/>
          <w:szCs w:val="18"/>
          <w:color w:val="auto"/>
        </w:rPr>
        <w:t>, age 65, became our Chief Operating Officer and Secretary on October 1, 2012. Dr. Shlevin previously had been employed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Georgia Institute of Technology’s Advanced Technology Development Center as Principle and Manager of bioscience commercialization efforts since November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Jack W. Callicutt</w:t>
      </w:r>
      <w:r>
        <w:rPr>
          <w:rFonts w:ascii="Arial" w:cs="Arial" w:eastAsia="Arial" w:hAnsi="Arial"/>
          <w:sz w:val="16"/>
          <w:szCs w:val="16"/>
          <w:color w:val="auto"/>
        </w:rPr>
        <w:t>, age 47, became our Chief Financial Officer on July 1, 2013. From August 2012 through June 2012, Mr. Callicutt was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REACH Health, Inc., a telemedicine technology company headquartered in Alpharetta, GA. From April 2010 through August 2012, Mr. Callicutt was the Chief Financial Officer of Vystar Corporation, a publicly-traded company that holds proprietary technology to remove antigenic proteins from natural rubber latex. Prior to that Mr. Callicutt was Chief Financial Officer of IVOX, Inc., Tikvah Therapeutics and Corautus Genetics, a publicly-traded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45, became the Company’s Executive Director of Regulatory Affairs and Quality Assurance in January 2013. Mr. Horton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0"/>
          <w:szCs w:val="10"/>
          <w:color w:val="auto"/>
        </w:rPr>
        <w:t>®</w:t>
      </w:r>
      <w:r>
        <w:rPr>
          <w:rFonts w:ascii="Arial" w:cs="Arial" w:eastAsia="Arial" w:hAnsi="Arial"/>
          <w:sz w:val="16"/>
          <w:szCs w:val="16"/>
          <w:color w:val="auto"/>
        </w:rPr>
        <w:t xml:space="preserve"> Stickpack, Creon</w:t>
      </w:r>
      <w:r>
        <w:rPr>
          <w:rFonts w:ascii="Arial" w:cs="Arial" w:eastAsia="Arial" w:hAnsi="Arial"/>
          <w:sz w:val="10"/>
          <w:szCs w:val="10"/>
          <w:color w:val="auto"/>
        </w:rPr>
        <w:t>®</w:t>
      </w:r>
      <w:r>
        <w:rPr>
          <w:rFonts w:ascii="Arial" w:cs="Arial" w:eastAsia="Arial" w:hAnsi="Arial"/>
          <w:sz w:val="16"/>
          <w:szCs w:val="16"/>
          <w:color w:val="auto"/>
        </w:rPr>
        <w:t xml:space="preserve"> Capsules and Luvox</w:t>
      </w:r>
      <w:r>
        <w:rPr>
          <w:rFonts w:ascii="Arial" w:cs="Arial" w:eastAsia="Arial" w:hAnsi="Arial"/>
          <w:sz w:val="10"/>
          <w:szCs w:val="10"/>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0"/>
          <w:szCs w:val="10"/>
          <w:color w:val="auto"/>
        </w:rPr>
        <w:t>®</w:t>
      </w:r>
      <w:r>
        <w:rPr>
          <w:rFonts w:ascii="Arial" w:cs="Arial" w:eastAsia="Arial" w:hAnsi="Arial"/>
          <w:sz w:val="16"/>
          <w:szCs w:val="16"/>
          <w:color w:val="auto"/>
        </w:rPr>
        <w:t xml:space="preserve"> and Androgel</w:t>
      </w:r>
      <w:r>
        <w:rPr>
          <w:rFonts w:ascii="Arial" w:cs="Arial" w:eastAsia="Arial" w:hAnsi="Arial"/>
          <w:sz w:val="10"/>
          <w:szCs w:val="10"/>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Eliezer Zomer, Ph.D., </w:t>
      </w:r>
      <w:r>
        <w:rPr>
          <w:rFonts w:ascii="Arial" w:cs="Arial" w:eastAsia="Arial" w:hAnsi="Arial"/>
          <w:sz w:val="16"/>
          <w:szCs w:val="16"/>
          <w:color w:val="auto"/>
        </w:rPr>
        <w:t>age 68, has been our Executive Vice President of Manufacturing and Product Development since the Company’s inception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Board currently consists of eleven directors, eight of whom will stand for election at our 2015 annual meeting of stockholders and one of whom is nominated and elected by the holder of our Series B preferred stock voting as a separate class. Two of our existing directors have not been re-nominated and are retiring from the Board of Directors because the Board has determined to reduce the size of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Our Board of Directors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6"/>
          <w:szCs w:val="16"/>
          <w:u w:val="single" w:color="auto"/>
          <w:color w:val="auto"/>
        </w:rPr>
        <w:t>www.galectintherapeutics.com</w:t>
      </w:r>
      <w:r>
        <w:rPr>
          <w:rFonts w:ascii="Arial" w:cs="Arial" w:eastAsia="Arial" w:hAnsi="Arial"/>
          <w:sz w:val="16"/>
          <w:szCs w:val="16"/>
          <w:color w:val="auto"/>
        </w:rPr>
        <w:t xml:space="preserve"> .</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Compensation Committee met 6 times in 2014. In January of 2015, the Board reconstituted the Compensation Committee and named Dr. Gilbert S. Omenn (chair), Gilbert F. Amelio, Ph.D. and Marc Rubin as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met 4 times in 2014. The members of this committee are Steven Prelack (chair), Arthur Greenberg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 The Audit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7" w:name="page18"/>
    <w:bookmarkEnd w:id="1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the authority to obtain advice and assistance from, and receive appropriate funding from the Company for, outside legal, accounting or other advisors as it deems necessary to carry out its duties.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Nominating and Corporate Governance Committee met three times in 2014. In January of 2015, the Board reconstituted the Nominating and Corporate Governance Committee and named Gilbert F. Amelio, Ph.D. (chair), Arthur R. Greenberg and Paul Pressler as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Corporate Governance guidelines provides that a majority of the members of the Board, and each member of the Audit, Compensation and Nominating and Corporate Governance Committees, must meet certain criteria for independence. Under applicable NASDAQ rules, a director will only qualify as an “independent director” if, in the opinion of our Board of Directors, that person does not have a relationship which would interfere with the exercise of independent judgment in carrying out the responsibilities of a director.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NASDAQ rules, Messrs. Freeman, Martin, Mauldin, Prelack, Pressler, Greenberg and Drs. Omenn, Amelio and Rubin were determined by the Board to be independent. As employees of Galectin Therapeutics, Dr. Traber and Mr. Czirr are not considered independent. Also, none of the non-employee directors has any relationship with the Company other than being a director and stockholder, or any transaction or arrangement that interferes with each director’s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96" w:lineRule="exact"/>
        <w:rPr>
          <w:sz w:val="20"/>
          <w:szCs w:val="20"/>
          <w:color w:val="auto"/>
        </w:rPr>
      </w:pPr>
    </w:p>
    <w:p>
      <w:pPr>
        <w:jc w:val="both"/>
        <w:ind w:right="480" w:firstLine="456"/>
        <w:spacing w:after="0" w:line="332" w:lineRule="auto"/>
        <w:rPr>
          <w:sz w:val="20"/>
          <w:szCs w:val="20"/>
          <w:color w:val="auto"/>
        </w:rPr>
      </w:pPr>
      <w:r>
        <w:rPr>
          <w:rFonts w:ascii="Arial" w:cs="Arial" w:eastAsia="Arial" w:hAnsi="Arial"/>
          <w:sz w:val="16"/>
          <w:szCs w:val="16"/>
          <w:color w:val="auto"/>
        </w:rPr>
        <w:t>Since the beginning of fiscal year 2014, we did not participate in any transactions in which any of the director nominees, Class B directors, executive officers, any beneficial owner of more than 5% of our common stock, nor any of their immediate family members, had a direct or indirect material interest.</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Nominating and Corporate Governance, or Nominating Committee, is responsible for, among other things, selection of candidates for the annual slate of Directors.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 Governance Committee;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recommendations from stockholders for the 2015 Annual Meeting.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 with the Board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Mr.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Board believes that our Executive Chairman is best situated to serve as Chairman of the Board because he is a co-founder of the Company and is very familiar with our business and industry, and capable of effectively identifying sources of capital as well as strategic priorities. Further, it allows the Executive Chairman to focus on the management of the Board of Directors and relations with stockholders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Executive Chairman and Chief Executive Officer promotes strategy development and execution, and facilitates information flow between management and the Board, which are essential to effective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Pursuant to our corporate governance principles or as required by NASDAQ rules, non-management directors of the Board meet from time to time without the presence of management. A lead director, to be selected by the independent directors, generally chairs these sessions.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2014, there were 9 meetings of the Board. Each director, except for John Mauldin,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Executive Chairman and Chief Executive Officer and others regarding matters of interest and concern to the Company.</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do not have a formal policy requiring members of the Board to attend the annual meeting, although all directors are strongly encouraged to attend. At the 2014 annual meeting of stockholders, all of the then current board members were present, except John Mauldin.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ind w:right="3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Use of multiple compensation vehicles that provide a balance of long- and short-term incentives with fixed and variable components; and</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incentive awards that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stockholders,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McGladrey LLP the matters required to be discussed by the Statement on Auditing Standards No. 61, </w:t>
      </w:r>
      <w:r>
        <w:rPr>
          <w:rFonts w:ascii="Arial" w:cs="Arial" w:eastAsia="Arial" w:hAnsi="Arial"/>
          <w:sz w:val="16"/>
          <w:szCs w:val="16"/>
          <w:i w:val="1"/>
          <w:iCs w:val="1"/>
          <w:color w:val="auto"/>
        </w:rPr>
        <w:t>Communication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Audit Committees </w:t>
      </w:r>
      <w:r>
        <w:rPr>
          <w:rFonts w:ascii="Arial" w:cs="Arial" w:eastAsia="Arial" w:hAnsi="Arial"/>
          <w:sz w:val="16"/>
          <w:szCs w:val="16"/>
          <w:color w:val="auto"/>
        </w:rPr>
        <w:t>(as amended), which includes, among other items, matters related to the conduct of the annual audit of our Company’s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has also received and reviewed the written disclosures and the letter from McGladrey LLP, as required by applicable requirements of the Public Company Accounting Oversight Board, regarding the communications by McGladrey LLP with the Audit Committee concerning independence, and has discussed with McGladrey LLP its independence from Galectin Therapeutics.</w:t>
      </w:r>
    </w:p>
    <w:p>
      <w:pPr>
        <w:spacing w:after="0" w:line="118"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Galectin Therapeutics for the 2014 fiscal year be included in the Annual Report filed on Form 10-K for the year ended December 31, 2014.</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Greenberg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2014. See “Executive Compensation” for a description of compensation for Mr. Czirr and Dr. Traber.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Non-Equity</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60" w:type="dxa"/>
            <w:vAlign w:val="bottom"/>
            <w:vMerge w:val="restart"/>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or Paid in</w:t>
            </w: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Awards</w:t>
            </w: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4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6"/>
              </w:rPr>
              <w:t>Cash ($)</w:t>
            </w: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6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58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7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7"/>
              </w:rPr>
              <w:t>12,000</w:t>
            </w:r>
          </w:p>
        </w:tc>
        <w:tc>
          <w:tcPr>
            <w:tcW w:w="6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4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84,000(4)</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133,800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4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122,584</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72,000(5)</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H. Paul Pressler, J.D.</w:t>
            </w:r>
          </w:p>
        </w:tc>
        <w:tc>
          <w:tcPr>
            <w:tcW w:w="14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made during 2014, computed in accordance with the Stock Compensation Topic of the FASB ASC, as modified and supplemented. Fair value was calculated using the Black-Scholes options pricing model. The only option grants made to Board members in 2014 were 10,000 shares granted to Rod Martin on January 21, 2014, of which 25% of the options were immediately vested and 75% of the options vests over a three year period, and a grant of 28,323 shares for Dr. Omenn when he joined the Board in 2014, which vests over a period ending in February of 2015. Dr. Omenn’s option award was intended to include a standard initial equity grant plus options awarded for his long service as a member of our Scientific Advisory Board. Previously, we had made option awards to all of our board members in 2013 and 2011, as well as an initial grant to many at the time of their initial election to the Board. For a description of the assumptions used to determine these amounts, see Note 7 in the Notes to the Consolidated Financial Statement in our Annual Report on Form 10-K for the fiscal year ending December 31, 2014.</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non-employee director (representing unexercised options awards – both exercisable and un-exercisable) at December 31, 2014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Shares Subject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Option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Awards Held as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980" w:type="dxa"/>
            <w:vAlign w:val="bottom"/>
            <w:gridSpan w:val="2"/>
            <w:vMerge w:val="restart"/>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980" w:type="dxa"/>
            <w:vAlign w:val="bottom"/>
            <w:gridSpan w:val="2"/>
            <w:vMerge w:val="continue"/>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9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1040" w:type="dxa"/>
            <w:vAlign w:val="bottom"/>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Rod D. Martin, J.D.</w:t>
            </w:r>
          </w:p>
        </w:tc>
        <w:tc>
          <w:tcPr>
            <w:tcW w:w="1040" w:type="dxa"/>
            <w:vAlign w:val="bottom"/>
          </w:tcPr>
          <w:p>
            <w:pPr>
              <w:jc w:val="right"/>
              <w:spacing w:after="0"/>
              <w:rPr>
                <w:sz w:val="20"/>
                <w:szCs w:val="20"/>
                <w:color w:val="auto"/>
              </w:rPr>
            </w:pPr>
            <w:r>
              <w:rPr>
                <w:rFonts w:ascii="Arial" w:cs="Arial" w:eastAsia="Arial" w:hAnsi="Arial"/>
                <w:sz w:val="18"/>
                <w:szCs w:val="18"/>
                <w:color w:val="auto"/>
              </w:rPr>
              <w:t>40,902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Mauldin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Gilbert S. Omenn, M.D., Ph.D.</w:t>
            </w:r>
          </w:p>
        </w:tc>
        <w:tc>
          <w:tcPr>
            <w:tcW w:w="1040" w:type="dxa"/>
            <w:vAlign w:val="bottom"/>
          </w:tcPr>
          <w:p>
            <w:pPr>
              <w:jc w:val="right"/>
              <w:spacing w:after="0"/>
              <w:rPr>
                <w:sz w:val="20"/>
                <w:szCs w:val="20"/>
                <w:color w:val="auto"/>
              </w:rPr>
            </w:pPr>
            <w:r>
              <w:rPr>
                <w:rFonts w:ascii="Arial" w:cs="Arial" w:eastAsia="Arial" w:hAnsi="Arial"/>
                <w:sz w:val="18"/>
                <w:szCs w:val="18"/>
                <w:color w:val="auto"/>
              </w:rPr>
              <w:t>28,323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H. Paul Pressler, J.D.</w:t>
            </w:r>
          </w:p>
        </w:tc>
        <w:tc>
          <w:tcPr>
            <w:tcW w:w="1040" w:type="dxa"/>
            <w:vAlign w:val="bottom"/>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for service as Vice Chairman of the Board. Retainer for services as Compensation Committee Chairman and Nominating and Corporate Governance Committee Chairman were waived.</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for service as Audit Committee Chairman.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2" w:name="page23"/>
    <w:bookmarkEnd w:id="22"/>
    <w:p>
      <w:pPr>
        <w:ind w:right="4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more detailed description of the assumptions used for purposes of determining grant date fair value, see Note 10 to the Financial Statements and “Management’s Discussion and Analysis of Financial Condition and Results of Operations — Critical Accounting Policies and Estimates — Stock-Based Compensation” included in the Form 10-K for the 2014 fiscal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2014, non-employee directors of the Company did not receive any cash retainer, except that the Vice-Chairman of the Board received an annual cash retainer of $84,000, the Audit Committee Chairman received an annual cash retainer of $72,000. The Nominating and Corporate Governance Committee Chairman was entitled to receive an annual cash retainer of $36,000 and the Compensation Committee Chairman was entitled to receive an annual cash retainer of $36,000, but these were deemed waived because the positions were held by the Vice Chairman of the Board.</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Beginning in March 2015, non-employee directors of the Company will receive an annual cash retainer of $35,000. Each Nominating and Corporate Governance Committee member will receive an additional cash retainer of $3,500</w:t>
      </w:r>
      <w:r>
        <w:rPr>
          <w:rFonts w:ascii="Arial" w:cs="Arial" w:eastAsia="Arial" w:hAnsi="Arial"/>
          <w:sz w:val="16"/>
          <w:szCs w:val="16"/>
          <w:b w:val="1"/>
          <w:bCs w:val="1"/>
          <w:color w:val="auto"/>
        </w:rPr>
        <w:t>;</w:t>
      </w:r>
      <w:r>
        <w:rPr>
          <w:rFonts w:ascii="Arial" w:cs="Arial" w:eastAsia="Arial" w:hAnsi="Arial"/>
          <w:sz w:val="16"/>
          <w:szCs w:val="16"/>
          <w:color w:val="auto"/>
        </w:rPr>
        <w:t xml:space="preserve">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$7,000; the Compensation Committee Chairman will receive an annual cash retainer of $10,000; and the Audit Committee Chairman will receive an annual cash retainer of $15,000. There will be no separate cash compensation paid to the Vice-Chairman of the Board.</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Also beginning in March 2015, non-employee directors standing for re-election will receive annual restricted stock grants under the Company’s equity incentive plan valued at $40,000 as of the grant date and subject to a one-year vesting period. In addition to the annual grant, any new non-employee director will receive an initial restricted stock grant valued at $80,000 as of the grant date and subject to a three-year, quarterly vesting period.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provides information as of December 31, 2014 about the securities issued, or authorized for future issuance, under our equity compensation plans, consisting of our 2001 Stock Incentive Plan, our 2003 Non-Employee Director Stock Incentive Plan, and our 2009 Incentive Compensation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Weighted-</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average</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0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5780" w:type="dxa"/>
            <w:vAlign w:val="bottom"/>
            <w:gridSpan w:val="3"/>
            <w:vMerge w:val="continue"/>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outstanding options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82"/>
              </w:rPr>
              <w:t>options</w:t>
            </w:r>
          </w:p>
        </w:tc>
        <w:tc>
          <w:tcPr>
            <w:tcW w:w="1020" w:type="dxa"/>
            <w:vAlign w:val="bottom"/>
          </w:tcPr>
          <w:p>
            <w:pPr>
              <w:spacing w:after="0"/>
              <w:rPr>
                <w:sz w:val="12"/>
                <w:szCs w:val="12"/>
                <w:color w:val="auto"/>
              </w:rPr>
            </w:pPr>
          </w:p>
        </w:tc>
        <w:tc>
          <w:tcPr>
            <w:tcW w:w="14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3,332,617</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5.79</w:t>
            </w:r>
          </w:p>
        </w:tc>
        <w:tc>
          <w:tcPr>
            <w:tcW w:w="10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1,851,114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240" w:type="dxa"/>
            <w:vAlign w:val="bottom"/>
          </w:tcPr>
          <w:p>
            <w:pPr>
              <w:jc w:val="right"/>
              <w:spacing w:after="0"/>
              <w:rPr>
                <w:sz w:val="20"/>
                <w:szCs w:val="20"/>
                <w:color w:val="auto"/>
              </w:rPr>
            </w:pPr>
            <w:r>
              <w:rPr>
                <w:rFonts w:ascii="Arial" w:cs="Arial" w:eastAsia="Arial" w:hAnsi="Arial"/>
                <w:sz w:val="18"/>
                <w:szCs w:val="18"/>
                <w:color w:val="auto"/>
              </w:rPr>
              <w:t>1,416,669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7.02</w:t>
            </w:r>
          </w:p>
        </w:tc>
        <w:tc>
          <w:tcPr>
            <w:tcW w:w="102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4,749,286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grants by the Board of Directors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CD&amp;A describes our 2014 executive compensation program and explains the Company’s compensation philosophy, policies, and practices, focusing primarily on the compensation of our named executive officers, or NEOs. This CD&amp;A is intended to be read in conjunction with the tables beginning on page 26, which provide detailed historical compensation information for our following NEOs: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3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320" w:type="dxa"/>
            <w:vAlign w:val="bottom"/>
            <w:vMerge w:val="restart"/>
          </w:tcPr>
          <w:p>
            <w:pPr>
              <w:ind w:left="40"/>
              <w:spacing w:after="0"/>
              <w:rPr>
                <w:sz w:val="20"/>
                <w:szCs w:val="20"/>
                <w:color w:val="auto"/>
              </w:rPr>
            </w:pPr>
            <w:r>
              <w:rPr>
                <w:rFonts w:ascii="Arial" w:cs="Arial" w:eastAsia="Arial" w:hAnsi="Arial"/>
                <w:sz w:val="18"/>
                <w:szCs w:val="18"/>
                <w:color w:val="auto"/>
              </w:rPr>
              <w:t>G. Traber, M.D.</w:t>
            </w:r>
          </w:p>
        </w:tc>
        <w:tc>
          <w:tcPr>
            <w:tcW w:w="2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w w:val="83"/>
              </w:rPr>
              <w:t>Peter</w:t>
            </w:r>
          </w:p>
        </w:tc>
        <w:tc>
          <w:tcPr>
            <w:tcW w:w="4320" w:type="dxa"/>
            <w:vAlign w:val="bottom"/>
            <w:vMerge w:val="continue"/>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w w:val="89"/>
              </w:rPr>
              <w:t>Chief Executive Officer, President and Director</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3340" w:type="dxa"/>
            <w:vAlign w:val="bottom"/>
            <w:gridSpan w:val="2"/>
          </w:tcPr>
          <w:p>
            <w:pPr>
              <w:spacing w:after="0"/>
              <w:rPr>
                <w:sz w:val="20"/>
                <w:szCs w:val="20"/>
                <w:color w:val="auto"/>
              </w:rPr>
            </w:pPr>
            <w:r>
              <w:rPr>
                <w:rFonts w:ascii="Arial" w:cs="Arial" w:eastAsia="Arial" w:hAnsi="Arial"/>
                <w:sz w:val="18"/>
                <w:szCs w:val="18"/>
                <w:color w:val="auto"/>
              </w:rPr>
              <w:t>Executive Chairman and Director</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3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33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align executives’ interests with our success by making a portion of the executive’s compensation dependent upon corporate performance;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the Board of Directors, many of whom sit on the boards of directors of, or have previously advised, numerous companies, including companies in the life sciences industry.</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2013 annual meeting of stockholders was the first time the Company was required to conduct a stockholder advisory vote on the compensation of our NEOs, The Company was pleased that the holders of approximately 97% of our outstanding common stock voting on the matter voted in favor of the compensation of our NEOs, as disclosed in the proxy materials for the 2013 Annual Meeting. In addition, at the same Annual Meeting, the holders of approximately 62% of our outstanding common stock voting on the matter voted in favor of holding the stockholder advisory vote every three years. The Company’s next stockholder advisory vote on the compensation of our NEOs will be held at our 2016 Annual Meeting.</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2014, the Compensation Committee undertook a review of our compensation policies and practices and retained the compensation consulting firm of Barney &amp; Barney LLC to provide compensation information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4" w:name="page25"/>
    <w:bookmarkEnd w:id="24"/>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0"/>
          <w:szCs w:val="10"/>
          <w:color w:val="auto"/>
        </w:rPr>
        <w:t>th</w:t>
      </w:r>
      <w:r>
        <w:rPr>
          <w:rFonts w:ascii="Arial" w:cs="Arial" w:eastAsia="Arial" w:hAnsi="Arial"/>
          <w:sz w:val="16"/>
          <w:szCs w:val="16"/>
          <w:color w:val="auto"/>
        </w:rPr>
        <w:t xml:space="preserve"> percentile of the total compensation of our competitor companies.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Compensation Committee plans to continue to use a compensation consultant in the future and take into account publicly-available data relating to the compensation practices and policies of other companies within and outside our industry. For 2015 and future years, the Compensation Committee intends to benchmark its executive compensation program to target the 50</w:t>
      </w:r>
      <w:r>
        <w:rPr>
          <w:rFonts w:ascii="Arial" w:cs="Arial" w:eastAsia="Arial" w:hAnsi="Arial"/>
          <w:sz w:val="10"/>
          <w:szCs w:val="10"/>
          <w:color w:val="auto"/>
        </w:rPr>
        <w:t>th</w:t>
      </w:r>
      <w:r>
        <w:rPr>
          <w:rFonts w:ascii="Arial" w:cs="Arial" w:eastAsia="Arial" w:hAnsi="Arial"/>
          <w:sz w:val="16"/>
          <w:szCs w:val="16"/>
          <w:color w:val="auto"/>
        </w:rPr>
        <w:t xml:space="preserve"> percentile of the total compensation programs of our competitor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performance bonuses;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1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In May of 2014, the Compensation Committee reviewed the base salaries of our NEOs, taking into account the considerations described above. As</w:t>
      </w:r>
    </w:p>
    <w:p>
      <w:pPr>
        <w:spacing w:after="0" w:line="38"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expressed in the following table, the Compensation Committee approved salary increases for Messrs. Traber and Shlevin but not for Messrs. Czirr and Callicutt: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2013 Base Salary</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2014 Base Salary</w:t>
            </w:r>
          </w:p>
        </w:tc>
      </w:tr>
      <w:tr>
        <w:trPr>
          <w:trHeight w:val="203"/>
        </w:trPr>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 Traber, M.D.</w:t>
            </w:r>
          </w:p>
        </w:tc>
        <w:tc>
          <w:tcPr>
            <w:tcW w:w="3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2"/>
              </w:rPr>
              <w:t>375,000</w:t>
            </w:r>
          </w:p>
        </w:tc>
        <w:tc>
          <w:tcPr>
            <w:tcW w:w="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3620" w:type="dxa"/>
            <w:vAlign w:val="bottom"/>
            <w:gridSpan w:val="2"/>
          </w:tcPr>
          <w:p>
            <w:pPr>
              <w:ind w:left="3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240,000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36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18"/>
                <w:szCs w:val="18"/>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3620" w:type="dxa"/>
            <w:vAlign w:val="bottom"/>
            <w:gridSpan w:val="2"/>
          </w:tcPr>
          <w:p>
            <w:pPr>
              <w:ind w:left="3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Compensation Committee will make further adjustments to base salaries of our NEOs to move closer to our benchmark.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 Bonuses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Short-Term and Long-Term Incentive Program</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2013, upon recommendation by the Compensation Committee and approval by the Board of Directors, the Employee Short-Term and Long-Term Incentive Program (the “Program”)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20% to 40%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Chief Executive Officer may offer input to the Compensation Committee as to whether certain Company performance and individual performance objectives (other than the Chief Executive Officer’s) have been achieved. The Compensation Committee also has the discretion to adjust (upward or downward individual annual performance bonuses by up to 25%.</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2014, the Compensation Committee set six Company performance objectives under the Program for 2014 annual performance bonuses to be payable:</w:t>
      </w:r>
    </w:p>
    <w:p>
      <w:pPr>
        <w:spacing w:after="0" w:line="11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human proof of concept for GR-MD-02 treatment of non-alcoholic steatohepatitis with advanced fibrosis.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human proof of concept for use of galectin inhibitors in combination with immunotherapy for cancer.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sustainable program for GR-MD-02 manufacturing and controls.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appropriate quality assurance and quality control oversight and strengthen regulatory support.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Strengthen and expand pipeline and indications for galectin blocking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Strengthen business practices, financial resources, investor communication and strategic partnerships.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 more information about GR-MD-02 and our drug development program please see Item 1 of our Annual Report on Form 10-K for the fiscal year ending</w:t>
      </w:r>
      <w:r>
        <w:rPr>
          <w:rFonts w:ascii="Arial" w:cs="Arial" w:eastAsia="Arial" w:hAnsi="Arial"/>
          <w:sz w:val="18"/>
          <w:szCs w:val="18"/>
          <w:color w:val="auto"/>
        </w:rPr>
        <w:t xml:space="preserve"> </w:t>
      </w:r>
      <w:r>
        <w:rPr>
          <w:rFonts w:ascii="Arial" w:cs="Arial" w:eastAsia="Arial" w:hAnsi="Arial"/>
          <w:sz w:val="18"/>
          <w:szCs w:val="18"/>
          <w:i w:val="1"/>
          <w:iCs w:val="1"/>
          <w:color w:val="auto"/>
        </w:rPr>
        <w:t>December 31, 2014</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2014 individual performance objectives for each NEO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Individual Performance Goals</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Peter</w:t>
            </w:r>
          </w:p>
        </w:tc>
        <w:tc>
          <w:tcPr>
            <w:tcW w:w="3740" w:type="dxa"/>
            <w:vAlign w:val="bottom"/>
          </w:tcPr>
          <w:p>
            <w:pPr>
              <w:ind w:left="40"/>
              <w:spacing w:after="0" w:line="201" w:lineRule="exact"/>
              <w:rPr>
                <w:sz w:val="20"/>
                <w:szCs w:val="20"/>
                <w:color w:val="auto"/>
              </w:rPr>
            </w:pPr>
            <w:r>
              <w:rPr>
                <w:rFonts w:ascii="Arial" w:cs="Arial" w:eastAsia="Arial" w:hAnsi="Arial"/>
                <w:sz w:val="18"/>
                <w:szCs w:val="18"/>
                <w:color w:val="auto"/>
              </w:rPr>
              <w:t>G. Traber, M.D.</w:t>
            </w: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rPr>
              <w:t>multiple individual</w:t>
            </w:r>
          </w:p>
        </w:tc>
        <w:tc>
          <w:tcPr>
            <w:tcW w:w="5420" w:type="dxa"/>
            <w:vAlign w:val="bottom"/>
          </w:tcPr>
          <w:p>
            <w:pPr>
              <w:spacing w:after="0" w:line="201" w:lineRule="exact"/>
              <w:rPr>
                <w:sz w:val="20"/>
                <w:szCs w:val="20"/>
                <w:color w:val="auto"/>
              </w:rPr>
            </w:pPr>
            <w:r>
              <w:rPr>
                <w:rFonts w:ascii="Arial" w:cs="Arial" w:eastAsia="Arial" w:hAnsi="Arial"/>
                <w:sz w:val="18"/>
                <w:szCs w:val="18"/>
                <w:color w:val="auto"/>
                <w:w w:val="85"/>
              </w:rPr>
              <w:t>objectives intended to measure contributions toward successful achievement of</w:t>
            </w:r>
          </w:p>
        </w:tc>
      </w:tr>
      <w:tr>
        <w:trPr>
          <w:trHeight w:val="222"/>
        </w:trPr>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rPr>
              <w:t>each Company performance objective.</w:t>
            </w:r>
          </w:p>
        </w:tc>
      </w:tr>
      <w:tr>
        <w:trPr>
          <w:trHeight w:val="284"/>
        </w:trPr>
        <w:tc>
          <w:tcPr>
            <w:tcW w:w="41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w w:val="88"/>
              </w:rPr>
              <w:t>manage the Board of Directors; and develop and implement financing strategies with management</w:t>
            </w:r>
          </w:p>
        </w:tc>
      </w:tr>
      <w:tr>
        <w:trPr>
          <w:trHeight w:val="277"/>
        </w:trPr>
        <w:tc>
          <w:tcPr>
            <w:tcW w:w="41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w w:val="88"/>
              </w:rPr>
              <w:t>multiple individual objectives intended to measure contributions toward successful achievement of</w:t>
            </w:r>
          </w:p>
        </w:tc>
      </w:tr>
      <w:tr>
        <w:trPr>
          <w:trHeight w:val="222"/>
        </w:trPr>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rPr>
              <w:t>each Company performance objective.</w:t>
            </w:r>
          </w:p>
        </w:tc>
      </w:tr>
      <w:tr>
        <w:trPr>
          <w:trHeight w:val="277"/>
        </w:trPr>
        <w:tc>
          <w:tcPr>
            <w:tcW w:w="41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w w:val="93"/>
              </w:rPr>
              <w:t>maintaining appropriate financial, reporting and risk management reporting and controls; and</w:t>
            </w:r>
          </w:p>
        </w:tc>
      </w:tr>
      <w:tr>
        <w:trPr>
          <w:trHeight w:val="222"/>
        </w:trPr>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80" w:type="dxa"/>
            <w:vAlign w:val="bottom"/>
            <w:gridSpan w:val="2"/>
          </w:tcPr>
          <w:p>
            <w:pPr>
              <w:ind w:left="140"/>
              <w:spacing w:after="0"/>
              <w:rPr>
                <w:sz w:val="20"/>
                <w:szCs w:val="20"/>
                <w:color w:val="auto"/>
              </w:rPr>
            </w:pPr>
            <w:r>
              <w:rPr>
                <w:rFonts w:ascii="Arial" w:cs="Arial" w:eastAsia="Arial" w:hAnsi="Arial"/>
                <w:sz w:val="18"/>
                <w:szCs w:val="18"/>
                <w:color w:val="auto"/>
              </w:rPr>
              <w:t>support financing and investor relations activities.</w:t>
            </w:r>
          </w:p>
        </w:tc>
      </w:tr>
      <w:tr>
        <w:trPr>
          <w:trHeight w:val="378"/>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22</w:t>
            </w:r>
          </w:p>
        </w:tc>
        <w:tc>
          <w:tcPr>
            <w:tcW w:w="54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represents each NEO’s annual performance bonus target opportunity for 2014 (based on base salary as of the end of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164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1"/>
              </w:rPr>
              <w:t>Target %</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Maximum %</w:t>
            </w:r>
          </w:p>
        </w:tc>
        <w:tc>
          <w:tcPr>
            <w:tcW w:w="0" w:type="dxa"/>
            <w:vAlign w:val="bottom"/>
          </w:tcPr>
          <w:p>
            <w:pPr>
              <w:spacing w:after="0"/>
              <w:rPr>
                <w:sz w:val="1"/>
                <w:szCs w:val="1"/>
                <w:color w:val="auto"/>
              </w:rPr>
            </w:pPr>
          </w:p>
        </w:tc>
      </w:tr>
      <w:tr>
        <w:trPr>
          <w:trHeight w:val="20"/>
        </w:trPr>
        <w:tc>
          <w:tcPr>
            <w:tcW w:w="8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2"/>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940"/>
              <w:spacing w:after="0" w:line="203" w:lineRule="exact"/>
              <w:rPr>
                <w:sz w:val="20"/>
                <w:szCs w:val="20"/>
                <w:color w:val="auto"/>
              </w:rPr>
            </w:pPr>
            <w:r>
              <w:rPr>
                <w:rFonts w:ascii="Arial" w:cs="Arial" w:eastAsia="Arial" w:hAnsi="Arial"/>
                <w:sz w:val="18"/>
                <w:szCs w:val="18"/>
                <w:color w:val="auto"/>
              </w:rPr>
              <w:t>40%</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640" w:type="dxa"/>
            <w:vAlign w:val="bottom"/>
            <w:gridSpan w:val="2"/>
          </w:tcPr>
          <w:p>
            <w:pPr>
              <w:jc w:val="right"/>
              <w:ind w:right="94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6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640" w:type="dxa"/>
            <w:vAlign w:val="bottom"/>
            <w:gridSpan w:val="2"/>
          </w:tcPr>
          <w:p>
            <w:pPr>
              <w:jc w:val="right"/>
              <w:ind w:right="94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the 2014 performance year, the Compensation Committee awarded the NEOs the following annual performance bonuses based on its determination that all Company performance objectives and individual performance objectives were achieved and certain objectives were even exceeded.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Annual Performance Bonus Amount</w:t>
            </w:r>
          </w:p>
        </w:tc>
        <w:tc>
          <w:tcPr>
            <w:tcW w:w="2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Awarded Amount As % of Base Salary</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6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60" w:type="dxa"/>
            <w:vAlign w:val="bottom"/>
            <w:vMerge w:val="restart"/>
            <w:shd w:val="clear" w:color="auto" w:fill="CCEEFF"/>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213,400</w:t>
            </w:r>
          </w:p>
        </w:tc>
        <w:tc>
          <w:tcPr>
            <w:tcW w:w="1860" w:type="dxa"/>
            <w:vAlign w:val="bottom"/>
            <w:vMerge w:val="continue"/>
            <w:shd w:val="clear" w:color="auto" w:fill="CCEEFF"/>
          </w:tcPr>
          <w:p>
            <w:pPr>
              <w:spacing w:after="0"/>
              <w:rPr>
                <w:sz w:val="17"/>
                <w:szCs w:val="17"/>
                <w:color w:val="auto"/>
              </w:rPr>
            </w:pPr>
          </w:p>
        </w:tc>
        <w:tc>
          <w:tcPr>
            <w:tcW w:w="24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4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84,000</w:t>
            </w:r>
          </w:p>
        </w:tc>
        <w:tc>
          <w:tcPr>
            <w:tcW w:w="1860" w:type="dxa"/>
            <w:vAlign w:val="bottom"/>
          </w:tcPr>
          <w:p>
            <w:pPr>
              <w:spacing w:after="0"/>
              <w:rPr>
                <w:sz w:val="18"/>
                <w:szCs w:val="18"/>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24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77,625</w:t>
            </w:r>
          </w:p>
        </w:tc>
        <w:tc>
          <w:tcPr>
            <w:tcW w:w="18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4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38,500</w:t>
            </w:r>
          </w:p>
        </w:tc>
        <w:tc>
          <w:tcPr>
            <w:tcW w:w="186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Annual performance bonuses under the Program are not designed to meet the “performance-based compensation” exception under Section 162(m) of the Internal Revenue Code of 1986, as amended (the “Code”). However, in the past, our NEOs’ compensation has not been high enough to make the Code</w:t>
      </w:r>
    </w:p>
    <w:p>
      <w:pPr>
        <w:spacing w:after="0"/>
        <w:rPr>
          <w:sz w:val="20"/>
          <w:szCs w:val="20"/>
          <w:color w:val="auto"/>
        </w:rPr>
      </w:pPr>
      <w:r>
        <w:rPr>
          <w:rFonts w:ascii="Arial" w:cs="Arial" w:eastAsia="Arial" w:hAnsi="Arial"/>
          <w:sz w:val="16"/>
          <w:szCs w:val="16"/>
          <w:color w:val="auto"/>
        </w:rPr>
        <w:t>Section 162(m) limit a critical issue for the Company. Deductibility under Code Section 162(m) is only one consideration in determining executive compensation.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0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6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January 29, 2015, the NEOs were awarded the following options based on 2014 performance. 25% of the options vest immediately upon grant and 75% of the options vest on a pro-rata monthly basis over three years. The exercise price of the options is set at the closing price of our stock as of the grant date.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40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Securities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68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Grant Date</w:t>
            </w:r>
          </w:p>
        </w:tc>
        <w:tc>
          <w:tcPr>
            <w:tcW w:w="1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9"/>
              </w:rPr>
              <w:t>Underlying Options</w:t>
            </w:r>
          </w:p>
        </w:tc>
        <w:tc>
          <w:tcPr>
            <w:tcW w:w="800" w:type="dxa"/>
            <w:vAlign w:val="bottom"/>
          </w:tcPr>
          <w:p>
            <w:pPr>
              <w:spacing w:after="0"/>
              <w:rPr>
                <w:sz w:val="14"/>
                <w:szCs w:val="14"/>
                <w:color w:val="auto"/>
              </w:rPr>
            </w:pP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 Traber, M.D.</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01/29/2015</w:t>
            </w:r>
          </w:p>
        </w:tc>
        <w:tc>
          <w:tcPr>
            <w:tcW w:w="8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134,000</w:t>
            </w:r>
          </w:p>
        </w:tc>
        <w:tc>
          <w:tcPr>
            <w:tcW w:w="8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01/29/2015</w:t>
            </w:r>
          </w:p>
        </w:tc>
        <w:tc>
          <w:tcPr>
            <w:tcW w:w="1240" w:type="dxa"/>
            <w:vAlign w:val="bottom"/>
          </w:tcPr>
          <w:p>
            <w:pPr>
              <w:jc w:val="right"/>
              <w:spacing w:after="0"/>
              <w:rPr>
                <w:sz w:val="20"/>
                <w:szCs w:val="20"/>
                <w:color w:val="auto"/>
              </w:rPr>
            </w:pPr>
            <w:r>
              <w:rPr>
                <w:rFonts w:ascii="Arial" w:cs="Arial" w:eastAsia="Arial" w:hAnsi="Arial"/>
                <w:sz w:val="18"/>
                <w:szCs w:val="18"/>
                <w:color w:val="auto"/>
              </w:rPr>
              <w:t>61,000</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5"/>
              </w:rPr>
              <w:t>01/29/2015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01/29/2015</w:t>
            </w:r>
          </w:p>
        </w:tc>
        <w:tc>
          <w:tcPr>
            <w:tcW w:w="1240" w:type="dxa"/>
            <w:vAlign w:val="bottom"/>
          </w:tcPr>
          <w:p>
            <w:pPr>
              <w:jc w:val="right"/>
              <w:spacing w:after="0"/>
              <w:rPr>
                <w:sz w:val="20"/>
                <w:szCs w:val="20"/>
                <w:color w:val="auto"/>
              </w:rPr>
            </w:pPr>
            <w:r>
              <w:rPr>
                <w:rFonts w:ascii="Arial" w:cs="Arial" w:eastAsia="Arial" w:hAnsi="Arial"/>
                <w:sz w:val="18"/>
                <w:szCs w:val="18"/>
                <w:color w:val="auto"/>
              </w:rPr>
              <w:t>26,000</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Stock options granted under the 2009 Incentive Compensation Plan meet the “performance-based compensation” exception under Code Section 162(m). However, in the past, our NEOs’ compensation has not been high enough to make the Code Section 162(m) limit a critical issue for the Company. Deductibility under Code Section 162(m) is only one consideration in determining executive compensation.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Terms of Employment Contracts of Named Executive Officers</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26, 2011, we entered into an employment agreement with Dr. Traber for a three-year term beginning March 17, 2011, which shall continue for up to two one-year additional terms unless either party provides at least 6 months’ prior notice that the employment shall not continue. The first successive one-year renewal term of the agreement commenced on March 19, 2014 and the second successive one-year renewal term commenced on March 19, 2015. The agreement provided for an annual salary during the initial year in the amount of $195,000, which was to be adjusted beginning the second year based on industry surveys of executive compensation in comparable companies, but not to be less than $300,000. As part of our annual review of compensation for our executive officers, we increased Dr. Traber’s base salary to $485,000, effective March 1, 2014. Dr. Traber is also entitled to participate in incentive, retirement, profit-sharing, life, medical, disability and other plans generally available to our senior executives at our expense.</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As contemplated by the agreement, on May 26, 2011, our Board of Directors granted Dr. Traber 125,000 fully-vested options exercisable for 10 years at $7.50 per share. In addition, the agreement (i) accelerated the vesting 100,000 warrants that we granted to Dr. Traber in consideration for his service to the Company as Chief Medical Officer on a consultant basis prior his becoming an executive officer, (ii) amended our prior grant of 833,334 options to include a cashless exercise provision, and (iii) limited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C. Czirr, Executive Chairman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28, 2011, we entered into an employment agreement with James C. Czirr, Executive Chairman of the Company for a three year term beginning June 28, 2011, which may continue for up to two one-year additional terms. The agreement provides for an annual base salary of $185,000 for the first year of the initial term and $240,000 for the second and third years. Mr. Czirr’s employment has continued into the first one-year renewal term, with the first annual review of his base salary to occur along with other NEOs in early 2015. Mr. Czirr is also entitled to (i) participate in incentive, retirement, profit-sharing, life, medical, disability and other plans generally available to senior executives of the Company, (ii) life insurance coverage of $2,000,000 and long-term disability insurance at Company expense, and (iii) business expense reimbursement including up to $4,000 per month, unless otherwise approved, for office expenses.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contemplated by the agreement, our Board of Directors on June 28, 2011, granted Mr. Czirr 500,000 options of our common stock exercisable at $7.02 per share, which vest in twenty quarterly installments of 25,000 shares beginning 90 days after the grant date, provided Mr. Czirr is employed on the applicable vesting date. We also agreed to register the offer and sale of the shares underlying such options. Mr. Czirr agreed not to loan or pledge securities of the Company until after his obligation to report transactions in our securities has expired, and not to effect short sales of our securities for 5 years after termination of the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entered into an amended and restated employment agreement with Dr. Shlevin on December 11, 2014. The restated agreement provides for an initial term from December 11, 2014 through December 31, 2015, and automatically renews for additional one-year periods, unless otherwise terminated by either party. In accordance with the terms of the restated Agreement, Dr. Shlevin will receive a base salary of $230,000 per year beginning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8" w:name="page29"/>
    <w:bookmarkEnd w:id="2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2015 and will receive an annual performance bonus based on attainment of one or more pre-established individual and/or Company performance goals established by the Compensation Committee. Dr. Shlevin’s target performance bonus opportunity in a given year may not be less than 30% of his base salary in such year.</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restated agreement replaces his original agreement that provided for an initial term from October 1, 2012 through December 31, 2014. In accordance with the terms of the original agreement, Dr. Shlevin received an initial base salary of $200,000 per year and was eligible for a performance bonus for 2014 of up to $50,000, based on individual and Company performance. Dr. Shlevin’s original agreement also provided for a one-time signing bonus of $25,000 and a grant of options to purchase 250,000 shares of the Company’s common stock. The exercise price of the options is $2.32, which is equal to the closing price of the Company’s stock price on August 27, 2012, and 50,000 shares vested upon execution of the original agreement, 50,000 shares vested on December 31, 2012, 75,000 shares vested on December 31, 2013, and 75,000 shares vested on December 31,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entered into an employment agreement with Mr. Callicutt dated July 1, 2013, in conjunction with Mr. Callicutt’s appointment as our Chief Financial Officer. Pursuant to the terms of the agreement, Mr. Callicutt received an initial base salary of $175,000 and is eligible to receive a performance bonus equal to 20% of his base salary.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From time to time, the Company has provided the NEOs with employee benefits and perquisites that the Board of Directors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S. Omenn, M.D., Ph.D.,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Rubin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2014, 2013 and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Option</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3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Salary</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Awards ($)</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vMerge w:val="continue"/>
          </w:tcPr>
          <w:p>
            <w:pPr>
              <w:spacing w:after="0"/>
              <w:rPr>
                <w:sz w:val="12"/>
                <w:szCs w:val="12"/>
                <w:color w:val="auto"/>
              </w:rPr>
            </w:pPr>
          </w:p>
        </w:tc>
        <w:tc>
          <w:tcPr>
            <w:tcW w:w="3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64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 (2)</w:t>
            </w:r>
          </w:p>
        </w:tc>
        <w:tc>
          <w:tcPr>
            <w:tcW w:w="30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2"/>
                <w:szCs w:val="12"/>
                <w:color w:val="auto"/>
              </w:rPr>
            </w:pPr>
          </w:p>
        </w:tc>
        <w:tc>
          <w:tcPr>
            <w:tcW w:w="9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2014</w:t>
            </w:r>
          </w:p>
        </w:tc>
        <w:tc>
          <w:tcPr>
            <w:tcW w:w="3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485,000</w:t>
            </w:r>
          </w:p>
        </w:tc>
        <w:tc>
          <w:tcPr>
            <w:tcW w:w="3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213,400</w:t>
            </w:r>
          </w:p>
        </w:tc>
        <w:tc>
          <w:tcPr>
            <w:tcW w:w="30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1,512,150</w:t>
            </w:r>
          </w:p>
        </w:tc>
        <w:tc>
          <w:tcPr>
            <w:tcW w:w="30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41,502(5)</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2,252,052</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&amp; President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375,000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194,688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43,002(6)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612,690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314,946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713,332</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36,021(7)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1,089,299</w:t>
            </w: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2014</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240,000</w:t>
            </w:r>
          </w:p>
        </w:tc>
        <w:tc>
          <w:tcPr>
            <w:tcW w:w="640" w:type="dxa"/>
            <w:vAlign w:val="bottom"/>
          </w:tcPr>
          <w:p>
            <w:pPr>
              <w:jc w:val="right"/>
              <w:spacing w:after="0"/>
              <w:rPr>
                <w:sz w:val="20"/>
                <w:szCs w:val="20"/>
                <w:color w:val="auto"/>
              </w:rPr>
            </w:pPr>
            <w:r>
              <w:rPr>
                <w:rFonts w:ascii="Arial" w:cs="Arial" w:eastAsia="Arial" w:hAnsi="Arial"/>
                <w:sz w:val="18"/>
                <w:szCs w:val="18"/>
                <w:color w:val="auto"/>
              </w:rPr>
              <w:t>84,000</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688,367</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75,882(8)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1,088,249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Executive Chairman and Director</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2013</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240,000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120,025</w:t>
            </w:r>
          </w:p>
        </w:tc>
        <w:tc>
          <w:tcPr>
            <w:tcW w:w="3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77,189(9)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437,214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2012</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212,503</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79,689(10)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292,192</w:t>
            </w: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230,000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428,819</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35,304(11)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771,748</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 (3)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32,454(12)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292,429</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473,381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8,908(13)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557,289</w:t>
            </w: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2014</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175,000</w:t>
            </w:r>
          </w:p>
        </w:tc>
        <w:tc>
          <w:tcPr>
            <w:tcW w:w="640" w:type="dxa"/>
            <w:vAlign w:val="bottom"/>
          </w:tcPr>
          <w:p>
            <w:pPr>
              <w:jc w:val="right"/>
              <w:spacing w:after="0"/>
              <w:rPr>
                <w:sz w:val="20"/>
                <w:szCs w:val="20"/>
                <w:color w:val="auto"/>
              </w:rPr>
            </w:pPr>
            <w:r>
              <w:rPr>
                <w:rFonts w:ascii="Arial" w:cs="Arial" w:eastAsia="Arial" w:hAnsi="Arial"/>
                <w:sz w:val="18"/>
                <w:szCs w:val="18"/>
                <w:color w:val="auto"/>
              </w:rPr>
              <w:t>38,500</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293,402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38,812(14)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545,714</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(4)</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2013</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87,500</w:t>
            </w:r>
          </w:p>
        </w:tc>
        <w:tc>
          <w:tcPr>
            <w:tcW w:w="640" w:type="dxa"/>
            <w:vAlign w:val="bottom"/>
          </w:tcPr>
          <w:p>
            <w:pPr>
              <w:jc w:val="right"/>
              <w:spacing w:after="0"/>
              <w:rPr>
                <w:sz w:val="20"/>
                <w:szCs w:val="20"/>
                <w:color w:val="auto"/>
              </w:rPr>
            </w:pPr>
            <w:r>
              <w:rPr>
                <w:rFonts w:ascii="Arial" w:cs="Arial" w:eastAsia="Arial" w:hAnsi="Arial"/>
                <w:sz w:val="18"/>
                <w:szCs w:val="18"/>
                <w:color w:val="auto"/>
              </w:rPr>
              <w:t>39,803</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709,542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17,074(15)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853,919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2012</w:t>
            </w:r>
          </w:p>
        </w:tc>
        <w:tc>
          <w:tcPr>
            <w:tcW w:w="3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220" w:hanging="452"/>
        <w:spacing w:after="0" w:line="25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made during 2014, 2013 and 2012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for the fiscal years ended December 31, 2014, 2013 and 2012.</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Bonuses for 2014 were paid in February 2015. Bonuses for 2013 were paid in January 2014, with the exception of $20,000 for Dr. Shlevin and $10,000 for Mr. Callicutt which were paid in 2013.</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Chief Operating Officer from October 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Chief Financial Officer from July 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$31,102 for health and other insurance and $10,400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$32,802 for health and other insurance and $10,200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$28,406 for health and other insurance and $7,615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$17,482 for health and other insurance, $10,400 for 401(k)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$19,550 for health and other insurance, $9,639 for 401(k)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$26,139 for health and other insurance, $5,550 for 401(k)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$27,536 for health and other insurance and $7,768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$24,403 for health and other insurance and $8,049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$7,059 for health and other insurance and $1,849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$31,016 for health and other insurance expenses and $7,796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$14,744 for health and other insurance expenses and $2,920 for 401(k) plan contributions.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All Other</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2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84"/>
              </w:rPr>
              <w:t>Estimated Possible Payouts</w:t>
            </w:r>
          </w:p>
        </w:tc>
        <w:tc>
          <w:tcPr>
            <w:tcW w:w="21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20" w:type="dxa"/>
            <w:vAlign w:val="bottom"/>
            <w:gridSpan w:val="7"/>
            <w:vMerge w:val="continue"/>
          </w:tcPr>
          <w:p>
            <w:pPr>
              <w:spacing w:after="0"/>
              <w:rPr>
                <w:sz w:val="8"/>
                <w:szCs w:val="8"/>
                <w:color w:val="auto"/>
              </w:rPr>
            </w:pPr>
          </w:p>
        </w:tc>
        <w:tc>
          <w:tcPr>
            <w:tcW w:w="212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20" w:type="dxa"/>
            <w:vAlign w:val="bottom"/>
            <w:gridSpan w:val="7"/>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Under Non-Equity Incentive</w:t>
            </w:r>
          </w:p>
        </w:tc>
        <w:tc>
          <w:tcPr>
            <w:tcW w:w="212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Under Equity Incentive</w:t>
            </w: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20" w:type="dxa"/>
            <w:vAlign w:val="bottom"/>
            <w:gridSpan w:val="7"/>
            <w:vMerge w:val="continue"/>
          </w:tcPr>
          <w:p>
            <w:pPr>
              <w:spacing w:after="0"/>
              <w:rPr>
                <w:sz w:val="8"/>
                <w:szCs w:val="8"/>
                <w:color w:val="auto"/>
              </w:rPr>
            </w:pPr>
          </w:p>
        </w:tc>
        <w:tc>
          <w:tcPr>
            <w:tcW w:w="212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320" w:type="dxa"/>
            <w:vAlign w:val="bottom"/>
          </w:tcPr>
          <w:p>
            <w:pPr>
              <w:spacing w:after="0"/>
              <w:rPr>
                <w:sz w:val="8"/>
                <w:szCs w:val="8"/>
                <w:color w:val="auto"/>
              </w:rPr>
            </w:pPr>
          </w:p>
        </w:tc>
        <w:tc>
          <w:tcPr>
            <w:tcW w:w="82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Plan Awards</w:t>
            </w: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of Shares</w:t>
            </w:r>
          </w:p>
        </w:tc>
        <w:tc>
          <w:tcPr>
            <w:tcW w:w="10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Base Price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Stock</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32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12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Grant</w:t>
            </w: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Threshold</w:t>
            </w:r>
          </w:p>
        </w:tc>
        <w:tc>
          <w:tcPr>
            <w:tcW w:w="10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Target</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Maximum</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28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 Units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8"/>
        </w:trPr>
        <w:tc>
          <w:tcPr>
            <w:tcW w:w="1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Date</w:t>
            </w: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92"/>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62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92"/>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260" w:type="dxa"/>
            <w:vAlign w:val="bottom"/>
          </w:tcPr>
          <w:p>
            <w:pPr>
              <w:ind w:left="160"/>
              <w:spacing w:after="0"/>
              <w:rPr>
                <w:sz w:val="20"/>
                <w:szCs w:val="20"/>
                <w:color w:val="auto"/>
              </w:rPr>
            </w:pPr>
            <w:r>
              <w:rPr>
                <w:rFonts w:ascii="Arial" w:cs="Arial" w:eastAsia="Arial" w:hAnsi="Arial"/>
                <w:sz w:val="12"/>
                <w:szCs w:val="12"/>
                <w:b w:val="1"/>
                <w:bCs w:val="1"/>
                <w:color w:val="auto"/>
                <w:w w:val="74"/>
              </w:rPr>
              <w:t>($</w:t>
            </w:r>
          </w:p>
        </w:tc>
        <w:tc>
          <w:tcPr>
            <w:tcW w:w="40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w w:val="83"/>
              </w:rPr>
              <w:t>/Sh)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Peter G. Traber, M.D.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w w:val="77"/>
              </w:rPr>
              <w:t>01/21/2014(1)</w:t>
            </w: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134,000</w:t>
            </w: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13.38</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76"/>
              </w:rPr>
              <w:t>1,512,155(2)</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5"/>
              </w:rPr>
              <w:t>150,000(3)</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500" w:type="dxa"/>
            <w:vAlign w:val="bottom"/>
            <w:gridSpan w:val="3"/>
          </w:tcPr>
          <w:p>
            <w:pPr>
              <w:spacing w:after="0"/>
              <w:rPr>
                <w:sz w:val="20"/>
                <w:szCs w:val="20"/>
                <w:color w:val="auto"/>
              </w:rPr>
            </w:pPr>
            <w:r>
              <w:rPr>
                <w:rFonts w:ascii="Arial" w:cs="Arial" w:eastAsia="Arial" w:hAnsi="Arial"/>
                <w:sz w:val="14"/>
                <w:szCs w:val="14"/>
                <w:color w:val="auto"/>
              </w:rPr>
              <w:t>James C. Czirr</w:t>
            </w:r>
          </w:p>
        </w:tc>
        <w:tc>
          <w:tcPr>
            <w:tcW w:w="1300" w:type="dxa"/>
            <w:vAlign w:val="bottom"/>
            <w:gridSpan w:val="3"/>
          </w:tcPr>
          <w:p>
            <w:pPr>
              <w:ind w:left="140"/>
              <w:spacing w:after="0"/>
              <w:rPr>
                <w:sz w:val="20"/>
                <w:szCs w:val="20"/>
                <w:color w:val="auto"/>
              </w:rPr>
            </w:pPr>
            <w:r>
              <w:rPr>
                <w:rFonts w:ascii="Arial" w:cs="Arial" w:eastAsia="Arial" w:hAnsi="Arial"/>
                <w:sz w:val="14"/>
                <w:szCs w:val="14"/>
                <w:color w:val="auto"/>
              </w:rPr>
              <w:t>01/21/2014(1)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61,000</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13.38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688,367(2)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84,000(3)</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Harold H. Shlevin, Ph.D.</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01/21/2014(1)</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38,000</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428,820(2)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6"/>
              </w:rPr>
              <w:t>72,000(3)</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tabs>
          <w:tab w:leader="none" w:pos="1620" w:val="left"/>
          <w:tab w:leader="none" w:pos="8900" w:val="left"/>
          <w:tab w:leader="none" w:pos="9600" w:val="left"/>
          <w:tab w:leader="none" w:pos="9940" w:val="left"/>
          <w:tab w:leader="none" w:pos="10580" w:val="left"/>
        </w:tabs>
        <w:rPr>
          <w:sz w:val="20"/>
          <w:szCs w:val="20"/>
          <w:color w:val="auto"/>
        </w:rPr>
      </w:pPr>
      <w:r>
        <w:rPr>
          <w:rFonts w:ascii="Arial" w:cs="Arial" w:eastAsia="Arial" w:hAnsi="Arial"/>
          <w:sz w:val="14"/>
          <w:szCs w:val="14"/>
          <w:color w:val="auto"/>
        </w:rPr>
        <w:t>Jack W. Callicutt</w:t>
      </w:r>
      <w:r>
        <w:rPr>
          <w:sz w:val="20"/>
          <w:szCs w:val="20"/>
          <w:color w:val="auto"/>
        </w:rPr>
        <w:tab/>
      </w:r>
      <w:r>
        <w:rPr>
          <w:rFonts w:ascii="Arial" w:cs="Arial" w:eastAsia="Arial" w:hAnsi="Arial"/>
          <w:sz w:val="14"/>
          <w:szCs w:val="14"/>
          <w:color w:val="auto"/>
        </w:rPr>
        <w:t>01/21/2014(1)</w:t>
      </w:r>
      <w:r>
        <w:rPr>
          <w:sz w:val="20"/>
          <w:szCs w:val="20"/>
          <w:color w:val="auto"/>
        </w:rPr>
        <w:tab/>
      </w:r>
      <w:r>
        <w:rPr>
          <w:rFonts w:ascii="Arial" w:cs="Arial" w:eastAsia="Arial" w:hAnsi="Arial"/>
          <w:sz w:val="14"/>
          <w:szCs w:val="14"/>
          <w:color w:val="auto"/>
        </w:rPr>
        <w:t>26,000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13.38</w:t>
      </w:r>
      <w:r>
        <w:rPr>
          <w:sz w:val="20"/>
          <w:szCs w:val="20"/>
          <w:color w:val="auto"/>
        </w:rPr>
        <w:tab/>
      </w:r>
      <w:r>
        <w:rPr>
          <w:rFonts w:ascii="Arial" w:cs="Arial" w:eastAsia="Arial" w:hAnsi="Arial"/>
          <w:sz w:val="12"/>
          <w:szCs w:val="12"/>
          <w:color w:val="auto"/>
        </w:rPr>
        <w:t>$  293,403(2)</w:t>
      </w:r>
    </w:p>
    <w:p>
      <w:pPr>
        <w:ind w:left="2040"/>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$ 35,000(3)</w:t>
      </w:r>
    </w:p>
    <w:p>
      <w:pPr>
        <w:spacing w:after="0" w:line="12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Grants of stock options under our 2009 Incentive Compensation Plan in accordance with the Program.</w:t>
      </w:r>
    </w:p>
    <w:p>
      <w:pPr>
        <w:ind w:left="340" w:right="12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grant date fair value of option awards based upon the Black Scholes valuation model made in 2014. For a description of the assumptions used to determine these amounts, see footnote 1 to the Summary Compensation Table.</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target amount for the 2014 annual performance bonus awards in accordance with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2014</w:t>
      </w:r>
    </w:p>
    <w:p>
      <w:pPr>
        <w:spacing w:after="0" w:line="1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2014. The exercise price of the options is set at the closing price of our stock at the date prior to or as of the date of grant. Outstanding options have been approved by our Compensation Committee and our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Equity</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Incentive</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Unearned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Value of</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Shares,</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0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91"/>
              </w:rPr>
              <w:t>Number of</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Shares</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Units or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or Units</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or Units</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Underlying</w:t>
            </w:r>
          </w:p>
        </w:tc>
        <w:tc>
          <w:tcPr>
            <w:tcW w:w="130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87"/>
              </w:rPr>
              <w:t>Underlying</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of Stock</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of Stock</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Rights</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6"/>
              </w:rPr>
              <w:t>Unexercised</w:t>
            </w:r>
          </w:p>
        </w:tc>
        <w:tc>
          <w:tcPr>
            <w:tcW w:w="130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That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That</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That Have</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Options</w:t>
            </w:r>
          </w:p>
        </w:tc>
        <w:tc>
          <w:tcPr>
            <w:tcW w:w="130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83"/>
              </w:rPr>
              <w:t>Options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Unearned</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Have Not</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Expiration</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2"/>
              </w:rPr>
              <w:t>Exercisable</w:t>
            </w:r>
          </w:p>
        </w:tc>
        <w:tc>
          <w:tcPr>
            <w:tcW w:w="1300" w:type="dxa"/>
            <w:vAlign w:val="bottom"/>
            <w:gridSpan w:val="2"/>
          </w:tcPr>
          <w:p>
            <w:pPr>
              <w:jc w:val="center"/>
              <w:ind w:right="432"/>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2"/>
              </w:rPr>
              <w:t>Date</w:t>
            </w: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4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 Traber, M.D. (2)</w:t>
            </w:r>
          </w:p>
        </w:tc>
        <w:tc>
          <w:tcPr>
            <w:tcW w:w="16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6"/>
              </w:rPr>
              <w:t>500,000(1)</w:t>
            </w:r>
          </w:p>
        </w:tc>
        <w:tc>
          <w:tcPr>
            <w:tcW w:w="1300" w:type="dxa"/>
            <w:vAlign w:val="bottom"/>
            <w:gridSpan w:val="2"/>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rPr>
              <w:t>333,335(1)</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6.96</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03/07/2021</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05/26/2021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376,250(3)</w:t>
            </w:r>
          </w:p>
        </w:tc>
        <w:tc>
          <w:tcPr>
            <w:tcW w:w="13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43,750(3)</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05/23/2022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64,212(4)</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color w:val="auto"/>
              </w:rPr>
              <w:t>69,788(4)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01/21/2024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38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166,667</w:t>
            </w:r>
          </w:p>
        </w:tc>
        <w:tc>
          <w:tcPr>
            <w:tcW w:w="500" w:type="dxa"/>
            <w:vAlign w:val="bottom"/>
          </w:tcPr>
          <w:p>
            <w:pPr>
              <w:spacing w:after="0"/>
              <w:rPr>
                <w:sz w:val="23"/>
                <w:szCs w:val="23"/>
                <w:color w:val="auto"/>
              </w:rPr>
            </w:pPr>
          </w:p>
        </w:tc>
        <w:tc>
          <w:tcPr>
            <w:tcW w:w="130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02/01/2015</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350,000(5)</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color w:val="auto"/>
              </w:rPr>
              <w:t>150,000(5)</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3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06/28/2021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29,231(4)</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color w:val="auto"/>
              </w:rPr>
              <w:t>31,769(4)</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01/21/2024</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320" w:type="dxa"/>
            <w:vAlign w:val="bottom"/>
            <w:gridSpan w:val="3"/>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6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150,000(6)</w:t>
            </w:r>
          </w:p>
        </w:tc>
        <w:tc>
          <w:tcPr>
            <w:tcW w:w="13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 (6)</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08/27/2022</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18,212(4)</w:t>
            </w:r>
          </w:p>
        </w:tc>
        <w:tc>
          <w:tcPr>
            <w:tcW w:w="13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19,788(4)</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01/21/2024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38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75,000(7)</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color w:val="auto"/>
              </w:rPr>
              <w:t>125,000(7)</w:t>
            </w: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07/01/2023</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12,462(4)</w:t>
            </w:r>
          </w:p>
        </w:tc>
        <w:tc>
          <w:tcPr>
            <w:tcW w:w="1300" w:type="dxa"/>
            <w:vAlign w:val="bottom"/>
            <w:gridSpan w:val="2"/>
          </w:tcPr>
          <w:p>
            <w:pPr>
              <w:jc w:val="right"/>
              <w:ind w:right="212"/>
              <w:spacing w:after="0"/>
              <w:rPr>
                <w:sz w:val="20"/>
                <w:szCs w:val="20"/>
                <w:color w:val="auto"/>
              </w:rPr>
            </w:pPr>
            <w:r>
              <w:rPr>
                <w:rFonts w:ascii="Arial" w:cs="Arial" w:eastAsia="Arial" w:hAnsi="Arial"/>
                <w:sz w:val="18"/>
                <w:szCs w:val="18"/>
                <w:color w:val="auto"/>
              </w:rPr>
              <w:t>13,538(4)</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01/21/2024</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-1361440</wp:posOffset>
            </wp:positionV>
            <wp:extent cx="564261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80" w:hanging="452"/>
        <w:spacing w:after="0" w:line="25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125,000 options vested on the grant date, 104,667 options vest on each of the first and second anniversaries of the grant date, 83,333 options vest on each of the third and fourth anniversaries of the grant date and 166,667 options vest on the fifth anniversary of the grant date. The remaining 166,667 options vest upon the achievement of certain milestones. With respect to options that vest on anniversaries, exercise rights are accelerated upon achievement of certain milestones.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Also owns 100,000 fully vested warrants exercisable at $4.26 per share of common stock awarded as compensation for service as interim Chief Medical Officer.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120,000 options vested on May 23, 2012, 100,000 vest on each of the first, second and third anniversaries of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of the options vested on grant date with the remainder vesting ratably on a monthly basis over a three year period.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 at the rate of 25,000 per quarter for 20 quarters beginning September 28, 2011.</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50,000 options vested on the grant date, 50,000 options vested on December 31, 2012, 75,000 vested on December 31, 2013 and 75,000 options vested on December 31, 2014. 100,000 options were exercised in 2013.</w:t>
      </w:r>
    </w:p>
    <w:p>
      <w:pPr>
        <w:ind w:left="460" w:right="4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25,000 options vested on December 31, 2013, 50,000 options vested on December 31, 2014, 50,000 vest on December 31, 2015 and 75,000 options vest on December 31, 2016.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IN 2014</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all exercises of stock options by the NEOs during the 2014 fiscal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jc w:val="right"/>
              <w:ind w:right="3"/>
              <w:spacing w:after="0" w:line="12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Acquired</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60" w:type="dxa"/>
            <w:vAlign w:val="bottom"/>
            <w:vMerge w:val="restart"/>
          </w:tcPr>
          <w:p>
            <w:pPr>
              <w:spacing w:after="0"/>
              <w:rPr>
                <w:sz w:val="12"/>
                <w:szCs w:val="12"/>
                <w:color w:val="auto"/>
              </w:rPr>
            </w:pPr>
          </w:p>
        </w:tc>
        <w:tc>
          <w:tcPr>
            <w:tcW w:w="20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6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2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 Traber, M.D.</w:t>
            </w: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NEOs are covered by a deferred contribution or other plan that provides for the deferral of compensation on a basis that is not tax-qualified.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2001 Stock Incentive Plan, change of control is defined as a change in ownership or control of the Company effected through either:</w:t>
      </w:r>
    </w:p>
    <w:p>
      <w:pPr>
        <w:spacing w:after="0" w:line="113" w:lineRule="exact"/>
        <w:rPr>
          <w:sz w:val="20"/>
          <w:szCs w:val="20"/>
          <w:color w:val="auto"/>
        </w:rPr>
      </w:pPr>
    </w:p>
    <w:p>
      <w:pPr>
        <w:ind w:left="900" w:right="10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62"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period of 36 consecutive months or less, there is a change in the composition of the Board of Directors such that a majority of the directors ceases, by reason of one or more proxy contests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jc w:val="both"/>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three months after termination for any other reason other than for cause.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90" w:lineRule="exact"/>
        <w:rPr>
          <w:sz w:val="20"/>
          <w:szCs w:val="20"/>
          <w:color w:val="auto"/>
        </w:rPr>
      </w:pPr>
    </w:p>
    <w:p>
      <w:pPr>
        <w:ind w:left="900" w:right="1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59"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50" w:lineRule="exact"/>
        <w:rPr>
          <w:rFonts w:ascii="Arial" w:cs="Arial" w:eastAsia="Arial" w:hAnsi="Arial"/>
          <w:sz w:val="18"/>
          <w:szCs w:val="18"/>
          <w:color w:val="auto"/>
        </w:rPr>
      </w:pPr>
    </w:p>
    <w:p>
      <w:pPr>
        <w:ind w:left="900" w:right="100" w:hanging="446"/>
        <w:spacing w:after="0" w:line="289"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Traber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Dr. Traber’s employment agreement provides that he shall receive severance equal to one year of his then base salary paid in installments over a period of twelve months, two years’ medical coverage, and immediate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of all unvested warrants and options if his employment is terminated (i) by the Company “without cause,” (ii) by Dr. Traber for “good reason,” or</w:t>
      </w:r>
    </w:p>
    <w:p>
      <w:pPr>
        <w:spacing w:after="0" w:line="38" w:lineRule="exact"/>
        <w:rPr>
          <w:sz w:val="20"/>
          <w:szCs w:val="20"/>
          <w:color w:val="auto"/>
        </w:rPr>
      </w:pPr>
    </w:p>
    <w:p>
      <w:pPr>
        <w:ind w:right="800" w:firstLine="8"/>
        <w:spacing w:after="0" w:line="261"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following a “change in control” (as each term is defined in the Agreement). If Dr. Traber’s employment is terminated “for cause,” as defined in the agreement, subject to “cure rights” in certain instances, he is not entitled to severance.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provides that during its term Dr. Traber shall not engage in any business competitive with the Company, and thereafter he shall not</w:t>
      </w:r>
    </w:p>
    <w:p>
      <w:pPr>
        <w:spacing w:after="0" w:line="38" w:lineRule="exact"/>
        <w:rPr>
          <w:sz w:val="20"/>
          <w:szCs w:val="20"/>
          <w:color w:val="auto"/>
        </w:rPr>
      </w:pPr>
    </w:p>
    <w:p>
      <w:pPr>
        <w:ind w:right="100" w:firstLine="8"/>
        <w:spacing w:after="0" w:line="300" w:lineRule="auto"/>
        <w:tabs>
          <w:tab w:leader="none" w:pos="2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accept for 12 months business from of our customers or accounts relating to “competing products” or services of the Company, or (ii) render services for 6 months to any “competing organization” (as such terms are defined in the employment agreement). The employment agreement also contains provisions binding on Dr. Traber with respect to (i) protection of our confidential information; (ii) requirements to disclose and assign inventions or other intellectual property to the Company; (iii) non-solicitation of our executives, or persons with whom we have a business relationship such as investors, suppliers and customers; and</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review and approval of all writings he proposes to publish.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Czirr</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Mr. Czirr’s employment agreement provides that he shall receive severance equal to one year of his then base salary paid in installments over a period of twelve months, two years’ medical coverage, and immediate vesting of all unvested options if his employment is terminated (i) by the Company “without cause,”</w:t>
      </w:r>
    </w:p>
    <w:p>
      <w:pPr>
        <w:ind w:right="100" w:firstLine="8"/>
        <w:spacing w:after="0" w:line="261"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Mr. Czirr for “good reason,” or (iii) following a “change in control” (as defined in the Agreement). If his employment is terminated “for cause”, subject to “cure rights” in certain instances, he is not entitled to severance.</w:t>
      </w:r>
    </w:p>
    <w:p>
      <w:pPr>
        <w:spacing w:after="0" w:line="13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agreement provides that during its term Mr. Czirr shall not engage in any business competitive with the Company. Following employment, Mr. Czirr shall not (i) accept for 12 months business from our customers or accounts relating to “competing products” or services, or (ii) render services for 6 months to any “competing organization” (as such are defined in the agreement). The agreement also contains provisions binding on Mr. Czirr with respect to (i) protection of our confidential information; (ii) requirements to disclose and assign inventions or other intellectual property to us; (iii) non-solicitation of our executives, or persons with whom we have a business relationship; and (iv) advance review and approval of all writings he proposes to publish.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Shlevin</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w:t>
      </w:r>
    </w:p>
    <w:p>
      <w:pPr>
        <w:spacing w:after="0" w:line="1" w:lineRule="exact"/>
        <w:rPr>
          <w:sz w:val="20"/>
          <w:szCs w:val="20"/>
          <w:color w:val="auto"/>
        </w:rPr>
      </w:pPr>
    </w:p>
    <w:p>
      <w:pPr>
        <w:jc w:val="both"/>
        <w:ind w:right="80" w:firstLine="8"/>
        <w:spacing w:after="0" w:line="254" w:lineRule="auto"/>
        <w:tabs>
          <w:tab w:leader="none" w:pos="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44"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Callicutt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Mr. Callicutt’s employment agreement provides that, if his employment is terminated by the Company “without cause,” or by Mr. Callicutt for “good reason,” (as such terms are defined in his agreement) he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5" w:name="page36"/>
    <w:bookmarkEnd w:id="35"/>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between 18 months and 24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4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agreement provides that during its term Mr. Callicutt shall not engage in any business competitive with the Company. Following termination of employment, Mr. Callicutt shall not, for 18 months (i) solicit customers or employees of the Company or (ii) render services to any “competing business” (as defined in the agreement). The agreement also contains provisions binding on Mr. Callicutt with respect to protection of our confidential information.</w:t>
      </w:r>
    </w:p>
    <w:p>
      <w:pPr>
        <w:spacing w:after="0" w:line="10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4"/>
              </w:rPr>
              <w:t>Benefit/Plan/Program</w:t>
            </w:r>
          </w:p>
        </w:tc>
        <w:tc>
          <w:tcPr>
            <w:tcW w:w="6040" w:type="dxa"/>
            <w:vAlign w:val="bottom"/>
            <w:vMerge w:val="restart"/>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Peter G. Traber,</w:t>
            </w:r>
          </w:p>
        </w:tc>
        <w:tc>
          <w:tcPr>
            <w:tcW w:w="14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James C.</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Harold H.</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Jack W.</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M.D.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Czirr</w:t>
            </w:r>
          </w:p>
        </w:tc>
        <w:tc>
          <w:tcPr>
            <w:tcW w:w="140" w:type="dxa"/>
            <w:vAlign w:val="bottom"/>
          </w:tcPr>
          <w:p>
            <w:pPr>
              <w:spacing w:after="0"/>
              <w:rPr>
                <w:sz w:val="14"/>
                <w:szCs w:val="14"/>
                <w:color w:val="auto"/>
              </w:rPr>
            </w:pPr>
          </w:p>
        </w:tc>
        <w:tc>
          <w:tcPr>
            <w:tcW w:w="1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Shlevin, Ph.D.</w:t>
            </w:r>
          </w:p>
        </w:tc>
        <w:tc>
          <w:tcPr>
            <w:tcW w:w="80" w:type="dxa"/>
            <w:vAlign w:val="bottom"/>
          </w:tcPr>
          <w:p>
            <w:pPr>
              <w:spacing w:after="0"/>
              <w:rPr>
                <w:sz w:val="14"/>
                <w:szCs w:val="14"/>
                <w:color w:val="auto"/>
              </w:rPr>
            </w:pPr>
          </w:p>
        </w:tc>
        <w:tc>
          <w:tcPr>
            <w:tcW w:w="6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6"/>
              </w:rPr>
              <w:t>Callicutt</w:t>
            </w: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(1)</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60,813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698,400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324,000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307,625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324,000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759,213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324,000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307,625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3"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the potential value of unvested stock options held by the NEOs under the 2009 Incentive Compensation Plan and the 2001 Stock Incentive Plan that would have vested upon a change of control or upon termination of employment by reason of death or disability on December 31, 2014, based on a price of $3.47 per share, the closing price of our common stock on December 31, 2014.</w:t>
      </w:r>
    </w:p>
    <w:p>
      <w:pPr>
        <w:ind w:left="460" w:right="20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2014.</w:t>
      </w:r>
    </w:p>
    <w:p>
      <w:pPr>
        <w:ind w:left="460" w:right="2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460" w:right="2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2014.</w:t>
      </w:r>
    </w:p>
    <w:p>
      <w:pPr>
        <w:spacing w:after="0" w:line="1"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appointed McGladrey LLP as our independent auditors for the fiscal year ending December 31, 2015.</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that a representative from McGladrey will be present at the annual meeting, and accordingly, McGladrey will be given the opportunity to make a statement and respond to any questions.</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RATIFICATION OF THE APPOINTMENT OF MCGLADREY LLP, AS GALECTIN THERAPEUTICS’ INDEPENDENT PUBLIC ACCOUNTANTS FOR THE FISCAL YEAR ENDING DECEMBER 31, 2015.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60" w:type="dxa"/>
            <w:vAlign w:val="bottom"/>
            <w:gridSpan w:val="5"/>
          </w:tcPr>
          <w:p>
            <w:pPr>
              <w:ind w:left="1360"/>
              <w:spacing w:after="0"/>
              <w:rPr>
                <w:sz w:val="20"/>
                <w:szCs w:val="20"/>
                <w:color w:val="auto"/>
              </w:rPr>
            </w:pPr>
            <w:r>
              <w:rPr>
                <w:rFonts w:ascii="Arial" w:cs="Arial" w:eastAsia="Arial" w:hAnsi="Arial"/>
                <w:sz w:val="18"/>
                <w:szCs w:val="18"/>
                <w:b w:val="1"/>
                <w:bCs w:val="1"/>
                <w:color w:val="auto"/>
              </w:rPr>
              <w:t>FEES PAID TO MCGLADREY LLP</w:t>
            </w:r>
          </w:p>
        </w:tc>
      </w:tr>
      <w:tr>
        <w:trPr>
          <w:trHeight w:val="340"/>
        </w:trPr>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360" w:type="dxa"/>
            <w:vAlign w:val="bottom"/>
            <w:gridSpan w:val="3"/>
          </w:tcPr>
          <w:p>
            <w:pPr>
              <w:jc w:val="center"/>
              <w:ind w:left="7558"/>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7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$ 183,750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Audit-Related Fees (3)</w:t>
            </w:r>
          </w:p>
        </w:tc>
        <w:tc>
          <w:tcPr>
            <w:tcW w:w="8380" w:type="dxa"/>
            <w:vAlign w:val="bottom"/>
            <w:gridSpan w:val="4"/>
          </w:tcPr>
          <w:p>
            <w:pPr>
              <w:jc w:val="right"/>
              <w:ind w:right="20"/>
              <w:spacing w:after="0"/>
              <w:rPr>
                <w:sz w:val="20"/>
                <w:szCs w:val="20"/>
                <w:color w:val="auto"/>
              </w:rPr>
            </w:pPr>
            <w:r>
              <w:rPr>
                <w:rFonts w:ascii="Arial" w:cs="Arial" w:eastAsia="Arial" w:hAnsi="Arial"/>
                <w:sz w:val="18"/>
                <w:szCs w:val="18"/>
                <w:color w:val="auto"/>
              </w:rPr>
              <w:t>34,240</w:t>
            </w:r>
          </w:p>
        </w:tc>
        <w:tc>
          <w:tcPr>
            <w:tcW w:w="8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296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380" w:type="dxa"/>
            <w:vAlign w:val="bottom"/>
            <w:gridSpan w:val="4"/>
          </w:tcPr>
          <w:p>
            <w:pPr>
              <w:jc w:val="right"/>
              <w:ind w:right="20"/>
              <w:spacing w:after="0"/>
              <w:rPr>
                <w:sz w:val="20"/>
                <w:szCs w:val="20"/>
                <w:color w:val="auto"/>
              </w:rPr>
            </w:pPr>
            <w:r>
              <w:rPr>
                <w:rFonts w:ascii="Arial" w:cs="Arial" w:eastAsia="Arial" w:hAnsi="Arial"/>
                <w:sz w:val="18"/>
                <w:szCs w:val="18"/>
                <w:color w:val="auto"/>
              </w:rPr>
              <w:t>$ 217,990</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3"/>
        </w:trPr>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360" w:type="dxa"/>
            <w:vAlign w:val="bottom"/>
            <w:gridSpan w:val="3"/>
          </w:tcPr>
          <w:p>
            <w:pPr>
              <w:jc w:val="center"/>
              <w:ind w:left="7558"/>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 (2)</w:t>
            </w:r>
          </w:p>
        </w:tc>
        <w:tc>
          <w:tcPr>
            <w:tcW w:w="766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$ 140,913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Audit-Related Fees (3)</w:t>
            </w:r>
          </w:p>
        </w:tc>
        <w:tc>
          <w:tcPr>
            <w:tcW w:w="8380" w:type="dxa"/>
            <w:vAlign w:val="bottom"/>
            <w:gridSpan w:val="4"/>
          </w:tcPr>
          <w:p>
            <w:pPr>
              <w:jc w:val="right"/>
              <w:ind w:right="20"/>
              <w:spacing w:after="0"/>
              <w:rPr>
                <w:sz w:val="20"/>
                <w:szCs w:val="20"/>
                <w:color w:val="auto"/>
              </w:rPr>
            </w:pPr>
            <w:r>
              <w:rPr>
                <w:rFonts w:ascii="Arial" w:cs="Arial" w:eastAsia="Arial" w:hAnsi="Arial"/>
                <w:sz w:val="18"/>
                <w:szCs w:val="18"/>
                <w:color w:val="auto"/>
              </w:rPr>
              <w:t>42,300</w:t>
            </w:r>
          </w:p>
        </w:tc>
        <w:tc>
          <w:tcPr>
            <w:tcW w:w="8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296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380" w:type="dxa"/>
            <w:vAlign w:val="bottom"/>
            <w:gridSpan w:val="4"/>
          </w:tcPr>
          <w:p>
            <w:pPr>
              <w:jc w:val="right"/>
              <w:ind w:right="20"/>
              <w:spacing w:after="0"/>
              <w:rPr>
                <w:sz w:val="20"/>
                <w:szCs w:val="20"/>
                <w:color w:val="auto"/>
              </w:rPr>
            </w:pPr>
            <w:r>
              <w:rPr>
                <w:rFonts w:ascii="Arial" w:cs="Arial" w:eastAsia="Arial" w:hAnsi="Arial"/>
                <w:sz w:val="18"/>
                <w:szCs w:val="18"/>
                <w:color w:val="auto"/>
              </w:rPr>
              <w:t>$ 183,213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8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dated December 31, 2014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such year.</w:t>
      </w:r>
    </w:p>
    <w:p>
      <w:pPr>
        <w:ind w:left="460" w:right="38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dated December 31, 2013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such year.</w:t>
      </w:r>
    </w:p>
    <w:p>
      <w:pPr>
        <w:spacing w:after="0" w:line="1" w:lineRule="exact"/>
        <w:rPr>
          <w:rFonts w:ascii="Arial" w:cs="Arial" w:eastAsia="Arial" w:hAnsi="Arial"/>
          <w:sz w:val="16"/>
          <w:szCs w:val="16"/>
          <w:color w:val="auto"/>
        </w:rPr>
      </w:pPr>
    </w:p>
    <w:p>
      <w:pPr>
        <w:ind w:left="460" w:right="4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0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McGladrey LLP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Audit Committee of our Board of Directors has adopted policies and procedures which set forth the manner in which the Committee will review and approve all services to be provided by the independent auditor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7" w:name="page38"/>
    <w:bookmarkEnd w:id="3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RE-APPROVAL OF THE MATERIAL TERMS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PERFORMANCE GOALS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12, 2009, our Board of Directors adopted the Galectin Therapeutics, Inc. Amended and Restated 2009 Compensation Plan (the “Plan”), and our stockholders subsequently approved the Plan at the 2009 Annual Meeting.</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purpose of the Plan is to assist the Company and its subsidiaries and other designated affiliates, which we refer to as “related entities”, in attracting, motivating, retaining and rewarding high-quality executives and other employees, officers, directors, consultants and other persons who provide services to the Company or its related entities, by enabling such persons to acquire or increase a proprietary interest in our Company in order to strengthen the mutuality of interests between such persons and our stockholders, and providing such persons with annual and long-term performance incentives to expend their maximum efforts in the creation of stockholder value.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stockholders are being asked to consider and vote on this proposal to re-approve the material terms of the performance goals under the Plan. For purposes of Section 162(m) of the Internal Revenue Code of 1986, as amended (the “Code”), and this proposal, the material terms of the performance goals under the Plan include:</w:t>
      </w:r>
    </w:p>
    <w:p>
      <w:pPr>
        <w:spacing w:after="0" w:line="5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employees and other individuals eligible to receive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description of the business criteria on which the performance goals are based; and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maximum amount of compensation that could be paid to any employee under the Long-Term Plan during a specified period if the performance goals are satisfied.</w:t>
      </w:r>
    </w:p>
    <w:p>
      <w:pPr>
        <w:spacing w:after="0" w:line="126"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b w:val="1"/>
          <w:bCs w:val="1"/>
          <w:color w:val="auto"/>
        </w:rPr>
        <w:t>Stockholders are not being asked to approve an increase in the number of shares available for grant under the Plan or any amendment of the Plan, nor are they being asked to re-approve the Plan itself. Rather this proposal is being presented to stockholders solely to address the periodic re-approval requirements of Code Section 162(m) for performance-based compensation, as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Section 162(m) Re-Approval</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Code Section 162(m) places a limit of $1,000,000 on the amount of compensation that the Company may deduct in any one year with respect to our Chief Executive Officer and our three other most highly compensated officers, other than the principal financial officer. Compensation that qualifies as “performance-based compensation” under Code Section 162(m) is not subject to the deduction limit.</w:t>
      </w:r>
    </w:p>
    <w:p>
      <w:pPr>
        <w:spacing w:after="0" w:line="14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A performance-based award made under the Plan is not subject to the $1,000,000 deduction limit, provided certain Code Section 162(m) requirements are met. One of these requirements relates to stockholder approval (and, in certain cases, re-approval) of the material terms of the performance goals underlying the performance-based award. The performance goals in the Plan were approved by stockholders on May 21, 2009. Other than for stock options and stock appreciation rights, Code Section 162(m) requires re-approval of those performance goals after five years if the Compensation Committee has retained discretion to vary the targets under the performance goals from year to year. The Compensation Committee has retained discretion to vary the targets under the performance goals from year to year, and we did not seek re-approval of the performance goals at our 2014 Annual Meeting, which was five years after stockholders first approved the Plan. Accordingly, we are seeking re-approval of the material terms of the performance goals included in the Plan in order to preserve the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ability to deduct compensation earned by certain executives pursuant to any future performance-based award under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The following is a summary of certain principal features of the Plan. This summary is qualified in its entirety by reference to the complete text of the Plan, as amended. Stockholders are urged to read the actual text of the Plan in its entirety which is set forth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to this Proxy Statement.</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Shares Available for Awards; Annual Per-Person Limitations. </w:t>
      </w:r>
      <w:r>
        <w:rPr>
          <w:rFonts w:ascii="Arial" w:cs="Arial" w:eastAsia="Arial" w:hAnsi="Arial"/>
          <w:sz w:val="16"/>
          <w:szCs w:val="16"/>
          <w:color w:val="auto"/>
        </w:rPr>
        <w:t>Under the Plan, as amended, the total number of shares of common stock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reserved and available for delivery under the Plan (the “awards”) at any time during the term of the Plan shall be equal to 6,133,334 shares. The number of shares in the Plan shall be increased by the number of shares of common stock with respect to which awards previously granted under the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Plan.</w:t>
      </w:r>
    </w:p>
    <w:p>
      <w:pPr>
        <w:spacing w:after="0" w:line="11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w:t>
      </w:r>
    </w:p>
    <w:p>
      <w:pPr>
        <w:ind w:right="20" w:firstLine="8"/>
        <w:spacing w:after="0" w:line="302"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0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Plan are the officers, directors, employees, consultants and other persons who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Company or any related entity. An employee on a leave of absence may still be considered an employee of our Company or a related entity for purposes of eligibility for participation in the Plan.</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to be administered by the Compensation Committee, provided, however, that except as otherwise expressly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our Board of Directors may exercise any power or authority granted to the Compensation Committee under the Plan. Subject to the terms of the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the Compensation Committee may deem necessary or advisable for the administration of the Plan.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Stock Options and Stock Appreciation Rights. </w:t>
      </w:r>
      <w:r>
        <w:rPr>
          <w:rFonts w:ascii="Arial" w:cs="Arial" w:eastAsia="Arial" w:hAnsi="Arial"/>
          <w:sz w:val="18"/>
          <w:szCs w:val="18"/>
          <w:color w:val="auto"/>
        </w:rPr>
        <w:t>The Compensation Committee is authorized to grant stock options, including both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(“ISOs”), which can result in potentially favorable tax treatment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0" w:name="page41"/>
    <w:bookmarkEnd w:id="40"/>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Plan to be paid in cash, shares, other awards or other 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Restricted and Deferred Stock. </w:t>
      </w:r>
      <w:r>
        <w:rPr>
          <w:rFonts w:ascii="Arial" w:cs="Arial" w:eastAsia="Arial" w:hAnsi="Arial"/>
          <w:sz w:val="16"/>
          <w:szCs w:val="16"/>
          <w:color w:val="auto"/>
        </w:rPr>
        <w:t>The Compensation Committee is authorized to grant restricted stock and deferred stock. Restricted stock is a grant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The Compensation Committee is authorized to grant dividend equivalents conferring on participants the right to receive, currently or</w:t>
      </w:r>
      <w:r>
        <w:rPr>
          <w:rFonts w:ascii="Arial" w:cs="Arial" w:eastAsia="Arial" w:hAnsi="Arial"/>
          <w:sz w:val="15"/>
          <w:szCs w:val="15"/>
          <w:i w:val="1"/>
          <w:iCs w:val="1"/>
          <w:color w:val="auto"/>
        </w:rPr>
        <w:t xml:space="preserve"> </w:t>
      </w:r>
      <w:r>
        <w:rPr>
          <w:rFonts w:ascii="Arial" w:cs="Arial" w:eastAsia="Arial" w:hAnsi="Arial"/>
          <w:sz w:val="15"/>
          <w:szCs w:val="15"/>
          <w:color w:val="auto"/>
        </w:rPr>
        <w:t>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9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without restrictions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a bonus or to grant shares of common stock or other awards in lieu of Company obligations to pay cash under the Plan or other plans or compensatory arrangements, subject to such terms as the Compensation Committee may specify.</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Compensation Committee is authorized to grant performance awards to participants on terms and conditions established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1" w:name="page42"/>
    <w:bookmarkEnd w:id="4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and will, if and to the extent intended by the Compensation Committee, be subject to provisions that should qualify such awards as “performance-based compensation” not subject to the limitation on tax deductibility by our Company under Code 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2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If and to the extent that the Compensation Committee determines that these provisions of the Plan are to be applicable to any performance award, one or more of the following business criteria for our Company, on a consolidated basis, and/or for related entities, or for business or geographical units of our Company and/or a related entity (except with respect to the total stockholder return and earnings per share criteria), shall be used by the Compensation Committee in establishing performance goals for performance awards under the Plan: (1) earnings per share; (2) revenues or margins; (3) cash flow; (4) operating margin;</w:t>
      </w:r>
    </w:p>
    <w:p>
      <w:pPr>
        <w:spacing w:after="0" w:line="3" w:lineRule="exact"/>
        <w:rPr>
          <w:sz w:val="20"/>
          <w:szCs w:val="20"/>
          <w:color w:val="auto"/>
        </w:rPr>
      </w:pPr>
    </w:p>
    <w:p>
      <w:pPr>
        <w:ind w:firstLine="8"/>
        <w:spacing w:after="0" w:line="300" w:lineRule="auto"/>
        <w:tabs>
          <w:tab w:leader="none" w:pos="249"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return on assets, net assets, investment, capital, operating revenue or equity; (6) economic value added; (7) direct contribution; (8) income; net income; 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 (10) management of fixed costs or variable costs; (11) identification or consummation of investment opportunities or completion of specified projects in accordance with corporate business plans, including strategic mergers, acquisitions or divestitures;</w:t>
      </w:r>
    </w:p>
    <w:p>
      <w:pPr>
        <w:spacing w:after="0" w:line="2" w:lineRule="exact"/>
        <w:rPr>
          <w:rFonts w:ascii="Arial" w:cs="Arial" w:eastAsia="Arial" w:hAnsi="Arial"/>
          <w:sz w:val="15"/>
          <w:szCs w:val="15"/>
          <w:color w:val="auto"/>
        </w:rPr>
      </w:pPr>
    </w:p>
    <w:p>
      <w:pPr>
        <w:ind w:right="120" w:firstLine="8"/>
        <w:spacing w:after="0" w:line="287" w:lineRule="auto"/>
        <w:tabs>
          <w:tab w:leader="none" w:pos="3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total stockholder return; (13) debt reduction; (14) 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our Company or not within the reasonable control of our Company’s management, or (iii) a change in accounting standards required by generally accepted accounting principles.</w:t>
      </w:r>
    </w:p>
    <w:p>
      <w:pPr>
        <w:spacing w:after="0" w:line="12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Other Terms of Awards. </w:t>
      </w:r>
      <w:r>
        <w:rPr>
          <w:rFonts w:ascii="Arial" w:cs="Arial" w:eastAsia="Arial" w:hAnsi="Arial"/>
          <w:sz w:val="16"/>
          <w:szCs w:val="16"/>
          <w:color w:val="auto"/>
        </w:rPr>
        <w:t>Awards may be settled in the form of cash, shares of common stock, other awards or other property, in the discretion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Plan. The Compensation Committee may condition any payment relating to 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2" w:name="page43"/>
    <w:bookmarkEnd w:id="4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4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Awards under the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Plan, awards under other Company plans, or other rights to payment from our Company, and may grant awards in addition to and in tandem with such other awards, rights or other awards.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Acceleration of Vesting; Change in Control. </w:t>
      </w:r>
      <w:r>
        <w:rPr>
          <w:rFonts w:ascii="Arial" w:cs="Arial" w:eastAsia="Arial" w:hAnsi="Arial"/>
          <w:sz w:val="16"/>
          <w:szCs w:val="16"/>
          <w:color w:val="auto"/>
        </w:rPr>
        <w:t>The Compensation Committee may, in its discretion, accelerate the exercisability, the lapsing of restrictions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expiration of deferral or vesting periods of any award, and such accelerated exercisability, lapse, expiration and, vesting shall occur automatically in the case of a “change in control” of our Company (including the cash settlement of stock appreciation rights which may be exercisable in the event of a change in control), if so provided in the award agreement or otherwise determined by the Compensation Committee,. In addition, the Compensation Committee may provide in an award agreement that the performance goals relating to any performance award will be deemed to have been met upon the occurrence of any “change in control.” For purposes of the Plan, unless otherwise specified in an award agreement, a change in control means the occurrence of any of the following:</w:t>
      </w:r>
    </w:p>
    <w:p>
      <w:pPr>
        <w:spacing w:after="0" w:line="39" w:lineRule="exact"/>
        <w:rPr>
          <w:sz w:val="20"/>
          <w:szCs w:val="20"/>
          <w:color w:val="auto"/>
        </w:rPr>
      </w:pPr>
    </w:p>
    <w:p>
      <w:pPr>
        <w:ind w:left="460" w:firstLine="4"/>
        <w:spacing w:after="0" w:line="289" w:lineRule="auto"/>
        <w:tabs>
          <w:tab w:leader="none" w:pos="67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 (y) any acquisition by any employee benefit plan (or related trust) sponsored or maintained by our Company or any subsidiary; or (z) any acquisition by any corporation pursuant to a transaction which complies with clauses (A), (B) and (C) of subsection (iii) below; or</w:t>
      </w:r>
    </w:p>
    <w:p>
      <w:pPr>
        <w:spacing w:after="0" w:line="37" w:lineRule="exact"/>
        <w:rPr>
          <w:rFonts w:ascii="Arial" w:cs="Arial" w:eastAsia="Arial" w:hAnsi="Arial"/>
          <w:sz w:val="16"/>
          <w:szCs w:val="16"/>
          <w:color w:val="auto"/>
        </w:rPr>
      </w:pPr>
    </w:p>
    <w:p>
      <w:pPr>
        <w:ind w:left="460" w:right="40" w:firstLine="4"/>
        <w:spacing w:after="0" w:line="314" w:lineRule="auto"/>
        <w:tabs>
          <w:tab w:leader="none" w:pos="719" w:val="left"/>
        </w:tabs>
        <w:numPr>
          <w:ilvl w:val="0"/>
          <w:numId w:val="40"/>
        </w:numPr>
        <w:rPr>
          <w:rFonts w:ascii="Arial" w:cs="Arial" w:eastAsia="Arial" w:hAnsi="Arial"/>
          <w:sz w:val="15"/>
          <w:szCs w:val="15"/>
          <w:color w:val="auto"/>
        </w:rPr>
      </w:pPr>
      <w:r>
        <w:rPr>
          <w:rFonts w:ascii="Arial" w:cs="Arial" w:eastAsia="Arial" w:hAnsi="Arial"/>
          <w:sz w:val="15"/>
          <w:szCs w:val="15"/>
          <w:color w:val="auto"/>
        </w:rPr>
        <w:t>During any period of three (3) consecutive years (not including any period prior to the effective date of the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23" w:lineRule="exact"/>
        <w:rPr>
          <w:rFonts w:ascii="Arial" w:cs="Arial" w:eastAsia="Arial" w:hAnsi="Arial"/>
          <w:sz w:val="15"/>
          <w:szCs w:val="15"/>
          <w:color w:val="auto"/>
        </w:rPr>
      </w:pPr>
    </w:p>
    <w:p>
      <w:pPr>
        <w:ind w:left="460" w:firstLine="4"/>
        <w:spacing w:after="0" w:line="294" w:lineRule="auto"/>
        <w:tabs>
          <w:tab w:leader="none" w:pos="7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3" w:name="page44"/>
    <w:bookmarkEnd w:id="43"/>
    <w:p>
      <w:pPr>
        <w:ind w:left="46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Approval by our stockholders of a complete liquidation or dissolution of our Company.</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alter, suspend, discontinue or terminate the Plan or the Compensation Committee’s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Plan which might increase the cost of the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Plan will terminate at the earliest of (a) such time as no shares of common stock remain available for issuance under the Plan, (b) termination of the Plan by our board, or (c) the tenth anniversary of the effective date of the Plan. Awards outstanding upon expiration of the Plan shall remain in effect until they have been exercised or terminated, or have expired.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color w:val="auto"/>
        </w:rPr>
        <w:t xml:space="preserve">IRS Circular 230 Notice </w:t>
      </w:r>
      <w:r>
        <w:rPr>
          <w:rFonts w:ascii="Arial" w:cs="Arial" w:eastAsia="Arial" w:hAnsi="Arial"/>
          <w:sz w:val="16"/>
          <w:szCs w:val="16"/>
          <w:color w:val="auto"/>
        </w:rPr>
        <w:t>To ensure compliance with requirements imposed by the Internal Revenue Service, you are hereby notified that any discussion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tax matters set forth in this Summary was written in connection with the promotion or marketing (within the meaning of IRS Circular 230) of awards made under the Plan, and was not intended or written to be used, and cannot be used, by any taxpayer for the purpose of avoiding any tax-related penalties under federal law. Each recipient of an award under the Plan should seek advice based on his or her particular circumstances from an independent tax advisor.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Plan is not qualified under the provisions of Code Section 401(a) and is not subject to any of the provisions of the Employee Retirement Income Security Act of 1974.</w:t>
      </w:r>
    </w:p>
    <w:p>
      <w:pPr>
        <w:spacing w:after="0" w:line="132"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i w:val="1"/>
          <w:iCs w:val="1"/>
          <w:color w:val="auto"/>
        </w:rPr>
        <w:t xml:space="preserve">Nonqualified Stock Options. </w:t>
      </w:r>
      <w:r>
        <w:rPr>
          <w:rFonts w:ascii="Arial" w:cs="Arial" w:eastAsia="Arial" w:hAnsi="Arial"/>
          <w:sz w:val="15"/>
          <w:szCs w:val="15"/>
          <w:color w:val="auto"/>
        </w:rPr>
        <w:t>On exercise of a nonqualified stock option granted under the Plan an optionee will recognize ordinary income equal to the</w:t>
      </w:r>
      <w:r>
        <w:rPr>
          <w:rFonts w:ascii="Arial" w:cs="Arial" w:eastAsia="Arial" w:hAnsi="Arial"/>
          <w:sz w:val="15"/>
          <w:szCs w:val="15"/>
          <w:i w:val="1"/>
          <w:iCs w:val="1"/>
          <w:color w:val="auto"/>
        </w:rPr>
        <w:t xml:space="preserve"> </w:t>
      </w:r>
      <w:r>
        <w:rPr>
          <w:rFonts w:ascii="Arial" w:cs="Arial" w:eastAsia="Arial" w:hAnsi="Arial"/>
          <w:sz w:val="15"/>
          <w:szCs w:val="15"/>
          <w:color w:val="auto"/>
        </w:rPr>
        <w:t>excess, if any, of the fair market value on the date of exercise of the shares of stock acquired due to the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 If an optionee pays for shares of stock on exercise of an option by delivering shares of our Company’s stock, the optionee will not recognize gain or loss on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4" w:name="page45"/>
    <w:bookmarkEnd w:id="44"/>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Plan provides for the grant of stock options that qualify as “incentive stock options” as defined in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2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Company is not allowed an income tax deduction with respect to the grant or exercise of an incentive stock option or the disposition of a share acquired on exercise of an incentive stock option after the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5" w:name="page46"/>
    <w:bookmarkEnd w:id="45"/>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the recipient of a stock award will recognize ordinary compensation income at the time the stock is received equal to the excess,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of the fair market value of the stock received over any amount paid by the recipient in exchange for the stock. If, however, the stock is non-vested when it is received under the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of the fair market value of the stock on the date the award is granted over any amount paid by the recipient in exchange for the stock, if any.</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stock appreciation rights (“SARs”) separate from any other award (which we refer to as “Stand-Alone</w:t>
      </w:r>
      <w:r>
        <w:rPr>
          <w:rFonts w:ascii="Arial" w:cs="Arial" w:eastAsia="Arial" w:hAnsi="Arial"/>
          <w:sz w:val="18"/>
          <w:szCs w:val="18"/>
          <w:i w:val="1"/>
          <w:iCs w:val="1"/>
          <w:color w:val="auto"/>
        </w:rPr>
        <w:t xml:space="preserve"> </w:t>
      </w:r>
      <w:r>
        <w:rPr>
          <w:rFonts w:ascii="Arial" w:cs="Arial" w:eastAsia="Arial" w:hAnsi="Arial"/>
          <w:sz w:val="18"/>
          <w:szCs w:val="18"/>
          <w:color w:val="auto"/>
        </w:rPr>
        <w:t>SARs”) or in tandem with options (which we refer to as “Tandem SARs”), under the Plan. Generally, the recipient of a Stand-Alone SAR will not recognize any taxable income at the time the Stand-Alone SAR is granted.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award is received equal to the fair market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6" w:name="page47"/>
    <w:bookmarkEnd w:id="4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Limitation on Company Deductions</w:t>
      </w:r>
      <w:r>
        <w:rPr>
          <w:rFonts w:ascii="Arial" w:cs="Arial" w:eastAsia="Arial" w:hAnsi="Arial"/>
          <w:sz w:val="16"/>
          <w:szCs w:val="16"/>
          <w:color w:val="auto"/>
        </w:rPr>
        <w:t>. No federal income tax deduction is allowed for the Company for any compensation paid to a “covered employee” in</w:t>
      </w:r>
      <w:r>
        <w:rPr>
          <w:rFonts w:ascii="Arial" w:cs="Arial" w:eastAsia="Arial" w:hAnsi="Arial"/>
          <w:sz w:val="16"/>
          <w:szCs w:val="16"/>
          <w:i w:val="1"/>
          <w:iCs w:val="1"/>
          <w:color w:val="auto"/>
        </w:rPr>
        <w:t xml:space="preserve"> </w:t>
      </w:r>
      <w:r>
        <w:rPr>
          <w:rFonts w:ascii="Arial" w:cs="Arial" w:eastAsia="Arial" w:hAnsi="Arial"/>
          <w:sz w:val="16"/>
          <w:szCs w:val="16"/>
          <w:color w:val="auto"/>
        </w:rPr>
        <w:t>any taxable year of the Company to the extent that his or her compensation exceeds $1,000,000. For this purpose, “covered employees” are generally the chief executive officer of the Company and the three other most highly compensated officers of the Company other than the principal financial officer for the taxable year, and the term “compensation” generally includes amounts includable in gross income as a result of the exercise of stock options or SARs, payments pursuant to performance awards or other-based awards, or the receipt of restricted or deferred stock. This deduction limitation, however, does not apply to compensation that is (1) commission-based compensation, (2) performance-based compensation, (3) compensation which would not be includable in an employee’s gross income, and (4) compensation payable under a written binding contract in existence on February 17, 1993, and not materially modified after that date. The Compensation Committee intends to administer the Plan in a manner that maximizes the Company’s tax deductions under Code Section 162(m).</w:t>
      </w:r>
    </w:p>
    <w:p>
      <w:pPr>
        <w:spacing w:after="0" w:line="11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Code Section 409A. </w:t>
      </w:r>
      <w:r>
        <w:rPr>
          <w:rFonts w:ascii="Arial" w:cs="Arial" w:eastAsia="Arial" w:hAnsi="Arial"/>
          <w:sz w:val="16"/>
          <w:szCs w:val="16"/>
          <w:color w:val="auto"/>
        </w:rPr>
        <w:t>Section 409A of the Code imposes certain requirements applicable to “nonqualified deferred compensation plans,” including rules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If a nonqualified deferred compensation plan subject to Code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 Some of the awards to be granted under this Plan may constitute deferred compensation subject to the Code Section 409A requirements, including, without limitation, discounted stock options, deferred stock and SARs that are not payable in shares of our Company stock. It is our intention that any award agreement that will govern awards subject to Code Section 409A will comply with these rules.</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Importance of Consulting Tax Adviser. </w:t>
      </w:r>
      <w:r>
        <w:rPr>
          <w:rFonts w:ascii="Arial" w:cs="Arial" w:eastAsia="Arial" w:hAnsi="Arial"/>
          <w:sz w:val="16"/>
          <w:szCs w:val="16"/>
          <w:color w:val="auto"/>
        </w:rPr>
        <w:t>The information set forth above is a summary only and does not purport to be complete. In addition,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20, 2015, 4,581,838 shares had been issued or are subject to outstanding awards under the Plan. Because of the discretionary nature of any future awards under the Plan, the amount of such awards is not determinable at this time with respect to the Company’s directors, executive officers, including the NEOs, and the Company’s other employees. Information regarding options and other grants in fiscal 2014 to certain executive officers of the Company under the Plan is set forth in the table captioned “Summary Compensation Table,” and information regarding outstanding options and grants under this Plan is set forth in the table captioned “Outstanding Equity Awards at December 31, 2014.” Information regarding grants under the Plan in fiscal 2014 to the Company’s non-employee directors is set forth under “Director Compensation.”</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our bylaws, the votes cast “for” must exceed the votes cast “against” is required to approve this proposal. Accordingly, abstentions and broker non-votes will not be relevant to the outcome.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Income Tax Consequences of Failure to Approve Proposal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Code Section 162(m) generally denies a federal income tax deduction to the Company for compensation in excess of $1,000,000 per year paid to our Chief Executive Officer and the next three most highly compensated officers (other than the principal financial officer). If this proposal is not approved by the stockholders, amounts payable under the Plan would be subject to this deduction limitation, which could have an adverse effect on the Company’s net income.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asks you to approve and vote FOR the re-approval of material terms of the performance goals in the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74"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2009 INCENTIVE COMPENSATION PLAN</w:t>
      </w:r>
    </w:p>
    <w:p>
      <w:pPr>
        <w:sectPr>
          <w:pgSz w:w="11900" w:h="16838" w:orient="portrait"/>
          <w:cols w:equalWidth="0" w:num="1">
            <w:col w:w="10220"/>
          </w:cols>
          <w:pgMar w:left="1440" w:top="274" w:right="23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GALECTIN THERAPEUTICS,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6900" w:type="dxa"/>
            <w:vAlign w:val="bottom"/>
            <w:gridSpan w:val="10"/>
          </w:tcPr>
          <w:p>
            <w:pPr>
              <w:spacing w:after="0"/>
              <w:rPr>
                <w:rFonts w:ascii="Arial" w:cs="Arial" w:eastAsia="Arial" w:hAnsi="Arial"/>
                <w:sz w:val="18"/>
                <w:szCs w:val="18"/>
                <w:b w:val="1"/>
                <w:bCs w:val="1"/>
                <w:i w:val="1"/>
                <w:iCs w:val="1"/>
                <w:color w:val="0000EE"/>
              </w:rPr>
            </w:pPr>
            <w:hyperlink w:anchor="page51">
              <w:r>
                <w:rPr>
                  <w:rFonts w:ascii="Arial" w:cs="Arial" w:eastAsia="Arial" w:hAnsi="Arial"/>
                  <w:sz w:val="18"/>
                  <w:szCs w:val="18"/>
                  <w:b w:val="1"/>
                  <w:bCs w:val="1"/>
                  <w:i w:val="1"/>
                  <w:iCs w:val="1"/>
                  <w:color w:val="0000EE"/>
                </w:rPr>
                <w:t>Purpose</w:t>
              </w:r>
            </w:hyperlink>
          </w:p>
        </w:tc>
        <w:tc>
          <w:tcPr>
            <w:tcW w:w="40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2.</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51">
              <w:r>
                <w:rPr>
                  <w:rFonts w:ascii="Arial" w:cs="Arial" w:eastAsia="Arial" w:hAnsi="Arial"/>
                  <w:sz w:val="18"/>
                  <w:szCs w:val="18"/>
                  <w:b w:val="1"/>
                  <w:bCs w:val="1"/>
                  <w:i w:val="1"/>
                  <w:iCs w:val="1"/>
                  <w:color w:val="0000EE"/>
                </w:rPr>
                <w:t>Definitions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w:t>
            </w: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3.</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54">
              <w:r>
                <w:rPr>
                  <w:rFonts w:ascii="Arial" w:cs="Arial" w:eastAsia="Arial" w:hAnsi="Arial"/>
                  <w:sz w:val="18"/>
                  <w:szCs w:val="18"/>
                  <w:b w:val="1"/>
                  <w:bCs w:val="1"/>
                  <w:i w:val="1"/>
                  <w:iCs w:val="1"/>
                  <w:color w:val="0000EE"/>
                </w:rPr>
                <w:t>Administration.</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4</w:t>
            </w:r>
          </w:p>
        </w:tc>
      </w:tr>
      <w:tr>
        <w:trPr>
          <w:trHeight w:val="20"/>
        </w:trPr>
        <w:tc>
          <w:tcPr>
            <w:tcW w:w="3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4.</w:t>
            </w:r>
          </w:p>
        </w:tc>
        <w:tc>
          <w:tcPr>
            <w:tcW w:w="168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2"/>
              </w:rPr>
            </w:pPr>
            <w:hyperlink w:anchor="page55">
              <w:r>
                <w:rPr>
                  <w:rFonts w:ascii="Arial" w:cs="Arial" w:eastAsia="Arial" w:hAnsi="Arial"/>
                  <w:sz w:val="18"/>
                  <w:szCs w:val="18"/>
                  <w:b w:val="1"/>
                  <w:bCs w:val="1"/>
                  <w:i w:val="1"/>
                  <w:iCs w:val="1"/>
                  <w:color w:val="0000EE"/>
                  <w:w w:val="82"/>
                </w:rPr>
                <w:t>Shares Subject to Plan.</w:t>
              </w:r>
            </w:hyperlink>
          </w:p>
        </w:tc>
        <w:tc>
          <w:tcPr>
            <w:tcW w:w="5220" w:type="dxa"/>
            <w:vAlign w:val="bottom"/>
            <w:gridSpan w:val="5"/>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5</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5.</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Eligibility; Per-Person Award Limitations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6.</w:t>
            </w:r>
          </w:p>
        </w:tc>
        <w:tc>
          <w:tcPr>
            <w:tcW w:w="3000" w:type="dxa"/>
            <w:vAlign w:val="bottom"/>
            <w:tcBorders>
              <w:top w:val="single" w:sz="8" w:color="0000EE"/>
            </w:tcBorders>
            <w:gridSpan w:val="9"/>
          </w:tcPr>
          <w:p>
            <w:pPr>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Specific Terms of Awards.</w:t>
              </w:r>
            </w:hyperlink>
          </w:p>
        </w:tc>
        <w:tc>
          <w:tcPr>
            <w:tcW w:w="3900" w:type="dxa"/>
            <w:vAlign w:val="bottom"/>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6</w:t>
            </w:r>
          </w:p>
        </w:tc>
      </w:tr>
      <w:tr>
        <w:trPr>
          <w:trHeight w:val="20"/>
        </w:trPr>
        <w:tc>
          <w:tcPr>
            <w:tcW w:w="340" w:type="dxa"/>
            <w:vAlign w:val="bottom"/>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7.</w:t>
            </w:r>
          </w:p>
        </w:tc>
        <w:tc>
          <w:tcPr>
            <w:tcW w:w="2960" w:type="dxa"/>
            <w:vAlign w:val="bottom"/>
            <w:tcBorders>
              <w:bottom w:val="single" w:sz="8" w:color="0000EE"/>
            </w:tcBorders>
            <w:gridSpan w:val="8"/>
          </w:tcPr>
          <w:p>
            <w:pPr>
              <w:spacing w:after="0" w:line="196" w:lineRule="exact"/>
              <w:rPr>
                <w:rFonts w:ascii="Arial" w:cs="Arial" w:eastAsia="Arial" w:hAnsi="Arial"/>
                <w:sz w:val="18"/>
                <w:szCs w:val="18"/>
                <w:b w:val="1"/>
                <w:bCs w:val="1"/>
                <w:i w:val="1"/>
                <w:iCs w:val="1"/>
                <w:color w:val="0000EE"/>
                <w:w w:val="83"/>
              </w:rPr>
            </w:pPr>
            <w:hyperlink w:anchor="page60">
              <w:r>
                <w:rPr>
                  <w:rFonts w:ascii="Arial" w:cs="Arial" w:eastAsia="Arial" w:hAnsi="Arial"/>
                  <w:sz w:val="18"/>
                  <w:szCs w:val="18"/>
                  <w:b w:val="1"/>
                  <w:bCs w:val="1"/>
                  <w:i w:val="1"/>
                  <w:iCs w:val="1"/>
                  <w:color w:val="0000EE"/>
                  <w:w w:val="83"/>
                </w:rPr>
                <w:t>Certain Provisions Applicable to Awards.</w:t>
              </w:r>
            </w:hyperlink>
          </w:p>
        </w:tc>
        <w:tc>
          <w:tcPr>
            <w:tcW w:w="3940" w:type="dxa"/>
            <w:vAlign w:val="bottom"/>
            <w:gridSpan w:val="2"/>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10</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8.</w:t>
            </w:r>
          </w:p>
        </w:tc>
        <w:tc>
          <w:tcPr>
            <w:tcW w:w="2360" w:type="dxa"/>
            <w:vAlign w:val="bottom"/>
            <w:tcBorders>
              <w:bottom w:val="single" w:sz="8" w:color="0000EE"/>
            </w:tcBorders>
            <w:gridSpan w:val="7"/>
          </w:tcPr>
          <w:p>
            <w:pPr>
              <w:spacing w:after="0" w:line="196" w:lineRule="exact"/>
              <w:rPr>
                <w:rFonts w:ascii="Arial" w:cs="Arial" w:eastAsia="Arial" w:hAnsi="Arial"/>
                <w:sz w:val="18"/>
                <w:szCs w:val="18"/>
                <w:b w:val="1"/>
                <w:bCs w:val="1"/>
                <w:i w:val="1"/>
                <w:iCs w:val="1"/>
                <w:color w:val="0000EE"/>
                <w:w w:val="83"/>
              </w:rPr>
            </w:pPr>
            <w:hyperlink w:anchor="page62">
              <w:r>
                <w:rPr>
                  <w:rFonts w:ascii="Arial" w:cs="Arial" w:eastAsia="Arial" w:hAnsi="Arial"/>
                  <w:sz w:val="18"/>
                  <w:szCs w:val="18"/>
                  <w:b w:val="1"/>
                  <w:bCs w:val="1"/>
                  <w:i w:val="1"/>
                  <w:iCs w:val="1"/>
                  <w:color w:val="0000EE"/>
                  <w:w w:val="83"/>
                </w:rPr>
                <w:t>Code Section 162(m) Provisions.</w:t>
              </w:r>
            </w:hyperlink>
          </w:p>
        </w:tc>
        <w:tc>
          <w:tcPr>
            <w:tcW w:w="4540" w:type="dxa"/>
            <w:vAlign w:val="bottom"/>
            <w:gridSpan w:val="3"/>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12</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9.</w:t>
            </w:r>
          </w:p>
        </w:tc>
        <w:tc>
          <w:tcPr>
            <w:tcW w:w="1420" w:type="dxa"/>
            <w:vAlign w:val="bottom"/>
            <w:tcBorders>
              <w:bottom w:val="single" w:sz="8" w:color="0000EE"/>
            </w:tcBorders>
            <w:gridSpan w:val="4"/>
          </w:tcPr>
          <w:p>
            <w:pPr>
              <w:spacing w:after="0" w:line="196" w:lineRule="exact"/>
              <w:rPr>
                <w:rFonts w:ascii="Arial" w:cs="Arial" w:eastAsia="Arial" w:hAnsi="Arial"/>
                <w:sz w:val="18"/>
                <w:szCs w:val="18"/>
                <w:b w:val="1"/>
                <w:bCs w:val="1"/>
                <w:i w:val="1"/>
                <w:iCs w:val="1"/>
                <w:color w:val="0000EE"/>
                <w:w w:val="85"/>
              </w:rPr>
            </w:pPr>
            <w:hyperlink w:anchor="page63">
              <w:r>
                <w:rPr>
                  <w:rFonts w:ascii="Arial" w:cs="Arial" w:eastAsia="Arial" w:hAnsi="Arial"/>
                  <w:sz w:val="18"/>
                  <w:szCs w:val="18"/>
                  <w:b w:val="1"/>
                  <w:bCs w:val="1"/>
                  <w:i w:val="1"/>
                  <w:iCs w:val="1"/>
                  <w:color w:val="0000EE"/>
                  <w:w w:val="85"/>
                </w:rPr>
                <w:t>Change in Control.</w:t>
              </w:r>
            </w:hyperlink>
          </w:p>
        </w:tc>
        <w:tc>
          <w:tcPr>
            <w:tcW w:w="5480" w:type="dxa"/>
            <w:vAlign w:val="bottom"/>
            <w:gridSpan w:val="6"/>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13</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10.</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64">
              <w:r>
                <w:rPr>
                  <w:rFonts w:ascii="Arial" w:cs="Arial" w:eastAsia="Arial" w:hAnsi="Arial"/>
                  <w:sz w:val="18"/>
                  <w:szCs w:val="18"/>
                  <w:b w:val="1"/>
                  <w:bCs w:val="1"/>
                  <w:i w:val="1"/>
                  <w:iCs w:val="1"/>
                  <w:color w:val="0000EE"/>
                </w:rPr>
                <w:t>General Provisions.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14</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ectPr>
          <w:pgSz w:w="11900" w:h="16838" w:orient="portrait"/>
          <w:cols w:equalWidth="0" w:num="1">
            <w:col w:w="11320"/>
          </w:cols>
          <w:pgMar w:left="240" w:top="274"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77" w:lineRule="exact"/>
        <w:rPr>
          <w:sz w:val="20"/>
          <w:szCs w:val="20"/>
          <w:color w:val="auto"/>
        </w:rPr>
      </w:pPr>
    </w:p>
    <w:p>
      <w:pPr>
        <w:ind w:right="60" w:firstLine="464"/>
        <w:spacing w:after="0" w:line="291"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GALECTIN THERAPEUTICS, INC. AMENDED AND RESTATED 2009 INCENTIVE COMPENSATION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20" w:lineRule="exact"/>
        <w:rPr>
          <w:rFonts w:ascii="Arial" w:cs="Arial" w:eastAsia="Arial" w:hAnsi="Arial"/>
          <w:sz w:val="16"/>
          <w:szCs w:val="16"/>
          <w:color w:val="auto"/>
        </w:rPr>
      </w:pPr>
    </w:p>
    <w:p>
      <w:pPr>
        <w:ind w:right="20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 hereof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elsewhere herein.</w:t>
      </w:r>
    </w:p>
    <w:p>
      <w:pPr>
        <w:spacing w:after="0" w:line="50" w:lineRule="exact"/>
        <w:rPr>
          <w:rFonts w:ascii="Arial" w:cs="Arial" w:eastAsia="Arial" w:hAnsi="Arial"/>
          <w:sz w:val="18"/>
          <w:szCs w:val="18"/>
          <w:color w:val="auto"/>
        </w:rPr>
      </w:pPr>
    </w:p>
    <w:p>
      <w:pPr>
        <w:ind w:firstLine="921"/>
        <w:spacing w:after="0" w:line="259" w:lineRule="auto"/>
        <w:tabs>
          <w:tab w:leader="none" w:pos="11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83"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6" w:lineRule="exact"/>
        <w:rPr>
          <w:rFonts w:ascii="Arial" w:cs="Arial" w:eastAsia="Arial" w:hAnsi="Arial"/>
          <w:sz w:val="15"/>
          <w:szCs w:val="15"/>
          <w:color w:val="auto"/>
        </w:rPr>
      </w:pPr>
    </w:p>
    <w:p>
      <w:pPr>
        <w:ind w:right="180" w:firstLine="921"/>
        <w:spacing w:after="0" w:line="268"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90" w:lineRule="exact"/>
        <w:rPr>
          <w:rFonts w:ascii="Arial" w:cs="Arial" w:eastAsia="Arial" w:hAnsi="Arial"/>
          <w:sz w:val="18"/>
          <w:szCs w:val="18"/>
          <w:color w:val="auto"/>
        </w:rPr>
      </w:pPr>
    </w:p>
    <w:p>
      <w:pPr>
        <w:ind w:right="60" w:firstLine="921"/>
        <w:spacing w:after="0" w:line="287" w:lineRule="auto"/>
        <w:tabs>
          <w:tab w:leader="none" w:pos="1132" w:val="left"/>
        </w:tabs>
        <w:numPr>
          <w:ilvl w:val="1"/>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41" w:lineRule="exact"/>
        <w:rPr>
          <w:rFonts w:ascii="Arial" w:cs="Arial" w:eastAsia="Arial" w:hAnsi="Arial"/>
          <w:sz w:val="16"/>
          <w:szCs w:val="16"/>
          <w:color w:val="auto"/>
        </w:rPr>
      </w:pPr>
    </w:p>
    <w:p>
      <w:pPr>
        <w:ind w:left="1160" w:hanging="239"/>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90"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50" w:lineRule="exact"/>
        <w:rPr>
          <w:rFonts w:ascii="Arial" w:cs="Arial" w:eastAsia="Arial" w:hAnsi="Arial"/>
          <w:sz w:val="18"/>
          <w:szCs w:val="18"/>
          <w:color w:val="auto"/>
        </w:rPr>
      </w:pPr>
    </w:p>
    <w:p>
      <w:pPr>
        <w:ind w:right="640" w:firstLine="921"/>
        <w:spacing w:after="0" w:line="268" w:lineRule="auto"/>
        <w:tabs>
          <w:tab w:leader="none" w:pos="1123"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1" w:name="page52"/>
    <w:bookmarkEnd w:id="5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35" w:lineRule="exact"/>
        <w:rPr>
          <w:sz w:val="20"/>
          <w:szCs w:val="20"/>
          <w:color w:val="auto"/>
        </w:rPr>
      </w:pPr>
    </w:p>
    <w:p>
      <w:pPr>
        <w:ind w:right="220" w:firstLine="921"/>
        <w:spacing w:after="0" w:line="332" w:lineRule="auto"/>
        <w:tabs>
          <w:tab w:leader="none" w:pos="10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j)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4" w:lineRule="exact"/>
        <w:rPr>
          <w:sz w:val="20"/>
          <w:szCs w:val="20"/>
          <w:color w:val="auto"/>
        </w:rPr>
      </w:pPr>
    </w:p>
    <w:p>
      <w:pPr>
        <w:ind w:right="440" w:firstLine="921"/>
        <w:spacing w:after="0" w:line="305" w:lineRule="auto"/>
        <w:tabs>
          <w:tab w:leader="none" w:pos="1162" w:val="left"/>
        </w:tabs>
        <w:numPr>
          <w:ilvl w:val="1"/>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firstLine="8"/>
        <w:spacing w:after="0" w:line="255" w:lineRule="auto"/>
        <w:tabs>
          <w:tab w:leader="none" w:pos="3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63" w:lineRule="exact"/>
        <w:rPr>
          <w:rFonts w:ascii="Arial" w:cs="Arial" w:eastAsia="Arial" w:hAnsi="Arial"/>
          <w:sz w:val="18"/>
          <w:szCs w:val="18"/>
          <w:color w:val="auto"/>
        </w:rPr>
      </w:pPr>
    </w:p>
    <w:p>
      <w:pPr>
        <w:ind w:right="100" w:firstLine="921"/>
        <w:spacing w:after="0" w:line="298" w:lineRule="auto"/>
        <w:tabs>
          <w:tab w:leader="none" w:pos="1123"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31" w:lineRule="exact"/>
        <w:rPr>
          <w:rFonts w:ascii="Arial" w:cs="Arial" w:eastAsia="Arial" w:hAnsi="Arial"/>
          <w:sz w:val="16"/>
          <w:szCs w:val="16"/>
          <w:color w:val="auto"/>
        </w:rPr>
      </w:pPr>
    </w:p>
    <w:p>
      <w:pPr>
        <w:ind w:right="180" w:firstLine="921"/>
        <w:spacing w:after="0" w:line="268" w:lineRule="auto"/>
        <w:tabs>
          <w:tab w:leader="none" w:pos="121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90" w:lineRule="exact"/>
        <w:rPr>
          <w:rFonts w:ascii="Arial" w:cs="Arial" w:eastAsia="Arial" w:hAnsi="Arial"/>
          <w:sz w:val="18"/>
          <w:szCs w:val="18"/>
          <w:color w:val="auto"/>
        </w:rPr>
      </w:pPr>
    </w:p>
    <w:p>
      <w:pPr>
        <w:ind w:right="580" w:firstLine="921"/>
        <w:spacing w:after="0" w:line="268" w:lineRule="auto"/>
        <w:tabs>
          <w:tab w:leader="none" w:pos="11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50" w:lineRule="exact"/>
        <w:rPr>
          <w:rFonts w:ascii="Arial" w:cs="Arial" w:eastAsia="Arial" w:hAnsi="Arial"/>
          <w:sz w:val="18"/>
          <w:szCs w:val="18"/>
          <w:color w:val="auto"/>
        </w:rPr>
      </w:pPr>
    </w:p>
    <w:p>
      <w:pPr>
        <w:ind w:right="100" w:firstLine="921"/>
        <w:spacing w:after="0" w:line="268" w:lineRule="auto"/>
        <w:tabs>
          <w:tab w:leader="none" w:pos="11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50" w:lineRule="exact"/>
        <w:rPr>
          <w:rFonts w:ascii="Arial" w:cs="Arial" w:eastAsia="Arial" w:hAnsi="Arial"/>
          <w:sz w:val="18"/>
          <w:szCs w:val="18"/>
          <w:color w:val="auto"/>
        </w:rPr>
      </w:pPr>
    </w:p>
    <w:p>
      <w:pPr>
        <w:ind w:left="1140" w:hanging="219"/>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90" w:lineRule="exact"/>
        <w:rPr>
          <w:rFonts w:ascii="Arial" w:cs="Arial" w:eastAsia="Arial" w:hAnsi="Arial"/>
          <w:sz w:val="18"/>
          <w:szCs w:val="18"/>
          <w:color w:val="auto"/>
        </w:rPr>
      </w:pPr>
    </w:p>
    <w:p>
      <w:pPr>
        <w:ind w:right="120" w:firstLine="921"/>
        <w:spacing w:after="0" w:line="255" w:lineRule="auto"/>
        <w:tabs>
          <w:tab w:leader="none" w:pos="11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61" w:lineRule="exact"/>
        <w:rPr>
          <w:rFonts w:ascii="Arial" w:cs="Arial" w:eastAsia="Arial" w:hAnsi="Arial"/>
          <w:sz w:val="18"/>
          <w:szCs w:val="18"/>
          <w:color w:val="auto"/>
        </w:rPr>
      </w:pPr>
    </w:p>
    <w:p>
      <w:pPr>
        <w:ind w:right="300" w:firstLine="921"/>
        <w:spacing w:after="0" w:line="268" w:lineRule="auto"/>
        <w:tabs>
          <w:tab w:leader="none" w:pos="11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50"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2" w:name="page53"/>
    <w:bookmarkEnd w:id="52"/>
    <w:p>
      <w:pPr>
        <w:ind w:firstLine="921"/>
        <w:spacing w:after="0" w:line="294"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34" w:lineRule="exact"/>
        <w:rPr>
          <w:rFonts w:ascii="Arial" w:cs="Arial" w:eastAsia="Arial" w:hAnsi="Arial"/>
          <w:sz w:val="16"/>
          <w:szCs w:val="16"/>
          <w:color w:val="auto"/>
        </w:rPr>
      </w:pPr>
    </w:p>
    <w:p>
      <w:pPr>
        <w:ind w:firstLine="921"/>
        <w:spacing w:after="0" w:line="286" w:lineRule="auto"/>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46"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w:t>
      </w:r>
      <w:r>
        <w:rPr>
          <w:rFonts w:ascii="Arial" w:cs="Arial" w:eastAsia="Arial" w:hAnsi="Arial"/>
          <w:sz w:val="15"/>
          <w:szCs w:val="15"/>
          <w:color w:val="auto"/>
        </w:rPr>
        <w:t>”, when referring to either the Board or members of the Committee, shall have the same meaning as used in the rules of the Listing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Market.</w:t>
      </w:r>
    </w:p>
    <w:p>
      <w:pPr>
        <w:spacing w:after="0" w:line="83" w:lineRule="exact"/>
        <w:rPr>
          <w:rFonts w:ascii="Arial" w:cs="Arial" w:eastAsia="Arial" w:hAnsi="Arial"/>
          <w:sz w:val="15"/>
          <w:szCs w:val="15"/>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90" w:lineRule="exact"/>
        <w:rPr>
          <w:sz w:val="20"/>
          <w:szCs w:val="20"/>
          <w:color w:val="auto"/>
        </w:rPr>
      </w:pPr>
    </w:p>
    <w:p>
      <w:pPr>
        <w:ind w:right="200" w:firstLine="921"/>
        <w:spacing w:after="0" w:line="332" w:lineRule="auto"/>
        <w:tabs>
          <w:tab w:leader="none" w:pos="1229"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“Listing Market” </w:t>
      </w:r>
      <w:r>
        <w:rPr>
          <w:rFonts w:ascii="Arial" w:cs="Arial" w:eastAsia="Arial" w:hAnsi="Arial"/>
          <w:sz w:val="16"/>
          <w:szCs w:val="16"/>
          <w:color w:val="auto"/>
        </w:rPr>
        <w:t>means the OTC Bulletin Board or any other national securities exchange on which any securities of the Company are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trading, and if not listed for trading, by the rules of the Nasdaq Market.</w:t>
      </w:r>
    </w:p>
    <w:p>
      <w:pPr>
        <w:spacing w:after="0" w:line="4" w:lineRule="exact"/>
        <w:rPr>
          <w:rFonts w:ascii="Arial" w:cs="Arial" w:eastAsia="Arial" w:hAnsi="Arial"/>
          <w:sz w:val="16"/>
          <w:szCs w:val="16"/>
          <w:color w:val="auto"/>
        </w:rPr>
      </w:pPr>
    </w:p>
    <w:p>
      <w:pPr>
        <w:ind w:right="540" w:firstLine="921"/>
        <w:spacing w:after="0" w:line="268" w:lineRule="auto"/>
        <w:tabs>
          <w:tab w:leader="none" w:pos="1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50" w:lineRule="exact"/>
        <w:rPr>
          <w:rFonts w:ascii="Arial" w:cs="Arial" w:eastAsia="Arial" w:hAnsi="Arial"/>
          <w:sz w:val="18"/>
          <w:szCs w:val="18"/>
          <w:color w:val="auto"/>
        </w:rPr>
      </w:pPr>
    </w:p>
    <w:p>
      <w:pPr>
        <w:ind w:left="1240" w:hanging="319"/>
        <w:spacing w:after="0"/>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83" w:lineRule="exact"/>
        <w:rPr>
          <w:rFonts w:ascii="Arial" w:cs="Arial" w:eastAsia="Arial" w:hAnsi="Arial"/>
          <w:sz w:val="16"/>
          <w:szCs w:val="16"/>
          <w:color w:val="auto"/>
        </w:rPr>
      </w:pPr>
    </w:p>
    <w:p>
      <w:pPr>
        <w:ind w:left="1260" w:hanging="339"/>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90" w:lineRule="exact"/>
        <w:rPr>
          <w:rFonts w:ascii="Arial" w:cs="Arial" w:eastAsia="Arial" w:hAnsi="Arial"/>
          <w:sz w:val="18"/>
          <w:szCs w:val="18"/>
          <w:color w:val="auto"/>
        </w:rPr>
      </w:pPr>
    </w:p>
    <w:p>
      <w:pPr>
        <w:ind w:right="180" w:firstLine="921"/>
        <w:spacing w:after="0" w:line="332" w:lineRule="auto"/>
        <w:tabs>
          <w:tab w:leader="none" w:pos="12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has been granted an Award under the Plan which remains outstanding, including a person who is no longer an Eligible Person.</w:t>
      </w:r>
    </w:p>
    <w:p>
      <w:pPr>
        <w:spacing w:after="0" w:line="4" w:lineRule="exact"/>
        <w:rPr>
          <w:rFonts w:ascii="Arial" w:cs="Arial" w:eastAsia="Arial" w:hAnsi="Arial"/>
          <w:sz w:val="16"/>
          <w:szCs w:val="16"/>
          <w:color w:val="auto"/>
        </w:rPr>
      </w:pPr>
    </w:p>
    <w:p>
      <w:pPr>
        <w:ind w:left="1200" w:hanging="279"/>
        <w:spacing w:after="0"/>
        <w:tabs>
          <w:tab w:leader="none" w:pos="1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6(h) hereof.</w:t>
      </w:r>
    </w:p>
    <w:p>
      <w:pPr>
        <w:spacing w:after="0" w:line="113" w:lineRule="exact"/>
        <w:rPr>
          <w:rFonts w:ascii="Arial" w:cs="Arial" w:eastAsia="Arial" w:hAnsi="Arial"/>
          <w:sz w:val="16"/>
          <w:szCs w:val="16"/>
          <w:color w:val="auto"/>
        </w:rPr>
      </w:pPr>
    </w:p>
    <w:p>
      <w:pPr>
        <w:ind w:right="120" w:firstLine="921"/>
        <w:spacing w:after="0" w:line="268" w:lineRule="auto"/>
        <w:tabs>
          <w:tab w:leader="none" w:pos="1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50" w:lineRule="exact"/>
        <w:rPr>
          <w:rFonts w:ascii="Arial" w:cs="Arial" w:eastAsia="Arial" w:hAnsi="Arial"/>
          <w:sz w:val="18"/>
          <w:szCs w:val="18"/>
          <w:color w:val="auto"/>
        </w:rPr>
      </w:pPr>
    </w:p>
    <w:p>
      <w:pPr>
        <w:jc w:val="both"/>
        <w:ind w:right="200" w:firstLine="921"/>
        <w:spacing w:after="0" w:line="259" w:lineRule="auto"/>
        <w:tabs>
          <w:tab w:leader="none" w:pos="1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achievement of such performance goals during the Performance Period as the Committee shall establish at the time of such grant or thereafter.</w:t>
      </w:r>
    </w:p>
    <w:p>
      <w:pPr>
        <w:spacing w:after="0" w:line="113" w:lineRule="exact"/>
        <w:rPr>
          <w:sz w:val="20"/>
          <w:szCs w:val="20"/>
          <w:color w:val="auto"/>
        </w:rPr>
      </w:pPr>
    </w:p>
    <w:p>
      <w:pPr>
        <w:ind w:right="40" w:firstLine="921"/>
        <w:spacing w:after="0" w:line="256" w:lineRule="auto"/>
        <w:tabs>
          <w:tab w:leader="none" w:pos="117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62" w:lineRule="exact"/>
        <w:rPr>
          <w:rFonts w:ascii="Arial" w:cs="Arial" w:eastAsia="Arial" w:hAnsi="Arial"/>
          <w:sz w:val="18"/>
          <w:szCs w:val="18"/>
          <w:color w:val="auto"/>
        </w:rPr>
      </w:pPr>
    </w:p>
    <w:p>
      <w:pPr>
        <w:ind w:right="100" w:firstLine="921"/>
        <w:spacing w:after="0" w:line="268" w:lineRule="auto"/>
        <w:tabs>
          <w:tab w:leader="none" w:pos="117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50" w:lineRule="exact"/>
        <w:rPr>
          <w:rFonts w:ascii="Arial" w:cs="Arial" w:eastAsia="Arial" w:hAnsi="Arial"/>
          <w:sz w:val="18"/>
          <w:szCs w:val="18"/>
          <w:color w:val="auto"/>
        </w:rPr>
      </w:pPr>
    </w:p>
    <w:p>
      <w:pPr>
        <w:ind w:right="180" w:firstLine="921"/>
        <w:spacing w:after="0" w:line="268" w:lineRule="auto"/>
        <w:tabs>
          <w:tab w:leader="none" w:pos="1249"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50" w:lineRule="exact"/>
        <w:rPr>
          <w:rFonts w:ascii="Arial" w:cs="Arial" w:eastAsia="Arial" w:hAnsi="Arial"/>
          <w:sz w:val="18"/>
          <w:szCs w:val="18"/>
          <w:color w:val="auto"/>
        </w:rPr>
      </w:pPr>
    </w:p>
    <w:p>
      <w:pPr>
        <w:ind w:right="180" w:firstLine="921"/>
        <w:spacing w:after="0" w:line="268" w:lineRule="auto"/>
        <w:tabs>
          <w:tab w:leader="none" w:pos="1171"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w:t>
      </w:r>
    </w:p>
    <w:p>
      <w:pPr>
        <w:spacing w:after="0" w:line="50" w:lineRule="exact"/>
        <w:rPr>
          <w:rFonts w:ascii="Arial" w:cs="Arial" w:eastAsia="Arial" w:hAnsi="Arial"/>
          <w:sz w:val="18"/>
          <w:szCs w:val="18"/>
          <w:color w:val="auto"/>
        </w:rPr>
      </w:pPr>
    </w:p>
    <w:p>
      <w:pPr>
        <w:jc w:val="both"/>
        <w:ind w:firstLine="921"/>
        <w:spacing w:after="0" w:line="256" w:lineRule="auto"/>
        <w:tabs>
          <w:tab w:leader="none" w:pos="13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62" w:lineRule="exact"/>
        <w:rPr>
          <w:rFonts w:ascii="Arial" w:cs="Arial" w:eastAsia="Arial" w:hAnsi="Arial"/>
          <w:sz w:val="18"/>
          <w:szCs w:val="18"/>
          <w:color w:val="auto"/>
        </w:rPr>
      </w:pPr>
    </w:p>
    <w:p>
      <w:pPr>
        <w:ind w:left="1260" w:hanging="339"/>
        <w:spacing w:after="0"/>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90" w:lineRule="exact"/>
        <w:rPr>
          <w:rFonts w:ascii="Arial" w:cs="Arial" w:eastAsia="Arial" w:hAnsi="Arial"/>
          <w:sz w:val="18"/>
          <w:szCs w:val="18"/>
          <w:color w:val="auto"/>
        </w:rPr>
      </w:pPr>
    </w:p>
    <w:p>
      <w:pPr>
        <w:ind w:right="240" w:firstLine="921"/>
        <w:spacing w:after="0" w:line="268" w:lineRule="auto"/>
        <w:tabs>
          <w:tab w:leader="none" w:pos="1249"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50" w:lineRule="exact"/>
        <w:rPr>
          <w:rFonts w:ascii="Arial" w:cs="Arial" w:eastAsia="Arial" w:hAnsi="Arial"/>
          <w:sz w:val="18"/>
          <w:szCs w:val="18"/>
          <w:color w:val="auto"/>
        </w:rPr>
      </w:pPr>
    </w:p>
    <w:p>
      <w:pPr>
        <w:ind w:right="280" w:firstLine="921"/>
        <w:spacing w:after="0" w:line="268" w:lineRule="auto"/>
        <w:tabs>
          <w:tab w:leader="none" w:pos="1249"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50" w:lineRule="exact"/>
        <w:rPr>
          <w:rFonts w:ascii="Arial" w:cs="Arial" w:eastAsia="Arial" w:hAnsi="Arial"/>
          <w:sz w:val="18"/>
          <w:szCs w:val="18"/>
          <w:color w:val="auto"/>
        </w:rPr>
      </w:pPr>
    </w:p>
    <w:p>
      <w:pPr>
        <w:ind w:left="1260" w:hanging="339"/>
        <w:spacing w:after="0"/>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90" w:lineRule="exact"/>
        <w:rPr>
          <w:rFonts w:ascii="Arial" w:cs="Arial" w:eastAsia="Arial" w:hAnsi="Arial"/>
          <w:sz w:val="18"/>
          <w:szCs w:val="18"/>
          <w:color w:val="auto"/>
        </w:rPr>
      </w:pPr>
    </w:p>
    <w:p>
      <w:pPr>
        <w:jc w:val="both"/>
        <w:ind w:right="60" w:firstLine="921"/>
        <w:spacing w:after="0" w:line="306" w:lineRule="auto"/>
        <w:tabs>
          <w:tab w:leader="none" w:pos="11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25" w:lineRule="exact"/>
        <w:rPr>
          <w:rFonts w:ascii="Arial" w:cs="Arial" w:eastAsia="Arial" w:hAnsi="Arial"/>
          <w:sz w:val="16"/>
          <w:szCs w:val="16"/>
          <w:color w:val="auto"/>
        </w:rPr>
      </w:pPr>
    </w:p>
    <w:p>
      <w:pPr>
        <w:jc w:val="both"/>
        <w:ind w:right="420" w:firstLine="921"/>
        <w:spacing w:after="0" w:line="306" w:lineRule="auto"/>
        <w:tabs>
          <w:tab w:leader="none" w:pos="1210"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60" w:firstLine="921"/>
        <w:spacing w:after="0" w:line="290"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4" w:name="page55"/>
    <w:bookmarkEnd w:id="5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62" w:lineRule="exact"/>
        <w:rPr>
          <w:sz w:val="20"/>
          <w:szCs w:val="20"/>
          <w:color w:val="auto"/>
        </w:rPr>
      </w:pPr>
    </w:p>
    <w:p>
      <w:pPr>
        <w:ind w:right="40" w:firstLine="921"/>
        <w:spacing w:after="0" w:line="286" w:lineRule="auto"/>
        <w:tabs>
          <w:tab w:leader="none" w:pos="1161" w:val="left"/>
        </w:tabs>
        <w:numPr>
          <w:ilvl w:val="2"/>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(i)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43" w:lineRule="exact"/>
        <w:rPr>
          <w:rFonts w:ascii="Arial" w:cs="Arial" w:eastAsia="Arial" w:hAnsi="Arial"/>
          <w:sz w:val="16"/>
          <w:szCs w:val="16"/>
          <w:color w:val="auto"/>
        </w:rPr>
      </w:pPr>
    </w:p>
    <w:p>
      <w:pPr>
        <w:ind w:right="20" w:firstLine="921"/>
        <w:spacing w:after="0" w:line="294" w:lineRule="auto"/>
        <w:tabs>
          <w:tab w:leader="none" w:pos="1152" w:val="left"/>
        </w:tabs>
        <w:numPr>
          <w:ilvl w:val="2"/>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2"/>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 the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reserved and available for delivery under the Plan shall be 4,733,334. Any Shares delivered under the Plan may consist, in whole or in part, of authorized and unissued shares or treasury shares.</w:t>
      </w:r>
    </w:p>
    <w:p>
      <w:pPr>
        <w:spacing w:after="0" w:line="59" w:lineRule="exact"/>
        <w:rPr>
          <w:rFonts w:ascii="Arial" w:cs="Arial" w:eastAsia="Arial" w:hAnsi="Arial"/>
          <w:sz w:val="18"/>
          <w:szCs w:val="18"/>
          <w:color w:val="auto"/>
        </w:rPr>
      </w:pPr>
    </w:p>
    <w:p>
      <w:pPr>
        <w:ind w:right="120" w:firstLine="921"/>
        <w:spacing w:after="0" w:line="255" w:lineRule="auto"/>
        <w:tabs>
          <w:tab w:leader="none" w:pos="1161" w:val="left"/>
        </w:tabs>
        <w:numPr>
          <w:ilvl w:val="2"/>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61" w:lineRule="exact"/>
        <w:rPr>
          <w:rFonts w:ascii="Arial" w:cs="Arial" w:eastAsia="Arial" w:hAnsi="Arial"/>
          <w:sz w:val="18"/>
          <w:szCs w:val="18"/>
          <w:color w:val="auto"/>
        </w:rPr>
      </w:pPr>
    </w:p>
    <w:p>
      <w:pPr>
        <w:ind w:left="1160" w:hanging="239"/>
        <w:spacing w:after="0"/>
        <w:tabs>
          <w:tab w:leader="none" w:pos="1160" w:val="left"/>
        </w:tabs>
        <w:numPr>
          <w:ilvl w:val="2"/>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120" w:firstLine="1492"/>
        <w:spacing w:after="0" w:line="303" w:lineRule="auto"/>
        <w:tabs>
          <w:tab w:leader="none" w:pos="1693" w:val="left"/>
        </w:tabs>
        <w:numPr>
          <w:ilvl w:val="3"/>
          <w:numId w:val="50"/>
        </w:numPr>
        <w:rPr>
          <w:rFonts w:ascii="Arial" w:cs="Arial" w:eastAsia="Arial" w:hAnsi="Arial"/>
          <w:sz w:val="15"/>
          <w:szCs w:val="15"/>
          <w:color w:val="auto"/>
        </w:rPr>
      </w:pPr>
      <w:r>
        <w:rPr>
          <w:rFonts w:ascii="Arial" w:cs="Arial" w:eastAsia="Arial" w:hAnsi="Arial"/>
          <w:sz w:val="15"/>
          <w:szCs w:val="15"/>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below.</w:t>
      </w:r>
    </w:p>
    <w:p>
      <w:pPr>
        <w:spacing w:after="0" w:line="83" w:lineRule="exact"/>
        <w:rPr>
          <w:rFonts w:ascii="Arial" w:cs="Arial" w:eastAsia="Arial" w:hAnsi="Arial"/>
          <w:sz w:val="18"/>
          <w:szCs w:val="18"/>
          <w:color w:val="auto"/>
        </w:rPr>
      </w:pPr>
    </w:p>
    <w:p>
      <w:pPr>
        <w:ind w:right="640" w:firstLine="1492"/>
        <w:spacing w:after="0" w:line="268" w:lineRule="auto"/>
        <w:tabs>
          <w:tab w:leader="none" w:pos="1742" w:val="left"/>
        </w:tabs>
        <w:numPr>
          <w:ilvl w:val="3"/>
          <w:numId w:val="51"/>
        </w:numPr>
        <w:rPr>
          <w:rFonts w:ascii="Arial" w:cs="Arial" w:eastAsia="Arial" w:hAnsi="Arial"/>
          <w:sz w:val="18"/>
          <w:szCs w:val="18"/>
          <w:color w:val="auto"/>
        </w:rPr>
      </w:pPr>
      <w:r>
        <w:rPr>
          <w:rFonts w:ascii="Arial" w:cs="Arial" w:eastAsia="Arial" w:hAnsi="Arial"/>
          <w:sz w:val="18"/>
          <w:szCs w:val="18"/>
          <w:color w:val="auto"/>
        </w:rPr>
        <w:t>In the event that any Option or other Award granted hereunder is exercised through the tendering of Shares (either actually or by attestation) or by the withholding of Shares by the Company,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5" w:name="page56"/>
    <w:bookmarkEnd w:id="5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59" w:lineRule="exact"/>
        <w:rPr>
          <w:sz w:val="20"/>
          <w:szCs w:val="20"/>
          <w:color w:val="auto"/>
        </w:rPr>
      </w:pPr>
    </w:p>
    <w:p>
      <w:pPr>
        <w:ind w:right="20" w:firstLine="1492"/>
        <w:spacing w:after="0" w:line="290" w:lineRule="auto"/>
        <w:tabs>
          <w:tab w:leader="none" w:pos="1791" w:val="left"/>
        </w:tabs>
        <w:numPr>
          <w:ilvl w:val="2"/>
          <w:numId w:val="52"/>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37" w:lineRule="exact"/>
        <w:rPr>
          <w:rFonts w:ascii="Arial" w:cs="Arial" w:eastAsia="Arial" w:hAnsi="Arial"/>
          <w:sz w:val="16"/>
          <w:szCs w:val="16"/>
          <w:color w:val="auto"/>
        </w:rPr>
      </w:pPr>
    </w:p>
    <w:p>
      <w:pPr>
        <w:ind w:left="1780" w:hanging="288"/>
        <w:spacing w:after="0"/>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90" w:lineRule="exact"/>
        <w:rPr>
          <w:rFonts w:ascii="Arial" w:cs="Arial" w:eastAsia="Arial" w:hAnsi="Arial"/>
          <w:sz w:val="18"/>
          <w:szCs w:val="18"/>
          <w:color w:val="auto"/>
        </w:rPr>
      </w:pPr>
    </w:p>
    <w:p>
      <w:pPr>
        <w:ind w:right="20" w:firstLine="1492"/>
        <w:spacing w:after="0" w:line="332" w:lineRule="auto"/>
        <w:tabs>
          <w:tab w:leader="none" w:pos="1732" w:val="left"/>
        </w:tabs>
        <w:numPr>
          <w:ilvl w:val="2"/>
          <w:numId w:val="52"/>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[4,533,334] Shares.</w:t>
      </w:r>
    </w:p>
    <w:p>
      <w:pPr>
        <w:spacing w:after="0" w:line="85" w:lineRule="exact"/>
        <w:rPr>
          <w:rFonts w:ascii="Arial" w:cs="Arial" w:eastAsia="Arial" w:hAnsi="Arial"/>
          <w:sz w:val="16"/>
          <w:szCs w:val="16"/>
          <w:color w:val="auto"/>
        </w:rPr>
      </w:pPr>
    </w:p>
    <w:p>
      <w:pPr>
        <w:ind w:right="40" w:firstLine="464"/>
        <w:spacing w:after="0" w:line="294"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90"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37" w:lineRule="exact"/>
        <w:rPr>
          <w:rFonts w:ascii="Arial" w:cs="Arial" w:eastAsia="Arial" w:hAnsi="Arial"/>
          <w:sz w:val="16"/>
          <w:szCs w:val="16"/>
          <w:color w:val="auto"/>
        </w:rPr>
      </w:pPr>
    </w:p>
    <w:p>
      <w:pPr>
        <w:ind w:left="1160" w:hanging="239"/>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90" w:lineRule="exact"/>
        <w:rPr>
          <w:rFonts w:ascii="Arial" w:cs="Arial" w:eastAsia="Arial" w:hAnsi="Arial"/>
          <w:sz w:val="18"/>
          <w:szCs w:val="18"/>
          <w:color w:val="auto"/>
        </w:rPr>
      </w:pPr>
    </w:p>
    <w:p>
      <w:pPr>
        <w:ind w:right="40" w:firstLine="1492"/>
        <w:spacing w:after="0" w:line="290" w:lineRule="auto"/>
        <w:tabs>
          <w:tab w:leader="none" w:pos="1693" w:val="left"/>
        </w:tabs>
        <w:numPr>
          <w:ilvl w:val="2"/>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6" w:name="page57"/>
    <w:bookmarkEnd w:id="56"/>
    <w:p>
      <w:pPr>
        <w:ind w:left="-20" w:firstLine="1492"/>
        <w:spacing w:after="0" w:line="289" w:lineRule="auto"/>
        <w:tabs>
          <w:tab w:leader="none" w:pos="1722"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and Method of Exercise</w:t>
      </w:r>
      <w:r>
        <w:rPr>
          <w:rFonts w:ascii="Arial" w:cs="Arial" w:eastAsia="Arial" w:hAnsi="Arial"/>
          <w:sz w:val="16"/>
          <w:szCs w:val="16"/>
          <w:color w:val="auto"/>
        </w:rPr>
        <w:t>. 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37" w:lineRule="exact"/>
        <w:rPr>
          <w:rFonts w:ascii="Arial" w:cs="Arial" w:eastAsia="Arial" w:hAnsi="Arial"/>
          <w:sz w:val="16"/>
          <w:szCs w:val="16"/>
          <w:color w:val="auto"/>
        </w:rPr>
      </w:pPr>
    </w:p>
    <w:p>
      <w:pPr>
        <w:ind w:left="-20" w:right="40" w:firstLine="1492"/>
        <w:spacing w:after="0" w:line="291" w:lineRule="auto"/>
        <w:tabs>
          <w:tab w:leader="none" w:pos="177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39" w:lineRule="exact"/>
        <w:rPr>
          <w:rFonts w:ascii="Arial" w:cs="Arial" w:eastAsia="Arial" w:hAnsi="Arial"/>
          <w:sz w:val="16"/>
          <w:szCs w:val="16"/>
          <w:color w:val="auto"/>
        </w:rPr>
      </w:pPr>
    </w:p>
    <w:p>
      <w:pPr>
        <w:ind w:left="-20" w:right="100" w:firstLine="1948"/>
        <w:spacing w:after="0" w:line="294" w:lineRule="auto"/>
        <w:tabs>
          <w:tab w:leader="none" w:pos="2208"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34" w:lineRule="exact"/>
        <w:rPr>
          <w:rFonts w:ascii="Arial" w:cs="Arial" w:eastAsia="Arial" w:hAnsi="Arial"/>
          <w:sz w:val="16"/>
          <w:szCs w:val="16"/>
          <w:color w:val="auto"/>
        </w:rPr>
      </w:pPr>
    </w:p>
    <w:p>
      <w:pPr>
        <w:ind w:left="-20" w:right="120" w:firstLine="1948"/>
        <w:spacing w:after="0" w:line="298" w:lineRule="auto"/>
        <w:tabs>
          <w:tab w:leader="none" w:pos="2198"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31" w:lineRule="exact"/>
        <w:rPr>
          <w:rFonts w:ascii="Arial" w:cs="Arial" w:eastAsia="Arial" w:hAnsi="Arial"/>
          <w:sz w:val="16"/>
          <w:szCs w:val="16"/>
          <w:color w:val="auto"/>
        </w:rPr>
      </w:pPr>
    </w:p>
    <w:p>
      <w:pPr>
        <w:ind w:left="-20" w:right="60" w:firstLine="921"/>
        <w:spacing w:after="0" w:line="256" w:lineRule="auto"/>
        <w:tabs>
          <w:tab w:leader="none" w:pos="1132"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62" w:lineRule="exact"/>
        <w:rPr>
          <w:rFonts w:ascii="Arial" w:cs="Arial" w:eastAsia="Arial" w:hAnsi="Arial"/>
          <w:sz w:val="18"/>
          <w:szCs w:val="18"/>
          <w:color w:val="auto"/>
        </w:rPr>
      </w:pPr>
    </w:p>
    <w:p>
      <w:pPr>
        <w:ind w:left="-20" w:firstLine="1492"/>
        <w:spacing w:after="0" w:line="298" w:lineRule="auto"/>
        <w:tabs>
          <w:tab w:leader="none" w:pos="1673"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31" w:lineRule="exact"/>
        <w:rPr>
          <w:rFonts w:ascii="Arial" w:cs="Arial" w:eastAsia="Arial" w:hAnsi="Arial"/>
          <w:sz w:val="16"/>
          <w:szCs w:val="16"/>
          <w:color w:val="auto"/>
        </w:rPr>
      </w:pPr>
    </w:p>
    <w:p>
      <w:pPr>
        <w:ind w:left="-20" w:right="20" w:firstLine="1492"/>
        <w:spacing w:after="0" w:line="298" w:lineRule="auto"/>
        <w:tabs>
          <w:tab w:leader="none" w:pos="1722"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57" w:name="page58"/>
    <w:bookmarkEnd w:id="5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4" w:lineRule="exact"/>
        <w:rPr>
          <w:sz w:val="20"/>
          <w:szCs w:val="20"/>
          <w:color w:val="auto"/>
        </w:rPr>
      </w:pPr>
    </w:p>
    <w:p>
      <w:pPr>
        <w:ind w:right="100" w:firstLine="1492"/>
        <w:spacing w:after="0" w:line="288" w:lineRule="auto"/>
        <w:tabs>
          <w:tab w:leader="none" w:pos="1791"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83" w:lineRule="exact"/>
        <w:rPr>
          <w:rFonts w:ascii="Arial" w:cs="Arial" w:eastAsia="Arial" w:hAnsi="Arial"/>
          <w:sz w:val="16"/>
          <w:szCs w:val="16"/>
          <w:color w:val="auto"/>
        </w:rPr>
      </w:pPr>
    </w:p>
    <w:p>
      <w:pPr>
        <w:ind w:right="60" w:firstLine="1492"/>
        <w:spacing w:after="0" w:line="287" w:lineRule="auto"/>
        <w:tabs>
          <w:tab w:leader="none" w:pos="1693"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42" w:lineRule="exact"/>
        <w:rPr>
          <w:sz w:val="20"/>
          <w:szCs w:val="20"/>
          <w:color w:val="auto"/>
        </w:rPr>
      </w:pPr>
    </w:p>
    <w:p>
      <w:pPr>
        <w:ind w:right="80" w:firstLine="1492"/>
        <w:spacing w:after="0" w:line="254" w:lineRule="auto"/>
        <w:tabs>
          <w:tab w:leader="none" w:pos="1742"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63" w:lineRule="exact"/>
        <w:rPr>
          <w:rFonts w:ascii="Arial" w:cs="Arial" w:eastAsia="Arial" w:hAnsi="Arial"/>
          <w:sz w:val="18"/>
          <w:szCs w:val="18"/>
          <w:color w:val="auto"/>
        </w:rPr>
      </w:pPr>
    </w:p>
    <w:p>
      <w:pPr>
        <w:ind w:firstLine="1492"/>
        <w:spacing w:after="0" w:line="298" w:lineRule="auto"/>
        <w:tabs>
          <w:tab w:leader="none" w:pos="1791"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31" w:lineRule="exact"/>
        <w:rPr>
          <w:rFonts w:ascii="Arial" w:cs="Arial" w:eastAsia="Arial" w:hAnsi="Arial"/>
          <w:sz w:val="16"/>
          <w:szCs w:val="16"/>
          <w:color w:val="auto"/>
        </w:rPr>
      </w:pPr>
    </w:p>
    <w:p>
      <w:pPr>
        <w:ind w:right="20" w:firstLine="1492"/>
        <w:spacing w:after="0" w:line="259" w:lineRule="auto"/>
        <w:tabs>
          <w:tab w:leader="none" w:pos="1781"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8" w:name="page59"/>
    <w:bookmarkEnd w:id="5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84" w:lineRule="exact"/>
        <w:rPr>
          <w:sz w:val="20"/>
          <w:szCs w:val="20"/>
          <w:color w:val="auto"/>
        </w:rPr>
      </w:pPr>
    </w:p>
    <w:p>
      <w:pPr>
        <w:ind w:right="20" w:firstLine="1492"/>
        <w:spacing w:after="0" w:line="290" w:lineRule="auto"/>
        <w:tabs>
          <w:tab w:leader="none" w:pos="1693"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37" w:lineRule="exact"/>
        <w:rPr>
          <w:rFonts w:ascii="Arial" w:cs="Arial" w:eastAsia="Arial" w:hAnsi="Arial"/>
          <w:sz w:val="16"/>
          <w:szCs w:val="16"/>
          <w:color w:val="auto"/>
        </w:rPr>
      </w:pPr>
    </w:p>
    <w:p>
      <w:pPr>
        <w:ind w:firstLine="1492"/>
        <w:spacing w:after="0" w:line="291" w:lineRule="auto"/>
        <w:tabs>
          <w:tab w:leader="none" w:pos="1742"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39" w:lineRule="exact"/>
        <w:rPr>
          <w:rFonts w:ascii="Arial" w:cs="Arial" w:eastAsia="Arial" w:hAnsi="Arial"/>
          <w:sz w:val="16"/>
          <w:szCs w:val="16"/>
          <w:color w:val="auto"/>
        </w:rPr>
      </w:pPr>
    </w:p>
    <w:p>
      <w:pPr>
        <w:ind w:right="60" w:firstLine="1492"/>
        <w:spacing w:after="0" w:line="253" w:lineRule="auto"/>
        <w:tabs>
          <w:tab w:leader="none" w:pos="1791"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Unless otherwise determined by the Committee at the date of grant, any Dividend Equivalents that are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64" w:lineRule="exact"/>
        <w:rPr>
          <w:rFonts w:ascii="Arial" w:cs="Arial" w:eastAsia="Arial" w:hAnsi="Arial"/>
          <w:sz w:val="18"/>
          <w:szCs w:val="18"/>
          <w:color w:val="auto"/>
        </w:rPr>
      </w:pPr>
    </w:p>
    <w:p>
      <w:pPr>
        <w:ind w:right="240" w:firstLine="921"/>
        <w:spacing w:after="0" w:line="294" w:lineRule="auto"/>
        <w:tabs>
          <w:tab w:leader="none" w:pos="1132"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34" w:lineRule="exact"/>
        <w:rPr>
          <w:rFonts w:ascii="Arial" w:cs="Arial" w:eastAsia="Arial" w:hAnsi="Arial"/>
          <w:sz w:val="16"/>
          <w:szCs w:val="16"/>
          <w:color w:val="auto"/>
        </w:rPr>
      </w:pPr>
    </w:p>
    <w:p>
      <w:pPr>
        <w:ind w:right="60" w:firstLine="921"/>
        <w:spacing w:after="0" w:line="306" w:lineRule="auto"/>
        <w:tabs>
          <w:tab w:leader="none" w:pos="1161"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 Eligible Person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Shares, other Awards, or other property equal in value to the dividends paid with respect to a specified number of Shares, or other periodic payments. Dividend Equivalents may be awarded on a free-standing basis or in connection with another Award. The Committee may provide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9" w:name="page60"/>
    <w:bookmarkEnd w:id="5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59" w:lineRule="exact"/>
        <w:rPr>
          <w:sz w:val="20"/>
          <w:szCs w:val="20"/>
          <w:color w:val="auto"/>
        </w:rPr>
      </w:pPr>
    </w:p>
    <w:p>
      <w:pPr>
        <w:ind w:right="20" w:firstLine="921"/>
        <w:spacing w:after="0" w:line="287" w:lineRule="auto"/>
        <w:tabs>
          <w:tab w:leader="none" w:pos="1161"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41" w:lineRule="exact"/>
        <w:rPr>
          <w:rFonts w:ascii="Arial" w:cs="Arial" w:eastAsia="Arial" w:hAnsi="Arial"/>
          <w:sz w:val="16"/>
          <w:szCs w:val="16"/>
          <w:color w:val="auto"/>
        </w:rPr>
      </w:pPr>
    </w:p>
    <w:p>
      <w:pPr>
        <w:ind w:firstLine="921"/>
        <w:spacing w:after="0" w:line="289" w:lineRule="auto"/>
        <w:tabs>
          <w:tab w:leader="none" w:pos="1122"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86" w:lineRule="auto"/>
        <w:tabs>
          <w:tab w:leader="none" w:pos="1152"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0" w:name="page61"/>
    <w:bookmarkEnd w:id="60"/>
    <w:p>
      <w:pPr>
        <w:jc w:val="both"/>
        <w:ind w:left="-20" w:right="240" w:firstLine="921"/>
        <w:spacing w:after="0" w:line="259" w:lineRule="auto"/>
        <w:tabs>
          <w:tab w:leader="none" w:pos="1141"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59" w:lineRule="exact"/>
        <w:rPr>
          <w:rFonts w:ascii="Arial" w:cs="Arial" w:eastAsia="Arial" w:hAnsi="Arial"/>
          <w:sz w:val="18"/>
          <w:szCs w:val="18"/>
          <w:color w:val="auto"/>
        </w:rPr>
      </w:pPr>
    </w:p>
    <w:p>
      <w:pPr>
        <w:ind w:left="-20" w:firstLine="921"/>
        <w:spacing w:after="0" w:line="285" w:lineRule="auto"/>
        <w:tabs>
          <w:tab w:leader="none" w:pos="1132"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47" w:lineRule="exact"/>
        <w:rPr>
          <w:rFonts w:ascii="Arial" w:cs="Arial" w:eastAsia="Arial" w:hAnsi="Arial"/>
          <w:sz w:val="16"/>
          <w:szCs w:val="16"/>
          <w:color w:val="auto"/>
        </w:rPr>
      </w:pPr>
    </w:p>
    <w:p>
      <w:pPr>
        <w:ind w:left="-20" w:right="160" w:firstLine="921"/>
        <w:spacing w:after="0" w:line="294" w:lineRule="auto"/>
        <w:tabs>
          <w:tab w:leader="none" w:pos="1141"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 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34" w:lineRule="exact"/>
        <w:rPr>
          <w:rFonts w:ascii="Arial" w:cs="Arial" w:eastAsia="Arial" w:hAnsi="Arial"/>
          <w:sz w:val="16"/>
          <w:szCs w:val="16"/>
          <w:color w:val="auto"/>
        </w:rPr>
      </w:pPr>
    </w:p>
    <w:p>
      <w:pPr>
        <w:ind w:left="1140" w:hanging="239"/>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80" w:firstLine="1492"/>
        <w:spacing w:after="0" w:line="298" w:lineRule="auto"/>
        <w:tabs>
          <w:tab w:leader="none" w:pos="1673"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31" w:lineRule="exact"/>
        <w:rPr>
          <w:rFonts w:ascii="Arial" w:cs="Arial" w:eastAsia="Arial" w:hAnsi="Arial"/>
          <w:sz w:val="16"/>
          <w:szCs w:val="16"/>
          <w:color w:val="auto"/>
        </w:rPr>
      </w:pPr>
    </w:p>
    <w:p>
      <w:pPr>
        <w:ind w:left="-20" w:right="20" w:firstLine="1492"/>
        <w:spacing w:after="0" w:line="332" w:lineRule="auto"/>
        <w:tabs>
          <w:tab w:leader="none" w:pos="1722"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4" w:lineRule="exact"/>
        <w:rPr>
          <w:rFonts w:ascii="Arial" w:cs="Arial" w:eastAsia="Arial" w:hAnsi="Arial"/>
          <w:sz w:val="16"/>
          <w:szCs w:val="16"/>
          <w:color w:val="auto"/>
        </w:rPr>
      </w:pPr>
    </w:p>
    <w:p>
      <w:pPr>
        <w:ind w:left="-20" w:right="40" w:firstLine="1948"/>
        <w:spacing w:after="0" w:line="298" w:lineRule="auto"/>
        <w:tabs>
          <w:tab w:leader="none" w:pos="2208" w:val="left"/>
        </w:tabs>
        <w:numPr>
          <w:ilvl w:val="2"/>
          <w:numId w:val="63"/>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“unforeseeble emergency”;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61" w:name="page62"/>
    <w:bookmarkEnd w:id="61"/>
    <w:p>
      <w:pPr>
        <w:ind w:right="420" w:firstLine="1948"/>
        <w:spacing w:after="0" w:line="268" w:lineRule="auto"/>
        <w:tabs>
          <w:tab w:leader="none" w:pos="2218"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or schedule for any payment of the deferred compensation may not be accelerated, except to the extent provided in applicable Treasury Regulations or other applicable guidance issued by the Internal Revenue Service;</w:t>
      </w:r>
    </w:p>
    <w:p>
      <w:pPr>
        <w:spacing w:after="0" w:line="50" w:lineRule="exact"/>
        <w:rPr>
          <w:rFonts w:ascii="Arial" w:cs="Arial" w:eastAsia="Arial" w:hAnsi="Arial"/>
          <w:sz w:val="18"/>
          <w:szCs w:val="18"/>
          <w:color w:val="auto"/>
        </w:rPr>
      </w:pPr>
    </w:p>
    <w:p>
      <w:pPr>
        <w:ind w:right="960" w:firstLine="1948"/>
        <w:spacing w:after="0" w:line="268" w:lineRule="auto"/>
        <w:tabs>
          <w:tab w:leader="none" w:pos="22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50" w:lineRule="exact"/>
        <w:rPr>
          <w:rFonts w:ascii="Arial" w:cs="Arial" w:eastAsia="Arial" w:hAnsi="Arial"/>
          <w:sz w:val="18"/>
          <w:szCs w:val="18"/>
          <w:color w:val="auto"/>
        </w:rPr>
      </w:pPr>
    </w:p>
    <w:p>
      <w:pPr>
        <w:ind w:right="220" w:firstLine="1948"/>
        <w:spacing w:after="0" w:line="332" w:lineRule="auto"/>
        <w:tabs>
          <w:tab w:leader="none" w:pos="222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66" w:lineRule="exact"/>
        <w:rPr>
          <w:sz w:val="20"/>
          <w:szCs w:val="20"/>
          <w:color w:val="auto"/>
        </w:rPr>
      </w:pPr>
    </w:p>
    <w:p>
      <w:pPr>
        <w:ind w:right="20" w:firstLine="1492"/>
        <w:spacing w:after="0" w:line="255" w:lineRule="auto"/>
        <w:tabs>
          <w:tab w:leader="none" w:pos="17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921"/>
        <w:spacing w:after="0" w:line="259" w:lineRule="auto"/>
        <w:tabs>
          <w:tab w:leader="none" w:pos="1152"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59" w:lineRule="exact"/>
        <w:rPr>
          <w:rFonts w:ascii="Arial" w:cs="Arial" w:eastAsia="Arial" w:hAnsi="Arial"/>
          <w:sz w:val="18"/>
          <w:szCs w:val="18"/>
          <w:color w:val="auto"/>
        </w:rPr>
      </w:pPr>
    </w:p>
    <w:p>
      <w:pPr>
        <w:ind w:right="100" w:firstLine="921"/>
        <w:spacing w:after="0" w:line="286" w:lineRule="auto"/>
        <w:tabs>
          <w:tab w:leader="none" w:pos="1161" w:val="left"/>
        </w:tabs>
        <w:numPr>
          <w:ilvl w:val="1"/>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 Performance Award is subject to this Section 8, then the payment or distribution thereof or the lapsing of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62" w:name="page63"/>
    <w:bookmarkEnd w:id="62"/>
    <w:p>
      <w:pPr>
        <w:ind w:left="-8" w:firstLine="8"/>
        <w:spacing w:after="0" w:line="290" w:lineRule="auto"/>
        <w:tabs>
          <w:tab w:leader="none" w:pos="328"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37" w:lineRule="exact"/>
        <w:rPr>
          <w:rFonts w:ascii="Arial" w:cs="Arial" w:eastAsia="Arial" w:hAnsi="Arial"/>
          <w:sz w:val="16"/>
          <w:szCs w:val="16"/>
          <w:color w:val="auto"/>
        </w:rPr>
      </w:pPr>
    </w:p>
    <w:p>
      <w:pPr>
        <w:ind w:left="-8" w:right="40" w:firstLine="921"/>
        <w:spacing w:after="0" w:line="298" w:lineRule="auto"/>
        <w:tabs>
          <w:tab w:leader="none" w:pos="1144" w:val="left"/>
        </w:tabs>
        <w:numPr>
          <w:ilvl w:val="2"/>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Performance Awards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31" w:lineRule="exact"/>
        <w:rPr>
          <w:rFonts w:ascii="Arial" w:cs="Arial" w:eastAsia="Arial" w:hAnsi="Arial"/>
          <w:sz w:val="16"/>
          <w:szCs w:val="16"/>
          <w:color w:val="auto"/>
        </w:rPr>
      </w:pPr>
    </w:p>
    <w:p>
      <w:pPr>
        <w:ind w:left="-8" w:firstLine="921"/>
        <w:spacing w:after="0" w:line="256" w:lineRule="auto"/>
        <w:tabs>
          <w:tab w:leader="none" w:pos="1153" w:val="left"/>
        </w:tabs>
        <w:numPr>
          <w:ilvl w:val="2"/>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62" w:lineRule="exact"/>
        <w:rPr>
          <w:rFonts w:ascii="Arial" w:cs="Arial" w:eastAsia="Arial" w:hAnsi="Arial"/>
          <w:sz w:val="18"/>
          <w:szCs w:val="18"/>
          <w:color w:val="auto"/>
        </w:rPr>
      </w:pPr>
    </w:p>
    <w:p>
      <w:pPr>
        <w:ind w:left="-8" w:right="100" w:firstLine="921"/>
        <w:spacing w:after="0" w:line="306" w:lineRule="auto"/>
        <w:tabs>
          <w:tab w:leader="none" w:pos="1144" w:val="left"/>
        </w:tabs>
        <w:numPr>
          <w:ilvl w:val="2"/>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Committee Certification</w:t>
      </w:r>
      <w:r>
        <w:rPr>
          <w:rFonts w:ascii="Arial" w:cs="Arial" w:eastAsia="Arial" w:hAnsi="Arial"/>
          <w:sz w:val="16"/>
          <w:szCs w:val="16"/>
          <w:color w:val="auto"/>
        </w:rPr>
        <w:t>. 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06" w:lineRule="exact"/>
        <w:rPr>
          <w:rFonts w:ascii="Arial" w:cs="Arial" w:eastAsia="Arial" w:hAnsi="Arial"/>
          <w:sz w:val="16"/>
          <w:szCs w:val="16"/>
          <w:color w:val="auto"/>
        </w:rPr>
      </w:pPr>
    </w:p>
    <w:p>
      <w:pPr>
        <w:ind w:left="632" w:hanging="176"/>
        <w:spacing w:after="0"/>
        <w:tabs>
          <w:tab w:leader="none" w:pos="632"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500" w:firstLine="921"/>
        <w:spacing w:after="0" w:line="306" w:lineRule="auto"/>
        <w:tabs>
          <w:tab w:leader="none" w:pos="1144" w:val="left"/>
        </w:tabs>
        <w:numPr>
          <w:ilvl w:val="2"/>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25" w:lineRule="exact"/>
        <w:rPr>
          <w:rFonts w:ascii="Arial" w:cs="Arial" w:eastAsia="Arial" w:hAnsi="Arial"/>
          <w:sz w:val="16"/>
          <w:szCs w:val="16"/>
          <w:color w:val="auto"/>
        </w:rPr>
      </w:pPr>
    </w:p>
    <w:p>
      <w:pPr>
        <w:ind w:left="-8" w:right="340" w:firstLine="1492"/>
        <w:spacing w:after="0" w:line="268" w:lineRule="auto"/>
        <w:tabs>
          <w:tab w:leader="none" w:pos="1685" w:val="left"/>
        </w:tabs>
        <w:numPr>
          <w:ilvl w:val="3"/>
          <w:numId w:val="68"/>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50" w:lineRule="exact"/>
        <w:rPr>
          <w:rFonts w:ascii="Arial" w:cs="Arial" w:eastAsia="Arial" w:hAnsi="Arial"/>
          <w:sz w:val="18"/>
          <w:szCs w:val="18"/>
          <w:color w:val="auto"/>
        </w:rPr>
      </w:pPr>
    </w:p>
    <w:p>
      <w:pPr>
        <w:ind w:left="-8" w:right="200" w:firstLine="1492"/>
        <w:spacing w:after="0" w:line="306" w:lineRule="auto"/>
        <w:tabs>
          <w:tab w:leader="none" w:pos="1724" w:val="left"/>
        </w:tabs>
        <w:numPr>
          <w:ilvl w:val="3"/>
          <w:numId w:val="68"/>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25" w:lineRule="exact"/>
        <w:rPr>
          <w:rFonts w:ascii="Arial" w:cs="Arial" w:eastAsia="Arial" w:hAnsi="Arial"/>
          <w:sz w:val="16"/>
          <w:szCs w:val="16"/>
          <w:color w:val="auto"/>
        </w:rPr>
      </w:pPr>
    </w:p>
    <w:p>
      <w:pPr>
        <w:ind w:left="-8" w:right="40" w:firstLine="1492"/>
        <w:spacing w:after="0" w:line="268" w:lineRule="auto"/>
        <w:tabs>
          <w:tab w:leader="none" w:pos="1783" w:val="left"/>
        </w:tabs>
        <w:numPr>
          <w:ilvl w:val="3"/>
          <w:numId w:val="68"/>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left="-8" w:right="80" w:firstLine="921"/>
        <w:spacing w:after="0" w:line="268" w:lineRule="auto"/>
        <w:tabs>
          <w:tab w:leader="none" w:pos="1153" w:val="left"/>
        </w:tabs>
        <w:numPr>
          <w:ilvl w:val="2"/>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 Unless otherwise specified in any employment agreement between the Participant and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Entity, or in an Award Agreement, a “Change in Control” shall mean the occurrence of any of the following:</w:t>
      </w:r>
    </w:p>
    <w:p>
      <w:pPr>
        <w:spacing w:after="0" w:line="50" w:lineRule="exact"/>
        <w:rPr>
          <w:rFonts w:ascii="Arial" w:cs="Arial" w:eastAsia="Arial" w:hAnsi="Arial"/>
          <w:sz w:val="18"/>
          <w:szCs w:val="18"/>
          <w:color w:val="auto"/>
        </w:rPr>
      </w:pPr>
    </w:p>
    <w:p>
      <w:pPr>
        <w:ind w:left="-8" w:firstLine="1492"/>
        <w:spacing w:after="0" w:line="268" w:lineRule="auto"/>
        <w:tabs>
          <w:tab w:leader="none" w:pos="1685" w:val="left"/>
        </w:tabs>
        <w:numPr>
          <w:ilvl w:val="3"/>
          <w:numId w:val="68"/>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63" w:name="page64"/>
    <w:bookmarkEnd w:id="6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66" w:lineRule="exact"/>
        <w:rPr>
          <w:sz w:val="20"/>
          <w:szCs w:val="20"/>
          <w:color w:val="auto"/>
        </w:rPr>
      </w:pPr>
    </w:p>
    <w:p>
      <w:pPr>
        <w:ind w:right="60" w:firstLine="1492"/>
        <w:spacing w:after="0" w:line="291" w:lineRule="auto"/>
        <w:tabs>
          <w:tab w:leader="none" w:pos="1742" w:val="left"/>
        </w:tabs>
        <w:numPr>
          <w:ilvl w:val="2"/>
          <w:numId w:val="69"/>
        </w:numPr>
        <w:rPr>
          <w:rFonts w:ascii="Arial" w:cs="Arial" w:eastAsia="Arial" w:hAnsi="Arial"/>
          <w:sz w:val="16"/>
          <w:szCs w:val="16"/>
          <w:color w:val="auto"/>
        </w:rPr>
      </w:pPr>
      <w:r>
        <w:rPr>
          <w:rFonts w:ascii="Arial" w:cs="Arial" w:eastAsia="Arial" w:hAnsi="Arial"/>
          <w:sz w:val="16"/>
          <w:szCs w:val="16"/>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9" w:lineRule="exact"/>
        <w:rPr>
          <w:rFonts w:ascii="Arial" w:cs="Arial" w:eastAsia="Arial" w:hAnsi="Arial"/>
          <w:sz w:val="16"/>
          <w:szCs w:val="16"/>
          <w:color w:val="auto"/>
        </w:rPr>
      </w:pPr>
    </w:p>
    <w:p>
      <w:pPr>
        <w:ind w:firstLine="1492"/>
        <w:spacing w:after="0" w:line="285" w:lineRule="auto"/>
        <w:tabs>
          <w:tab w:leader="none" w:pos="1791" w:val="left"/>
        </w:tabs>
        <w:numPr>
          <w:ilvl w:val="2"/>
          <w:numId w:val="69"/>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42" w:lineRule="exact"/>
        <w:rPr>
          <w:rFonts w:ascii="Arial" w:cs="Arial" w:eastAsia="Arial" w:hAnsi="Arial"/>
          <w:sz w:val="16"/>
          <w:szCs w:val="16"/>
          <w:color w:val="auto"/>
        </w:rPr>
      </w:pPr>
    </w:p>
    <w:p>
      <w:pPr>
        <w:ind w:left="1780" w:hanging="288"/>
        <w:spacing w:after="0"/>
        <w:tabs>
          <w:tab w:leader="none" w:pos="17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921"/>
        <w:spacing w:after="0" w:line="256" w:lineRule="auto"/>
        <w:tabs>
          <w:tab w:leader="none" w:pos="11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64" w:name="page65"/>
    <w:bookmarkEnd w:id="6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59" w:lineRule="exact"/>
        <w:rPr>
          <w:sz w:val="20"/>
          <w:szCs w:val="20"/>
          <w:color w:val="auto"/>
        </w:rPr>
      </w:pPr>
    </w:p>
    <w:p>
      <w:pPr>
        <w:ind w:right="80" w:firstLine="921"/>
        <w:spacing w:after="0" w:line="287" w:lineRule="auto"/>
        <w:tabs>
          <w:tab w:leader="none" w:pos="1161"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 hypothecated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41" w:lineRule="exact"/>
        <w:rPr>
          <w:rFonts w:ascii="Arial" w:cs="Arial" w:eastAsia="Arial" w:hAnsi="Arial"/>
          <w:sz w:val="16"/>
          <w:szCs w:val="16"/>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1492"/>
        <w:spacing w:after="0" w:line="289" w:lineRule="auto"/>
        <w:tabs>
          <w:tab w:leader="none" w:pos="1693" w:val="left"/>
        </w:tabs>
        <w:numPr>
          <w:ilvl w:val="1"/>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to Awards</w:t>
      </w:r>
      <w:r>
        <w:rPr>
          <w:rFonts w:ascii="Arial" w:cs="Arial" w:eastAsia="Arial" w:hAnsi="Arial"/>
          <w:sz w:val="16"/>
          <w:szCs w:val="16"/>
          <w:color w:val="auto"/>
        </w:rPr>
        <w:t>. 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37" w:lineRule="exact"/>
        <w:rPr>
          <w:rFonts w:ascii="Arial" w:cs="Arial" w:eastAsia="Arial" w:hAnsi="Arial"/>
          <w:sz w:val="16"/>
          <w:szCs w:val="16"/>
          <w:color w:val="auto"/>
        </w:rPr>
      </w:pPr>
    </w:p>
    <w:p>
      <w:pPr>
        <w:ind w:firstLine="1492"/>
        <w:spacing w:after="0" w:line="286" w:lineRule="auto"/>
        <w:tabs>
          <w:tab w:leader="none" w:pos="1742" w:val="left"/>
        </w:tabs>
        <w:numPr>
          <w:ilvl w:val="1"/>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Transactions</w:t>
      </w:r>
      <w:r>
        <w:rPr>
          <w:rFonts w:ascii="Arial" w:cs="Arial" w:eastAsia="Arial" w:hAnsi="Arial"/>
          <w:sz w:val="16"/>
          <w:szCs w:val="16"/>
          <w:color w:val="auto"/>
        </w:rPr>
        <w:t>. In the event of any merger, consolidation or other reorganization in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5" w:name="page66"/>
    <w:bookmarkEnd w:id="65"/>
    <w:p>
      <w:pPr>
        <w:ind w:left="-8" w:firstLine="1492"/>
        <w:spacing w:after="0" w:line="307" w:lineRule="auto"/>
        <w:tabs>
          <w:tab w:leader="none" w:pos="1783" w:val="left"/>
        </w:tabs>
        <w:numPr>
          <w:ilvl w:val="2"/>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Adjustments</w:t>
      </w:r>
      <w:r>
        <w:rPr>
          <w:rFonts w:ascii="Arial" w:cs="Arial" w:eastAsia="Arial" w:hAnsi="Arial"/>
          <w:sz w:val="15"/>
          <w:szCs w:val="15"/>
          <w:color w:val="auto"/>
        </w:rPr>
        <w:t>. The Committee (and the Board if and only to the extent such authority is not required to be exercised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247" w:lineRule="exact"/>
        <w:rPr>
          <w:rFonts w:ascii="Arial" w:cs="Arial" w:eastAsia="Arial" w:hAnsi="Arial"/>
          <w:sz w:val="15"/>
          <w:szCs w:val="15"/>
          <w:color w:val="auto"/>
        </w:rPr>
      </w:pPr>
    </w:p>
    <w:p>
      <w:pPr>
        <w:ind w:left="-8" w:right="120" w:firstLine="921"/>
        <w:spacing w:after="0" w:line="291" w:lineRule="auto"/>
        <w:tabs>
          <w:tab w:leader="none" w:pos="1153"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39" w:lineRule="exact"/>
        <w:rPr>
          <w:rFonts w:ascii="Arial" w:cs="Arial" w:eastAsia="Arial" w:hAnsi="Arial"/>
          <w:sz w:val="16"/>
          <w:szCs w:val="16"/>
          <w:color w:val="auto"/>
        </w:rPr>
      </w:pPr>
    </w:p>
    <w:p>
      <w:pPr>
        <w:ind w:left="-8" w:right="20" w:firstLine="921"/>
        <w:spacing w:after="0" w:line="287" w:lineRule="auto"/>
        <w:tabs>
          <w:tab w:leader="none" w:pos="1144"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41" w:lineRule="exact"/>
        <w:rPr>
          <w:rFonts w:ascii="Arial" w:cs="Arial" w:eastAsia="Arial" w:hAnsi="Arial"/>
          <w:sz w:val="16"/>
          <w:szCs w:val="16"/>
          <w:color w:val="auto"/>
        </w:rPr>
      </w:pPr>
    </w:p>
    <w:p>
      <w:pPr>
        <w:ind w:left="-8" w:right="20" w:firstLine="921"/>
        <w:spacing w:after="0" w:line="286" w:lineRule="auto"/>
        <w:tabs>
          <w:tab w:leader="none" w:pos="1124"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 (i)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Eligible Person or Participant the right to continue as an Eligible Person or Participant or in the employ or service of the Company or a Related Entity;</w:t>
      </w:r>
    </w:p>
    <w:p>
      <w:pPr>
        <w:ind w:left="252" w:hanging="252"/>
        <w:spacing w:after="0"/>
        <w:tabs>
          <w:tab w:leader="none" w:pos="2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w:t>
      </w:r>
    </w:p>
    <w:p>
      <w:pPr>
        <w:spacing w:after="0" w:line="32" w:lineRule="exact"/>
        <w:rPr>
          <w:rFonts w:ascii="Arial" w:cs="Arial" w:eastAsia="Arial" w:hAnsi="Arial"/>
          <w:sz w:val="16"/>
          <w:szCs w:val="16"/>
          <w:color w:val="auto"/>
        </w:rPr>
      </w:pPr>
    </w:p>
    <w:p>
      <w:pPr>
        <w:jc w:val="both"/>
        <w:ind w:left="-8" w:right="120" w:firstLine="8"/>
        <w:spacing w:after="0" w:line="292" w:lineRule="auto"/>
        <w:tabs>
          <w:tab w:leader="none" w:pos="299" w:val="left"/>
        </w:tabs>
        <w:numPr>
          <w:ilvl w:val="0"/>
          <w:numId w:val="74"/>
        </w:numPr>
        <w:rPr>
          <w:rFonts w:ascii="Arial" w:cs="Arial" w:eastAsia="Arial" w:hAnsi="Arial"/>
          <w:sz w:val="16"/>
          <w:szCs w:val="16"/>
          <w:color w:val="auto"/>
        </w:rPr>
      </w:pPr>
      <w:r>
        <w:rPr>
          <w:rFonts w:ascii="Arial" w:cs="Arial" w:eastAsia="Arial" w:hAnsi="Arial"/>
          <w:sz w:val="16"/>
          <w:szCs w:val="16"/>
          <w:color w:val="auto"/>
        </w:rPr>
        <w:t>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80" w:right="239" w:bottom="1440" w:gutter="0" w:footer="0" w:header="0"/>
        </w:sectPr>
      </w:pPr>
    </w:p>
    <w:bookmarkStart w:id="66" w:name="page67"/>
    <w:bookmarkEnd w:id="6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62" w:lineRule="exact"/>
        <w:rPr>
          <w:sz w:val="20"/>
          <w:szCs w:val="20"/>
          <w:color w:val="auto"/>
        </w:rPr>
      </w:pPr>
    </w:p>
    <w:p>
      <w:pPr>
        <w:ind w:right="40" w:firstLine="921"/>
        <w:spacing w:after="0" w:line="290" w:lineRule="auto"/>
        <w:tabs>
          <w:tab w:leader="none" w:pos="1161"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 deferred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37" w:lineRule="exact"/>
        <w:rPr>
          <w:rFonts w:ascii="Arial" w:cs="Arial" w:eastAsia="Arial" w:hAnsi="Arial"/>
          <w:sz w:val="16"/>
          <w:szCs w:val="16"/>
          <w:color w:val="auto"/>
        </w:rPr>
      </w:pPr>
    </w:p>
    <w:p>
      <w:pPr>
        <w:ind w:right="280" w:firstLine="921"/>
        <w:spacing w:after="0" w:line="306" w:lineRule="auto"/>
        <w:tabs>
          <w:tab w:leader="none" w:pos="1161"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25" w:lineRule="exact"/>
        <w:rPr>
          <w:rFonts w:ascii="Arial" w:cs="Arial" w:eastAsia="Arial" w:hAnsi="Arial"/>
          <w:sz w:val="16"/>
          <w:szCs w:val="16"/>
          <w:color w:val="auto"/>
        </w:rPr>
      </w:pPr>
    </w:p>
    <w:p>
      <w:pPr>
        <w:jc w:val="both"/>
        <w:ind w:right="300" w:firstLine="921"/>
        <w:spacing w:after="0" w:line="323" w:lineRule="auto"/>
        <w:tabs>
          <w:tab w:leader="none" w:pos="1122" w:val="left"/>
        </w:tabs>
        <w:numPr>
          <w:ilvl w:val="1"/>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Payments in the Event of Forfeitures; Fractional Shares</w:t>
      </w:r>
      <w:r>
        <w:rPr>
          <w:rFonts w:ascii="Arial" w:cs="Arial" w:eastAsia="Arial" w:hAnsi="Arial"/>
          <w:sz w:val="15"/>
          <w:szCs w:val="15"/>
          <w:color w:val="auto"/>
        </w:rPr>
        <w:t>. 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6" w:lineRule="exact"/>
        <w:rPr>
          <w:rFonts w:ascii="Arial" w:cs="Arial" w:eastAsia="Arial" w:hAnsi="Arial"/>
          <w:sz w:val="15"/>
          <w:szCs w:val="15"/>
          <w:color w:val="auto"/>
        </w:rPr>
      </w:pPr>
    </w:p>
    <w:p>
      <w:pPr>
        <w:ind w:right="40" w:firstLine="921"/>
        <w:spacing w:after="0" w:line="332" w:lineRule="auto"/>
        <w:tabs>
          <w:tab w:leader="none" w:pos="1122"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Commonwealth of Massachusetts without giving effect to principles of conflict of laws, and applicable federal law.</w:t>
      </w:r>
    </w:p>
    <w:p>
      <w:pPr>
        <w:spacing w:after="0" w:line="4" w:lineRule="exact"/>
        <w:rPr>
          <w:rFonts w:ascii="Arial" w:cs="Arial" w:eastAsia="Arial" w:hAnsi="Arial"/>
          <w:sz w:val="16"/>
          <w:szCs w:val="16"/>
          <w:color w:val="auto"/>
        </w:rPr>
      </w:pPr>
    </w:p>
    <w:p>
      <w:pPr>
        <w:ind w:right="80" w:firstLine="921"/>
        <w:spacing w:after="0" w:line="306" w:lineRule="auto"/>
        <w:tabs>
          <w:tab w:leader="none" w:pos="1161"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25" w:lineRule="exact"/>
        <w:rPr>
          <w:rFonts w:ascii="Arial" w:cs="Arial" w:eastAsia="Arial" w:hAnsi="Arial"/>
          <w:sz w:val="16"/>
          <w:szCs w:val="16"/>
          <w:color w:val="auto"/>
        </w:rPr>
      </w:pPr>
    </w:p>
    <w:p>
      <w:pPr>
        <w:ind w:right="60" w:firstLine="921"/>
        <w:spacing w:after="0" w:line="283" w:lineRule="auto"/>
        <w:tabs>
          <w:tab w:leader="none" w:pos="1122"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w:t>
      </w:r>
    </w:p>
    <w:p>
      <w:pPr>
        <w:spacing w:after="0" w:line="1" w:lineRule="exact"/>
        <w:rPr>
          <w:rFonts w:ascii="Arial" w:cs="Arial" w:eastAsia="Arial" w:hAnsi="Arial"/>
          <w:sz w:val="16"/>
          <w:szCs w:val="16"/>
          <w:color w:val="auto"/>
        </w:rPr>
      </w:pPr>
    </w:p>
    <w:p>
      <w:pPr>
        <w:ind w:right="100" w:firstLine="8"/>
        <w:spacing w:after="0" w:line="261" w:lineRule="auto"/>
        <w:tabs>
          <w:tab w:leader="none" w:pos="2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termination of this Plan by the Board, or (c) the tenth anniversary of the Effective Date. Awards outstanding upon expiration of the Plan shall remain in effect until they have been exercised or terminated, or have expired.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7" w:name="page68"/>
    <w:bookmarkEnd w:id="67"/>
    <w:p>
      <w:pPr>
        <w:jc w:val="center"/>
        <w:ind w:right="120"/>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VOTE IS IMPORTANT. 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92710</wp:posOffset>
            </wp:positionV>
            <wp:extent cx="36874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500" w:type="dxa"/>
        <w:tblCellMar>
          <w:top w:w="0" w:type="dxa"/>
          <w:left w:w="0" w:type="dxa"/>
          <w:bottom w:w="0" w:type="dxa"/>
          <w:right w:w="0" w:type="dxa"/>
        </w:tblCellMar>
      </w:tblPr>
      <w:tr>
        <w:trPr>
          <w:trHeight w:val="368"/>
        </w:trPr>
        <w:tc>
          <w:tcPr>
            <w:tcW w:w="4140" w:type="dxa"/>
            <w:vAlign w:val="bottom"/>
          </w:tcPr>
          <w:p>
            <w:pPr>
              <w:jc w:val="center"/>
              <w:ind w:right="658"/>
              <w:spacing w:after="0"/>
              <w:rPr>
                <w:sz w:val="20"/>
                <w:szCs w:val="20"/>
                <w:color w:val="auto"/>
              </w:rPr>
            </w:pPr>
            <w:r>
              <w:rPr>
                <w:rFonts w:ascii="Arial" w:cs="Arial" w:eastAsia="Arial" w:hAnsi="Arial"/>
                <w:sz w:val="32"/>
                <w:szCs w:val="32"/>
                <w:b w:val="1"/>
                <w:bCs w:val="1"/>
                <w:color w:val="auto"/>
              </w:rPr>
              <w:t>GALECTIN</w:t>
            </w:r>
          </w:p>
        </w:tc>
        <w:tc>
          <w:tcPr>
            <w:tcW w:w="5420" w:type="dxa"/>
            <w:vAlign w:val="bottom"/>
            <w:vMerge w:val="restart"/>
          </w:tcPr>
          <w:p>
            <w:pPr>
              <w:jc w:val="center"/>
              <w:ind w:left="656"/>
              <w:spacing w:after="0"/>
              <w:rPr>
                <w:sz w:val="20"/>
                <w:szCs w:val="20"/>
                <w:color w:val="auto"/>
              </w:rPr>
            </w:pPr>
            <w:r>
              <w:rPr>
                <w:rFonts w:ascii="Arial" w:cs="Arial" w:eastAsia="Arial" w:hAnsi="Arial"/>
                <w:sz w:val="29"/>
                <w:szCs w:val="29"/>
                <w:b w:val="1"/>
                <w:bCs w:val="1"/>
                <w:color w:val="auto"/>
                <w:w w:val="89"/>
              </w:rPr>
              <w:t>2015 Annual Meeting of Stockholders</w:t>
            </w:r>
          </w:p>
        </w:tc>
        <w:tc>
          <w:tcPr>
            <w:tcW w:w="0" w:type="dxa"/>
            <w:vAlign w:val="bottom"/>
          </w:tcPr>
          <w:p>
            <w:pPr>
              <w:spacing w:after="0"/>
              <w:rPr>
                <w:sz w:val="1"/>
                <w:szCs w:val="1"/>
                <w:color w:val="auto"/>
              </w:rPr>
            </w:pPr>
          </w:p>
        </w:tc>
      </w:tr>
      <w:tr>
        <w:trPr>
          <w:trHeight w:val="262"/>
        </w:trPr>
        <w:tc>
          <w:tcPr>
            <w:tcW w:w="4140" w:type="dxa"/>
            <w:vAlign w:val="bottom"/>
            <w:vMerge w:val="restart"/>
          </w:tcPr>
          <w:p>
            <w:pPr>
              <w:jc w:val="center"/>
              <w:ind w:right="658"/>
              <w:spacing w:after="0"/>
              <w:rPr>
                <w:sz w:val="20"/>
                <w:szCs w:val="20"/>
                <w:color w:val="auto"/>
              </w:rPr>
            </w:pPr>
            <w:r>
              <w:rPr>
                <w:rFonts w:ascii="Arial" w:cs="Arial" w:eastAsia="Arial" w:hAnsi="Arial"/>
                <w:sz w:val="32"/>
                <w:szCs w:val="32"/>
                <w:b w:val="1"/>
                <w:bCs w:val="1"/>
                <w:color w:val="auto"/>
              </w:rPr>
              <w:t>THERAPEUTICS INC.</w:t>
            </w:r>
          </w:p>
        </w:tc>
        <w:tc>
          <w:tcPr>
            <w:tcW w:w="5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140" w:type="dxa"/>
            <w:vAlign w:val="bottom"/>
            <w:vMerge w:val="continue"/>
          </w:tcPr>
          <w:p>
            <w:pPr>
              <w:spacing w:after="0"/>
              <w:rPr>
                <w:sz w:val="13"/>
                <w:szCs w:val="13"/>
                <w:color w:val="auto"/>
              </w:rPr>
            </w:pPr>
          </w:p>
        </w:tc>
        <w:tc>
          <w:tcPr>
            <w:tcW w:w="5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0"/>
        </w:trPr>
        <w:tc>
          <w:tcPr>
            <w:tcW w:w="4140" w:type="dxa"/>
            <w:vAlign w:val="bottom"/>
          </w:tcPr>
          <w:p>
            <w:pPr>
              <w:spacing w:after="0"/>
              <w:rPr>
                <w:sz w:val="24"/>
                <w:szCs w:val="24"/>
                <w:color w:val="auto"/>
              </w:rPr>
            </w:pPr>
          </w:p>
        </w:tc>
        <w:tc>
          <w:tcPr>
            <w:tcW w:w="5420" w:type="dxa"/>
            <w:vAlign w:val="bottom"/>
          </w:tcPr>
          <w:p>
            <w:pPr>
              <w:jc w:val="center"/>
              <w:ind w:left="656"/>
              <w:spacing w:after="0"/>
              <w:rPr>
                <w:sz w:val="20"/>
                <w:szCs w:val="20"/>
                <w:color w:val="auto"/>
              </w:rPr>
            </w:pPr>
            <w:r>
              <w:rPr>
                <w:rFonts w:ascii="Arial" w:cs="Arial" w:eastAsia="Arial" w:hAnsi="Arial"/>
                <w:sz w:val="29"/>
                <w:szCs w:val="29"/>
                <w:b w:val="1"/>
                <w:bCs w:val="1"/>
                <w:color w:val="auto"/>
                <w:w w:val="91"/>
              </w:rPr>
              <w:t>May 21, 2015,</w:t>
            </w:r>
          </w:p>
        </w:tc>
        <w:tc>
          <w:tcPr>
            <w:tcW w:w="0" w:type="dxa"/>
            <w:vAlign w:val="bottom"/>
          </w:tcPr>
          <w:p>
            <w:pPr>
              <w:spacing w:after="0"/>
              <w:rPr>
                <w:sz w:val="1"/>
                <w:szCs w:val="1"/>
                <w:color w:val="auto"/>
              </w:rPr>
            </w:pPr>
          </w:p>
        </w:tc>
      </w:tr>
      <w:tr>
        <w:trPr>
          <w:trHeight w:val="375"/>
        </w:trPr>
        <w:tc>
          <w:tcPr>
            <w:tcW w:w="4140" w:type="dxa"/>
            <w:vAlign w:val="bottom"/>
          </w:tcPr>
          <w:p>
            <w:pPr>
              <w:spacing w:after="0"/>
              <w:rPr>
                <w:sz w:val="24"/>
                <w:szCs w:val="24"/>
                <w:color w:val="auto"/>
              </w:rPr>
            </w:pPr>
          </w:p>
        </w:tc>
        <w:tc>
          <w:tcPr>
            <w:tcW w:w="5420" w:type="dxa"/>
            <w:vAlign w:val="bottom"/>
          </w:tcPr>
          <w:p>
            <w:pPr>
              <w:jc w:val="center"/>
              <w:ind w:left="656"/>
              <w:spacing w:after="0"/>
              <w:rPr>
                <w:sz w:val="20"/>
                <w:szCs w:val="20"/>
                <w:color w:val="auto"/>
              </w:rPr>
            </w:pPr>
            <w:r>
              <w:rPr>
                <w:rFonts w:ascii="Arial" w:cs="Arial" w:eastAsia="Arial" w:hAnsi="Arial"/>
                <w:sz w:val="29"/>
                <w:szCs w:val="29"/>
                <w:b w:val="1"/>
                <w:bCs w:val="1"/>
                <w:color w:val="auto"/>
                <w:w w:val="92"/>
              </w:rPr>
              <w:t>9:00 A.M. local time</w:t>
            </w:r>
          </w:p>
        </w:tc>
        <w:tc>
          <w:tcPr>
            <w:tcW w:w="0" w:type="dxa"/>
            <w:vAlign w:val="bottom"/>
          </w:tcPr>
          <w:p>
            <w:pPr>
              <w:spacing w:after="0"/>
              <w:rPr>
                <w:sz w:val="1"/>
                <w:szCs w:val="1"/>
                <w:color w:val="auto"/>
              </w:rPr>
            </w:pPr>
          </w:p>
        </w:tc>
      </w:tr>
      <w:tr>
        <w:trPr>
          <w:trHeight w:val="949"/>
        </w:trPr>
        <w:tc>
          <w:tcPr>
            <w:tcW w:w="4140" w:type="dxa"/>
            <w:vAlign w:val="bottom"/>
          </w:tcPr>
          <w:p>
            <w:pPr>
              <w:spacing w:after="0"/>
              <w:rPr>
                <w:sz w:val="24"/>
                <w:szCs w:val="24"/>
                <w:color w:val="auto"/>
              </w:rPr>
            </w:pPr>
          </w:p>
        </w:tc>
        <w:tc>
          <w:tcPr>
            <w:tcW w:w="5420" w:type="dxa"/>
            <w:vAlign w:val="bottom"/>
          </w:tcPr>
          <w:p>
            <w:pPr>
              <w:jc w:val="center"/>
              <w:ind w:left="656"/>
              <w:spacing w:after="0"/>
              <w:rPr>
                <w:sz w:val="20"/>
                <w:szCs w:val="20"/>
                <w:color w:val="auto"/>
              </w:rPr>
            </w:pPr>
            <w:r>
              <w:rPr>
                <w:rFonts w:ascii="Arial" w:cs="Arial" w:eastAsia="Arial" w:hAnsi="Arial"/>
                <w:sz w:val="29"/>
                <w:szCs w:val="29"/>
                <w:b w:val="1"/>
                <w:bCs w:val="1"/>
                <w:color w:val="auto"/>
                <w:w w:val="89"/>
              </w:rPr>
              <w:t>This Proxy is Solicited On Behalf</w:t>
            </w:r>
          </w:p>
        </w:tc>
        <w:tc>
          <w:tcPr>
            <w:tcW w:w="0" w:type="dxa"/>
            <w:vAlign w:val="bottom"/>
          </w:tcPr>
          <w:p>
            <w:pPr>
              <w:spacing w:after="0"/>
              <w:rPr>
                <w:sz w:val="1"/>
                <w:szCs w:val="1"/>
                <w:color w:val="auto"/>
              </w:rPr>
            </w:pPr>
          </w:p>
        </w:tc>
      </w:tr>
      <w:tr>
        <w:trPr>
          <w:trHeight w:val="375"/>
        </w:trPr>
        <w:tc>
          <w:tcPr>
            <w:tcW w:w="4140" w:type="dxa"/>
            <w:vAlign w:val="bottom"/>
          </w:tcPr>
          <w:p>
            <w:pPr>
              <w:spacing w:after="0"/>
              <w:rPr>
                <w:sz w:val="24"/>
                <w:szCs w:val="24"/>
                <w:color w:val="auto"/>
              </w:rPr>
            </w:pPr>
          </w:p>
        </w:tc>
        <w:tc>
          <w:tcPr>
            <w:tcW w:w="5420" w:type="dxa"/>
            <w:vAlign w:val="bottom"/>
          </w:tcPr>
          <w:p>
            <w:pPr>
              <w:jc w:val="center"/>
              <w:ind w:left="636"/>
              <w:spacing w:after="0"/>
              <w:rPr>
                <w:sz w:val="20"/>
                <w:szCs w:val="20"/>
                <w:color w:val="auto"/>
              </w:rPr>
            </w:pPr>
            <w:r>
              <w:rPr>
                <w:rFonts w:ascii="Arial" w:cs="Arial" w:eastAsia="Arial" w:hAnsi="Arial"/>
                <w:sz w:val="29"/>
                <w:szCs w:val="29"/>
                <w:b w:val="1"/>
                <w:bCs w:val="1"/>
                <w:color w:val="auto"/>
                <w:w w:val="92"/>
              </w:rPr>
              <w:t>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502920</wp:posOffset>
            </wp:positionV>
            <wp:extent cx="4742180" cy="540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21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Please Be Sure To Mark, Sign, Date and Return Your Proxy Card</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in the Envelope Provided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tbl>
      <w:tblPr>
        <w:tblLayout w:type="fixed"/>
        <w:tblInd w:w="0" w:type="dxa"/>
        <w:tblCellMar>
          <w:top w:w="0" w:type="dxa"/>
          <w:left w:w="0" w:type="dxa"/>
          <w:bottom w:w="0" w:type="dxa"/>
          <w:right w:w="0" w:type="dxa"/>
        </w:tblCellMar>
      </w:tblPr>
      <w:tr>
        <w:trPr>
          <w:trHeight w:val="105"/>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PROXY</w:t>
            </w:r>
          </w:p>
        </w:tc>
        <w:tc>
          <w:tcPr>
            <w:tcW w:w="1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300" w:type="dxa"/>
            <w:vAlign w:val="bottom"/>
          </w:tcPr>
          <w:p>
            <w:pPr>
              <w:ind w:left="1860"/>
              <w:spacing w:after="0" w:line="105" w:lineRule="exact"/>
              <w:rPr>
                <w:sz w:val="20"/>
                <w:szCs w:val="20"/>
                <w:color w:val="auto"/>
              </w:rPr>
            </w:pPr>
            <w:r>
              <w:rPr>
                <w:rFonts w:ascii="Arial" w:cs="Arial" w:eastAsia="Arial" w:hAnsi="Arial"/>
                <w:sz w:val="11"/>
                <w:szCs w:val="11"/>
                <w:color w:val="auto"/>
              </w:rPr>
              <w:t>Please mark</w:t>
            </w:r>
          </w:p>
        </w:tc>
        <w:tc>
          <w:tcPr>
            <w:tcW w:w="0" w:type="dxa"/>
            <w:vAlign w:val="bottom"/>
          </w:tcPr>
          <w:p>
            <w:pPr>
              <w:spacing w:after="0"/>
              <w:rPr>
                <w:sz w:val="1"/>
                <w:szCs w:val="1"/>
                <w:color w:val="auto"/>
              </w:rPr>
            </w:pPr>
          </w:p>
        </w:tc>
      </w:tr>
      <w:tr>
        <w:trPr>
          <w:trHeight w:val="138"/>
        </w:trPr>
        <w:tc>
          <w:tcPr>
            <w:tcW w:w="24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300" w:type="dxa"/>
            <w:vAlign w:val="bottom"/>
            <w:vMerge w:val="restart"/>
          </w:tcPr>
          <w:p>
            <w:pPr>
              <w:ind w:left="1880"/>
              <w:spacing w:after="0" w:line="368" w:lineRule="exact"/>
              <w:rPr>
                <w:sz w:val="20"/>
                <w:szCs w:val="20"/>
                <w:color w:val="auto"/>
              </w:rPr>
            </w:pPr>
            <w:r>
              <w:rPr>
                <w:rFonts w:ascii="Arial" w:cs="Arial" w:eastAsia="Arial" w:hAnsi="Arial"/>
                <w:sz w:val="22"/>
                <w:szCs w:val="22"/>
                <w:color w:val="auto"/>
                <w:w w:val="82"/>
                <w:vertAlign w:val="superscript"/>
              </w:rPr>
              <w:t>your</w:t>
            </w:r>
            <w:r>
              <w:rPr>
                <w:rFonts w:ascii="Arial" w:cs="Arial" w:eastAsia="Arial" w:hAnsi="Arial"/>
                <w:sz w:val="21"/>
                <w:szCs w:val="21"/>
                <w:color w:val="auto"/>
                <w:w w:val="82"/>
                <w:vertAlign w:val="subscript"/>
              </w:rPr>
              <w:t>like</w:t>
            </w:r>
            <w:r>
              <w:rPr>
                <w:rFonts w:ascii="Arial" w:cs="Arial" w:eastAsia="Arial" w:hAnsi="Arial"/>
                <w:sz w:val="22"/>
                <w:szCs w:val="22"/>
                <w:color w:val="auto"/>
                <w:w w:val="82"/>
              </w:rPr>
              <w:t xml:space="preserve"> </w:t>
            </w:r>
            <w:r>
              <w:rPr>
                <w:rFonts w:ascii="Arial" w:cs="Arial" w:eastAsia="Arial" w:hAnsi="Arial"/>
                <w:sz w:val="22"/>
                <w:szCs w:val="22"/>
                <w:color w:val="auto"/>
                <w:w w:val="82"/>
                <w:vertAlign w:val="superscript"/>
              </w:rPr>
              <w:t>votes</w:t>
            </w:r>
            <w:r>
              <w:rPr>
                <w:rFonts w:ascii="Arial" w:cs="Arial" w:eastAsia="Arial" w:hAnsi="Arial"/>
                <w:sz w:val="22"/>
                <w:szCs w:val="22"/>
                <w:color w:val="auto"/>
                <w:w w:val="82"/>
                <w:vertAlign w:val="subscript"/>
              </w:rPr>
              <w:t>this</w:t>
            </w:r>
            <w:r>
              <w:rPr>
                <w:rFonts w:ascii="Arial" w:cs="Arial" w:eastAsia="Arial" w:hAnsi="Arial"/>
                <w:sz w:val="22"/>
                <w:szCs w:val="22"/>
                <w:color w:val="auto"/>
                <w:w w:val="82"/>
              </w:rPr>
              <w:t xml:space="preserve">    </w:t>
            </w:r>
            <w:r>
              <w:rPr>
                <w:rFonts w:ascii="MS PGothic" w:cs="MS PGothic" w:eastAsia="MS PGothic" w:hAnsi="MS PGothic"/>
                <w:sz w:val="32"/>
                <w:szCs w:val="32"/>
                <w:color w:val="auto"/>
                <w:w w:val="82"/>
              </w:rPr>
              <w:t>☒</w:t>
            </w:r>
          </w:p>
        </w:tc>
        <w:tc>
          <w:tcPr>
            <w:tcW w:w="0" w:type="dxa"/>
            <w:vAlign w:val="bottom"/>
          </w:tcPr>
          <w:p>
            <w:pPr>
              <w:spacing w:after="0"/>
              <w:rPr>
                <w:sz w:val="1"/>
                <w:szCs w:val="1"/>
                <w:color w:val="auto"/>
              </w:rPr>
            </w:pPr>
          </w:p>
        </w:tc>
      </w:tr>
      <w:tr>
        <w:trPr>
          <w:trHeight w:val="340"/>
        </w:trPr>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320" w:type="dxa"/>
            <w:vAlign w:val="bottom"/>
          </w:tcPr>
          <w:p>
            <w:pPr>
              <w:jc w:val="center"/>
              <w:ind w:left="157"/>
              <w:spacing w:after="0" w:line="144" w:lineRule="exact"/>
              <w:rPr>
                <w:sz w:val="20"/>
                <w:szCs w:val="20"/>
                <w:color w:val="auto"/>
              </w:rPr>
            </w:pPr>
            <w:r>
              <w:rPr>
                <w:rFonts w:ascii="Arial" w:cs="Arial" w:eastAsia="Arial" w:hAnsi="Arial"/>
                <w:sz w:val="13"/>
                <w:szCs w:val="13"/>
                <w:b w:val="1"/>
                <w:bCs w:val="1"/>
                <w:color w:val="auto"/>
                <w:w w:val="99"/>
              </w:rPr>
              <w:t>VOTE FOR</w:t>
            </w: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WITHHOLD</w:t>
            </w:r>
          </w:p>
        </w:tc>
        <w:tc>
          <w:tcPr>
            <w:tcW w:w="2900" w:type="dxa"/>
            <w:vAlign w:val="bottom"/>
          </w:tcPr>
          <w:p>
            <w:pPr>
              <w:jc w:val="center"/>
              <w:ind w:right="1437"/>
              <w:spacing w:after="0" w:line="144" w:lineRule="exact"/>
              <w:rPr>
                <w:sz w:val="20"/>
                <w:szCs w:val="20"/>
                <w:color w:val="auto"/>
              </w:rPr>
            </w:pPr>
            <w:r>
              <w:rPr>
                <w:rFonts w:ascii="Arial" w:cs="Arial" w:eastAsia="Arial" w:hAnsi="Arial"/>
                <w:sz w:val="13"/>
                <w:szCs w:val="13"/>
                <w:b w:val="1"/>
                <w:bCs w:val="1"/>
                <w:color w:val="auto"/>
                <w:w w:val="96"/>
              </w:rPr>
              <w:t>VOTE FOR</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4"/>
                <w:szCs w:val="14"/>
                <w:color w:val="auto"/>
              </w:rPr>
              <w:t>1. ELECTION OF DIRECTORS</w:t>
            </w:r>
          </w:p>
        </w:tc>
        <w:tc>
          <w:tcPr>
            <w:tcW w:w="13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rPr>
              <w:t>ALL</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w:t>
            </w:r>
          </w:p>
        </w:tc>
        <w:tc>
          <w:tcPr>
            <w:tcW w:w="2900" w:type="dxa"/>
            <w:vAlign w:val="bottom"/>
          </w:tcPr>
          <w:p>
            <w:pPr>
              <w:jc w:val="center"/>
              <w:ind w:right="1457"/>
              <w:spacing w:after="0" w:line="135" w:lineRule="exact"/>
              <w:rPr>
                <w:sz w:val="20"/>
                <w:szCs w:val="20"/>
                <w:color w:val="auto"/>
              </w:rPr>
            </w:pPr>
            <w:r>
              <w:rPr>
                <w:rFonts w:ascii="Arial" w:cs="Arial" w:eastAsia="Arial" w:hAnsi="Arial"/>
                <w:sz w:val="13"/>
                <w:szCs w:val="13"/>
                <w:b w:val="1"/>
                <w:bCs w:val="1"/>
                <w:color w:val="auto"/>
                <w:w w:val="96"/>
              </w:rPr>
              <w:t>ALL EXCEPT</w:t>
            </w: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60" w:type="dxa"/>
            <w:vAlign w:val="bottom"/>
            <w:vMerge w:val="continue"/>
          </w:tcPr>
          <w:p>
            <w:pPr>
              <w:spacing w:after="0"/>
              <w:rPr>
                <w:sz w:val="12"/>
                <w:szCs w:val="12"/>
                <w:color w:val="auto"/>
              </w:rPr>
            </w:pPr>
          </w:p>
        </w:tc>
        <w:tc>
          <w:tcPr>
            <w:tcW w:w="1320" w:type="dxa"/>
            <w:vAlign w:val="bottom"/>
          </w:tcPr>
          <w:p>
            <w:pPr>
              <w:jc w:val="center"/>
              <w:ind w:left="157"/>
              <w:spacing w:after="0" w:line="140" w:lineRule="exact"/>
              <w:rPr>
                <w:sz w:val="20"/>
                <w:szCs w:val="20"/>
                <w:color w:val="auto"/>
              </w:rPr>
            </w:pPr>
            <w:r>
              <w:rPr>
                <w:rFonts w:ascii="Arial" w:cs="Arial" w:eastAsia="Arial" w:hAnsi="Arial"/>
                <w:sz w:val="13"/>
                <w:szCs w:val="13"/>
                <w:b w:val="1"/>
                <w:bCs w:val="1"/>
                <w:color w:val="auto"/>
                <w:w w:val="95"/>
              </w:rPr>
              <w:t>NOMINEES</w:t>
            </w:r>
          </w:p>
        </w:tc>
        <w:tc>
          <w:tcPr>
            <w:tcW w:w="1080" w:type="dxa"/>
            <w:vAlign w:val="bottom"/>
          </w:tcPr>
          <w:p>
            <w:pPr>
              <w:spacing w:after="0"/>
              <w:rPr>
                <w:sz w:val="12"/>
                <w:szCs w:val="12"/>
                <w:color w:val="auto"/>
              </w:rPr>
            </w:pPr>
          </w:p>
        </w:tc>
        <w:tc>
          <w:tcPr>
            <w:tcW w:w="2900" w:type="dxa"/>
            <w:vAlign w:val="bottom"/>
          </w:tcPr>
          <w:p>
            <w:pPr>
              <w:jc w:val="center"/>
              <w:ind w:right="1437"/>
              <w:spacing w:after="0" w:line="140" w:lineRule="exact"/>
              <w:rPr>
                <w:sz w:val="20"/>
                <w:szCs w:val="20"/>
                <w:color w:val="auto"/>
              </w:rPr>
            </w:pPr>
            <w:r>
              <w:rPr>
                <w:rFonts w:ascii="Arial" w:cs="Arial" w:eastAsia="Arial" w:hAnsi="Arial"/>
                <w:sz w:val="13"/>
                <w:szCs w:val="13"/>
                <w:b w:val="1"/>
                <w:bCs w:val="1"/>
                <w:color w:val="auto"/>
                <w:w w:val="96"/>
              </w:rPr>
              <w:t>(see instructions</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00" w:type="dxa"/>
            <w:vAlign w:val="bottom"/>
          </w:tcPr>
          <w:p>
            <w:pPr>
              <w:jc w:val="center"/>
              <w:ind w:right="1437"/>
              <w:spacing w:after="0"/>
              <w:rPr>
                <w:sz w:val="20"/>
                <w:szCs w:val="20"/>
                <w:color w:val="auto"/>
              </w:rPr>
            </w:pPr>
            <w:r>
              <w:rPr>
                <w:rFonts w:ascii="Arial" w:cs="Arial" w:eastAsia="Arial" w:hAnsi="Arial"/>
                <w:sz w:val="13"/>
                <w:szCs w:val="13"/>
                <w:b w:val="1"/>
                <w:bCs w:val="1"/>
                <w:color w:val="auto"/>
                <w:w w:val="97"/>
              </w:rPr>
              <w:t>below)</w:t>
            </w:r>
          </w:p>
        </w:tc>
        <w:tc>
          <w:tcPr>
            <w:tcW w:w="3300" w:type="dxa"/>
            <w:vAlign w:val="bottom"/>
          </w:tcPr>
          <w:p>
            <w:pPr>
              <w:ind w:left="1680"/>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60"/>
          </w:cols>
          <w:pgMar w:left="420" w:top="324" w:right="419" w:bottom="1440" w:gutter="0" w:footer="0" w:header="0"/>
        </w:sectPr>
      </w:pPr>
    </w:p>
    <w:tbl>
      <w:tblPr>
        <w:tblLayout w:type="fixed"/>
        <w:tblInd w:w="140" w:type="dxa"/>
        <w:tblCellMar>
          <w:top w:w="0" w:type="dxa"/>
          <w:left w:w="0" w:type="dxa"/>
          <w:bottom w:w="0" w:type="dxa"/>
          <w:right w:w="0" w:type="dxa"/>
        </w:tblCellMar>
      </w:tblPr>
      <w:tr>
        <w:trPr>
          <w:trHeight w:val="152"/>
        </w:trPr>
        <w:tc>
          <w:tcPr>
            <w:tcW w:w="420" w:type="dxa"/>
            <w:vAlign w:val="bottom"/>
          </w:tcPr>
          <w:p>
            <w:pPr>
              <w:spacing w:after="0" w:line="153" w:lineRule="exact"/>
              <w:rPr>
                <w:sz w:val="20"/>
                <w:szCs w:val="20"/>
                <w:color w:val="auto"/>
              </w:rPr>
            </w:pPr>
            <w:r>
              <w:rPr>
                <w:rFonts w:ascii="Arial" w:cs="Arial" w:eastAsia="Arial" w:hAnsi="Arial"/>
                <w:sz w:val="14"/>
                <w:szCs w:val="14"/>
                <w:b w:val="1"/>
                <w:bCs w:val="1"/>
                <w:color w:val="auto"/>
              </w:rPr>
              <w:t>The</w:t>
            </w:r>
          </w:p>
        </w:tc>
        <w:tc>
          <w:tcPr>
            <w:tcW w:w="76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Board</w:t>
            </w:r>
          </w:p>
        </w:tc>
        <w:tc>
          <w:tcPr>
            <w:tcW w:w="4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of</w:t>
            </w:r>
          </w:p>
        </w:tc>
        <w:tc>
          <w:tcPr>
            <w:tcW w:w="11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Directors</w:t>
            </w:r>
          </w:p>
        </w:tc>
        <w:tc>
          <w:tcPr>
            <w:tcW w:w="940" w:type="dxa"/>
            <w:vAlign w:val="bottom"/>
            <w:vMerge w:val="restart"/>
          </w:tcPr>
          <w:p>
            <w:pPr>
              <w:ind w:left="240"/>
              <w:spacing w:after="0" w:line="321" w:lineRule="exact"/>
              <w:rPr>
                <w:sz w:val="20"/>
                <w:szCs w:val="20"/>
                <w:color w:val="auto"/>
              </w:rPr>
            </w:pPr>
            <w:r>
              <w:rPr>
                <w:rFonts w:ascii="MS PGothic" w:cs="MS PGothic" w:eastAsia="MS PGothic" w:hAnsi="MS PGothic"/>
                <w:sz w:val="32"/>
                <w:szCs w:val="32"/>
                <w:color w:val="auto"/>
              </w:rPr>
              <w:t>☐</w:t>
            </w:r>
          </w:p>
        </w:tc>
        <w:tc>
          <w:tcPr>
            <w:tcW w:w="1160" w:type="dxa"/>
            <w:vAlign w:val="bottom"/>
            <w:vMerge w:val="restart"/>
          </w:tcPr>
          <w:p>
            <w:pPr>
              <w:ind w:left="420"/>
              <w:spacing w:after="0" w:line="321" w:lineRule="exact"/>
              <w:rPr>
                <w:sz w:val="20"/>
                <w:szCs w:val="20"/>
                <w:color w:val="auto"/>
              </w:rPr>
            </w:pPr>
            <w:r>
              <w:rPr>
                <w:rFonts w:ascii="MS PGothic" w:cs="MS PGothic" w:eastAsia="MS PGothic" w:hAnsi="MS PGothic"/>
                <w:sz w:val="32"/>
                <w:szCs w:val="32"/>
                <w:color w:val="auto"/>
              </w:rPr>
              <w:t>☐</w:t>
            </w:r>
          </w:p>
        </w:tc>
        <w:tc>
          <w:tcPr>
            <w:tcW w:w="760" w:type="dxa"/>
            <w:vAlign w:val="bottom"/>
            <w:vMerge w:val="restart"/>
          </w:tcPr>
          <w:p>
            <w:pPr>
              <w:ind w:left="46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80"/>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recommends  a</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vote</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“FOR”  the</w:t>
            </w:r>
          </w:p>
        </w:tc>
        <w:tc>
          <w:tcPr>
            <w:tcW w:w="9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4"/>
          <w:szCs w:val="14"/>
          <w:b w:val="1"/>
          <w:bCs w:val="1"/>
          <w:color w:val="auto"/>
        </w:rPr>
        <w:t>listed nominees.</w:t>
      </w:r>
    </w:p>
    <w:p>
      <w:pPr>
        <w:spacing w:after="0" w:line="199" w:lineRule="exact"/>
        <w:rPr>
          <w:sz w:val="20"/>
          <w:szCs w:val="20"/>
          <w:color w:val="auto"/>
        </w:rPr>
      </w:pPr>
    </w:p>
    <w:p>
      <w:pPr>
        <w:ind w:left="140"/>
        <w:spacing w:after="0" w:line="285"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3.  A  proposal  to  re-approve  the  material</w:t>
            </w:r>
          </w:p>
        </w:tc>
        <w:tc>
          <w:tcPr>
            <w:tcW w:w="1060" w:type="dxa"/>
            <w:vAlign w:val="bottom"/>
            <w:vMerge w:val="restart"/>
          </w:tcPr>
          <w:p>
            <w:pPr>
              <w:ind w:left="60"/>
              <w:spacing w:after="0" w:line="321" w:lineRule="exact"/>
              <w:rPr>
                <w:sz w:val="20"/>
                <w:szCs w:val="20"/>
                <w:color w:val="auto"/>
              </w:rPr>
            </w:pPr>
            <w:r>
              <w:rPr>
                <w:rFonts w:ascii="MS PGothic" w:cs="MS PGothic" w:eastAsia="MS PGothic" w:hAnsi="MS PGothic"/>
                <w:sz w:val="32"/>
                <w:szCs w:val="32"/>
                <w:color w:val="auto"/>
              </w:rPr>
              <w:t>☐ ☐</w:t>
            </w:r>
          </w:p>
        </w:tc>
        <w:tc>
          <w:tcPr>
            <w:tcW w:w="480" w:type="dxa"/>
            <w:vAlign w:val="bottom"/>
            <w:vMerge w:val="restart"/>
          </w:tcPr>
          <w:p>
            <w:pPr>
              <w:ind w:left="20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62"/>
        </w:trPr>
        <w:tc>
          <w:tcPr>
            <w:tcW w:w="3020" w:type="dxa"/>
            <w:vAlign w:val="bottom"/>
          </w:tcPr>
          <w:p>
            <w:pPr>
              <w:ind w:left="220"/>
              <w:spacing w:after="0"/>
              <w:rPr>
                <w:sz w:val="20"/>
                <w:szCs w:val="20"/>
                <w:color w:val="auto"/>
              </w:rPr>
            </w:pPr>
            <w:r>
              <w:rPr>
                <w:rFonts w:ascii="Arial" w:cs="Arial" w:eastAsia="Arial" w:hAnsi="Arial"/>
                <w:sz w:val="14"/>
                <w:szCs w:val="14"/>
                <w:color w:val="auto"/>
              </w:rPr>
              <w:t>terms of the performance goals under the</w:t>
            </w: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220"/>
              <w:spacing w:after="0"/>
              <w:rPr>
                <w:sz w:val="20"/>
                <w:szCs w:val="20"/>
                <w:color w:val="auto"/>
              </w:rPr>
            </w:pPr>
            <w:r>
              <w:rPr>
                <w:rFonts w:ascii="Arial" w:cs="Arial" w:eastAsia="Arial" w:hAnsi="Arial"/>
                <w:sz w:val="14"/>
                <w:szCs w:val="14"/>
                <w:color w:val="auto"/>
              </w:rPr>
              <w:t>Galectin Therapeutics, Inc. Amended and</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220"/>
              <w:spacing w:after="0"/>
              <w:rPr>
                <w:sz w:val="20"/>
                <w:szCs w:val="20"/>
                <w:color w:val="auto"/>
              </w:rPr>
            </w:pPr>
            <w:r>
              <w:rPr>
                <w:rFonts w:ascii="Arial" w:cs="Arial" w:eastAsia="Arial" w:hAnsi="Arial"/>
                <w:sz w:val="14"/>
                <w:szCs w:val="14"/>
                <w:color w:val="auto"/>
              </w:rPr>
              <w:t>Restated  2009  Incentive  Compensation</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220"/>
              <w:spacing w:after="0"/>
              <w:rPr>
                <w:sz w:val="20"/>
                <w:szCs w:val="20"/>
                <w:color w:val="auto"/>
              </w:rPr>
            </w:pPr>
            <w:r>
              <w:rPr>
                <w:rFonts w:ascii="Arial" w:cs="Arial" w:eastAsia="Arial" w:hAnsi="Arial"/>
                <w:sz w:val="14"/>
                <w:szCs w:val="14"/>
                <w:color w:val="auto"/>
              </w:rPr>
              <w:t>Plan. The Board of Directors recommends</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ind w:left="220"/>
              <w:spacing w:after="0"/>
              <w:rPr>
                <w:sz w:val="20"/>
                <w:szCs w:val="20"/>
                <w:color w:val="auto"/>
              </w:rPr>
            </w:pPr>
            <w:r>
              <w:rPr>
                <w:rFonts w:ascii="Arial" w:cs="Arial" w:eastAsia="Arial" w:hAnsi="Arial"/>
                <w:sz w:val="14"/>
                <w:szCs w:val="14"/>
                <w:color w:val="auto"/>
              </w:rPr>
              <w:t>a vote “FOR” this proposal.</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ectPr>
          <w:pgSz w:w="11900" w:h="16838" w:orient="portrait"/>
          <w:cols w:equalWidth="0" w:num="2">
            <w:col w:w="6180" w:space="180"/>
            <w:col w:w="4700"/>
          </w:cols>
          <w:pgMar w:left="420" w:top="324" w:right="4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00" w:type="dxa"/>
            <w:vAlign w:val="bottom"/>
          </w:tcPr>
          <w:p>
            <w:pPr>
              <w:ind w:left="160"/>
              <w:spacing w:after="0"/>
              <w:rPr>
                <w:sz w:val="20"/>
                <w:szCs w:val="20"/>
                <w:color w:val="auto"/>
              </w:rPr>
            </w:pPr>
            <w:r>
              <w:rPr>
                <w:rFonts w:ascii="Arial" w:cs="Arial" w:eastAsia="Arial" w:hAnsi="Arial"/>
                <w:sz w:val="14"/>
                <w:szCs w:val="14"/>
                <w:color w:val="auto"/>
              </w:rPr>
              <w:t>1.</w:t>
            </w: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Gilbert F. Amelio, Ph.D.</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John Mauldin</w:t>
            </w:r>
          </w:p>
        </w:tc>
        <w:tc>
          <w:tcPr>
            <w:tcW w:w="0" w:type="dxa"/>
            <w:vAlign w:val="bottom"/>
          </w:tcPr>
          <w:p>
            <w:pPr>
              <w:spacing w:after="0"/>
              <w:rPr>
                <w:sz w:val="1"/>
                <w:szCs w:val="1"/>
                <w:color w:val="auto"/>
              </w:rPr>
            </w:pPr>
          </w:p>
        </w:tc>
      </w:tr>
      <w:tr>
        <w:trPr>
          <w:trHeight w:val="162"/>
        </w:trPr>
        <w:tc>
          <w:tcPr>
            <w:tcW w:w="300" w:type="dxa"/>
            <w:vAlign w:val="bottom"/>
          </w:tcPr>
          <w:p>
            <w:pPr>
              <w:ind w:left="160"/>
              <w:spacing w:after="0"/>
              <w:rPr>
                <w:sz w:val="20"/>
                <w:szCs w:val="20"/>
                <w:color w:val="auto"/>
              </w:rPr>
            </w:pPr>
            <w:r>
              <w:rPr>
                <w:rFonts w:ascii="Arial" w:cs="Arial" w:eastAsia="Arial" w:hAnsi="Arial"/>
                <w:sz w:val="14"/>
                <w:szCs w:val="14"/>
                <w:color w:val="auto"/>
              </w:rPr>
              <w:t>2.</w:t>
            </w:r>
          </w:p>
        </w:tc>
        <w:tc>
          <w:tcPr>
            <w:tcW w:w="1240" w:type="dxa"/>
            <w:vAlign w:val="bottom"/>
          </w:tcPr>
          <w:p>
            <w:pPr>
              <w:ind w:left="20"/>
              <w:spacing w:after="0"/>
              <w:rPr>
                <w:sz w:val="20"/>
                <w:szCs w:val="20"/>
                <w:color w:val="auto"/>
              </w:rPr>
            </w:pPr>
            <w:r>
              <w:rPr>
                <w:rFonts w:ascii="Arial" w:cs="Arial" w:eastAsia="Arial" w:hAnsi="Arial"/>
                <w:sz w:val="14"/>
                <w:szCs w:val="14"/>
                <w:color w:val="auto"/>
              </w:rPr>
              <w:t>Kevin D. Freeman</w:t>
            </w: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Steven Prelack</w:t>
            </w:r>
          </w:p>
        </w:tc>
        <w:tc>
          <w:tcPr>
            <w:tcW w:w="0" w:type="dxa"/>
            <w:vAlign w:val="bottom"/>
          </w:tcPr>
          <w:p>
            <w:pPr>
              <w:spacing w:after="0"/>
              <w:rPr>
                <w:sz w:val="1"/>
                <w:szCs w:val="1"/>
                <w:color w:val="auto"/>
              </w:rPr>
            </w:pPr>
          </w:p>
        </w:tc>
      </w:tr>
      <w:tr>
        <w:trPr>
          <w:trHeight w:val="172"/>
        </w:trPr>
        <w:tc>
          <w:tcPr>
            <w:tcW w:w="300" w:type="dxa"/>
            <w:vAlign w:val="bottom"/>
          </w:tcPr>
          <w:p>
            <w:pPr>
              <w:ind w:left="160"/>
              <w:spacing w:after="0"/>
              <w:rPr>
                <w:sz w:val="20"/>
                <w:szCs w:val="20"/>
                <w:color w:val="auto"/>
              </w:rPr>
            </w:pPr>
            <w:r>
              <w:rPr>
                <w:rFonts w:ascii="Arial" w:cs="Arial" w:eastAsia="Arial" w:hAnsi="Arial"/>
                <w:sz w:val="14"/>
                <w:szCs w:val="14"/>
                <w:color w:val="auto"/>
              </w:rPr>
              <w:t>3.</w:t>
            </w:r>
          </w:p>
        </w:tc>
        <w:tc>
          <w:tcPr>
            <w:tcW w:w="1640" w:type="dxa"/>
            <w:vAlign w:val="bottom"/>
            <w:gridSpan w:val="2"/>
          </w:tcPr>
          <w:p>
            <w:pPr>
              <w:ind w:left="20"/>
              <w:spacing w:after="0"/>
              <w:rPr>
                <w:sz w:val="20"/>
                <w:szCs w:val="20"/>
                <w:color w:val="auto"/>
              </w:rPr>
            </w:pPr>
            <w:r>
              <w:rPr>
                <w:rFonts w:ascii="Arial" w:cs="Arial" w:eastAsia="Arial" w:hAnsi="Arial"/>
                <w:sz w:val="14"/>
                <w:szCs w:val="14"/>
                <w:color w:val="auto"/>
              </w:rPr>
              <w:t>Arthur R. Greenberg</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Marc Rubin, M.D.</w:t>
            </w: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3"/>
                <w:szCs w:val="13"/>
                <w:b w:val="1"/>
                <w:bCs w:val="1"/>
                <w:color w:val="auto"/>
              </w:rPr>
              <w:t>FOR</w:t>
            </w:r>
          </w:p>
        </w:tc>
        <w:tc>
          <w:tcPr>
            <w:tcW w:w="0" w:type="dxa"/>
            <w:vAlign w:val="bottom"/>
          </w:tcPr>
          <w:p>
            <w:pPr>
              <w:spacing w:after="0"/>
              <w:rPr>
                <w:sz w:val="1"/>
                <w:szCs w:val="1"/>
                <w:color w:val="auto"/>
              </w:rPr>
            </w:pPr>
          </w:p>
        </w:tc>
      </w:tr>
      <w:tr>
        <w:trPr>
          <w:trHeight w:val="207"/>
        </w:trPr>
        <w:tc>
          <w:tcPr>
            <w:tcW w:w="2840" w:type="dxa"/>
            <w:vAlign w:val="bottom"/>
            <w:gridSpan w:val="5"/>
          </w:tcPr>
          <w:p>
            <w:pPr>
              <w:jc w:val="right"/>
              <w:ind w:right="168"/>
              <w:spacing w:after="0"/>
              <w:rPr>
                <w:sz w:val="20"/>
                <w:szCs w:val="20"/>
                <w:color w:val="auto"/>
              </w:rPr>
            </w:pPr>
            <w:r>
              <w:rPr>
                <w:rFonts w:ascii="Arial" w:cs="Arial" w:eastAsia="Arial" w:hAnsi="Arial"/>
                <w:sz w:val="14"/>
                <w:szCs w:val="14"/>
                <w:color w:val="auto"/>
              </w:rPr>
              <w:t>2.  A  PROPOSAL  TO  RATIFY  THE</w:t>
            </w:r>
          </w:p>
        </w:tc>
        <w:tc>
          <w:tcPr>
            <w:tcW w:w="720" w:type="dxa"/>
            <w:vAlign w:val="bottom"/>
            <w:vMerge w:val="restart"/>
          </w:tcPr>
          <w:p>
            <w:pPr>
              <w:ind w:left="240"/>
              <w:spacing w:after="0" w:line="321"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162"/>
        </w:trPr>
        <w:tc>
          <w:tcPr>
            <w:tcW w:w="1540" w:type="dxa"/>
            <w:vAlign w:val="bottom"/>
            <w:gridSpan w:val="2"/>
          </w:tcPr>
          <w:p>
            <w:pPr>
              <w:ind w:left="140"/>
              <w:spacing w:after="0"/>
              <w:rPr>
                <w:sz w:val="20"/>
                <w:szCs w:val="20"/>
                <w:color w:val="auto"/>
              </w:rPr>
            </w:pPr>
            <w:r>
              <w:rPr>
                <w:rFonts w:ascii="Arial" w:cs="Arial" w:eastAsia="Arial" w:hAnsi="Arial"/>
                <w:sz w:val="14"/>
                <w:szCs w:val="14"/>
                <w:color w:val="auto"/>
              </w:rPr>
              <w:t>APPOINTMENT  OF</w:t>
            </w:r>
          </w:p>
        </w:tc>
        <w:tc>
          <w:tcPr>
            <w:tcW w:w="1300" w:type="dxa"/>
            <w:vAlign w:val="bottom"/>
            <w:gridSpan w:val="3"/>
          </w:tcPr>
          <w:p>
            <w:pPr>
              <w:jc w:val="right"/>
              <w:ind w:right="168"/>
              <w:spacing w:after="0"/>
              <w:rPr>
                <w:sz w:val="20"/>
                <w:szCs w:val="20"/>
                <w:color w:val="auto"/>
              </w:rPr>
            </w:pPr>
            <w:r>
              <w:rPr>
                <w:rFonts w:ascii="Arial" w:cs="Arial" w:eastAsia="Arial" w:hAnsi="Arial"/>
                <w:sz w:val="14"/>
                <w:szCs w:val="14"/>
                <w:color w:val="auto"/>
              </w:rPr>
              <w:t>MCGLADREY</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ind w:left="140"/>
              <w:spacing w:after="0"/>
              <w:rPr>
                <w:sz w:val="20"/>
                <w:szCs w:val="20"/>
                <w:color w:val="auto"/>
              </w:rPr>
            </w:pPr>
            <w:r>
              <w:rPr>
                <w:rFonts w:ascii="Arial" w:cs="Arial" w:eastAsia="Arial" w:hAnsi="Arial"/>
                <w:sz w:val="14"/>
                <w:szCs w:val="14"/>
                <w:color w:val="auto"/>
              </w:rPr>
              <w:t>LLP   AS   THE</w:t>
            </w:r>
          </w:p>
        </w:tc>
        <w:tc>
          <w:tcPr>
            <w:tcW w:w="1300" w:type="dxa"/>
            <w:vAlign w:val="bottom"/>
            <w:gridSpan w:val="3"/>
          </w:tcPr>
          <w:p>
            <w:pPr>
              <w:jc w:val="right"/>
              <w:ind w:right="188"/>
              <w:spacing w:after="0"/>
              <w:rPr>
                <w:sz w:val="20"/>
                <w:szCs w:val="20"/>
                <w:color w:val="auto"/>
              </w:rPr>
            </w:pPr>
            <w:r>
              <w:rPr>
                <w:rFonts w:ascii="Arial" w:cs="Arial" w:eastAsia="Arial" w:hAnsi="Arial"/>
                <w:sz w:val="14"/>
                <w:szCs w:val="14"/>
                <w:color w:val="auto"/>
              </w:rPr>
              <w:t>INDEPENDENT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ind w:left="140"/>
              <w:spacing w:after="0"/>
              <w:rPr>
                <w:sz w:val="20"/>
                <w:szCs w:val="20"/>
                <w:color w:val="auto"/>
              </w:rPr>
            </w:pPr>
            <w:r>
              <w:rPr>
                <w:rFonts w:ascii="Arial" w:cs="Arial" w:eastAsia="Arial" w:hAnsi="Arial"/>
                <w:sz w:val="14"/>
                <w:szCs w:val="14"/>
                <w:color w:val="auto"/>
              </w:rPr>
              <w:t>REGISTERED</w:t>
            </w:r>
          </w:p>
        </w:tc>
        <w:tc>
          <w:tcPr>
            <w:tcW w:w="400" w:type="dxa"/>
            <w:vAlign w:val="bottom"/>
          </w:tcPr>
          <w:p>
            <w:pPr>
              <w:spacing w:after="0"/>
              <w:rPr>
                <w:sz w:val="14"/>
                <w:szCs w:val="14"/>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PUBLIC</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140" w:right="980"/>
        <w:spacing w:after="0" w:line="245" w:lineRule="auto"/>
        <w:rPr>
          <w:sz w:val="20"/>
          <w:szCs w:val="20"/>
          <w:color w:val="auto"/>
        </w:rPr>
      </w:pPr>
      <w:r>
        <w:rPr>
          <w:rFonts w:ascii="Arial" w:cs="Arial" w:eastAsia="Arial" w:hAnsi="Arial"/>
          <w:sz w:val="14"/>
          <w:szCs w:val="14"/>
          <w:color w:val="auto"/>
        </w:rPr>
        <w:t>ACCOUNTING FIRM TO AUDIT THE FINANCIAL STATEMENTS FOR THE 2015 FISCAL YEAR. The Board of Directors recommends a vote “FOR” this proposal.</w:t>
      </w:r>
    </w:p>
    <w:p>
      <w:pPr>
        <w:spacing w:after="0" w:line="20" w:lineRule="exact"/>
        <w:rPr>
          <w:sz w:val="20"/>
          <w:szCs w:val="20"/>
          <w:color w:val="auto"/>
        </w:rPr>
      </w:pPr>
      <w:r>
        <w:rPr>
          <w:sz w:val="20"/>
          <w:szCs w:val="20"/>
          <w:color w:val="auto"/>
        </w:rPr>
        <w:br w:type="column"/>
      </w:r>
    </w:p>
    <w:p>
      <w:pPr>
        <w:ind w:left="154" w:hanging="154"/>
        <w:spacing w:after="0"/>
        <w:tabs>
          <w:tab w:leader="none" w:pos="154"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Peter G. Traber, M.D.</w:t>
      </w:r>
    </w:p>
    <w:p>
      <w:pPr>
        <w:spacing w:after="0" w:line="1" w:lineRule="exact"/>
        <w:rPr>
          <w:rFonts w:ascii="Arial" w:cs="Arial" w:eastAsia="Arial" w:hAnsi="Arial"/>
          <w:sz w:val="14"/>
          <w:szCs w:val="14"/>
          <w:color w:val="auto"/>
        </w:rPr>
      </w:pPr>
    </w:p>
    <w:p>
      <w:pPr>
        <w:ind w:left="154" w:hanging="154"/>
        <w:spacing w:after="0"/>
        <w:tabs>
          <w:tab w:leader="none" w:pos="154" w:val="left"/>
        </w:tabs>
        <w:numPr>
          <w:ilvl w:val="0"/>
          <w:numId w:val="77"/>
        </w:numPr>
        <w:rPr>
          <w:rFonts w:ascii="Arial" w:cs="Arial" w:eastAsia="Arial" w:hAnsi="Arial"/>
          <w:sz w:val="14"/>
          <w:szCs w:val="14"/>
          <w:color w:val="auto"/>
        </w:rPr>
      </w:pPr>
      <w:r>
        <w:rPr>
          <w:rFonts w:ascii="Arial" w:cs="Arial" w:eastAsia="Arial" w:hAnsi="Arial"/>
          <w:sz w:val="14"/>
          <w:szCs w:val="14"/>
          <w:color w:val="auto"/>
        </w:rPr>
        <w:t>Gilbert S. Omenn, M.D., Ph.D.</w:t>
      </w:r>
    </w:p>
    <w:p>
      <w:pPr>
        <w:spacing w:after="0" w:line="200" w:lineRule="exact"/>
        <w:rPr>
          <w:sz w:val="20"/>
          <w:szCs w:val="20"/>
          <w:color w:val="auto"/>
        </w:rPr>
      </w:pPr>
    </w:p>
    <w:p>
      <w:pPr>
        <w:spacing w:after="0" w:line="288" w:lineRule="exact"/>
        <w:rPr>
          <w:sz w:val="20"/>
          <w:szCs w:val="20"/>
          <w:color w:val="auto"/>
        </w:rPr>
      </w:pPr>
    </w:p>
    <w:p>
      <w:pPr>
        <w:ind w:left="194"/>
        <w:spacing w:after="0"/>
        <w:tabs>
          <w:tab w:leader="none" w:pos="1394" w:val="left"/>
        </w:tabs>
        <w:rPr>
          <w:sz w:val="20"/>
          <w:szCs w:val="20"/>
          <w:color w:val="auto"/>
        </w:rPr>
      </w:pP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17" w:lineRule="exact"/>
        <w:rPr>
          <w:sz w:val="20"/>
          <w:szCs w:val="20"/>
          <w:color w:val="auto"/>
        </w:rPr>
      </w:pPr>
    </w:p>
    <w:p>
      <w:pPr>
        <w:jc w:val="center"/>
        <w:ind w:left="-333"/>
        <w:spacing w:after="0" w:line="321" w:lineRule="exact"/>
        <w:tabs>
          <w:tab w:leader="none" w:pos="900" w:val="left"/>
        </w:tabs>
        <w:rPr>
          <w:sz w:val="20"/>
          <w:szCs w:val="20"/>
          <w:color w:val="auto"/>
        </w:rPr>
      </w:pPr>
      <w:r>
        <w:rPr>
          <w:rFonts w:ascii="MS PGothic" w:cs="MS PGothic" w:eastAsia="MS PGothic" w:hAnsi="MS PGothic"/>
          <w:sz w:val="32"/>
          <w:szCs w:val="32"/>
          <w:color w:val="auto"/>
        </w:rPr>
        <w:t>☐</w:t>
      </w:r>
      <w:r>
        <w:rPr>
          <w:sz w:val="20"/>
          <w:szCs w:val="20"/>
          <w:color w:val="auto"/>
        </w:rPr>
        <w:tab/>
      </w:r>
      <w:r>
        <w:rPr>
          <w:rFonts w:ascii="MS PGothic" w:cs="MS PGothic" w:eastAsia="MS PGothic" w:hAnsi="MS PGothic"/>
          <w:sz w:val="32"/>
          <w:szCs w:val="32"/>
          <w:color w:val="auto"/>
        </w:rPr>
        <w:t>☐</w:t>
      </w:r>
    </w:p>
    <w:p>
      <w:pPr>
        <w:spacing w:after="0" w:line="20" w:lineRule="exact"/>
        <w:rPr>
          <w:sz w:val="20"/>
          <w:szCs w:val="20"/>
          <w:color w:val="auto"/>
        </w:rPr>
      </w:pPr>
      <w:r>
        <w:rPr>
          <w:sz w:val="20"/>
          <w:szCs w:val="20"/>
          <w:color w:val="auto"/>
        </w:rPr>
        <w:br w:type="column"/>
      </w:r>
    </w:p>
    <w:p>
      <w:pPr>
        <w:ind w:left="227" w:hanging="227"/>
        <w:spacing w:after="0" w:line="258" w:lineRule="auto"/>
        <w:tabs>
          <w:tab w:leader="none" w:pos="2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352" w:lineRule="exact"/>
        <w:rPr>
          <w:sz w:val="20"/>
          <w:szCs w:val="20"/>
          <w:color w:val="auto"/>
        </w:rPr>
      </w:pPr>
    </w:p>
    <w:p>
      <w:pPr>
        <w:jc w:val="both"/>
        <w:ind w:left="7"/>
        <w:spacing w:after="0" w:line="263" w:lineRule="auto"/>
        <w:rPr>
          <w:sz w:val="20"/>
          <w:szCs w:val="20"/>
          <w:color w:val="auto"/>
        </w:rPr>
      </w:pPr>
      <w:r>
        <w:rPr>
          <w:rFonts w:ascii="Arial" w:cs="Arial" w:eastAsia="Arial" w:hAnsi="Arial"/>
          <w:sz w:val="14"/>
          <w:szCs w:val="14"/>
          <w:b w:val="1"/>
          <w:bCs w:val="1"/>
          <w:color w:val="auto"/>
        </w:rPr>
        <w:t>THIS PROXY WILL BE VOTED AS DIRECTED. IF NO DIRECTION IS INDICATED FOR THE PROPOSALS, EACH PROPOSAL WILL BE VOTED “FOR” THE PROPOSAL.</w:t>
      </w:r>
    </w:p>
    <w:p>
      <w:pPr>
        <w:spacing w:after="0" w:line="380" w:lineRule="exact"/>
        <w:rPr>
          <w:sz w:val="20"/>
          <w:szCs w:val="20"/>
          <w:color w:val="auto"/>
        </w:rPr>
      </w:pPr>
    </w:p>
    <w:p>
      <w:pPr>
        <w:ind w:left="2087"/>
        <w:spacing w:after="0"/>
        <w:rPr>
          <w:sz w:val="20"/>
          <w:szCs w:val="20"/>
          <w:color w:val="auto"/>
        </w:rPr>
      </w:pPr>
      <w:r>
        <w:rPr>
          <w:rFonts w:ascii="Arial" w:cs="Arial" w:eastAsia="Arial" w:hAnsi="Arial"/>
          <w:sz w:val="14"/>
          <w:szCs w:val="14"/>
          <w:b w:val="1"/>
          <w:bCs w:val="1"/>
          <w:color w:val="auto"/>
        </w:rPr>
        <w:t>COMPANY ID:</w:t>
      </w:r>
    </w:p>
    <w:p>
      <w:pPr>
        <w:spacing w:after="0" w:line="200" w:lineRule="exact"/>
        <w:rPr>
          <w:sz w:val="20"/>
          <w:szCs w:val="20"/>
          <w:color w:val="auto"/>
        </w:rPr>
      </w:pPr>
    </w:p>
    <w:p>
      <w:pPr>
        <w:spacing w:after="0" w:line="206" w:lineRule="exact"/>
        <w:rPr>
          <w:sz w:val="20"/>
          <w:szCs w:val="20"/>
          <w:color w:val="auto"/>
        </w:rPr>
      </w:pPr>
    </w:p>
    <w:p>
      <w:pPr>
        <w:ind w:left="1947"/>
        <w:spacing w:after="0"/>
        <w:rPr>
          <w:sz w:val="20"/>
          <w:szCs w:val="20"/>
          <w:color w:val="auto"/>
        </w:rPr>
      </w:pPr>
      <w:r>
        <w:rPr>
          <w:rFonts w:ascii="Arial" w:cs="Arial" w:eastAsia="Arial" w:hAnsi="Arial"/>
          <w:sz w:val="14"/>
          <w:szCs w:val="14"/>
          <w:b w:val="1"/>
          <w:bCs w:val="1"/>
          <w:color w:val="auto"/>
        </w:rPr>
        <w:t>PROXY NUMBER:</w:t>
      </w:r>
    </w:p>
    <w:p>
      <w:pPr>
        <w:spacing w:after="0" w:line="321" w:lineRule="exact"/>
        <w:rPr>
          <w:sz w:val="20"/>
          <w:szCs w:val="20"/>
          <w:color w:val="auto"/>
        </w:rPr>
      </w:pPr>
    </w:p>
    <w:p>
      <w:pPr>
        <w:sectPr>
          <w:pgSz w:w="11900" w:h="16838" w:orient="portrait"/>
          <w:cols w:equalWidth="0" w:num="3">
            <w:col w:w="3560" w:space="306"/>
            <w:col w:w="2094" w:space="393"/>
            <w:col w:w="4707"/>
          </w:cols>
          <w:pgMar w:left="420" w:top="324" w:right="419" w:bottom="1440" w:gutter="0" w:footer="0" w:header="0"/>
          <w:type w:val="continuous"/>
        </w:sectPr>
      </w:pPr>
    </w:p>
    <w:p>
      <w:pPr>
        <w:spacing w:after="0" w:line="8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ACCOUNT NUMBER:</w:t>
      </w:r>
    </w:p>
    <w:p>
      <w:pPr>
        <w:spacing w:after="0" w:line="375" w:lineRule="exact"/>
        <w:rPr>
          <w:sz w:val="20"/>
          <w:szCs w:val="20"/>
          <w:color w:val="auto"/>
        </w:rPr>
      </w:pPr>
    </w:p>
    <w:p>
      <w:pPr>
        <w:spacing w:after="0"/>
        <w:tabs>
          <w:tab w:leader="none" w:pos="4320" w:val="left"/>
          <w:tab w:leader="none" w:pos="8840" w:val="left"/>
          <w:tab w:leader="none" w:pos="106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4"/>
          <w:szCs w:val="14"/>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29210</wp:posOffset>
            </wp:positionV>
            <wp:extent cx="62344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34430" cy="17145"/>
                    </a:xfrm>
                    <a:prstGeom prst="rect">
                      <a:avLst/>
                    </a:prstGeom>
                    <a:noFill/>
                  </pic:spPr>
                </pic:pic>
              </a:graphicData>
            </a:graphic>
          </wp:anchor>
        </w:drawing>
      </w:r>
    </w:p>
    <w:p>
      <w:pPr>
        <w:spacing w:after="0" w:line="39"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060"/>
          </w:cols>
          <w:pgMar w:left="420" w:top="324" w:right="419" w:bottom="1440" w:gutter="0" w:footer="0" w:header="0"/>
          <w:type w:val="continuous"/>
        </w:sectPr>
      </w:pPr>
    </w:p>
    <w:bookmarkStart w:id="68" w:name="page69"/>
    <w:bookmarkEnd w:id="68"/>
    <w:p>
      <w:pPr>
        <w:jc w:val="both"/>
        <w:spacing w:after="0" w:line="299" w:lineRule="auto"/>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2015 annual meeting of stockholders of Galectin Therapeutics Inc. to be held at the offices of McKenna Long &amp; Aldridge LLP, located at 303 Peachtree Street NE, Suite 5300, Atlanta, GA 30308 on May 21, 2015 at 9:00 A.M. EDT.</w:t>
      </w: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color w:val="auto"/>
        </w:rPr>
        <w:t>The Proxy Statement and Annual Report to Stockholders are available at:</w:t>
      </w:r>
    </w:p>
    <w:p>
      <w:pPr>
        <w:spacing w:after="0" w:line="24" w:lineRule="exact"/>
        <w:rPr>
          <w:sz w:val="20"/>
          <w:szCs w:val="20"/>
          <w:color w:val="auto"/>
        </w:rPr>
      </w:pPr>
    </w:p>
    <w:p>
      <w:pPr>
        <w:spacing w:after="0"/>
        <w:rPr>
          <w:sz w:val="20"/>
          <w:szCs w:val="20"/>
          <w:color w:val="auto"/>
        </w:rPr>
      </w:pPr>
      <w:r>
        <w:rPr>
          <w:rFonts w:ascii="Arial" w:cs="Arial" w:eastAsia="Arial" w:hAnsi="Arial"/>
          <w:sz w:val="27"/>
          <w:szCs w:val="27"/>
          <w:u w:val="single" w:color="auto"/>
          <w:color w:val="auto"/>
        </w:rPr>
        <w:t>http://www.galectintherapeutics.com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4" w:lineRule="exact"/>
        <w:rPr>
          <w:sz w:val="20"/>
          <w:szCs w:val="20"/>
          <w:color w:val="auto"/>
        </w:rPr>
      </w:pPr>
    </w:p>
    <w:p>
      <w:pPr>
        <w:jc w:val="both"/>
        <w:spacing w:after="0" w:line="247" w:lineRule="auto"/>
        <w:rPr>
          <w:sz w:val="20"/>
          <w:szCs w:val="20"/>
          <w:color w:val="auto"/>
        </w:rPr>
      </w:pPr>
      <w:r>
        <w:rPr>
          <w:rFonts w:ascii="Arial" w:cs="Arial" w:eastAsia="Arial" w:hAnsi="Arial"/>
          <w:sz w:val="27"/>
          <w:szCs w:val="27"/>
          <w:color w:val="auto"/>
        </w:rPr>
        <w:t>Mark, sign and date your Proxy Card on the reverse side,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FOLD HERE • DO NOT SEPARATE • INSERT IN ENVELOPE PROVIDED</w:t>
      </w:r>
      <w:r>
        <w:rPr>
          <w:rFonts w:ascii="Arial" w:cs="Arial" w:eastAsia="Arial" w:hAnsi="Arial"/>
          <w:sz w:val="18"/>
          <w:szCs w:val="18"/>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GALECTIN THERAPEUTICS INC.</w:t>
      </w:r>
    </w:p>
    <w:p>
      <w:pPr>
        <w:spacing w:after="0" w:line="312" w:lineRule="exact"/>
        <w:rPr>
          <w:sz w:val="20"/>
          <w:szCs w:val="20"/>
          <w:color w:val="auto"/>
        </w:rPr>
      </w:pPr>
    </w:p>
    <w:p>
      <w:pPr>
        <w:jc w:val="both"/>
        <w:ind w:firstLine="571"/>
        <w:spacing w:after="0" w:line="282" w:lineRule="auto"/>
        <w:rPr>
          <w:sz w:val="20"/>
          <w:szCs w:val="20"/>
          <w:color w:val="auto"/>
        </w:rPr>
      </w:pPr>
      <w:r>
        <w:rPr>
          <w:rFonts w:ascii="Arial" w:cs="Arial" w:eastAsia="Arial" w:hAnsi="Arial"/>
          <w:sz w:val="19"/>
          <w:szCs w:val="19"/>
          <w:color w:val="auto"/>
        </w:rPr>
        <w:t>The undersigned appoints Peter G. Traber, M.D., Jack W. Callicutt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March 20, 2015 at the 2015 annual meeting of stockholders to be held at the offices of McKenna Long &amp; Aldridge LLP, located at 303 Peachtree Street NE, Suite 5300, Atlanta, GA 30308 on May 21, 2015 at 9:00 a.m.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 and to be marked, dated and signed, on the other side)</w:t>
      </w: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3"/>
    </w:lvl>
  </w:abstractNum>
  <w:abstractNum w:abstractNumId="15">
    <w:nsid w:val="6DE91B18"/>
    <w:multiLevelType w:val="hybridMultilevel"/>
    <w:lvl w:ilvl="0">
      <w:lvlJc w:val="left"/>
      <w:lvlText w:val="(%1)"/>
      <w:numFmt w:val="decimal"/>
      <w:start w:val="8"/>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decimal"/>
      <w:start w:val="4"/>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lvl w:ilvl="1">
      <w:lvlJc w:val="left"/>
      <w:lvlText w:val="\emdash "/>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lowerRoman"/>
      <w:start w:val="3"/>
    </w:lvl>
  </w:abstractNum>
  <w:abstractNum w:abstractNumId="29">
    <w:nsid w:val="374A3FE6"/>
    <w:multiLevelType w:val="hybridMultilevel"/>
    <w:lvl w:ilvl="0">
      <w:lvlJc w:val="left"/>
      <w:lvlText w:val="(%1)"/>
      <w:numFmt w:val="lowerRoman"/>
      <w:start w:val="1"/>
    </w:lvl>
  </w:abstractNum>
  <w:abstractNum w:abstractNumId="30">
    <w:nsid w:val="4F4EF005"/>
    <w:multiLevelType w:val="hybridMultilevel"/>
    <w:lvl w:ilvl="0">
      <w:lvlJc w:val="left"/>
      <w:lvlText w:val="(%1)"/>
      <w:numFmt w:val="lowerRoman"/>
      <w:start w:val="4"/>
    </w:lvl>
  </w:abstractNum>
  <w:abstractNum w:abstractNumId="31">
    <w:nsid w:val="23F9C13C"/>
    <w:multiLevelType w:val="hybridMultilevel"/>
    <w:lvl w:ilvl="0">
      <w:lvlJc w:val="left"/>
      <w:lvlText w:val="(%1)"/>
      <w:numFmt w:val="lowerRoman"/>
      <w:start w:val="2"/>
    </w:lvl>
  </w:abstractNum>
  <w:abstractNum w:abstractNumId="32">
    <w:nsid w:val="649BB77C"/>
    <w:multiLevelType w:val="hybridMultilevel"/>
    <w:lvl w:ilvl="0">
      <w:lvlJc w:val="left"/>
      <w:lvlText w:val="(%1)"/>
      <w:numFmt w:val="lowerRoman"/>
      <w:start w:val="3"/>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lowerRoman"/>
      <w:start w:val="2"/>
    </w:lvl>
  </w:abstractNum>
  <w:abstractNum w:abstractNumId="37">
    <w:nsid w:val="235BA861"/>
    <w:multiLevelType w:val="hybridMultilevel"/>
    <w:lvl w:ilvl="0">
      <w:lvlJc w:val="left"/>
      <w:lvlText w:val="(%1)"/>
      <w:numFmt w:val="decimal"/>
      <w:start w:val="5"/>
    </w:lvl>
  </w:abstractNum>
  <w:abstractNum w:abstractNumId="38">
    <w:nsid w:val="47398C89"/>
    <w:multiLevelType w:val="hybridMultilevel"/>
    <w:lvl w:ilvl="0">
      <w:lvlJc w:val="left"/>
      <w:lvlText w:val="(%1)"/>
      <w:numFmt w:val="decimal"/>
      <w:start w:val="12"/>
    </w:lvl>
  </w:abstractNum>
  <w:abstractNum w:abstractNumId="39">
    <w:nsid w:val="354FE9F9"/>
    <w:multiLevelType w:val="hybridMultilevel"/>
    <w:lvl w:ilvl="0">
      <w:lvlJc w:val="left"/>
      <w:lvlText w:val="(%1)"/>
      <w:numFmt w:val="lowerRoman"/>
      <w:start w:val="1"/>
    </w:lvl>
  </w:abstractNum>
  <w:abstractNum w:abstractNumId="40">
    <w:nsid w:val="15B5AF5C"/>
    <w:multiLevelType w:val="hybridMultilevel"/>
    <w:lvl w:ilvl="0">
      <w:lvlJc w:val="left"/>
      <w:lvlText w:val="%1."/>
      <w:numFmt w:val="decimal"/>
      <w:start w:val="1"/>
    </w:lvl>
    <w:lvl w:ilvl="1">
      <w:lvlJc w:val="left"/>
      <w:lvlText w:val="(%2)"/>
      <w:numFmt w:val="lowerLetter"/>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lowerRoman"/>
      <w:start w:val="1"/>
    </w:lvl>
    <w:lvl w:ilvl="1">
      <w:lvlJc w:val="left"/>
      <w:lvlText w:val="(%2)"/>
      <w:numFmt w:val="lowerLetter"/>
      <w:start w:val="11"/>
    </w:lvl>
  </w:abstractNum>
  <w:abstractNum w:abstractNumId="43">
    <w:nsid w:val="10233C99"/>
    <w:multiLevelType w:val="hybridMultilevel"/>
    <w:lvl w:ilvl="0">
      <w:lvlJc w:val="left"/>
      <w:lvlText w:val="(%1)"/>
      <w:numFmt w:val="lowerRoman"/>
      <w:start w:val="2"/>
    </w:lvl>
    <w:lvl w:ilvl="1">
      <w:lvlJc w:val="left"/>
      <w:lvlText w:val="(%2)"/>
      <w:numFmt w:val="lowerLetter"/>
      <w:start w:val="12"/>
    </w:lvl>
  </w:abstractNum>
  <w:abstractNum w:abstractNumId="44">
    <w:nsid w:val="3F6AB60F"/>
    <w:multiLevelType w:val="hybridMultilevel"/>
    <w:lvl w:ilvl="0">
      <w:lvlJc w:val="left"/>
      <w:lvlText w:val="(%1)"/>
      <w:numFmt w:val="lowerLetter"/>
      <w:start w:val="22"/>
    </w:lvl>
  </w:abstractNum>
  <w:abstractNum w:abstractNumId="45">
    <w:nsid w:val="61574095"/>
    <w:multiLevelType w:val="hybridMultilevel"/>
    <w:lvl w:ilvl="0">
      <w:lvlJc w:val="left"/>
      <w:lvlText w:val="(%1)"/>
      <w:numFmt w:val="lowerLetter"/>
      <w:start w:val="27"/>
    </w:lvl>
  </w:abstractNum>
  <w:abstractNum w:abstractNumId="46">
    <w:nsid w:val="7E0C57B1"/>
    <w:multiLevelType w:val="hybridMultilevel"/>
    <w:lvl w:ilvl="0">
      <w:lvlJc w:val="left"/>
      <w:lvlText w:val="%1"/>
      <w:numFmt w:val="decimal"/>
      <w:start w:val="1"/>
    </w:lvl>
    <w:lvl w:ilvl="1">
      <w:lvlJc w:val="left"/>
      <w:lvlText w:val="(%2)"/>
      <w:numFmt w:val="lowerLetter"/>
      <w:start w:val="35"/>
    </w:lvl>
  </w:abstractNum>
  <w:abstractNum w:abstractNumId="47">
    <w:nsid w:val="77AE35EB"/>
    <w:multiLevelType w:val="hybridMultilevel"/>
    <w:lvl w:ilvl="0">
      <w:lvlJc w:val="left"/>
      <w:lvlText w:val="%1."/>
      <w:numFmt w:val="decimal"/>
      <w:start w:val="3"/>
    </w:lvl>
    <w:lvl w:ilvl="1">
      <w:lvlJc w:val="left"/>
      <w:lvlText w:val="(%2)"/>
      <w:numFmt w:val="lowerLetter"/>
      <w:start w:val="1"/>
    </w:lvl>
  </w:abstractNum>
  <w:abstractNum w:abstractNumId="48">
    <w:nsid w:val="579BE4F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9">
    <w:nsid w:val="310C50B3"/>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0">
    <w:nsid w:val="5FF87E05"/>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51">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2">
    <w:nsid w:val="25A70B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
    <w:nsid w:val="1DBABF0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4">
    <w:nsid w:val="4AD084E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5">
    <w:nsid w:val="1F48EAA1"/>
    <w:multiLevelType w:val="hybridMultilevel"/>
    <w:lvl w:ilvl="0">
      <w:lvlJc w:val="left"/>
      <w:lvlText w:val="%1"/>
      <w:numFmt w:val="lowerLetter"/>
      <w:start w:val="1"/>
    </w:lvl>
    <w:lvl w:ilvl="1">
      <w:lvlJc w:val="left"/>
      <w:lvlText w:val="(%2)"/>
      <w:numFmt w:val="lowerLetter"/>
      <w:start w:val="61"/>
    </w:lvl>
  </w:abstractNum>
  <w:abstractNum w:abstractNumId="56">
    <w:nsid w:val="1381823A"/>
    <w:multiLevelType w:val="hybridMultilevel"/>
    <w:lvl w:ilvl="0">
      <w:lvlJc w:val="left"/>
      <w:lvlText w:val="(%1)"/>
      <w:numFmt w:val="lowerLetter"/>
      <w:start w:val="4"/>
    </w:lvl>
    <w:lvl w:ilvl="1">
      <w:lvlJc w:val="left"/>
      <w:lvlText w:val="(%2)"/>
      <w:numFmt w:val="lowerLetter"/>
      <w:start w:val="9"/>
    </w:lvl>
  </w:abstractNum>
  <w:abstractNum w:abstractNumId="57">
    <w:nsid w:val="5DB70AE5"/>
    <w:multiLevelType w:val="hybridMultilevel"/>
    <w:lvl w:ilvl="0">
      <w:lvlJc w:val="left"/>
      <w:lvlText w:val="(%1)"/>
      <w:numFmt w:val="lowerRoman"/>
      <w:start w:val="2"/>
    </w:lvl>
  </w:abstractNum>
  <w:abstractNum w:abstractNumId="58">
    <w:nsid w:val="100F8FCA"/>
    <w:multiLevelType w:val="hybridMultilevel"/>
    <w:lvl w:ilvl="0">
      <w:lvlJc w:val="left"/>
      <w:lvlText w:val="%1"/>
      <w:numFmt w:val="lowerLetter"/>
      <w:start w:val="1"/>
    </w:lvl>
    <w:lvl w:ilvl="1">
      <w:lvlJc w:val="left"/>
      <w:lvlText w:val="(%2)"/>
      <w:numFmt w:val="lowerRoman"/>
      <w:start w:val="1"/>
    </w:lvl>
  </w:abstractNum>
  <w:abstractNum w:abstractNumId="59">
    <w:nsid w:val="6590700B"/>
    <w:multiLevelType w:val="hybridMultilevel"/>
    <w:lvl w:ilvl="0">
      <w:lvlJc w:val="left"/>
      <w:lvlText w:val="(%1)"/>
      <w:numFmt w:val="lowerLetter"/>
      <w:start w:val="6"/>
    </w:lvl>
    <w:lvl w:ilvl="1">
      <w:lvlJc w:val="left"/>
      <w:lvlText w:val="%2"/>
      <w:numFmt w:val="lowerRoman"/>
      <w:start w:val="1"/>
    </w:lvl>
  </w:abstractNum>
  <w:abstractNum w:abstractNumId="60">
    <w:nsid w:val="15014ACB"/>
    <w:multiLevelType w:val="hybridMultilevel"/>
    <w:lvl w:ilvl="0">
      <w:lvlJc w:val="left"/>
      <w:lvlText w:val="%1"/>
      <w:numFmt w:val="decimal"/>
      <w:start w:val="1"/>
    </w:lvl>
    <w:lvl w:ilvl="1">
      <w:lvlJc w:val="left"/>
      <w:lvlText w:val="(%2)"/>
      <w:numFmt w:val="lowerLetter"/>
      <w:start w:val="8"/>
    </w:lvl>
  </w:abstractNum>
  <w:abstractNum w:abstractNumId="61">
    <w:nsid w:val="5F5E7FD0"/>
    <w:multiLevelType w:val="hybridMultilevel"/>
    <w:lvl w:ilvl="0">
      <w:lvlJc w:val="left"/>
      <w:lvlText w:val="%1."/>
      <w:numFmt w:val="decimal"/>
      <w:start w:val="7"/>
    </w:lvl>
    <w:lvl w:ilvl="1">
      <w:lvlJc w:val="left"/>
      <w:lvlText w:val="(%2)"/>
      <w:numFmt w:val="lowerLetter"/>
      <w:start w:val="1"/>
    </w:lvl>
  </w:abstractNum>
  <w:abstractNum w:abstractNumId="62">
    <w:nsid w:val="98A31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
    <w:nsid w:val="799D0247"/>
    <w:multiLevelType w:val="hybridMultilevel"/>
    <w:lvl w:ilvl="0">
      <w:lvlJc w:val="left"/>
      <w:lvlText w:val="(%1)"/>
      <w:numFmt w:val="upperLetter"/>
      <w:start w:val="2"/>
    </w:lvl>
  </w:abstractNum>
  <w:abstractNum w:abstractNumId="64">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5">
    <w:nsid w:val="42C296B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6">
    <w:nsid w:val="168E121F"/>
    <w:multiLevelType w:val="hybridMultilevel"/>
    <w:lvl w:ilvl="0">
      <w:lvlJc w:val="left"/>
      <w:lvlText w:val="(%1)"/>
      <w:numFmt w:val="decimal"/>
      <w:start w:val="14"/>
    </w:lvl>
    <w:lvl w:ilvl="1">
      <w:lvlJc w:val="left"/>
      <w:lvlText w:val="%2."/>
      <w:numFmt w:val="decimal"/>
      <w:start w:val="8"/>
    </w:lvl>
    <w:lvl w:ilvl="2">
      <w:lvlJc w:val="left"/>
      <w:lvlText w:val="(%3)"/>
      <w:numFmt w:val="lowerLetter"/>
      <w:start w:val="3"/>
    </w:lvl>
    <w:lvl w:ilvl="3">
      <w:lvlJc w:val="left"/>
      <w:lvlText w:val="%4"/>
      <w:numFmt w:val="lowerRoman"/>
      <w:start w:val="1"/>
    </w:lvl>
  </w:abstractNum>
  <w:abstractNum w:abstractNumId="67">
    <w:nsid w:val="1EBA5D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8">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9">
    <w:nsid w:val="5DC79E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0">
    <w:nsid w:val="540A471C"/>
    <w:multiLevelType w:val="hybridMultilevel"/>
    <w:lvl w:ilvl="0">
      <w:lvlJc w:val="left"/>
      <w:lvlText w:val="(%1)"/>
      <w:numFmt w:val="lowerLetter"/>
      <w:start w:val="2"/>
    </w:lvl>
    <w:lvl w:ilvl="1">
      <w:lvlJc w:val="left"/>
      <w:lvlText w:val="(%2)"/>
      <w:numFmt w:val="lowerRoman"/>
      <w:start w:val="1"/>
    </w:lvl>
  </w:abstractNum>
  <w:abstractNum w:abstractNumId="71">
    <w:nsid w:val="7BD3EE7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72">
    <w:nsid w:val="51D9C564"/>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73">
    <w:nsid w:val="613EFDC5"/>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74">
    <w:nsid w:val="BF72B14"/>
    <w:multiLevelType w:val="hybridMultilevel"/>
    <w:lvl w:ilvl="0">
      <w:lvlJc w:val="left"/>
      <w:lvlText w:val="%1"/>
      <w:numFmt w:val="lowerLetter"/>
      <w:start w:val="1"/>
    </w:lvl>
    <w:lvl w:ilvl="1">
      <w:lvlJc w:val="left"/>
      <w:lvlText w:val="(%2)"/>
      <w:numFmt w:val="lowerLetter"/>
      <w:start w:val="7"/>
    </w:lvl>
  </w:abstractNum>
  <w:abstractNum w:abstractNumId="75">
    <w:nsid w:val="11447B73"/>
    <w:multiLevelType w:val="hybridMultilevel"/>
    <w:lvl w:ilvl="0">
      <w:lvlJc w:val="left"/>
      <w:lvlText w:val="(%1)"/>
      <w:numFmt w:val="lowerLetter"/>
      <w:start w:val="2"/>
    </w:lvl>
    <w:lvl w:ilvl="1">
      <w:lvlJc w:val="left"/>
      <w:lvlText w:val="%2"/>
      <w:numFmt w:val="lowerLetter"/>
      <w:start w:val="1"/>
    </w:lvl>
  </w:abstractNum>
  <w:abstractNum w:abstractNumId="76">
    <w:nsid w:val="42963E5A"/>
    <w:multiLevelType w:val="hybridMultilevel"/>
    <w:lvl w:ilvl="0">
      <w:lvlJc w:val="left"/>
      <w:lvlText w:val="%1."/>
      <w:numFmt w:val="decimal"/>
      <w:start w:val="7"/>
    </w:lvl>
  </w:abstractNum>
  <w:abstractNum w:abstractNumId="77">
    <w:nsid w:val="A0382C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2019-12-07T19:27:13Z</dcterms:created>
  <dcterms:modified xsi:type="dcterms:W3CDTF">2019-12-07T19:27:13Z</dcterms:modified>
</cp:coreProperties>
</file>