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GALECTIN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Richard E. Uihlein</w:t>
              <w:br/>
              <w:t xml:space="preserve">12575 Uline Drive, </w:t>
              <w:br/>
              <w:t>Pleasant Prairie, WI, 53158</w:t>
              <w:br/>
              <w:t>262-612-4200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Richard E. Uihlein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54,673,646.00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54,673,646.00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54,673,646.00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49.30 %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075"/>
        <w:gridCol w:w="9130"/>
      </w:tblGrid>
      <w:tr>
        <w:trPr/>
        <w:tc>
          <w:tcPr>
            <w:tcW w:w="1075" w:type="dxa"/>
            <w:tcBorders/>
            <w:vAlign w:val="center"/>
          </w:tcPr>
          <w:p>
            <w:pPr>
              <w:pStyle w:val="TableContents"/>
              <w:bidi w:val="0"/>
              <w:spacing w:before="0" w:after="283"/>
              <w:jc w:val="left"/>
              <w:rPr/>
            </w:pPr>
            <w:r>
              <w:rPr/>
              <w:t>Item 1.</w:t>
            </w:r>
          </w:p>
        </w:tc>
        <w:tc>
          <w:tcPr>
            <w:tcW w:w="9130" w:type="dxa"/>
            <w:tcBorders/>
            <w:vAlign w:val="center"/>
          </w:tcPr>
          <w:p>
            <w:pPr>
              <w:pStyle w:val="TableContents"/>
              <w:bidi w:val="0"/>
              <w:spacing w:before="0" w:after="283"/>
              <w:jc w:val="left"/>
              <w:rPr/>
            </w:pPr>
            <w:r>
              <w:rPr/>
              <w:t>Security and Issuer</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jc w:val="left"/>
              <w:rPr/>
            </w:pPr>
            <w:r>
              <w:rPr/>
              <w:t xml:space="preserve">Name of Issuer: </w:t>
            </w:r>
          </w:p>
          <w:p>
            <w:pPr>
              <w:pStyle w:val="TableContents"/>
              <w:bidi w:val="0"/>
              <w:spacing w:before="0" w:after="0"/>
              <w:jc w:val="left"/>
              <w:rPr/>
            </w:pPr>
            <w:r>
              <w:rPr/>
              <w:t>GALECTIN THERAPEUTICS INC</w:t>
            </w:r>
          </w:p>
        </w:tc>
      </w:tr>
      <w:tr>
        <w:trPr/>
        <w:tc>
          <w:tcPr>
            <w:tcW w:w="1075" w:type="dxa"/>
            <w:tcBorders/>
            <w:vAlign w:val="center"/>
          </w:tcPr>
          <w:p>
            <w:pPr>
              <w:pStyle w:val="TableContents"/>
              <w:bidi w:val="0"/>
              <w:spacing w:before="0" w:after="283"/>
              <w:jc w:val="left"/>
              <w:rPr/>
            </w:pPr>
            <w:r>
              <w:rPr/>
              <w:t>(c)</w:t>
            </w:r>
          </w:p>
        </w:tc>
        <w:tc>
          <w:tcPr>
            <w:tcW w:w="91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4960 PEACHTREE INDUSTRIAL BOULEVARD, SUITE 240, NORCROSS, GEORGIA , 30071.</w:t>
            </w:r>
          </w:p>
        </w:tc>
      </w:tr>
      <w:tr>
        <w:trPr/>
        <w:tc>
          <w:tcPr>
            <w:tcW w:w="1075" w:type="dxa"/>
            <w:tcBorders/>
            <w:vAlign w:val="center"/>
          </w:tcPr>
          <w:p>
            <w:pPr>
              <w:pStyle w:val="TableContents"/>
              <w:bidi w:val="0"/>
              <w:spacing w:before="0" w:after="283"/>
              <w:jc w:val="left"/>
              <w:rPr/>
            </w:pPr>
            <w:r>
              <w:rPr/>
              <w:t>Item 2.</w:t>
            </w:r>
          </w:p>
        </w:tc>
        <w:tc>
          <w:tcPr>
            <w:tcW w:w="9130" w:type="dxa"/>
            <w:tcBorders/>
            <w:vAlign w:val="center"/>
          </w:tcPr>
          <w:p>
            <w:pPr>
              <w:pStyle w:val="TableContents"/>
              <w:bidi w:val="0"/>
              <w:spacing w:before="0" w:after="283"/>
              <w:jc w:val="left"/>
              <w:rPr/>
            </w:pPr>
            <w:r>
              <w:rPr/>
              <w:t>Identity and Background</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spacing w:before="0" w:after="0"/>
              <w:jc w:val="left"/>
              <w:rPr/>
            </w:pPr>
            <w:r>
              <w:rPr/>
              <w:t>Richard E. Uihlein</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spacing w:before="0" w:after="0"/>
              <w:jc w:val="left"/>
              <w:rPr/>
            </w:pPr>
            <w:r>
              <w:rPr/>
              <w:t>12575 Uline Drive, Pleasant Prairie, WI 53158</w:t>
            </w:r>
          </w:p>
        </w:tc>
      </w:tr>
      <w:tr>
        <w:trPr/>
        <w:tc>
          <w:tcPr>
            <w:tcW w:w="1075" w:type="dxa"/>
            <w:tcBorders/>
            <w:vAlign w:val="center"/>
          </w:tcPr>
          <w:p>
            <w:pPr>
              <w:pStyle w:val="TableContents"/>
              <w:bidi w:val="0"/>
              <w:spacing w:before="0" w:after="283"/>
              <w:jc w:val="left"/>
              <w:rPr/>
            </w:pPr>
            <w:r>
              <w:rPr/>
              <w:t>(c)</w:t>
            </w:r>
          </w:p>
        </w:tc>
        <w:tc>
          <w:tcPr>
            <w:tcW w:w="9130" w:type="dxa"/>
            <w:tcBorders/>
            <w:vAlign w:val="center"/>
          </w:tcPr>
          <w:p>
            <w:pPr>
              <w:pStyle w:val="TableContents"/>
              <w:bidi w:val="0"/>
              <w:spacing w:before="0" w:after="0"/>
              <w:jc w:val="left"/>
              <w:rPr/>
            </w:pPr>
            <w:r>
              <w:rPr/>
              <w:t>None</w:t>
            </w:r>
          </w:p>
        </w:tc>
      </w:tr>
      <w:tr>
        <w:trPr/>
        <w:tc>
          <w:tcPr>
            <w:tcW w:w="1075" w:type="dxa"/>
            <w:tcBorders/>
            <w:vAlign w:val="center"/>
          </w:tcPr>
          <w:p>
            <w:pPr>
              <w:pStyle w:val="TableContents"/>
              <w:bidi w:val="0"/>
              <w:spacing w:before="0" w:after="283"/>
              <w:jc w:val="left"/>
              <w:rPr/>
            </w:pPr>
            <w:r>
              <w:rPr/>
              <w:t>(d)</w:t>
            </w:r>
          </w:p>
        </w:tc>
        <w:tc>
          <w:tcPr>
            <w:tcW w:w="9130" w:type="dxa"/>
            <w:tcBorders/>
            <w:vAlign w:val="center"/>
          </w:tcPr>
          <w:p>
            <w:pPr>
              <w:pStyle w:val="TableContents"/>
              <w:bidi w:val="0"/>
              <w:spacing w:before="0" w:after="0"/>
              <w:jc w:val="left"/>
              <w:rPr/>
            </w:pPr>
            <w:r>
              <w:rPr/>
              <w:t>None</w:t>
            </w:r>
          </w:p>
        </w:tc>
      </w:tr>
      <w:tr>
        <w:trPr/>
        <w:tc>
          <w:tcPr>
            <w:tcW w:w="1075" w:type="dxa"/>
            <w:tcBorders/>
            <w:vAlign w:val="center"/>
          </w:tcPr>
          <w:p>
            <w:pPr>
              <w:pStyle w:val="TableContents"/>
              <w:bidi w:val="0"/>
              <w:spacing w:before="0" w:after="283"/>
              <w:jc w:val="left"/>
              <w:rPr/>
            </w:pPr>
            <w:r>
              <w:rPr/>
              <w:t>(e)</w:t>
            </w:r>
          </w:p>
        </w:tc>
        <w:tc>
          <w:tcPr>
            <w:tcW w:w="9130" w:type="dxa"/>
            <w:tcBorders/>
            <w:vAlign w:val="center"/>
          </w:tcPr>
          <w:p>
            <w:pPr>
              <w:pStyle w:val="TableContents"/>
              <w:bidi w:val="0"/>
              <w:spacing w:before="0" w:after="0"/>
              <w:jc w:val="left"/>
              <w:rPr/>
            </w:pPr>
            <w:r>
              <w:rPr/>
              <w:t>None</w:t>
            </w:r>
          </w:p>
        </w:tc>
      </w:tr>
      <w:tr>
        <w:trPr/>
        <w:tc>
          <w:tcPr>
            <w:tcW w:w="1075" w:type="dxa"/>
            <w:tcBorders/>
            <w:vAlign w:val="center"/>
          </w:tcPr>
          <w:p>
            <w:pPr>
              <w:pStyle w:val="TableContents"/>
              <w:bidi w:val="0"/>
              <w:spacing w:before="0" w:after="283"/>
              <w:jc w:val="left"/>
              <w:rPr/>
            </w:pPr>
            <w:r>
              <w:rPr/>
              <w:t>(f)</w:t>
            </w:r>
          </w:p>
        </w:tc>
        <w:tc>
          <w:tcPr>
            <w:tcW w:w="9130" w:type="dxa"/>
            <w:tcBorders/>
            <w:vAlign w:val="center"/>
          </w:tcPr>
          <w:p>
            <w:pPr>
              <w:pStyle w:val="TableContents"/>
              <w:bidi w:val="0"/>
              <w:spacing w:before="0" w:after="0"/>
              <w:jc w:val="left"/>
              <w:rPr/>
            </w:pPr>
            <w:r>
              <w:rPr/>
              <w:t>United States</w:t>
            </w:r>
          </w:p>
        </w:tc>
      </w:tr>
      <w:tr>
        <w:trPr/>
        <w:tc>
          <w:tcPr>
            <w:tcW w:w="1075" w:type="dxa"/>
            <w:tcBorders/>
            <w:vAlign w:val="center"/>
          </w:tcPr>
          <w:p>
            <w:pPr>
              <w:pStyle w:val="TableContents"/>
              <w:bidi w:val="0"/>
              <w:spacing w:before="0" w:after="283"/>
              <w:jc w:val="left"/>
              <w:rPr/>
            </w:pPr>
            <w:r>
              <w:rPr/>
              <w:t>Item 3.</w:t>
            </w:r>
          </w:p>
        </w:tc>
        <w:tc>
          <w:tcPr>
            <w:tcW w:w="9130" w:type="dxa"/>
            <w:tcBorders/>
            <w:vAlign w:val="center"/>
          </w:tcPr>
          <w:p>
            <w:pPr>
              <w:pStyle w:val="TableContents"/>
              <w:bidi w:val="0"/>
              <w:spacing w:before="0" w:after="283"/>
              <w:jc w:val="left"/>
              <w:rPr/>
            </w:pPr>
            <w:r>
              <w:rPr/>
              <w:t>Source and Amount of Funds or Other Consideration</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Personal Funds</w:t>
            </w:r>
          </w:p>
        </w:tc>
      </w:tr>
      <w:tr>
        <w:trPr/>
        <w:tc>
          <w:tcPr>
            <w:tcW w:w="1075" w:type="dxa"/>
            <w:tcBorders/>
            <w:vAlign w:val="center"/>
          </w:tcPr>
          <w:p>
            <w:pPr>
              <w:pStyle w:val="TableContents"/>
              <w:bidi w:val="0"/>
              <w:spacing w:before="0" w:after="283"/>
              <w:jc w:val="left"/>
              <w:rPr/>
            </w:pPr>
            <w:r>
              <w:rPr/>
              <w:t>Item 4.</w:t>
            </w:r>
          </w:p>
        </w:tc>
        <w:tc>
          <w:tcPr>
            <w:tcW w:w="9130" w:type="dxa"/>
            <w:tcBorders/>
            <w:vAlign w:val="center"/>
          </w:tcPr>
          <w:p>
            <w:pPr>
              <w:pStyle w:val="TableContents"/>
              <w:bidi w:val="0"/>
              <w:spacing w:before="0" w:after="283"/>
              <w:jc w:val="left"/>
              <w:rPr/>
            </w:pPr>
            <w:r>
              <w:rPr/>
              <w:t>Purpose of Transaction</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The Shares were acquired for investment purposes and were not acquired with the purpose or effect of changing or influencing control of the Company.</w:t>
            </w:r>
          </w:p>
        </w:tc>
      </w:tr>
      <w:tr>
        <w:trPr/>
        <w:tc>
          <w:tcPr>
            <w:tcW w:w="1075" w:type="dxa"/>
            <w:tcBorders/>
            <w:vAlign w:val="center"/>
          </w:tcPr>
          <w:p>
            <w:pPr>
              <w:pStyle w:val="TableContents"/>
              <w:bidi w:val="0"/>
              <w:spacing w:before="0" w:after="283"/>
              <w:jc w:val="left"/>
              <w:rPr/>
            </w:pPr>
            <w:r>
              <w:rPr/>
              <w:t>Item 5.</w:t>
            </w:r>
          </w:p>
        </w:tc>
        <w:tc>
          <w:tcPr>
            <w:tcW w:w="9130" w:type="dxa"/>
            <w:tcBorders/>
            <w:vAlign w:val="center"/>
          </w:tcPr>
          <w:p>
            <w:pPr>
              <w:pStyle w:val="TableContents"/>
              <w:bidi w:val="0"/>
              <w:spacing w:before="0" w:after="283"/>
              <w:jc w:val="left"/>
              <w:rPr/>
            </w:pPr>
            <w:r>
              <w:rPr/>
              <w:t>Interest in Securities of the Issuer</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spacing w:before="0" w:after="0"/>
              <w:jc w:val="left"/>
              <w:rPr/>
            </w:pPr>
            <w:r>
              <w:rPr/>
              <w:t>54,673,646 shares of common stock, which includes 44,736,553 shares of common stock and 9,937,093 shares of common stock issuable upon conversion of warrants, options, and other convertible securities). The Reporting Person's aggregate beneficial ownership as calculated in accordance with Section 13(d) is approximately 49.3%.</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spacing w:before="0" w:after="0"/>
              <w:jc w:val="left"/>
              <w:rPr/>
            </w:pPr>
            <w:r>
              <w:rPr/>
              <w:t>54,673,646 shares of common stock, which includes 44,736,553 shares of common stock and 9,937,093 shares of common stock issuable upon conversion of warrants, options, and other convertible securities). The Reporting Person's aggregate beneficial ownership as calculated in accordance with Section 13(d) is approximately 49.3%.</w:t>
            </w:r>
          </w:p>
        </w:tc>
      </w:tr>
      <w:tr>
        <w:trPr/>
        <w:tc>
          <w:tcPr>
            <w:tcW w:w="1075" w:type="dxa"/>
            <w:tcBorders/>
            <w:vAlign w:val="center"/>
          </w:tcPr>
          <w:p>
            <w:pPr>
              <w:pStyle w:val="TableContents"/>
              <w:bidi w:val="0"/>
              <w:spacing w:before="0" w:after="283"/>
              <w:jc w:val="left"/>
              <w:rPr/>
            </w:pPr>
            <w:r>
              <w:rPr/>
              <w:t>(c)</w:t>
            </w:r>
          </w:p>
        </w:tc>
        <w:tc>
          <w:tcPr>
            <w:tcW w:w="9130" w:type="dxa"/>
            <w:tcBorders/>
            <w:vAlign w:val="center"/>
          </w:tcPr>
          <w:p>
            <w:pPr>
              <w:pStyle w:val="TableContents"/>
              <w:bidi w:val="0"/>
              <w:spacing w:before="0" w:after="0"/>
              <w:jc w:val="left"/>
              <w:rPr/>
            </w:pPr>
            <w:r>
              <w:rPr/>
              <w:t>On July 31, 2026, the Reporting person converted debt in the amount of approximately $105.8 (consitsing of $91.0 million of principal and approximately $14.8 million of accrued interest) into 34,376,167 shares of common stock.</w:t>
            </w:r>
          </w:p>
        </w:tc>
      </w:tr>
      <w:tr>
        <w:trPr/>
        <w:tc>
          <w:tcPr>
            <w:tcW w:w="1075" w:type="dxa"/>
            <w:tcBorders/>
            <w:vAlign w:val="center"/>
          </w:tcPr>
          <w:p>
            <w:pPr>
              <w:pStyle w:val="TableContents"/>
              <w:bidi w:val="0"/>
              <w:spacing w:before="0" w:after="283"/>
              <w:jc w:val="left"/>
              <w:rPr/>
            </w:pPr>
            <w:r>
              <w:rPr/>
              <w:t>(d)</w:t>
            </w:r>
          </w:p>
        </w:tc>
        <w:tc>
          <w:tcPr>
            <w:tcW w:w="9130" w:type="dxa"/>
            <w:tcBorders/>
            <w:vAlign w:val="center"/>
          </w:tcPr>
          <w:p>
            <w:pPr>
              <w:pStyle w:val="TableContents"/>
              <w:bidi w:val="0"/>
              <w:spacing w:before="0" w:after="0"/>
              <w:jc w:val="left"/>
              <w:rPr/>
            </w:pPr>
            <w:r>
              <w:rPr/>
              <w:t>None</w:t>
            </w:r>
          </w:p>
        </w:tc>
      </w:tr>
      <w:tr>
        <w:trPr/>
        <w:tc>
          <w:tcPr>
            <w:tcW w:w="1075" w:type="dxa"/>
            <w:tcBorders/>
            <w:vAlign w:val="center"/>
          </w:tcPr>
          <w:p>
            <w:pPr>
              <w:pStyle w:val="TableContents"/>
              <w:bidi w:val="0"/>
              <w:spacing w:before="0" w:after="283"/>
              <w:jc w:val="left"/>
              <w:rPr/>
            </w:pPr>
            <w:r>
              <w:rPr/>
              <w:t>Item 6.</w:t>
            </w:r>
          </w:p>
        </w:tc>
        <w:tc>
          <w:tcPr>
            <w:tcW w:w="913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None</w:t>
            </w:r>
          </w:p>
        </w:tc>
      </w:tr>
      <w:tr>
        <w:trPr/>
        <w:tc>
          <w:tcPr>
            <w:tcW w:w="1075" w:type="dxa"/>
            <w:tcBorders/>
            <w:vAlign w:val="center"/>
          </w:tcPr>
          <w:p>
            <w:pPr>
              <w:pStyle w:val="TableContents"/>
              <w:bidi w:val="0"/>
              <w:spacing w:before="0" w:after="283"/>
              <w:jc w:val="left"/>
              <w:rPr/>
            </w:pPr>
            <w:r>
              <w:rPr/>
              <w:t>Item 7.</w:t>
            </w:r>
          </w:p>
        </w:tc>
        <w:tc>
          <w:tcPr>
            <w:tcW w:w="9130" w:type="dxa"/>
            <w:tcBorders/>
            <w:vAlign w:val="center"/>
          </w:tcPr>
          <w:p>
            <w:pPr>
              <w:pStyle w:val="TableContents"/>
              <w:bidi w:val="0"/>
              <w:spacing w:before="0" w:after="283"/>
              <w:jc w:val="left"/>
              <w:rPr/>
            </w:pPr>
            <w:r>
              <w:rPr/>
              <w:t>Material to be Filed as Exhibits.</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Richard E. Uihlein</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Richard E. Uihlein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Richard E. Uihlein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607</Words>
  <Characters>3305</Characters>
  <CharactersWithSpaces>3851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