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smallCaps/>
          <w:color w:val="000000"/>
          <w:sz w:val="24"/>
          <w:shd w:fill="FFFFFF" w:val="clear"/>
        </w:rPr>
      </w:pPr>
      <w:r>
        <w:rPr>
          <w:rFonts w:ascii="Times New Roman" w:hAnsi="Times New Roman"/>
          <w:b/>
          <w:smallCaps/>
          <w:color w:val="000000"/>
          <w:sz w:val="24"/>
          <w:shd w:fill="FFFFFF" w:val="clear"/>
        </w:rPr>
        <w:t>WASHINGTON, D.C. 20549</w:t>
      </w:r>
    </w:p>
    <w:p>
      <w:pPr>
        <w:pStyle w:val="TextBody"/>
        <w:bidi w:val="0"/>
        <w:spacing w:before="0" w:after="0"/>
        <w:jc w:val="center"/>
        <w:rPr>
          <w:rFonts w:ascii="Times New Roman" w:hAnsi="Times New Roman"/>
          <w:b/>
          <w:smallCaps/>
          <w:sz w:val="20"/>
        </w:rPr>
      </w:pPr>
      <w:r>
        <w:rPr>
          <w:rFonts w:ascii="Times New Roman" w:hAnsi="Times New Roman"/>
          <w:b/>
          <w:smallCaps/>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ind w:left="108" w:right="0" w:hanging="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August 14,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GALECTIN THERAPEUTICS INC.</w:t>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(Exact name of registrant as specified in its charter)</w:t>
      </w:r>
    </w:p>
    <w:p>
      <w:pPr>
        <w:pStyle w:val="TextBody"/>
        <w:bidi w:val="0"/>
        <w:spacing w:before="0" w:after="0"/>
        <w:jc w:val="center"/>
        <w:rPr/>
      </w:pPr>
      <w:r>
        <w:rPr/>
      </w:r>
    </w:p>
    <w:p>
      <w:pPr>
        <w:pStyle w:val="HorizontalLine"/>
        <w:bidi w:val="0"/>
        <w:jc w:val="center"/>
        <w:rPr/>
      </w:pPr>
      <w:r>
        <w:rPr/>
      </w:r>
    </w:p>
    <w:p>
      <w:pPr>
        <w:pStyle w:val="TextBody"/>
        <w:bidi w:val="0"/>
        <w:spacing w:before="0" w:after="0"/>
        <w:jc w:val="center"/>
        <w:rPr/>
      </w:pPr>
      <w:r>
        <w:rPr/>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Nevada</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001-31791</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04-3562325</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4960 PEACHTREE INDUSTRIAL BOULEVARD, STE 240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NORCROSS, GA 30071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(678) 620-3186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960" w:type="dxa"/>
        <w:jc w:val="left"/>
        <w:tblInd w:w="-15" w:type="dxa"/>
        <w:tblLayout w:type="fixed"/>
        <w:tblCellMar>
          <w:top w:w="28" w:type="dxa"/>
          <w:left w:w="28" w:type="dxa"/>
          <w:bottom w:w="28" w:type="dxa"/>
          <w:right w:w="28" w:type="dxa"/>
        </w:tblCellMar>
      </w:tblPr>
      <w:tblGrid>
        <w:gridCol w:w="3425"/>
        <w:gridCol w:w="725"/>
        <w:gridCol w:w="2810"/>
      </w:tblGrid>
      <w:tr>
        <w:trPr/>
        <w:tc>
          <w:tcPr>
            <w:tcW w:w="342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72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w:t>
            </w:r>
          </w:p>
          <w:p>
            <w:pPr>
              <w:pStyle w:val="TableContents"/>
              <w:bidi w:val="0"/>
              <w:spacing w:before="0" w:after="0"/>
              <w:jc w:val="center"/>
              <w:rPr>
                <w:rFonts w:ascii="Times New Roman" w:hAnsi="Times New Roman"/>
                <w:b/>
                <w:sz w:val="20"/>
              </w:rPr>
            </w:pPr>
            <w:r>
              <w:rPr>
                <w:rFonts w:ascii="Times New Roman" w:hAnsi="Times New Roman"/>
                <w:b/>
                <w:sz w:val="20"/>
              </w:rPr>
              <w:t>Symbol</w:t>
            </w:r>
          </w:p>
        </w:tc>
        <w:tc>
          <w:tcPr>
            <w:tcW w:w="281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w:t>
            </w:r>
          </w:p>
          <w:p>
            <w:pPr>
              <w:pStyle w:val="TableContents"/>
              <w:bidi w:val="0"/>
              <w:spacing w:before="0" w:after="0"/>
              <w:jc w:val="center"/>
              <w:rPr>
                <w:rFonts w:ascii="Times New Roman" w:hAnsi="Times New Roman"/>
                <w:b/>
                <w:sz w:val="20"/>
              </w:rPr>
            </w:pPr>
            <w:r>
              <w:rPr>
                <w:rFonts w:ascii="Times New Roman" w:hAnsi="Times New Roman"/>
                <w:b/>
                <w:sz w:val="20"/>
              </w:rPr>
              <w:t>registered</w:t>
            </w:r>
          </w:p>
        </w:tc>
      </w:tr>
      <w:tr>
        <w:trPr/>
        <w:tc>
          <w:tcPr>
            <w:tcW w:w="34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$0.001par value per share</w:t>
            </w:r>
          </w:p>
        </w:tc>
        <w:tc>
          <w:tcPr>
            <w:tcW w:w="72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GALT</w:t>
            </w:r>
          </w:p>
        </w:tc>
        <w:tc>
          <w:tcPr>
            <w:tcW w:w="281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SECTION 2 – FINANCIAL INFORMATION</w:t>
      </w:r>
    </w:p>
    <w:p>
      <w:pPr>
        <w:pStyle w:val="TextBody"/>
        <w:bidi w:val="0"/>
        <w:spacing w:before="0" w:after="0"/>
        <w:jc w:val="left"/>
        <w:rPr>
          <w:sz w:val="20"/>
        </w:rPr>
      </w:pPr>
      <w:r>
        <w:rPr>
          <w:sz w:val="20"/>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August 14, 2026, Galectin Therapeutics Inc. (“Galectin Therapeutics”) issued a press release announcing its results of operations and financial condition as of and for the six months ended June 30, 2026, and provided a business update. Galectin hereby incorporates by reference herein the information set forth in its press release dated August 14, 2026 (the “Press Release”), a copy of which is attached hereto as Exhibit 99.1.</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Except for the historical information contained in this report, the statements made by Galectin Therapeutics are forward-looking statements that involve risks and uncertainties. All such statements are subject to the safe harbor created by the Private Securities Litigation Reform Act of 1995. Galectin Therapeutics’ future financial performance could differ significantly from the expectations of management and from results expressed or implied in the Press Release. Forward-looking statements in the Press Release are subject to certain risks and uncertainties described in the Press Release. For further information on other risk factors, please refer to the “Risk Factors” contained in Galectin Therapeutics’ Annual Report on Form 10-K for the fiscal year ended December 31, 2025, as filed with the Securities and Exchange Commission, and its subsequent filings with the SEC.</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this Item 2.02 is being furnished, not filed, pursuant to Item 2.02 of Form 8-K. Accordingly, the information in Item 2.02 of this report, including the Press Release attached hereto as Exhibit 99.1, will not be incorporated by reference into any registration statement filed by Galectin under the Securities Act of 1933, as amended, unless specifically identified therein as being incorporated therein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SECTION 9 – FINANCIAL STATEMENTS AND EXHIBITS</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7795" w:type="dxa"/>
        <w:jc w:val="left"/>
        <w:tblInd w:w="720" w:type="dxa"/>
        <w:tblLayout w:type="fixed"/>
        <w:tblCellMar>
          <w:top w:w="0" w:type="dxa"/>
          <w:left w:w="0" w:type="dxa"/>
          <w:bottom w:w="0" w:type="dxa"/>
          <w:right w:w="0" w:type="dxa"/>
        </w:tblCellMar>
      </w:tblPr>
      <w:tblGrid>
        <w:gridCol w:w="1325"/>
        <w:gridCol w:w="6470"/>
      </w:tblGrid>
      <w:tr>
        <w:trPr/>
        <w:tc>
          <w:tcPr>
            <w:tcW w:w="132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Exhibit Number</w:t>
            </w:r>
          </w:p>
        </w:tc>
        <w:tc>
          <w:tcPr>
            <w:tcW w:w="647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Description</w:t>
            </w:r>
          </w:p>
        </w:tc>
      </w:tr>
      <w:tr>
        <w:trPr/>
        <w:tc>
          <w:tcPr>
            <w:tcW w:w="132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both"/>
              <w:rPr/>
            </w:pPr>
            <w:hyperlink w:anchor="ef20080011_ex99-1.htm">
              <w:r>
                <w:rPr>
                  <w:rStyle w:val="InternetLink"/>
                  <w:rFonts w:ascii="Times New Roman" w:hAnsi="Times New Roman"/>
                  <w:sz w:val="20"/>
                </w:rPr>
                <w:t>99.1</w:t>
              </w:r>
            </w:hyperlink>
          </w:p>
        </w:tc>
        <w:tc>
          <w:tcPr>
            <w:tcW w:w="6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August 14, 2026</w:t>
            </w:r>
          </w:p>
        </w:tc>
      </w:tr>
      <w:tr>
        <w:trPr/>
        <w:tc>
          <w:tcPr>
            <w:tcW w:w="132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720" w:right="0" w:hanging="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- 2 -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Galectin Therapeutics Inc. has duly caused this report to be signed on its behalf by the undersigned hereunto duly authorized.</w:t>
      </w:r>
    </w:p>
    <w:p>
      <w:pPr>
        <w:pStyle w:val="TextBody"/>
        <w:bidi w:val="0"/>
        <w:spacing w:before="0" w:after="0"/>
        <w:jc w:val="left"/>
        <w:rPr>
          <w:sz w:val="20"/>
        </w:rPr>
      </w:pPr>
      <w:r>
        <w:rPr>
          <w:sz w:val="20"/>
        </w:rPr>
      </w:r>
    </w:p>
    <w:tbl>
      <w:tblPr>
        <w:tblW w:w="4057" w:type="dxa"/>
        <w:jc w:val="left"/>
        <w:tblInd w:w="0" w:type="dxa"/>
        <w:tblLayout w:type="fixed"/>
        <w:tblCellMar>
          <w:top w:w="0" w:type="dxa"/>
          <w:left w:w="0" w:type="dxa"/>
          <w:bottom w:w="0" w:type="dxa"/>
          <w:right w:w="0" w:type="dxa"/>
        </w:tblCellMar>
      </w:tblPr>
      <w:tblGrid>
        <w:gridCol w:w="1850"/>
        <w:gridCol w:w="328"/>
        <w:gridCol w:w="1817"/>
        <w:gridCol w:w="62"/>
      </w:tblGrid>
      <w:tr>
        <w:trPr/>
        <w:tc>
          <w:tcPr>
            <w:tcW w:w="1850" w:type="dxa"/>
            <w:tcBorders/>
            <w:vAlign w:val="center"/>
          </w:tcPr>
          <w:p>
            <w:pPr>
              <w:pStyle w:val="TableContents"/>
              <w:bidi w:val="0"/>
              <w:spacing w:before="0" w:after="283"/>
              <w:jc w:val="left"/>
              <w:rPr/>
            </w:pPr>
            <w:r>
              <w:rPr/>
              <w:t> </w:t>
            </w:r>
          </w:p>
        </w:tc>
        <w:tc>
          <w:tcPr>
            <w:tcW w:w="2207" w:type="dxa"/>
            <w:gridSpan w:val="3"/>
            <w:tcBorders/>
            <w:vAlign w:val="center"/>
          </w:tcPr>
          <w:p>
            <w:pPr>
              <w:pStyle w:val="TableContents"/>
              <w:bidi w:val="0"/>
              <w:spacing w:before="0" w:after="0"/>
              <w:jc w:val="both"/>
              <w:rPr>
                <w:rFonts w:ascii="Times New Roman" w:hAnsi="Times New Roman"/>
                <w:sz w:val="20"/>
              </w:rPr>
            </w:pPr>
            <w:r>
              <w:rPr>
                <w:rFonts w:ascii="Times New Roman" w:hAnsi="Times New Roman"/>
                <w:sz w:val="20"/>
              </w:rPr>
              <w:t>Galectin Therapeutics Inc.</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14, 2026</w:t>
            </w:r>
          </w:p>
        </w:tc>
        <w:tc>
          <w:tcPr>
            <w:tcW w:w="3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17" w:type="dxa"/>
            <w:tcBorders>
              <w:bottom w:val="single" w:sz="12" w:space="0" w:color="000000"/>
            </w:tcBorders>
            <w:tcMar>
              <w:bottom w:w="28" w:type="dxa"/>
            </w:tcMar>
            <w:vAlign w:val="center"/>
          </w:tcPr>
          <w:p>
            <w:pPr>
              <w:pStyle w:val="TableContents"/>
              <w:bidi w:val="0"/>
              <w:spacing w:before="0" w:after="0"/>
              <w:jc w:val="both"/>
              <w:rPr/>
            </w:pPr>
            <w:r>
              <w:rPr/>
              <w:t> </w:t>
            </w:r>
            <w:r>
              <w:rPr>
                <w:rFonts w:ascii="Times New Roman" w:hAnsi="Times New Roman"/>
                <w:sz w:val="20"/>
              </w:rPr>
              <w:t>/s/ Jack W. Callicutt</w:t>
            </w:r>
          </w:p>
        </w:tc>
        <w:tc>
          <w:tcPr>
            <w:tcW w:w="62"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Jack W. Callicutt</w:t>
            </w:r>
          </w:p>
        </w:tc>
      </w:tr>
      <w:tr>
        <w:trPr/>
        <w:tc>
          <w:tcPr>
            <w:tcW w:w="185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- 3 -</w:t>
      </w:r>
    </w:p>
    <w:p>
      <w:pPr>
        <w:pStyle w:val="HorizontalLine"/>
        <w:bidi w:val="0"/>
        <w:jc w:val="left"/>
        <w:rPr/>
      </w:pPr>
      <w:r>
        <w:rPr/>
      </w:r>
    </w:p>
    <w:p>
      <w:pPr>
        <w:pStyle w:val="HorizontalLine"/>
        <w:pBdr>
          <w:bottom w:val="single" w:sz="12" w:space="0" w:color="808080"/>
        </w:pBdr>
        <w:bidi w:val="0"/>
        <w:jc w:val="left"/>
        <w:rPr/>
      </w:pPr>
      <w:r>
        <w:rPr/>
      </w:r>
      <w:bookmarkStart w:id="0" w:name="ef20080011_ex99-1.htm"/>
      <w:bookmarkStart w:id="1" w:name="ksef20080011_ex991"/>
      <w:bookmarkStart w:id="2" w:name="ef20080011_ex99-1.htm"/>
      <w:bookmarkStart w:id="3" w:name="ksef2008001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drawing>
          <wp:inline distT="0" distB="0" distL="0" distR="0">
            <wp:extent cx="22574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0482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Galectin Therapeutics Reports June 30, 2026 Financial Results and Provides Business Update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8"/>
        </w:rPr>
      </w:pPr>
      <w:r>
        <w:rPr>
          <w:rFonts w:ascii="Times New Roman" w:hAnsi="Times New Roman"/>
          <w:b/>
          <w:color w:val="000000"/>
          <w:sz w:val="20"/>
        </w:rPr>
        <w:t>NORCROSS, Ga., August 14, 2026 (GLOBE NEWSWIRE)</w:t>
      </w:r>
      <w:r>
        <w:rPr>
          <w:rFonts w:ascii="Times New Roman" w:hAnsi="Times New Roman"/>
          <w:color w:val="000000"/>
          <w:sz w:val="28"/>
        </w:rPr>
        <w:t xml:space="preserve"> – </w:t>
      </w:r>
      <w:r>
        <w:rPr>
          <w:rFonts w:ascii="Times New Roman" w:hAnsi="Times New Roman"/>
          <w:color w:val="000000"/>
          <w:sz w:val="20"/>
          <w:u w:val="single"/>
        </w:rPr>
        <w:t>Galectin Therapeutics, Inc.</w:t>
      </w:r>
      <w:r>
        <w:rPr>
          <w:rFonts w:ascii="Times New Roman" w:hAnsi="Times New Roman"/>
          <w:color w:val="000000"/>
          <w:sz w:val="20"/>
        </w:rPr>
        <w:t xml:space="preserve"> (NASDAQ: GALT), the leading developer of therapeutics that target galectin proteins, today reported financial results and provided a business update for the three months ended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color w:val="000000"/>
        </w:rPr>
      </w:pPr>
      <w:bookmarkStart w:id="4" w:name="z_Hlk193291406"/>
      <w:bookmarkStart w:id="5" w:name="z_Hlk192764451"/>
      <w:bookmarkEnd w:id="4"/>
      <w:bookmarkEnd w:id="5"/>
      <w:r>
        <w:rPr>
          <w:color w:val="000000"/>
        </w:rPr>
        <w:t>“</w:t>
      </w:r>
      <w:r>
        <w:rPr>
          <w:rFonts w:ascii="Times New Roman" w:hAnsi="Times New Roman"/>
          <w:color w:val="000000"/>
          <w:sz w:val="20"/>
        </w:rPr>
        <w:t>We had a very productive second quarter. Importantly, we reached an agreement with the FDA on the key elements of our planned Phase 3 trial of belapectin in MASH cirrhosis and portal hypertension and aligned on the regulatory path forward. We are working diligently and expect to submit the registrational Phase 3 protocol in the third quarter,” said Joel Lewis, Chief Executive Officer and President of Galectin Therapeutics.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Mr. Lewis continued, “the strength of our NAVIGATE trial dataset was further validated and continued to gain momentum within the scientific community. New analyses were presented at EASL and the results of the trial and our novel central endoscopy review process were published in </w:t>
      </w:r>
      <w:r>
        <w:rPr>
          <w:rFonts w:ascii="Times New Roman" w:hAnsi="Times New Roman"/>
          <w:i/>
          <w:color w:val="000000"/>
          <w:sz w:val="20"/>
        </w:rPr>
        <w:t>Hepatology</w:t>
      </w:r>
      <w:r>
        <w:rPr>
          <w:rFonts w:ascii="Times New Roman" w:hAnsi="Times New Roman"/>
          <w:color w:val="000000"/>
          <w:sz w:val="20"/>
        </w:rPr>
        <w:t xml:space="preserve"> and </w:t>
      </w:r>
      <w:r>
        <w:rPr>
          <w:rFonts w:ascii="Times New Roman" w:hAnsi="Times New Roman"/>
          <w:i/>
          <w:color w:val="000000"/>
          <w:sz w:val="20"/>
        </w:rPr>
        <w:t>Gastro Hep Advances</w:t>
      </w:r>
      <w:r>
        <w:rPr>
          <w:rFonts w:ascii="Times New Roman" w:hAnsi="Times New Roman"/>
          <w:color w:val="000000"/>
          <w:sz w:val="20"/>
        </w:rPr>
        <w:t>, respectively.  Also in June 2026, we hosted an advisory committee meeting with several leading key opinion leaders at the inaugural SOLAR conference.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Finally, the recent issuance of common stock converting approximately $105.8 million in debt and accrued interest from our chairman, Mr. Uihlein, significantly enhanced our capital structure by strengthening the balance sheet.   We will share additional updates when they become available”.</w:t>
      </w:r>
    </w:p>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Belapectin Program Highlights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Belapectin is a complex carbohydrate drug that targets galectin-3, a critical protein in the pathogenesis of Metabolic dysfunction-associated steatohepatitis (MASH) and fibrosis.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MASH Cirrhosis</w:t>
      </w:r>
    </w:p>
    <w:p>
      <w:pPr>
        <w:pStyle w:val="TextBody"/>
        <w:bidi w:val="0"/>
        <w:spacing w:before="0" w:after="0"/>
        <w:jc w:val="left"/>
        <w:rPr>
          <w:rFonts w:ascii="Times New Roman" w:hAnsi="Times New Roman"/>
          <w:i/>
          <w:sz w:val="20"/>
        </w:rPr>
      </w:pPr>
      <w:r>
        <w:rPr>
          <w:rFonts w:ascii="Times New Roman" w:hAnsi="Times New Roman"/>
          <w:i/>
          <w:sz w:val="20"/>
        </w:rPr>
      </w:r>
    </w:p>
    <w:p>
      <w:pPr>
        <w:pStyle w:val="Normal"/>
        <w:bidi w:val="0"/>
        <w:spacing w:before="0" w:after="0"/>
        <w:jc w:val="left"/>
        <w:rPr>
          <w:sz w:val="4"/>
          <w:szCs w:val="4"/>
        </w:rPr>
      </w:pPr>
      <w:r>
        <w:rPr>
          <w:sz w:val="4"/>
          <w:szCs w:val="4"/>
        </w:rPr>
      </w:r>
      <w:bookmarkStart w:id="6" w:name="zb0962638bbb24a51a930fe1dbab7116f"/>
      <w:bookmarkStart w:id="7" w:name="zb0962638bbb24a51a930fe1dbab7116f"/>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Reached agreement with the U.S. Food and Drug Administration (FDA) on the path forward for the potential full approval of belapectin. Alignment was reached with the agency on the key elements of the planned Phase 3 trial design, including the primary endpoint of composite liver outcome, blinded central review process for endoscopic assessment of esophageal varices, and the use of a single, 2 mg/kg LBM dose of belapectin.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669602dafa6245b0a00be01fe65deb2d"/>
      <w:bookmarkStart w:id="9" w:name="z669602dafa6245b0a00be01fe65deb2d"/>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Presented oral and poster presentations of new analyses from its global NAVIGATE Phase 2b/3 trial of belapectin at the European Association for the Study of the Liver (EASL) Congress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dda6772da3b6480a813fcef4d87d99e3"/>
      <w:bookmarkStart w:id="11" w:name="zdda6772da3b6480a813fcef4d87d99e3"/>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oral presentation, presented by Mazen Noureddin, MD, MHSc, Director of Houston Research Institute and Professor of Medicine at Houston Methodist Hospital, showed belapectin’s impact on fibrosis modulation in patients with high-risk MASH cirrhosis, as reflected by changes in the Pro-C3/CTX-III ratio — a marker of fibrogenesis balance. Favorable shifts in this ratio were associated with reduced varices development and improvements in broad markers of fibrosis including liver stiffness measurement and other markers of fibrosis including Pro-C3, supporting belapectin’s potential to modify disease progression by targeting underlying fibrotic pathology.</w:t>
            </w:r>
          </w:p>
        </w:tc>
      </w:tr>
    </w:tbl>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 w:name="z230b31899a9541ac9c7a60f2a73a6a73"/>
      <w:bookmarkStart w:id="13" w:name="z230b31899a9541ac9c7a60f2a73a6a73"/>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poster presentation, presented by Naim Alkhouri, MD, FAASLD, Chief Academic Officer at Summit Clinical Research and Director of the Steatotic Liver Program at North Shore Gastroenterology, included new analyses from the NAVIGATE trial demonstrating risk reduction in clinically significant portal hypertension. Notably, this abstract has been designated a TOP Poster by EASL, recognizing it among the best abstracts in the Portal Hypertension (cirrhosis and non-cirrhosis) session.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f9aafff879eb4c76b7085478b17739a3"/>
      <w:bookmarkStart w:id="15" w:name="zf9aafff879eb4c76b7085478b17739a3"/>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Published in AASLD flagship journal </w:t>
            </w:r>
            <w:r>
              <w:rPr>
                <w:rFonts w:ascii="Times New Roman" w:hAnsi="Times New Roman"/>
                <w:i/>
                <w:sz w:val="20"/>
              </w:rPr>
              <w:t>Hepatology</w:t>
            </w:r>
            <w:r>
              <w:rPr>
                <w:rFonts w:ascii="Times New Roman" w:hAnsi="Times New Roman"/>
                <w:sz w:val="20"/>
              </w:rPr>
              <w:t xml:space="preserve"> a manuscript titled “</w:t>
            </w:r>
            <w:r>
              <w:rPr>
                <w:rFonts w:ascii="Times New Roman" w:hAnsi="Times New Roman"/>
                <w:sz w:val="20"/>
                <w:u w:val="single"/>
              </w:rPr>
              <w:t>Efficacy and Safety of Belapectin for the Prevention of Esophageal Varices in Patients with MASH Cirrhosis: The Randomized, Placebo-Controlled NAVIGATE Trial</w:t>
            </w:r>
            <w:r>
              <w:rPr>
                <w:rFonts w:ascii="Times New Roman" w:hAnsi="Times New Roman"/>
                <w:sz w:val="20"/>
              </w:rPr>
              <w:t>”</w:t>
            </w:r>
            <w:r>
              <w:rPr>
                <w:rFonts w:ascii="Times New Roman" w:hAnsi="Times New Roman"/>
                <w:i/>
                <w:sz w:val="20"/>
              </w:rPr>
              <w:t xml:space="preserve">. </w:t>
            </w:r>
            <w:r>
              <w:rPr>
                <w:rFonts w:ascii="Times New Roman" w:hAnsi="Times New Roman"/>
                <w:sz w:val="20"/>
              </w:rPr>
              <w:t>The publication highlights the results from the NAVIGATE Phase 2b clinical trial evaluating belapectin in patients with MASH cirrhosis and portal hypertension.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d732f021a2c94c7880d8f0ceba6b286c"/>
      <w:bookmarkStart w:id="17" w:name="zd732f021a2c94c7880d8f0ceba6b286c"/>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Published in </w:t>
            </w:r>
            <w:r>
              <w:rPr>
                <w:rFonts w:ascii="Times New Roman" w:hAnsi="Times New Roman"/>
                <w:i/>
                <w:sz w:val="20"/>
              </w:rPr>
              <w:t>Gastro Hep Advances</w:t>
            </w:r>
            <w:r>
              <w:rPr>
                <w:rFonts w:ascii="Times New Roman" w:hAnsi="Times New Roman"/>
                <w:sz w:val="20"/>
              </w:rPr>
              <w:t xml:space="preserve"> a manuscript titled “</w:t>
            </w:r>
            <w:r>
              <w:rPr>
                <w:rFonts w:ascii="Times New Roman" w:hAnsi="Times New Roman"/>
                <w:sz w:val="20"/>
                <w:u w:val="single"/>
              </w:rPr>
              <w:t>Assessment of Esophageal and Gastric Varices in Patients With Cirrhosis for Clinical Trials: A Centralized Blinded Evaluation System</w:t>
            </w:r>
            <w:r>
              <w:rPr>
                <w:rFonts w:ascii="Times New Roman" w:hAnsi="Times New Roman"/>
                <w:sz w:val="20"/>
              </w:rPr>
              <w:t>”. The publication describes Galectin’s novel central endoscopy review process used in the NAVIGATE trial that will also be utilized in the planned registrational Phase 3 study.</w:t>
            </w:r>
          </w:p>
        </w:tc>
      </w:tr>
    </w:tbl>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Q2 2026 and Recent Corporate Highlights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2a066f1c067741b381e79e71af66a6f8"/>
      <w:bookmarkStart w:id="19" w:name="z2a066f1c067741b381e79e71af66a6f8"/>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E. Uihlein, the Company’s Chairman of the Board and largest stockholder, has converted all outstanding principal and accrued interest under five of the Company’s line of credit facilities into shares of the Company’s common stock, effective July 31, 2026. The transaction simplifies Galectin’s capital structure and strengthens its balance sheet. Terms of the transaction include: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821bdab4decd478aad44d4e5b9c35aa3"/>
      <w:bookmarkStart w:id="21" w:name="z821bdab4decd478aad44d4e5b9c35aa3"/>
      <w:bookmarkEnd w:id="21"/>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approximately $105.8 million in total debt, consisting of $91.0 million in principal and $14.8 million in accrued interest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224b039522854cca9886d908e5a66c7e"/>
      <w:bookmarkStart w:id="23" w:name="z224b039522854cca9886d908e5a66c7e"/>
      <w:bookmarkEnd w:id="23"/>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34,376,167 shares of common stock to Mr. Uihlein upon conversion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d272e649bdcc4187b14dfa87b1dfc6f1"/>
      <w:bookmarkStart w:id="25" w:name="zd272e649bdcc4187b14dfa87b1dfc6f1"/>
      <w:bookmarkEnd w:id="25"/>
    </w:p>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covers all notes under five of six credit facilities; the December 2025 facility remains undrawn and available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Upcoming Catalysts</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26" w:name="z5088c6b21e6a41a4867ef384520a6b04"/>
      <w:bookmarkStart w:id="27" w:name="z5088c6b21e6a41a4867ef384520a6b04"/>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Registrational Phase 3 trial protocol submission for belapectin in advanced MASH cirrhosis with portal hypertension is anticipated in 3Q 2026.</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Q2 2026 Financial Highlights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6707bbabd4ea4d1f9debb85b42338661"/>
      <w:bookmarkStart w:id="29" w:name="z6707bbabd4ea4d1f9debb85b42338661"/>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June 30, 2026, the Company had $13.2 million of cash and cash equivalents.  Additionally, the Company has $10 million remaining available under a line of credit provided by its Chairman of the Board to fund operations.  The Company believes it has sufficient cash to fund currently planned operations and research and development activities through June 2027.</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0" w:name="zb8327a7ceb3b4dfba148b9b824be277e"/>
      <w:bookmarkStart w:id="31" w:name="zb8327a7ceb3b4dfba148b9b824be277e"/>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 for the quarter ended June 30, 2026 were $2.1 million compared with $3.3 million for the same period in 2025. The decrease was primarily due to timing of incurrence of expenditures related to our NAVIGATE clinical trial.</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2" w:name="z93e365fd01154050badd557f7e747b43"/>
      <w:bookmarkStart w:id="33" w:name="z93e365fd01154050badd557f7e747b43"/>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for the quarter ended June 30, 2026 were $1.8 million, compared to $1.4 million for the quarter ended June 30, 2025.  The increase was primarily due to an increase in non-cash, stock-based compensation expense. </w:t>
            </w:r>
          </w:p>
        </w:tc>
      </w:tr>
    </w:tbl>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4" w:name="zf573698ad4324470ba67146ee4b3e83a"/>
      <w:bookmarkStart w:id="35" w:name="zf573698ad4324470ba67146ee4b3e83a"/>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the quarter ended June 30, 2026, the Company reported a net loss applicable to common stockholders of $9.2 million, or ($0.14) per share, compared to a net loss applicable to common stockholders of $7.6 million, or ($0.12) per share for the quarter ended June 30, 2025.   The increase in net loss applicable to common stockholders was primarily due to the charge for change in fair value of derivative liabilities of $3.2 million in the quarter ended June 30, 2026.</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469416f7ac2f493a80e1c9884b590f2b"/>
      <w:bookmarkStart w:id="37" w:name="z469416f7ac2f493a80e1c9884b590f2b"/>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8"/>
              </w:rPr>
            </w:pPr>
            <w:r>
              <w:rPr>
                <w:rFonts w:ascii="Times New Roman" w:hAnsi="Times New Roman"/>
                <w:color w:val="000000"/>
                <w:sz w:val="20"/>
              </w:rPr>
              <w:t xml:space="preserve">These results are included in the Company's Quarterly Report on Form 10-Q as of and for the period ended June 30, 2026, which has been filed with the U.S. Securities and Exchange Commission and is available at </w:t>
            </w:r>
            <w:r>
              <w:rPr>
                <w:rFonts w:ascii="Times New Roman" w:hAnsi="Times New Roman"/>
                <w:b/>
                <w:color w:val="000000"/>
                <w:sz w:val="20"/>
                <w:u w:val="single"/>
              </w:rPr>
              <w:t>www.sec.gov</w:t>
            </w:r>
            <w:r>
              <w:rPr>
                <w:rFonts w:ascii="Times New Roman" w:hAnsi="Times New Roman"/>
                <w:color w:val="000000"/>
                <w:sz w:val="20"/>
              </w:rPr>
              <w:t>.</w:t>
            </w:r>
          </w:p>
        </w:tc>
      </w:tr>
    </w:tbl>
    <w:p>
      <w:pPr>
        <w:pStyle w:val="TextBody"/>
        <w:bidi w:val="0"/>
        <w:spacing w:before="0" w:after="0"/>
        <w:jc w:val="left"/>
        <w:rPr>
          <w:sz w:val="20"/>
        </w:rPr>
      </w:pPr>
      <w:r>
        <w:rPr>
          <w:sz w:val="20"/>
        </w:rPr>
      </w:r>
      <w:bookmarkStart w:id="38" w:name="z_Hlk197072292"/>
      <w:bookmarkStart w:id="39" w:name="z_Hlk197072292"/>
      <w:bookmarkEnd w:id="39"/>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Galectin Therapeutics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Galectin Therapeutics is dedicated to developing novel therapies to improve the lives of patients with chronic liver disease and cancer. Galectin’s lead drug belapectin is a carbohydrate-based drug that inhibits the galectin-3 protein, which is directly involved in multiple inflammatory, fibrotic, and malignant diseases, for which it has Fast Track designation by the U.S. Food and Drug Administration. The lead development program is in metabolic dysfunction-associated steatohepatitis (MASH, formerly known as nonalcoholic steatohepatitis, or NASH) with cirrhosis and portal hypertension, the most advanced form of MASH-related fibrosis. Liver cirrhosis is one of the most pressing medical needs and a significant drug development opportunity. Additional development programs are in treatment of combination immunotherapy for advanced head and neck cancers and other malignancies. Advancement of these additional clinical programs is largely dependent on finding a suitable partner. Galectin seeks to leverage extensive scientific and development expertise as well as established relationships with external sources to achieve cost-effective and efficient development. Additional information is available at </w:t>
      </w:r>
      <w:r>
        <w:rPr>
          <w:rFonts w:ascii="Times New Roman" w:hAnsi="Times New Roman"/>
          <w:b/>
          <w:color w:val="000000"/>
          <w:sz w:val="20"/>
          <w:u w:val="single"/>
        </w:rPr>
        <w:t>www.galectintherapeutics.com</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statements relate to future events or future financial performance, and use words such as “may,” “estimate,” “could,” “expect”, “look forward”, “believe”, “hope” and others. They are based on management’s current expectations and are subject to factors and uncertainties that could cause actual results to differ materially from those described in the statements. These statements include those regarding the hope that Galectin’s development program for belapectin will lead to the first therapy for the treatment of MASH, formerly known as NASH, with cirrhosis and those regarding the hope that our lead compounds will be successful in cancer immunotherapy and in other therapeutic indications. Factors that could cause actual performance to differ materially from those discussed in the forward-looking statements include, among others, full analysis of the NAVIGATE trial data may not produce positive data;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For a discussion of additional factors impacting Galectin’s business, see the Company’s Annual Report on Form 10-K for the year ended December 31, 2025, and subsequent filings with the SEC. You should not place undue reliance on forward-looking statements. Although subsequent events may cause its views to change, management disclaims any obligation to update forward-looking statements.</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Company Contact: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Jack Callicutt, Chief Financial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(678) 620-3186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ir@galectintherapeutics.com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Investors Relations Contacts: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Kevin Gardner</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kgardner@lifesciadvisors.com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Galectin Therapeutics and its associated logo is a registered trademark of Galectin Therapeutics Inc. Belapectin is the USAN assigned name for Galectin Therapeutics’ galectin-3 inhibitor belapectin.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Condensed Consolidated Statements of Operations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7e02b1c898504c078d843d1cb17e7f3d"/>
      <w:bookmarkStart w:id="41" w:name="z7e02b1c898504c078d843d1cb17e7f3d"/>
      <w:bookmarkEnd w:id="41"/>
    </w:p>
    <w:tbl>
      <w:tblPr>
        <w:tblW w:w="6927" w:type="dxa"/>
        <w:jc w:val="left"/>
        <w:tblInd w:w="0" w:type="dxa"/>
        <w:tblLayout w:type="fixed"/>
        <w:tblCellMar>
          <w:top w:w="0" w:type="dxa"/>
          <w:left w:w="0" w:type="dxa"/>
          <w:bottom w:w="0" w:type="dxa"/>
          <w:right w:w="0" w:type="dxa"/>
        </w:tblCellMar>
      </w:tblPr>
      <w:tblGrid>
        <w:gridCol w:w="4985"/>
        <w:gridCol w:w="60"/>
        <w:gridCol w:w="142"/>
        <w:gridCol w:w="672"/>
        <w:gridCol w:w="91"/>
        <w:gridCol w:w="68"/>
        <w:gridCol w:w="142"/>
        <w:gridCol w:w="672"/>
        <w:gridCol w:w="95"/>
      </w:tblGrid>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u w:val="single"/>
              </w:rPr>
              <w:t>June 30</w:t>
            </w:r>
            <w:r>
              <w:rPr>
                <w:rFonts w:ascii="Times New Roman" w:hAnsi="Times New Roman"/>
                <w:b/>
                <w:color w:val="000000"/>
                <w:sz w:val="20"/>
              </w:rPr>
              <w:t>,</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2026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2025</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2,135</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3,261</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1,364</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operating loss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(3,982</w:t>
            </w:r>
          </w:p>
        </w:tc>
        <w:tc>
          <w:tcPr>
            <w:tcW w:w="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(4,625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income (expense):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(2,004</w:t>
            </w:r>
          </w:p>
        </w:tc>
        <w:tc>
          <w:tcPr>
            <w:tcW w:w="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Change in fair value of derivatives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(3,155</w:t>
            </w:r>
          </w:p>
        </w:tc>
        <w:tc>
          <w:tcPr>
            <w:tcW w:w="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other income</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(5,131</w:t>
            </w:r>
          </w:p>
        </w:tc>
        <w:tc>
          <w:tcPr>
            <w:tcW w:w="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(9,113</w:t>
            </w:r>
          </w:p>
        </w:tc>
        <w:tc>
          <w:tcPr>
            <w:tcW w:w="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(7,521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Preferred stock dividends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w:t>
            </w:r>
          </w:p>
        </w:tc>
        <w:tc>
          <w:tcPr>
            <w:tcW w:w="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 applicable to common stock</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(9,175</w:t>
            </w:r>
          </w:p>
        </w:tc>
        <w:tc>
          <w:tcPr>
            <w:tcW w:w="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(7,584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Basic and diluted net loss per share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(0.14</w:t>
            </w:r>
          </w:p>
        </w:tc>
        <w:tc>
          <w:tcPr>
            <w:tcW w:w="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used in computing basic and diluted net loss per share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65,875</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63,447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Balance Sheet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8f92fc0b7ffc4dd790e8c2c6d1739456"/>
      <w:bookmarkStart w:id="43" w:name="z8f92fc0b7ffc4dd790e8c2c6d1739456"/>
      <w:bookmarkEnd w:id="43"/>
    </w:p>
    <w:tbl>
      <w:tblPr>
        <w:tblW w:w="6835" w:type="dxa"/>
        <w:jc w:val="left"/>
        <w:tblInd w:w="0" w:type="dxa"/>
        <w:tblLayout w:type="fixed"/>
        <w:tblCellMar>
          <w:top w:w="0" w:type="dxa"/>
          <w:left w:w="0" w:type="dxa"/>
          <w:bottom w:w="0" w:type="dxa"/>
          <w:right w:w="0" w:type="dxa"/>
        </w:tblCellMar>
      </w:tblPr>
      <w:tblGrid>
        <w:gridCol w:w="3710"/>
        <w:gridCol w:w="60"/>
        <w:gridCol w:w="169"/>
        <w:gridCol w:w="1021"/>
        <w:gridCol w:w="80"/>
        <w:gridCol w:w="60"/>
        <w:gridCol w:w="232"/>
        <w:gridCol w:w="1408"/>
        <w:gridCol w:w="95"/>
      </w:tblGrid>
      <w:tr>
        <w:trPr/>
        <w:tc>
          <w:tcPr>
            <w:tcW w:w="371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95"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9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17,720</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19,532</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151,619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8,030</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151,678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145,727</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1,723</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deficit</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(138,575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(127,918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   #</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right"/>
        <w:rPr>
          <w:rFonts w:ascii="Times New Roman" w:hAnsi="Times New Roman"/>
          <w:b/>
          <w:color w:val="000000"/>
          <w:sz w:val="20"/>
        </w:rPr>
      </w:pPr>
      <w:r>
        <w:rPr>
          <w:rFonts w:ascii="Times New Roman" w:hAnsi="Times New Roman"/>
          <w:b w:val="false"/>
          <w:i w:val="false"/>
          <w:caps w:val="false"/>
          <w:smallCaps w:val="false"/>
          <w:color w:val="000000"/>
          <w:sz w:val="16"/>
        </w:rPr>
        <w:t>8</w:t>
      </w:r>
      <w:r>
        <w:rPr>
          <w:rFonts w:ascii="Times New Roman" w:hAnsi="Times New Roman"/>
          <w:b/>
          <w:color w:val="000000"/>
          <w:sz w:val="20"/>
        </w:rPr>
        <w:t xml:space="preserve">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2482</Words>
  <Characters>14150</Characters>
  <CharactersWithSpaces>16610</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