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357505</wp:posOffset>
            </wp:positionH>
            <wp:positionV relativeFrom="page">
              <wp:posOffset>164465</wp:posOffset>
            </wp:positionV>
            <wp:extent cx="68548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4825" cy="8255"/>
                    </a:xfrm>
                    <a:prstGeom prst="rect">
                      <a:avLst/>
                    </a:prstGeom>
                    <a:noFill/>
                  </pic:spPr>
                </pic:pic>
              </a:graphicData>
            </a:graphic>
          </wp:anchor>
        </w:drawing>
        <w:drawing>
          <wp:anchor simplePos="0" relativeHeight="251657728" behindDoc="1" locked="0" layoutInCell="0" allowOverlap="1">
            <wp:simplePos x="0" y="0"/>
            <wp:positionH relativeFrom="page">
              <wp:posOffset>357505</wp:posOffset>
            </wp:positionH>
            <wp:positionV relativeFrom="page">
              <wp:posOffset>206375</wp:posOffset>
            </wp:positionV>
            <wp:extent cx="68548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4825" cy="8255"/>
                    </a:xfrm>
                    <a:prstGeom prst="rect">
                      <a:avLst/>
                    </a:prstGeom>
                    <a:noFill/>
                  </pic:spPr>
                </pic:pic>
              </a:graphicData>
            </a:graphic>
          </wp:anchor>
        </w:drawing>
        <w:t>UNITED STATES</w:t>
      </w:r>
    </w:p>
    <w:p>
      <w:pPr>
        <w:spacing w:after="0" w:line="16" w:lineRule="exact"/>
        <w:rPr>
          <w:sz w:val="24"/>
          <w:szCs w:val="24"/>
          <w:color w:val="auto"/>
        </w:rPr>
      </w:pPr>
    </w:p>
    <w:p>
      <w:pPr>
        <w:jc w:val="center"/>
        <w:ind w:right="-2"/>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2708910</wp:posOffset>
            </wp:positionH>
            <wp:positionV relativeFrom="paragraph">
              <wp:posOffset>226695</wp:posOffset>
            </wp:positionV>
            <wp:extent cx="1436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63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2708910</wp:posOffset>
            </wp:positionH>
            <wp:positionV relativeFrom="paragraph">
              <wp:posOffset>237490</wp:posOffset>
            </wp:positionV>
            <wp:extent cx="1436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63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423" w:hanging="423"/>
        <w:spacing w:after="0"/>
        <w:tabs>
          <w:tab w:leader="none" w:pos="423"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31" w:lineRule="exact"/>
        <w:rPr>
          <w:sz w:val="24"/>
          <w:szCs w:val="24"/>
          <w:color w:val="auto"/>
        </w:rPr>
      </w:pPr>
    </w:p>
    <w:p>
      <w:pPr>
        <w:jc w:val="center"/>
        <w:ind w:right="-2"/>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34" w:lineRule="exact"/>
        <w:rPr>
          <w:sz w:val="24"/>
          <w:szCs w:val="24"/>
          <w:color w:val="auto"/>
        </w:rPr>
      </w:pPr>
    </w:p>
    <w:p>
      <w:pPr>
        <w:ind w:left="423" w:hanging="423"/>
        <w:spacing w:after="0"/>
        <w:tabs>
          <w:tab w:leader="none" w:pos="423"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31" w:lineRule="exact"/>
        <w:rPr>
          <w:sz w:val="24"/>
          <w:szCs w:val="24"/>
          <w:color w:val="auto"/>
        </w:rPr>
      </w:pPr>
    </w:p>
    <w:p>
      <w:pPr>
        <w:ind w:left="3043"/>
        <w:spacing w:after="0"/>
        <w:tabs>
          <w:tab w:leader="none" w:pos="6083"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3404235</wp:posOffset>
            </wp:positionH>
            <wp:positionV relativeFrom="paragraph">
              <wp:posOffset>-10160</wp:posOffset>
            </wp:positionV>
            <wp:extent cx="1520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0825" cy="8255"/>
                    </a:xfrm>
                    <a:prstGeom prst="rect">
                      <a:avLst/>
                    </a:prstGeom>
                    <a:noFill/>
                  </pic:spPr>
                </pic:pic>
              </a:graphicData>
            </a:graphic>
          </wp:anchor>
        </w:drawing>
      </w:r>
    </w:p>
    <w:p>
      <w:pPr>
        <w:spacing w:after="0" w:line="196" w:lineRule="exact"/>
        <w:rPr>
          <w:sz w:val="24"/>
          <w:szCs w:val="24"/>
          <w:color w:val="auto"/>
        </w:rPr>
      </w:pPr>
    </w:p>
    <w:p>
      <w:pPr>
        <w:jc w:val="center"/>
        <w:ind w:right="-2"/>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2708910</wp:posOffset>
            </wp:positionH>
            <wp:positionV relativeFrom="paragraph">
              <wp:posOffset>233045</wp:posOffset>
            </wp:positionV>
            <wp:extent cx="1436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637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2"/>
        <w:spacing w:after="0"/>
        <w:rPr>
          <w:sz w:val="20"/>
          <w:szCs w:val="20"/>
          <w:color w:val="auto"/>
        </w:rPr>
      </w:pPr>
      <w:r>
        <w:rPr>
          <w:rFonts w:ascii="Arial" w:cs="Arial" w:eastAsia="Arial" w:hAnsi="Arial"/>
          <w:sz w:val="42"/>
          <w:szCs w:val="42"/>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2708910</wp:posOffset>
            </wp:positionH>
            <wp:positionV relativeFrom="paragraph">
              <wp:posOffset>248920</wp:posOffset>
            </wp:positionV>
            <wp:extent cx="1436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63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tbl>
      <w:tblPr>
        <w:tblLayout w:type="fixed"/>
        <w:tblInd w:w="1523" w:type="dxa"/>
        <w:tblCellMar>
          <w:top w:w="0" w:type="dxa"/>
          <w:left w:w="0" w:type="dxa"/>
          <w:bottom w:w="0" w:type="dxa"/>
          <w:right w:w="0" w:type="dxa"/>
        </w:tblCellMar>
      </w:tblPr>
      <w:tr>
        <w:trPr>
          <w:trHeight w:val="207"/>
        </w:trPr>
        <w:tc>
          <w:tcPr>
            <w:tcW w:w="5820" w:type="dxa"/>
            <w:vAlign w:val="bottom"/>
          </w:tcPr>
          <w:p>
            <w:pPr>
              <w:jc w:val="center"/>
              <w:ind w:right="3341"/>
              <w:spacing w:after="0"/>
              <w:rPr>
                <w:sz w:val="20"/>
                <w:szCs w:val="20"/>
                <w:color w:val="auto"/>
              </w:rPr>
            </w:pPr>
            <w:r>
              <w:rPr>
                <w:rFonts w:ascii="Arial" w:cs="Arial" w:eastAsia="Arial" w:hAnsi="Arial"/>
                <w:sz w:val="18"/>
                <w:szCs w:val="18"/>
                <w:b w:val="1"/>
                <w:bCs w:val="1"/>
                <w:color w:val="auto"/>
                <w:w w:val="87"/>
              </w:rPr>
              <w:t>Nevada</w:t>
            </w:r>
          </w:p>
        </w:tc>
        <w:tc>
          <w:tcPr>
            <w:tcW w:w="1380" w:type="dxa"/>
            <w:vAlign w:val="bottom"/>
          </w:tcPr>
          <w:p>
            <w:pPr>
              <w:jc w:val="right"/>
              <w:ind w:right="42"/>
              <w:spacing w:after="0"/>
              <w:rPr>
                <w:sz w:val="20"/>
                <w:szCs w:val="20"/>
                <w:color w:val="auto"/>
              </w:rPr>
            </w:pPr>
            <w:r>
              <w:rPr>
                <w:rFonts w:ascii="Arial" w:cs="Arial" w:eastAsia="Arial" w:hAnsi="Arial"/>
                <w:sz w:val="18"/>
                <w:szCs w:val="18"/>
                <w:b w:val="1"/>
                <w:bCs w:val="1"/>
                <w:color w:val="auto"/>
              </w:rPr>
              <w:t>04-3562325</w:t>
            </w:r>
          </w:p>
        </w:tc>
      </w:tr>
      <w:tr>
        <w:trPr>
          <w:trHeight w:val="146"/>
        </w:trPr>
        <w:tc>
          <w:tcPr>
            <w:tcW w:w="5820" w:type="dxa"/>
            <w:vAlign w:val="bottom"/>
          </w:tcPr>
          <w:p>
            <w:pPr>
              <w:jc w:val="center"/>
              <w:ind w:right="3341"/>
              <w:spacing w:after="0" w:line="145" w:lineRule="exact"/>
              <w:rPr>
                <w:sz w:val="20"/>
                <w:szCs w:val="20"/>
                <w:color w:val="auto"/>
              </w:rPr>
            </w:pPr>
            <w:r>
              <w:rPr>
                <w:rFonts w:ascii="Arial" w:cs="Arial" w:eastAsia="Arial" w:hAnsi="Arial"/>
                <w:sz w:val="14"/>
                <w:szCs w:val="14"/>
                <w:b w:val="1"/>
                <w:bCs w:val="1"/>
                <w:color w:val="auto"/>
                <w:w w:val="91"/>
              </w:rPr>
              <w:t>(State or other jurisdiction</w:t>
            </w:r>
          </w:p>
        </w:tc>
        <w:tc>
          <w:tcPr>
            <w:tcW w:w="1380" w:type="dxa"/>
            <w:vAlign w:val="bottom"/>
          </w:tcPr>
          <w:p>
            <w:pPr>
              <w:jc w:val="center"/>
              <w:ind w:left="202"/>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5820" w:type="dxa"/>
            <w:vAlign w:val="bottom"/>
          </w:tcPr>
          <w:p>
            <w:pPr>
              <w:jc w:val="center"/>
              <w:ind w:right="3341"/>
              <w:spacing w:after="0"/>
              <w:rPr>
                <w:sz w:val="20"/>
                <w:szCs w:val="20"/>
                <w:color w:val="auto"/>
              </w:rPr>
            </w:pPr>
            <w:r>
              <w:rPr>
                <w:rFonts w:ascii="Arial" w:cs="Arial" w:eastAsia="Arial" w:hAnsi="Arial"/>
                <w:sz w:val="14"/>
                <w:szCs w:val="14"/>
                <w:b w:val="1"/>
                <w:bCs w:val="1"/>
                <w:color w:val="auto"/>
                <w:w w:val="92"/>
              </w:rPr>
              <w:t>of incorporation)</w:t>
            </w:r>
          </w:p>
        </w:tc>
        <w:tc>
          <w:tcPr>
            <w:tcW w:w="1380" w:type="dxa"/>
            <w:vAlign w:val="bottom"/>
          </w:tcPr>
          <w:p>
            <w:pPr>
              <w:jc w:val="center"/>
              <w:ind w:left="202"/>
              <w:spacing w:after="0"/>
              <w:rPr>
                <w:sz w:val="20"/>
                <w:szCs w:val="20"/>
                <w:color w:val="auto"/>
              </w:rPr>
            </w:pPr>
            <w:r>
              <w:rPr>
                <w:rFonts w:ascii="Arial" w:cs="Arial" w:eastAsia="Arial" w:hAnsi="Arial"/>
                <w:sz w:val="14"/>
                <w:szCs w:val="14"/>
                <w:b w:val="1"/>
                <w:bCs w:val="1"/>
                <w:color w:val="auto"/>
                <w:w w:val="92"/>
              </w:rPr>
              <w:t>Identification No.)</w:t>
            </w:r>
          </w:p>
        </w:tc>
      </w:tr>
      <w:tr>
        <w:trPr>
          <w:trHeight w:val="403"/>
        </w:trPr>
        <w:tc>
          <w:tcPr>
            <w:tcW w:w="5820" w:type="dxa"/>
            <w:vAlign w:val="bottom"/>
          </w:tcPr>
          <w:p>
            <w:pPr>
              <w:jc w:val="center"/>
              <w:ind w:right="3321"/>
              <w:spacing w:after="0"/>
              <w:rPr>
                <w:sz w:val="20"/>
                <w:szCs w:val="20"/>
                <w:color w:val="auto"/>
              </w:rPr>
            </w:pPr>
            <w:r>
              <w:rPr>
                <w:rFonts w:ascii="Arial" w:cs="Arial" w:eastAsia="Arial" w:hAnsi="Arial"/>
                <w:sz w:val="18"/>
                <w:szCs w:val="18"/>
                <w:b w:val="1"/>
                <w:bCs w:val="1"/>
                <w:color w:val="auto"/>
                <w:w w:val="89"/>
              </w:rPr>
              <w:t>4960 Peachtree Industrial Blvd.,</w:t>
            </w:r>
          </w:p>
        </w:tc>
        <w:tc>
          <w:tcPr>
            <w:tcW w:w="1380" w:type="dxa"/>
            <w:vAlign w:val="bottom"/>
          </w:tcPr>
          <w:p>
            <w:pPr>
              <w:spacing w:after="0"/>
              <w:rPr>
                <w:sz w:val="24"/>
                <w:szCs w:val="24"/>
                <w:color w:val="auto"/>
              </w:rPr>
            </w:pPr>
          </w:p>
        </w:tc>
      </w:tr>
      <w:tr>
        <w:trPr>
          <w:trHeight w:val="221"/>
        </w:trPr>
        <w:tc>
          <w:tcPr>
            <w:tcW w:w="5820" w:type="dxa"/>
            <w:vAlign w:val="bottom"/>
          </w:tcPr>
          <w:p>
            <w:pPr>
              <w:jc w:val="center"/>
              <w:ind w:right="3341"/>
              <w:spacing w:after="0"/>
              <w:rPr>
                <w:sz w:val="20"/>
                <w:szCs w:val="20"/>
                <w:color w:val="auto"/>
              </w:rPr>
            </w:pPr>
            <w:r>
              <w:rPr>
                <w:rFonts w:ascii="Arial" w:cs="Arial" w:eastAsia="Arial" w:hAnsi="Arial"/>
                <w:sz w:val="18"/>
                <w:szCs w:val="18"/>
                <w:b w:val="1"/>
                <w:bCs w:val="1"/>
                <w:color w:val="auto"/>
                <w:w w:val="87"/>
              </w:rPr>
              <w:t>Suite 240, Norcross, GA</w:t>
            </w:r>
          </w:p>
        </w:tc>
        <w:tc>
          <w:tcPr>
            <w:tcW w:w="1380" w:type="dxa"/>
            <w:vAlign w:val="bottom"/>
          </w:tcPr>
          <w:p>
            <w:pPr>
              <w:jc w:val="right"/>
              <w:ind w:right="242"/>
              <w:spacing w:after="0"/>
              <w:rPr>
                <w:sz w:val="20"/>
                <w:szCs w:val="20"/>
                <w:color w:val="auto"/>
              </w:rPr>
            </w:pPr>
            <w:r>
              <w:rPr>
                <w:rFonts w:ascii="Arial" w:cs="Arial" w:eastAsia="Arial" w:hAnsi="Arial"/>
                <w:sz w:val="18"/>
                <w:szCs w:val="18"/>
                <w:b w:val="1"/>
                <w:bCs w:val="1"/>
                <w:color w:val="auto"/>
              </w:rPr>
              <w:t>30071</w:t>
            </w:r>
          </w:p>
        </w:tc>
      </w:tr>
      <w:tr>
        <w:trPr>
          <w:trHeight w:val="184"/>
        </w:trPr>
        <w:tc>
          <w:tcPr>
            <w:tcW w:w="5820" w:type="dxa"/>
            <w:vAlign w:val="bottom"/>
          </w:tcPr>
          <w:p>
            <w:pPr>
              <w:jc w:val="center"/>
              <w:ind w:right="3341"/>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1380" w:type="dxa"/>
            <w:vAlign w:val="bottom"/>
          </w:tcPr>
          <w:p>
            <w:pPr>
              <w:jc w:val="center"/>
              <w:ind w:left="202"/>
              <w:spacing w:after="0"/>
              <w:rPr>
                <w:sz w:val="20"/>
                <w:szCs w:val="20"/>
                <w:color w:val="auto"/>
              </w:rPr>
            </w:pPr>
            <w:r>
              <w:rPr>
                <w:rFonts w:ascii="Arial" w:cs="Arial" w:eastAsia="Arial" w:hAnsi="Arial"/>
                <w:sz w:val="14"/>
                <w:szCs w:val="14"/>
                <w:b w:val="1"/>
                <w:bCs w:val="1"/>
                <w:color w:val="auto"/>
                <w:w w:val="95"/>
              </w:rPr>
              <w:t>(Zip Code)</w:t>
            </w:r>
          </w:p>
        </w:tc>
      </w:tr>
      <w:tr>
        <w:trPr>
          <w:trHeight w:val="385"/>
        </w:trPr>
        <w:tc>
          <w:tcPr>
            <w:tcW w:w="5820" w:type="dxa"/>
            <w:vAlign w:val="bottom"/>
          </w:tcPr>
          <w:p>
            <w:pPr>
              <w:jc w:val="right"/>
              <w:ind w:right="1321"/>
              <w:spacing w:after="0"/>
              <w:rPr>
                <w:sz w:val="20"/>
                <w:szCs w:val="20"/>
                <w:color w:val="auto"/>
              </w:rPr>
            </w:pPr>
            <w:r>
              <w:rPr>
                <w:rFonts w:ascii="Arial" w:cs="Arial" w:eastAsia="Arial" w:hAnsi="Arial"/>
                <w:sz w:val="18"/>
                <w:szCs w:val="18"/>
                <w:b w:val="1"/>
                <w:bCs w:val="1"/>
                <w:color w:val="auto"/>
              </w:rPr>
              <w:t>(678) 620-3186</w:t>
            </w:r>
          </w:p>
        </w:tc>
        <w:tc>
          <w:tcPr>
            <w:tcW w:w="1380" w:type="dxa"/>
            <w:vAlign w:val="bottom"/>
          </w:tcPr>
          <w:p>
            <w:pPr>
              <w:spacing w:after="0"/>
              <w:rPr>
                <w:sz w:val="24"/>
                <w:szCs w:val="24"/>
                <w:color w:val="auto"/>
              </w:rPr>
            </w:pPr>
          </w:p>
        </w:tc>
      </w:tr>
      <w:tr>
        <w:trPr>
          <w:trHeight w:val="184"/>
        </w:trPr>
        <w:tc>
          <w:tcPr>
            <w:tcW w:w="5820" w:type="dxa"/>
            <w:vAlign w:val="bottom"/>
          </w:tcPr>
          <w:p>
            <w:pPr>
              <w:jc w:val="center"/>
              <w:ind w:left="1861"/>
              <w:spacing w:after="0"/>
              <w:rPr>
                <w:sz w:val="20"/>
                <w:szCs w:val="20"/>
                <w:color w:val="auto"/>
              </w:rPr>
            </w:pPr>
            <w:r>
              <w:rPr>
                <w:rFonts w:ascii="Arial" w:cs="Arial" w:eastAsia="Arial" w:hAnsi="Arial"/>
                <w:sz w:val="14"/>
                <w:szCs w:val="14"/>
                <w:b w:val="1"/>
                <w:bCs w:val="1"/>
                <w:color w:val="auto"/>
                <w:w w:val="90"/>
              </w:rPr>
              <w:t>(Registrant’s Telephone Number, Including Area Code)</w:t>
            </w:r>
          </w:p>
        </w:tc>
        <w:tc>
          <w:tcPr>
            <w:tcW w:w="13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2708910</wp:posOffset>
            </wp:positionH>
            <wp:positionV relativeFrom="paragraph">
              <wp:posOffset>208280</wp:posOffset>
            </wp:positionV>
            <wp:extent cx="1436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63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3" w:right="8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4"/>
          <w:szCs w:val="24"/>
          <w:color w:val="auto"/>
        </w:rPr>
      </w:pPr>
    </w:p>
    <w:p>
      <w:pPr>
        <w:ind w:left="3" w:right="140"/>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4"/>
          <w:szCs w:val="24"/>
          <w:color w:val="auto"/>
        </w:rPr>
      </w:pPr>
    </w:p>
    <w:p>
      <w:pPr>
        <w:ind w:left="3" w:right="6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3" w:type="dxa"/>
        <w:tblCellMar>
          <w:top w:w="0" w:type="dxa"/>
          <w:left w:w="0" w:type="dxa"/>
          <w:bottom w:w="0" w:type="dxa"/>
          <w:right w:w="0" w:type="dxa"/>
        </w:tblCellMar>
      </w:tblPr>
      <w:tr>
        <w:trPr>
          <w:trHeight w:val="278"/>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7"/>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3000"/>
              <w:spacing w:after="0"/>
              <w:rPr>
                <w:sz w:val="20"/>
                <w:szCs w:val="20"/>
                <w:color w:val="auto"/>
              </w:rPr>
            </w:pPr>
            <w:r>
              <w:rPr>
                <w:rFonts w:ascii="Arial" w:cs="Arial" w:eastAsia="Arial" w:hAnsi="Arial"/>
                <w:sz w:val="18"/>
                <w:szCs w:val="18"/>
                <w:color w:val="auto"/>
                <w:w w:val="95"/>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7"/>
        </w:trPr>
        <w:tc>
          <w:tcPr>
            <w:tcW w:w="2080" w:type="dxa"/>
            <w:vAlign w:val="bottom"/>
          </w:tcPr>
          <w:p>
            <w:pPr>
              <w:spacing w:after="0"/>
              <w:rPr>
                <w:sz w:val="20"/>
                <w:szCs w:val="20"/>
                <w:color w:val="auto"/>
              </w:rPr>
            </w:pPr>
            <w:r>
              <w:rPr>
                <w:rFonts w:ascii="Arial" w:cs="Arial" w:eastAsia="Arial" w:hAnsi="Arial"/>
                <w:sz w:val="18"/>
                <w:szCs w:val="18"/>
                <w:color w:val="auto"/>
                <w:w w:val="96"/>
              </w:rPr>
              <w:t>Emerging growth company</w:t>
            </w:r>
          </w:p>
        </w:tc>
        <w:tc>
          <w:tcPr>
            <w:tcW w:w="33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80" w:lineRule="exact"/>
        <w:rPr>
          <w:sz w:val="24"/>
          <w:szCs w:val="24"/>
          <w:color w:val="auto"/>
        </w:rPr>
      </w:pPr>
    </w:p>
    <w:p>
      <w:pPr>
        <w:ind w:left="3" w:right="30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7" w:lineRule="exact"/>
        <w:rPr>
          <w:sz w:val="24"/>
          <w:szCs w:val="24"/>
          <w:color w:val="auto"/>
        </w:rPr>
      </w:pPr>
    </w:p>
    <w:p>
      <w:pPr>
        <w:ind w:left="3"/>
        <w:spacing w:after="0" w:line="207" w:lineRule="exact"/>
        <w:tabs>
          <w:tab w:leader="none" w:pos="8163"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251" w:lineRule="exact"/>
        <w:rPr>
          <w:sz w:val="24"/>
          <w:szCs w:val="24"/>
          <w:color w:val="auto"/>
        </w:rPr>
      </w:pPr>
    </w:p>
    <w:p>
      <w:pPr>
        <w:ind w:left="3"/>
        <w:spacing w:after="0"/>
        <w:rPr>
          <w:sz w:val="20"/>
          <w:szCs w:val="20"/>
          <w:color w:val="auto"/>
        </w:rPr>
      </w:pPr>
      <w:r>
        <w:rPr>
          <w:rFonts w:ascii="Arial" w:cs="Arial" w:eastAsia="Arial" w:hAnsi="Arial"/>
          <w:sz w:val="18"/>
          <w:szCs w:val="18"/>
          <w:color w:val="auto"/>
        </w:rPr>
        <w:t>The number of shares outstanding of the registrant’s common stock as of May 7, 2019 was 45,594,411.</w:t>
      </w:r>
    </w:p>
    <w:p>
      <w:pPr>
        <w:spacing w:after="0" w:line="216" w:lineRule="exact"/>
        <w:rPr>
          <w:sz w:val="24"/>
          <w:szCs w:val="24"/>
          <w:color w:val="auto"/>
        </w:rPr>
      </w:pPr>
    </w:p>
    <w:p>
      <w:pPr>
        <w:ind w:left="3"/>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17" w:lineRule="exact"/>
        <w:rPr>
          <w:sz w:val="24"/>
          <w:szCs w:val="24"/>
          <w:color w:val="auto"/>
        </w:rPr>
      </w:pPr>
    </w:p>
    <w:tbl>
      <w:tblPr>
        <w:tblLayout w:type="fixed"/>
        <w:tblInd w:w="3"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each class</w:t>
            </w:r>
          </w:p>
        </w:tc>
        <w:tc>
          <w:tcPr>
            <w:tcW w:w="16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Trading Symbol(s)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4200" w:type="dxa"/>
            <w:vAlign w:val="bottom"/>
            <w:gridSpan w:val="2"/>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on which registered</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08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w w:val="86"/>
              </w:rPr>
              <w:t>Common Stock</w:t>
            </w:r>
          </w:p>
        </w:tc>
        <w:tc>
          <w:tcPr>
            <w:tcW w:w="312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GALT</w:t>
            </w:r>
          </w:p>
        </w:tc>
        <w:tc>
          <w:tcPr>
            <w:tcW w:w="50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7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803"/>
          </w:cols>
          <w:pgMar w:left="557" w:top="363" w:right="539" w:bottom="802"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705" cy="38100"/>
                    </a:xfrm>
                    <a:prstGeom prst="rect">
                      <a:avLst/>
                    </a:prstGeom>
                    <a:noFill/>
                  </pic:spPr>
                </pic:pic>
              </a:graphicData>
            </a:graphic>
          </wp:anchor>
        </w:drawing>
        <w:t>GALECTIN THERAPEUTICS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FORM 10-Q</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 ENDED MARCH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80" w:type="dxa"/>
            <w:vAlign w:val="bottom"/>
            <w:gridSpan w:val="8"/>
            <w:vMerge w:val="restart"/>
          </w:tcPr>
          <w:p>
            <w:pPr>
              <w:jc w:val="center"/>
              <w:ind w:right="20"/>
              <w:spacing w:after="0"/>
              <w:rPr>
                <w:sz w:val="20"/>
                <w:szCs w:val="20"/>
                <w:color w:val="auto"/>
              </w:rPr>
            </w:pPr>
            <w:r>
              <w:rPr>
                <w:rFonts w:ascii="Arial" w:cs="Arial" w:eastAsia="Arial" w:hAnsi="Arial"/>
                <w:sz w:val="18"/>
                <w:szCs w:val="18"/>
                <w:b w:val="1"/>
                <w:bCs w:val="1"/>
                <w:color w:val="0000EE"/>
                <w:w w:val="99"/>
              </w:rPr>
              <w:t>PART I — FINANCIAL INFORMATION</w:t>
            </w:r>
          </w:p>
        </w:tc>
        <w:tc>
          <w:tcPr>
            <w:tcW w:w="3020" w:type="dxa"/>
            <w:vAlign w:val="bottom"/>
            <w:gridSpan w:val="5"/>
            <w:vMerge w:val="restart"/>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7"/>
        </w:trPr>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80" w:type="dxa"/>
            <w:vAlign w:val="bottom"/>
            <w:tcBorders>
              <w:bottom w:val="single" w:sz="8" w:color="0000EE"/>
            </w:tcBorders>
            <w:gridSpan w:val="8"/>
            <w:vMerge w:val="continue"/>
          </w:tcPr>
          <w:p>
            <w:pPr>
              <w:spacing w:after="0"/>
              <w:rPr>
                <w:sz w:val="13"/>
                <w:szCs w:val="13"/>
                <w:color w:val="auto"/>
              </w:rPr>
            </w:pPr>
          </w:p>
        </w:tc>
        <w:tc>
          <w:tcPr>
            <w:tcW w:w="302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94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9220" w:type="dxa"/>
            <w:vAlign w:val="bottom"/>
            <w:gridSpan w:val="21"/>
          </w:tcPr>
          <w:p>
            <w:pPr>
              <w:spacing w:after="0"/>
              <w:rPr>
                <w:sz w:val="20"/>
                <w:szCs w:val="20"/>
                <w:color w:val="auto"/>
              </w:rPr>
            </w:pPr>
            <w:r>
              <w:rPr>
                <w:rFonts w:ascii="Arial" w:cs="Arial" w:eastAsia="Arial" w:hAnsi="Arial"/>
                <w:sz w:val="18"/>
                <w:szCs w:val="18"/>
                <w:color w:val="0000EE"/>
              </w:rPr>
              <w:t>Unaudited Condensed Consolidated Financial Statements (unaudited)</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20" w:type="dxa"/>
            <w:vAlign w:val="bottom"/>
            <w:gridSpan w:val="21"/>
          </w:tcPr>
          <w:p>
            <w:pPr>
              <w:spacing w:after="0" w:line="19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2019 and December 31, 2018</w:t>
              </w:r>
            </w:hyperlink>
          </w:p>
        </w:tc>
        <w:tc>
          <w:tcPr>
            <w:tcW w:w="580" w:type="dxa"/>
            <w:vAlign w:val="bottom"/>
            <w:gridSpan w:val="2"/>
          </w:tcPr>
          <w:p>
            <w:pPr>
              <w:jc w:val="right"/>
              <w:spacing w:after="0" w:line="19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500" w:type="dxa"/>
            <w:vAlign w:val="bottom"/>
            <w:tcBorders>
              <w:bottom w:val="single" w:sz="8" w:color="0000EE"/>
            </w:tcBorders>
            <w:gridSpan w:val="18"/>
          </w:tcPr>
          <w:p>
            <w:pPr>
              <w:spacing w:after="0" w:line="192"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for the Three Months Ended March 31, 2019 and 2018</w:t>
              </w:r>
            </w:hyperlink>
          </w:p>
        </w:tc>
        <w:tc>
          <w:tcPr>
            <w:tcW w:w="1720" w:type="dxa"/>
            <w:vAlign w:val="bottom"/>
            <w:gridSpan w:val="3"/>
          </w:tcPr>
          <w:p>
            <w:pPr>
              <w:spacing w:after="0"/>
              <w:rPr>
                <w:sz w:val="16"/>
                <w:szCs w:val="16"/>
                <w:color w:val="auto"/>
              </w:rPr>
            </w:pPr>
          </w:p>
        </w:tc>
        <w:tc>
          <w:tcPr>
            <w:tcW w:w="580" w:type="dxa"/>
            <w:vAlign w:val="bottom"/>
            <w:gridSpan w:val="2"/>
          </w:tcPr>
          <w:p>
            <w:pPr>
              <w:jc w:val="right"/>
              <w:spacing w:after="0" w:line="19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560" w:type="dxa"/>
            <w:vAlign w:val="bottom"/>
            <w:tcBorders>
              <w:bottom w:val="single" w:sz="8" w:color="0000EE"/>
            </w:tcBorders>
            <w:gridSpan w:val="19"/>
          </w:tcPr>
          <w:p>
            <w:pPr>
              <w:spacing w:after="0" w:line="19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for the Three Months Ended March 31, 2019 and 2018</w:t>
              </w:r>
            </w:hyperlink>
          </w:p>
        </w:tc>
        <w:tc>
          <w:tcPr>
            <w:tcW w:w="1660" w:type="dxa"/>
            <w:vAlign w:val="bottom"/>
            <w:gridSpan w:val="2"/>
          </w:tcPr>
          <w:p>
            <w:pPr>
              <w:spacing w:after="0"/>
              <w:rPr>
                <w:sz w:val="16"/>
                <w:szCs w:val="16"/>
                <w:color w:val="auto"/>
              </w:rPr>
            </w:pPr>
          </w:p>
        </w:tc>
        <w:tc>
          <w:tcPr>
            <w:tcW w:w="580" w:type="dxa"/>
            <w:vAlign w:val="bottom"/>
            <w:gridSpan w:val="2"/>
          </w:tcPr>
          <w:p>
            <w:pPr>
              <w:jc w:val="right"/>
              <w:spacing w:after="0" w:line="19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40" w:type="dxa"/>
            <w:vAlign w:val="bottom"/>
            <w:tcBorders>
              <w:bottom w:val="single" w:sz="8" w:color="0000EE"/>
            </w:tcBorders>
            <w:gridSpan w:val="20"/>
          </w:tcPr>
          <w:p>
            <w:pPr>
              <w:spacing w:after="0" w:line="192"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Changes in Redeemable Convertible Preferred Stock and Stockholders’ Equity (Deficit)</w:t>
              </w:r>
            </w:hyperlink>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760" w:type="dxa"/>
            <w:vAlign w:val="bottom"/>
            <w:tcBorders>
              <w:bottom w:val="single" w:sz="8" w:color="0000EE"/>
            </w:tcBorders>
            <w:gridSpan w:val="8"/>
          </w:tcPr>
          <w:p>
            <w:pPr>
              <w:spacing w:after="0" w:line="192"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for the three months ended March 31, 2019 and 2018</w:t>
              </w:r>
            </w:hyperlink>
          </w:p>
        </w:tc>
        <w:tc>
          <w:tcPr>
            <w:tcW w:w="5280" w:type="dxa"/>
            <w:vAlign w:val="bottom"/>
            <w:gridSpan w:val="11"/>
          </w:tcPr>
          <w:p>
            <w:pPr>
              <w:spacing w:after="0"/>
              <w:rPr>
                <w:sz w:val="16"/>
                <w:szCs w:val="16"/>
                <w:color w:val="auto"/>
              </w:rPr>
            </w:pPr>
          </w:p>
        </w:tc>
        <w:tc>
          <w:tcPr>
            <w:tcW w:w="580" w:type="dxa"/>
            <w:vAlign w:val="bottom"/>
            <w:gridSpan w:val="2"/>
          </w:tcPr>
          <w:p>
            <w:pPr>
              <w:jc w:val="right"/>
              <w:spacing w:after="0" w:line="19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5"/>
        </w:trPr>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2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940" w:type="dxa"/>
            <w:vAlign w:val="bottom"/>
            <w:gridSpan w:val="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w:t>
              </w:r>
            </w:hyperlink>
          </w:p>
        </w:tc>
        <w:tc>
          <w:tcPr>
            <w:tcW w:w="9220" w:type="dxa"/>
            <w:vAlign w:val="bottom"/>
            <w:gridSpan w:val="2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94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922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94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922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7"/>
        </w:trPr>
        <w:tc>
          <w:tcPr>
            <w:tcW w:w="6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60" w:type="dxa"/>
            <w:vAlign w:val="bottom"/>
            <w:gridSpan w:val="12"/>
          </w:tcPr>
          <w:p>
            <w:pPr>
              <w:jc w:val="center"/>
              <w:ind w:right="3180"/>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 OTHER INFORMATION</w:t>
              </w:r>
            </w:hyperlink>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4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w:t>
              </w:r>
            </w:hyperlink>
          </w:p>
        </w:tc>
        <w:tc>
          <w:tcPr>
            <w:tcW w:w="3160" w:type="dxa"/>
            <w:vAlign w:val="bottom"/>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2880" w:type="dxa"/>
            <w:vAlign w:val="bottom"/>
            <w:tcBorders>
              <w:top w:val="single" w:sz="8" w:color="0000EE"/>
            </w:tcBorders>
            <w:gridSpan w:val="6"/>
          </w:tcPr>
          <w:p>
            <w:pPr>
              <w:spacing w:after="0"/>
              <w:rPr>
                <w:sz w:val="24"/>
                <w:szCs w:val="24"/>
                <w:color w:val="auto"/>
              </w:rPr>
            </w:pPr>
          </w:p>
        </w:tc>
        <w:tc>
          <w:tcPr>
            <w:tcW w:w="3180" w:type="dxa"/>
            <w:vAlign w:val="bottom"/>
            <w:gridSpan w:val="6"/>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7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ITEM 1A.</w:t>
              </w:r>
            </w:hyperlink>
          </w:p>
        </w:tc>
        <w:tc>
          <w:tcPr>
            <w:tcW w:w="200" w:type="dxa"/>
            <w:vAlign w:val="bottom"/>
          </w:tcPr>
          <w:p>
            <w:pPr>
              <w:spacing w:after="0"/>
              <w:rPr>
                <w:sz w:val="24"/>
                <w:szCs w:val="24"/>
                <w:color w:val="auto"/>
              </w:rPr>
            </w:pP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Risk Factors</w:t>
              </w:r>
            </w:hyperlink>
          </w:p>
        </w:tc>
        <w:tc>
          <w:tcPr>
            <w:tcW w:w="8320" w:type="dxa"/>
            <w:vAlign w:val="bottom"/>
            <w:gridSpan w:val="17"/>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97"/>
        </w:trPr>
        <w:tc>
          <w:tcPr>
            <w:tcW w:w="94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922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94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922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2"/>
            <w:shd w:val="clear" w:color="auto" w:fill="0000EE"/>
          </w:tcPr>
          <w:p>
            <w:pPr>
              <w:spacing w:after="0" w:line="20" w:lineRule="exact"/>
              <w:rPr>
                <w:sz w:val="1"/>
                <w:szCs w:val="1"/>
                <w:color w:val="auto"/>
              </w:rPr>
            </w:pPr>
          </w:p>
        </w:tc>
        <w:tc>
          <w:tcPr>
            <w:tcW w:w="6940" w:type="dxa"/>
            <w:vAlign w:val="bottom"/>
            <w:gridSpan w:val="1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94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922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480" w:type="dxa"/>
            <w:vAlign w:val="bottom"/>
            <w:gridSpan w:val="1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94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5.</w:t>
              </w:r>
            </w:hyperlink>
          </w:p>
        </w:tc>
        <w:tc>
          <w:tcPr>
            <w:tcW w:w="922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920" w:type="dxa"/>
            <w:vAlign w:val="bottom"/>
            <w:gridSpan w:val="1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94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6.</w:t>
              </w:r>
            </w:hyperlink>
          </w:p>
        </w:tc>
        <w:tc>
          <w:tcPr>
            <w:tcW w:w="922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620" w:type="dxa"/>
            <w:vAlign w:val="bottom"/>
            <w:gridSpan w:val="1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0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SIGNATURES</w:t>
              </w:r>
            </w:hyperlink>
          </w:p>
        </w:tc>
        <w:tc>
          <w:tcPr>
            <w:tcW w:w="9080" w:type="dxa"/>
            <w:vAlign w:val="bottom"/>
            <w:gridSpan w:val="20"/>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ectPr>
          <w:pgSz w:w="11900" w:h="16838" w:orient="portrait"/>
          <w:cols w:equalWidth="0" w:num="1">
            <w:col w:w="10740"/>
          </w:cols>
          <w:pgMar w:left="560" w:top="267" w:right="5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705" cy="38100"/>
                    </a:xfrm>
                    <a:prstGeom prst="rect">
                      <a:avLst/>
                    </a:prstGeom>
                    <a:noFill/>
                  </pic:spPr>
                </pic:pic>
              </a:graphicData>
            </a:graphic>
          </wp:anchor>
        </w:drawing>
        <w:t>GALECTIN THERAPEUTICS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9"/>
              </w:rPr>
              <w:t>March 31,</w:t>
            </w:r>
          </w:p>
        </w:tc>
        <w:tc>
          <w:tcPr>
            <w:tcW w:w="120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ind w:left="560"/>
              <w:spacing w:after="0" w:line="139" w:lineRule="exact"/>
              <w:rPr>
                <w:sz w:val="20"/>
                <w:szCs w:val="20"/>
                <w:color w:val="auto"/>
              </w:rPr>
            </w:pPr>
            <w:r>
              <w:rPr>
                <w:rFonts w:ascii="Arial" w:cs="Arial" w:eastAsia="Arial" w:hAnsi="Arial"/>
                <w:sz w:val="14"/>
                <w:szCs w:val="14"/>
                <w:b w:val="1"/>
                <w:bCs w:val="1"/>
                <w:color w:val="auto"/>
                <w:w w:val="87"/>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6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40" w:type="dxa"/>
            <w:vAlign w:val="bottom"/>
          </w:tcPr>
          <w:p>
            <w:pPr>
              <w:ind w:left="160"/>
              <w:spacing w:after="0"/>
              <w:rPr>
                <w:sz w:val="20"/>
                <w:szCs w:val="20"/>
                <w:color w:val="auto"/>
              </w:rPr>
            </w:pPr>
            <w:r>
              <w:rPr>
                <w:rFonts w:ascii="Arial" w:cs="Arial" w:eastAsia="Arial" w:hAnsi="Arial"/>
                <w:sz w:val="18"/>
                <w:szCs w:val="18"/>
                <w:b w:val="1"/>
                <w:bCs w:val="1"/>
                <w:color w:val="auto"/>
              </w:rPr>
              <w:t>EQUITY (DEFICIT)</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448</w:t>
            </w:r>
          </w:p>
        </w:tc>
        <w:tc>
          <w:tcPr>
            <w:tcW w:w="320" w:type="dxa"/>
            <w:vAlign w:val="bottom"/>
          </w:tcPr>
          <w:p>
            <w:pPr>
              <w:spacing w:after="0"/>
              <w:rPr>
                <w:sz w:val="18"/>
                <w:szCs w:val="18"/>
                <w:color w:val="auto"/>
              </w:rPr>
            </w:pP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56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C super dividend redeemable convertible preferred stock; 1,000 shares authorized, 176 shares issued and</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March 31, 2019 and December 31, 2018, redemption value: $8,731,000, liquidation value: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$1,760,000 at March 31, 2019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540" w:type="dxa"/>
            <w:vAlign w:val="bottom"/>
            <w:shd w:val="clear" w:color="auto" w:fill="CCEEFF"/>
          </w:tcPr>
          <w:p>
            <w:pPr>
              <w:ind w:left="680"/>
              <w:spacing w:after="0" w:line="200" w:lineRule="exact"/>
              <w:rPr>
                <w:sz w:val="20"/>
                <w:szCs w:val="20"/>
                <w:color w:val="auto"/>
              </w:rPr>
            </w:pPr>
            <w:r>
              <w:rPr>
                <w:rFonts w:ascii="Arial" w:cs="Arial" w:eastAsia="Arial" w:hAnsi="Arial"/>
                <w:sz w:val="18"/>
                <w:szCs w:val="18"/>
                <w:color w:val="auto"/>
                <w:w w:val="93"/>
              </w:rPr>
              <w:t>Undesignated stock, $0.01 par value; 20,000,000 shares authorized, 20,000,000 designated at March 31,</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2019 and December 31, 2018, respectively</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540" w:type="dxa"/>
            <w:vAlign w:val="bottom"/>
          </w:tcPr>
          <w:p>
            <w:pPr>
              <w:ind w:left="680"/>
              <w:spacing w:after="0" w:line="200" w:lineRule="exact"/>
              <w:rPr>
                <w:sz w:val="20"/>
                <w:szCs w:val="20"/>
                <w:color w:val="auto"/>
              </w:rPr>
            </w:pPr>
            <w:r>
              <w:rPr>
                <w:rFonts w:ascii="Arial" w:cs="Arial" w:eastAsia="Arial" w:hAnsi="Arial"/>
                <w:sz w:val="18"/>
                <w:szCs w:val="18"/>
                <w:color w:val="auto"/>
              </w:rPr>
              <w:t>Series A 12% convertible preferred stock; 1,742,500 shares authorized, 1,327,500 issued and</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w w:val="98"/>
              </w:rPr>
              <w:t>outstanding at March 31, 2019 and December 31, 2018, liquidation value $1,327,500 at March 31,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60" w:type="dxa"/>
            <w:vAlign w:val="bottom"/>
            <w:gridSpan w:val="2"/>
          </w:tcPr>
          <w:p>
            <w:pPr>
              <w:ind w:left="88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40" w:type="dxa"/>
            <w:vAlign w:val="bottom"/>
            <w:shd w:val="clear" w:color="auto" w:fill="CCEEFF"/>
          </w:tcPr>
          <w:p>
            <w:pPr>
              <w:ind w:left="680"/>
              <w:spacing w:after="0" w:line="200" w:lineRule="exact"/>
              <w:rPr>
                <w:sz w:val="20"/>
                <w:szCs w:val="20"/>
                <w:color w:val="auto"/>
              </w:rPr>
            </w:pPr>
            <w:r>
              <w:rPr>
                <w:rFonts w:ascii="Arial" w:cs="Arial" w:eastAsia="Arial" w:hAnsi="Arial"/>
                <w:sz w:val="18"/>
                <w:szCs w:val="18"/>
                <w:color w:val="auto"/>
              </w:rPr>
              <w:t>Series B-1 12% convertible preferred stock; 900,000 shares authorized, 0 and 900,000 issued and</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outstanding at March 31, 2019 and December 31, 2018</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540" w:type="dxa"/>
            <w:vAlign w:val="bottom"/>
          </w:tcPr>
          <w:p>
            <w:pPr>
              <w:ind w:left="680"/>
              <w:spacing w:after="0" w:line="200" w:lineRule="exact"/>
              <w:rPr>
                <w:sz w:val="20"/>
                <w:szCs w:val="20"/>
                <w:color w:val="auto"/>
              </w:rPr>
            </w:pPr>
            <w:r>
              <w:rPr>
                <w:rFonts w:ascii="Arial" w:cs="Arial" w:eastAsia="Arial" w:hAnsi="Arial"/>
                <w:sz w:val="18"/>
                <w:szCs w:val="18"/>
                <w:color w:val="auto"/>
                <w:w w:val="96"/>
              </w:rPr>
              <w:t>Series B-2 12% convertible preferred stock; 2,100,000 shares authorized, 0 and 2,100,000 issued and</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outstanding at March 31, 2019 and December 31, 2018</w:t>
            </w:r>
          </w:p>
        </w:tc>
        <w:tc>
          <w:tcPr>
            <w:tcW w:w="8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40" w:type="dxa"/>
            <w:vAlign w:val="bottom"/>
            <w:shd w:val="clear" w:color="auto" w:fill="CCEEFF"/>
          </w:tcPr>
          <w:p>
            <w:pPr>
              <w:ind w:left="680"/>
              <w:spacing w:after="0" w:line="200" w:lineRule="exact"/>
              <w:rPr>
                <w:sz w:val="20"/>
                <w:szCs w:val="20"/>
                <w:color w:val="auto"/>
              </w:rPr>
            </w:pPr>
            <w:r>
              <w:rPr>
                <w:rFonts w:ascii="Arial" w:cs="Arial" w:eastAsia="Arial" w:hAnsi="Arial"/>
                <w:sz w:val="18"/>
                <w:szCs w:val="18"/>
                <w:color w:val="auto"/>
                <w:w w:val="97"/>
              </w:rPr>
              <w:t>Series B-3 8% convertible preferred stock; 2,508,000 shares authorized, 0 and 2,508,000 issued and</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outstanding at March 31, 2019 and December 31, 2018</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540" w:type="dxa"/>
            <w:vAlign w:val="bottom"/>
          </w:tcPr>
          <w:p>
            <w:pPr>
              <w:ind w:left="680"/>
              <w:spacing w:after="0" w:line="200" w:lineRule="exact"/>
              <w:rPr>
                <w:sz w:val="20"/>
                <w:szCs w:val="20"/>
                <w:color w:val="auto"/>
              </w:rPr>
            </w:pPr>
            <w:r>
              <w:rPr>
                <w:rFonts w:ascii="Arial" w:cs="Arial" w:eastAsia="Arial" w:hAnsi="Arial"/>
                <w:sz w:val="18"/>
                <w:szCs w:val="18"/>
                <w:color w:val="auto"/>
                <w:w w:val="94"/>
              </w:rPr>
              <w:t>Common stock, $0.001 par value; 100,000,000 shares authorized at March 31, 2019 and December 31,</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w w:val="94"/>
              </w:rPr>
              <w:t>2018, 45,594,411 and 41,190,905 issued and outstanding at March 31, 2019 and December 31, 2018,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209,845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194,130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tcPr>
          <w:p>
            <w:pPr>
              <w:ind w:left="680"/>
              <w:spacing w:after="0"/>
              <w:rPr>
                <w:sz w:val="20"/>
                <w:szCs w:val="20"/>
                <w:color w:val="auto"/>
              </w:rPr>
            </w:pPr>
            <w:r>
              <w:rPr>
                <w:rFonts w:ascii="Arial" w:cs="Arial" w:eastAsia="Arial" w:hAnsi="Arial"/>
                <w:sz w:val="18"/>
                <w:szCs w:val="18"/>
                <w:color w:val="auto"/>
              </w:rPr>
              <w:t>Retained deficit</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(205,308)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(196,215)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6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7,830</w:t>
            </w:r>
          </w:p>
        </w:tc>
        <w:tc>
          <w:tcPr>
            <w:tcW w:w="320" w:type="dxa"/>
            <w:vAlign w:val="bottom"/>
          </w:tcPr>
          <w:p>
            <w:pPr>
              <w:spacing w:after="0"/>
              <w:rPr>
                <w:sz w:val="18"/>
                <w:szCs w:val="18"/>
                <w:color w:val="auto"/>
              </w:rPr>
            </w:pP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0"/>
          </w:cols>
          <w:pgMar w:left="560" w:top="267" w:right="5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705" cy="38100"/>
                    </a:xfrm>
                    <a:prstGeom prst="rect">
                      <a:avLst/>
                    </a:prstGeom>
                    <a:noFill/>
                  </pic:spPr>
                </pic:pic>
              </a:graphicData>
            </a:graphic>
          </wp:anchor>
        </w:drawing>
        <w:t>GALECTIN THERAPEUTICS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21"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jc w:val="center"/>
        <w:ind w:left="8160"/>
        <w:spacing w:after="0" w:line="227"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3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39"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5"/>
          </w:tcPr>
          <w:p>
            <w:pPr>
              <w:jc w:val="right"/>
              <w:ind w:right="33"/>
              <w:spacing w:after="0" w:line="139" w:lineRule="exact"/>
              <w:rPr>
                <w:sz w:val="20"/>
                <w:szCs w:val="20"/>
                <w:color w:val="auto"/>
              </w:rPr>
            </w:pPr>
            <w:r>
              <w:rPr>
                <w:rFonts w:ascii="Arial" w:cs="Arial" w:eastAsia="Arial" w:hAnsi="Arial"/>
                <w:sz w:val="14"/>
                <w:szCs w:val="14"/>
                <w:b w:val="1"/>
                <w:bCs w:val="1"/>
                <w:color w:val="auto"/>
                <w:w w:val="88"/>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8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loss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18"/>
        </w:trPr>
        <w:tc>
          <w:tcPr>
            <w:tcW w:w="65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income (expense)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500" w:type="dxa"/>
            <w:vAlign w:val="bottom"/>
            <w:gridSpan w:val="2"/>
            <w:vMerge w:val="continue"/>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(2,375)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Warrant modification (Note 9)</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(6,622)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(9,093)</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 basic and diluted</w:t>
            </w: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00" w:type="dxa"/>
            <w:vAlign w:val="bottom"/>
            <w:gridSpan w:val="2"/>
            <w:vMerge w:val="continue"/>
          </w:tcPr>
          <w:p>
            <w:pPr>
              <w:spacing w:after="0"/>
              <w:rPr>
                <w:sz w:val="17"/>
                <w:szCs w:val="17"/>
                <w:color w:val="auto"/>
              </w:rPr>
            </w:pPr>
          </w:p>
        </w:tc>
        <w:tc>
          <w:tcPr>
            <w:tcW w:w="1860" w:type="dxa"/>
            <w:vAlign w:val="bottom"/>
            <w:gridSpan w:val="2"/>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line="204" w:lineRule="exact"/>
              <w:rPr>
                <w:sz w:val="20"/>
                <w:szCs w:val="20"/>
                <w:color w:val="auto"/>
              </w:rPr>
            </w:pPr>
            <w:r>
              <w:rPr>
                <w:rFonts w:ascii="Arial" w:cs="Arial" w:eastAsia="Arial" w:hAnsi="Arial"/>
                <w:sz w:val="18"/>
                <w:szCs w:val="18"/>
                <w:color w:val="auto"/>
              </w:rPr>
              <w:t>(0.20)</w:t>
            </w:r>
          </w:p>
        </w:tc>
        <w:tc>
          <w:tcPr>
            <w:tcW w:w="420" w:type="dxa"/>
            <w:vAlign w:val="bottom"/>
            <w:gridSpan w:val="2"/>
          </w:tcPr>
          <w:p>
            <w:pPr>
              <w:jc w:val="right"/>
              <w:ind w:right="140"/>
              <w:spacing w:after="0" w:line="204"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4" w:lineRule="exact"/>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560" w:top="267" w:right="5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705" cy="38100"/>
                    </a:xfrm>
                    <a:prstGeom prst="rect">
                      <a:avLst/>
                    </a:prstGeom>
                    <a:noFill/>
                  </pic:spPr>
                </pic:pic>
              </a:graphicData>
            </a:graphic>
          </wp:anchor>
        </w:drawing>
        <w:t>GALECTIN THERAPEUTICS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1" w:lineRule="exact"/>
        <w:rPr>
          <w:sz w:val="20"/>
          <w:szCs w:val="20"/>
          <w:color w:val="auto"/>
        </w:rPr>
      </w:pPr>
    </w:p>
    <w:p>
      <w:pPr>
        <w:jc w:val="center"/>
        <w:ind w:left="9140"/>
        <w:spacing w:after="0"/>
        <w:rPr>
          <w:sz w:val="20"/>
          <w:szCs w:val="20"/>
          <w:color w:val="auto"/>
        </w:rPr>
      </w:pPr>
      <w:r>
        <w:rPr>
          <w:rFonts w:ascii="Arial" w:cs="Arial" w:eastAsia="Arial" w:hAnsi="Arial"/>
          <w:sz w:val="14"/>
          <w:szCs w:val="14"/>
          <w:b w:val="1"/>
          <w:bCs w:val="1"/>
          <w:color w:val="auto"/>
        </w:rPr>
        <w:t>Three Months Ended</w:t>
      </w:r>
    </w:p>
    <w:p>
      <w:pPr>
        <w:jc w:val="center"/>
        <w:ind w:left="9140"/>
        <w:spacing w:after="0" w:line="227"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39"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39"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5"/>
          </w:tcPr>
          <w:p>
            <w:pPr>
              <w:ind w:left="200"/>
              <w:spacing w:after="0" w:line="13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Net loss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(2,375)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(4,258)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Arial" w:cs="Arial" w:eastAsia="Arial" w:hAnsi="Arial"/>
                <w:sz w:val="18"/>
                <w:szCs w:val="18"/>
                <w:color w:val="auto"/>
              </w:rPr>
              <w:t>Payment of preferred stock dividends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Stock-based compensation expense</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Arial" w:cs="Arial" w:eastAsia="Arial" w:hAnsi="Arial"/>
                <w:sz w:val="18"/>
                <w:szCs w:val="18"/>
                <w:color w:val="auto"/>
              </w:rPr>
              <w:t>Amortization of right to use lease asset</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Issuance of common stock for services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tcPr>
          <w:p>
            <w:pPr>
              <w:ind w:left="680"/>
              <w:spacing w:after="0"/>
              <w:rPr>
                <w:sz w:val="20"/>
                <w:szCs w:val="20"/>
                <w:color w:val="auto"/>
              </w:rPr>
            </w:pPr>
            <w:r>
              <w:rPr>
                <w:rFonts w:ascii="Arial" w:cs="Arial" w:eastAsia="Arial" w:hAnsi="Arial"/>
                <w:sz w:val="18"/>
                <w:szCs w:val="18"/>
                <w:color w:val="auto"/>
              </w:rPr>
              <w:t>Non-cash interest expense</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Changes in operating assets and liabilities: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tcPr>
          <w:p>
            <w:pPr>
              <w:ind w:left="1040"/>
              <w:spacing w:after="0"/>
              <w:rPr>
                <w:sz w:val="20"/>
                <w:szCs w:val="20"/>
                <w:color w:val="auto"/>
              </w:rPr>
            </w:pPr>
            <w:r>
              <w:rPr>
                <w:rFonts w:ascii="Arial" w:cs="Arial" w:eastAsia="Arial" w:hAnsi="Arial"/>
                <w:sz w:val="18"/>
                <w:szCs w:val="18"/>
                <w:color w:val="auto"/>
              </w:rPr>
              <w:t>Prepaid expenses and other assets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Accounts payable and accrued expenses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ind w:left="1380"/>
              <w:spacing w:after="0"/>
              <w:rPr>
                <w:sz w:val="20"/>
                <w:szCs w:val="20"/>
                <w:color w:val="auto"/>
              </w:rPr>
            </w:pPr>
            <w:r>
              <w:rPr>
                <w:rFonts w:ascii="Arial" w:cs="Arial" w:eastAsia="Arial" w:hAnsi="Arial"/>
                <w:sz w:val="18"/>
                <w:szCs w:val="18"/>
                <w:color w:val="auto"/>
              </w:rPr>
              <w:t>Net cash from operating activities</w:t>
            </w:r>
          </w:p>
        </w:tc>
        <w:tc>
          <w:tcPr>
            <w:tcW w:w="1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748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(3,284)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(3,516)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7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Net proceeds from issuance of common stock and warrants</w:t>
            </w:r>
          </w:p>
        </w:tc>
        <w:tc>
          <w:tcPr>
            <w:tcW w:w="17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flows from financing activities</w:t>
            </w:r>
          </w:p>
        </w:tc>
        <w:tc>
          <w:tcPr>
            <w:tcW w:w="1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0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8,253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6,972</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NONCASH FINANCING ACTIVITIES: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320"/>
              <w:spacing w:after="0"/>
              <w:rPr>
                <w:sz w:val="20"/>
                <w:szCs w:val="20"/>
                <w:color w:val="auto"/>
              </w:rPr>
            </w:pPr>
            <w:r>
              <w:rPr>
                <w:rFonts w:ascii="Arial" w:cs="Arial" w:eastAsia="Arial" w:hAnsi="Arial"/>
                <w:sz w:val="18"/>
                <w:szCs w:val="18"/>
                <w:color w:val="auto"/>
              </w:rPr>
              <w:t>Payment of preferred stock dividends in common stock</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00"/>
          </w:cols>
          <w:pgMar w:left="560" w:top="267" w:right="5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705" cy="38100"/>
                    </a:xfrm>
                    <a:prstGeom prst="rect">
                      <a:avLst/>
                    </a:prstGeom>
                    <a:noFill/>
                  </pic:spPr>
                </pic:pic>
              </a:graphicData>
            </a:graphic>
          </wp:anchor>
        </w:drawing>
        <w:t>GALECTIN THERAPEUTICS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 (DEFICIT) (UNAUDITED)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7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8"/>
              </w:rPr>
              <w:t>Series C Super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700" w:type="dxa"/>
            <w:vAlign w:val="bottom"/>
            <w:gridSpan w:val="4"/>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Dividend Redeemable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700" w:type="dxa"/>
            <w:vAlign w:val="bottom"/>
            <w:gridSpan w:val="4"/>
          </w:tcPr>
          <w:p>
            <w:pPr>
              <w:jc w:val="center"/>
              <w:ind w:right="60"/>
              <w:spacing w:after="0" w:line="145"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660" w:type="dxa"/>
            <w:vAlign w:val="bottom"/>
          </w:tcPr>
          <w:p>
            <w:pPr>
              <w:jc w:val="right"/>
              <w:spacing w:after="0" w:line="116" w:lineRule="exact"/>
              <w:rPr>
                <w:sz w:val="20"/>
                <w:szCs w:val="20"/>
                <w:color w:val="auto"/>
              </w:rPr>
            </w:pPr>
            <w:r>
              <w:rPr>
                <w:rFonts w:ascii="Arial" w:cs="Arial" w:eastAsia="Arial" w:hAnsi="Arial"/>
                <w:sz w:val="13"/>
                <w:szCs w:val="13"/>
                <w:b w:val="1"/>
                <w:bCs w:val="1"/>
                <w:color w:val="auto"/>
                <w:w w:val="98"/>
              </w:rPr>
              <w:t>Number of</w:t>
            </w:r>
          </w:p>
        </w:tc>
        <w:tc>
          <w:tcPr>
            <w:tcW w:w="460" w:type="dxa"/>
            <w:vAlign w:val="bottom"/>
          </w:tcPr>
          <w:p>
            <w:pPr>
              <w:spacing w:after="0"/>
              <w:rPr>
                <w:sz w:val="10"/>
                <w:szCs w:val="10"/>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60" w:type="dxa"/>
            <w:vAlign w:val="bottom"/>
          </w:tcPr>
          <w:p>
            <w:pPr>
              <w:jc w:val="right"/>
              <w:ind w:right="44"/>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Balance at December 31, 2017</w:t>
            </w:r>
          </w:p>
        </w:tc>
        <w:tc>
          <w:tcPr>
            <w:tcW w:w="5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b w:val="1"/>
                <w:bCs w:val="1"/>
                <w:color w:val="auto"/>
              </w:rPr>
              <w:t>176</w:t>
            </w:r>
          </w:p>
        </w:tc>
        <w:tc>
          <w:tcPr>
            <w:tcW w:w="4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w w:val="83"/>
              </w:rPr>
              <w:t>$ 1,723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2018</w:t>
            </w:r>
          </w:p>
        </w:tc>
        <w:tc>
          <w:tcPr>
            <w:tcW w:w="5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460" w:type="dxa"/>
            <w:vAlign w:val="bottom"/>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2019</w:t>
            </w:r>
          </w:p>
        </w:tc>
        <w:tc>
          <w:tcPr>
            <w:tcW w:w="53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46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300" w:type="dxa"/>
            <w:vAlign w:val="bottom"/>
            <w:vMerge w:val="restart"/>
          </w:tcPr>
          <w:p>
            <w:pPr>
              <w:jc w:val="right"/>
              <w:ind w:right="3572"/>
              <w:spacing w:after="0"/>
              <w:rPr>
                <w:sz w:val="20"/>
                <w:szCs w:val="20"/>
                <w:color w:val="auto"/>
              </w:rPr>
            </w:pPr>
            <w:r>
              <w:rPr>
                <w:rFonts w:ascii="Arial" w:cs="Arial" w:eastAsia="Arial" w:hAnsi="Arial"/>
                <w:sz w:val="18"/>
                <w:szCs w:val="18"/>
                <w:color w:val="auto"/>
              </w:rPr>
              <w:t>6</w:t>
            </w: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560" w:top="267" w:right="5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705" cy="38100"/>
                    </a:xfrm>
                    <a:prstGeom prst="rect">
                      <a:avLst/>
                    </a:prstGeom>
                    <a:noFill/>
                  </pic:spPr>
                </pic:pic>
              </a:graphicData>
            </a:graphic>
          </wp:anchor>
        </w:drawing>
        <w:t>GALECTIN THERAPEUTICS INC.</w:t>
      </w:r>
    </w:p>
    <w:p>
      <w:pPr>
        <w:spacing w:after="0" w:line="22" w:lineRule="exact"/>
        <w:rPr>
          <w:sz w:val="20"/>
          <w:szCs w:val="20"/>
          <w:color w:val="auto"/>
        </w:rPr>
      </w:pPr>
    </w:p>
    <w:p>
      <w:pPr>
        <w:ind w:right="700"/>
        <w:spacing w:after="0" w:line="245"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 Ended March 31, 2019 and 2018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Series A 12%</w:t>
            </w:r>
          </w:p>
        </w:tc>
        <w:tc>
          <w:tcPr>
            <w:tcW w:w="80" w:type="dxa"/>
            <w:vAlign w:val="bottom"/>
          </w:tcPr>
          <w:p>
            <w:pPr>
              <w:spacing w:after="0"/>
              <w:rPr>
                <w:sz w:val="14"/>
                <w:szCs w:val="14"/>
                <w:color w:val="auto"/>
              </w:rPr>
            </w:pPr>
          </w:p>
        </w:tc>
        <w:tc>
          <w:tcPr>
            <w:tcW w:w="13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Series B-1 12%</w:t>
            </w:r>
          </w:p>
        </w:tc>
        <w:tc>
          <w:tcPr>
            <w:tcW w:w="14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Series B-2 12%</w:t>
            </w:r>
          </w:p>
        </w:tc>
        <w:tc>
          <w:tcPr>
            <w:tcW w:w="14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Series B-3 8%</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gridSpan w:val="3"/>
          </w:tcPr>
          <w:p>
            <w:pPr>
              <w:jc w:val="center"/>
              <w:ind w:left="168"/>
              <w:spacing w:after="0" w:line="145" w:lineRule="exact"/>
              <w:rPr>
                <w:sz w:val="20"/>
                <w:szCs w:val="20"/>
                <w:color w:val="auto"/>
              </w:rPr>
            </w:pPr>
            <w:r>
              <w:rPr>
                <w:rFonts w:ascii="Arial" w:cs="Arial" w:eastAsia="Arial" w:hAnsi="Arial"/>
                <w:sz w:val="14"/>
                <w:szCs w:val="14"/>
                <w:b w:val="1"/>
                <w:bCs w:val="1"/>
                <w:color w:val="auto"/>
                <w:w w:val="90"/>
              </w:rPr>
              <w:t>Convertible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6"/>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Convertible</w:t>
            </w:r>
          </w:p>
        </w:tc>
        <w:tc>
          <w:tcPr>
            <w:tcW w:w="1460" w:type="dxa"/>
            <w:vAlign w:val="bottom"/>
            <w:gridSpan w:val="6"/>
          </w:tcPr>
          <w:p>
            <w:pPr>
              <w:jc w:val="center"/>
              <w:ind w:right="140"/>
              <w:spacing w:after="0" w:line="145" w:lineRule="exact"/>
              <w:rPr>
                <w:sz w:val="20"/>
                <w:szCs w:val="20"/>
                <w:color w:val="auto"/>
              </w:rPr>
            </w:pPr>
            <w:r>
              <w:rPr>
                <w:rFonts w:ascii="Arial" w:cs="Arial" w:eastAsia="Arial" w:hAnsi="Arial"/>
                <w:sz w:val="14"/>
                <w:szCs w:val="14"/>
                <w:b w:val="1"/>
                <w:bCs w:val="1"/>
                <w:color w:val="auto"/>
                <w:w w:val="93"/>
              </w:rPr>
              <w:t>Convertible</w:t>
            </w:r>
          </w:p>
        </w:tc>
        <w:tc>
          <w:tcPr>
            <w:tcW w:w="1480" w:type="dxa"/>
            <w:vAlign w:val="bottom"/>
            <w:gridSpan w:val="6"/>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Convertible</w:t>
            </w:r>
          </w:p>
        </w:tc>
        <w:tc>
          <w:tcPr>
            <w:tcW w:w="1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Preferred Stock</w:t>
            </w:r>
          </w:p>
        </w:tc>
        <w:tc>
          <w:tcPr>
            <w:tcW w:w="80" w:type="dxa"/>
            <w:vAlign w:val="bottom"/>
          </w:tcPr>
          <w:p>
            <w:pPr>
              <w:spacing w:after="0"/>
              <w:rPr>
                <w:sz w:val="14"/>
                <w:szCs w:val="14"/>
                <w:color w:val="auto"/>
              </w:rPr>
            </w:pPr>
          </w:p>
        </w:tc>
        <w:tc>
          <w:tcPr>
            <w:tcW w:w="13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Preferred Stock</w:t>
            </w:r>
          </w:p>
        </w:tc>
        <w:tc>
          <w:tcPr>
            <w:tcW w:w="14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Preferred Stock</w:t>
            </w:r>
          </w:p>
        </w:tc>
        <w:tc>
          <w:tcPr>
            <w:tcW w:w="14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0"/>
              </w:rPr>
              <w:t>Preferred Stock</w:t>
            </w:r>
          </w:p>
        </w:tc>
        <w:tc>
          <w:tcPr>
            <w:tcW w:w="11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center"/>
              <w:ind w:right="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83"/>
              <w:spacing w:after="0"/>
              <w:rPr>
                <w:sz w:val="20"/>
                <w:szCs w:val="20"/>
                <w:color w:val="auto"/>
              </w:rPr>
            </w:pPr>
            <w:r>
              <w:rPr>
                <w:rFonts w:ascii="Arial" w:cs="Arial" w:eastAsia="Arial" w:hAnsi="Arial"/>
                <w:sz w:val="14"/>
                <w:szCs w:val="14"/>
                <w:b w:val="1"/>
                <w:bCs w:val="1"/>
                <w:color w:val="auto"/>
                <w:w w:val="94"/>
              </w:rPr>
              <w:t>Retained</w:t>
            </w:r>
          </w:p>
        </w:tc>
        <w:tc>
          <w:tcPr>
            <w:tcW w:w="84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of</w:t>
            </w:r>
          </w:p>
        </w:tc>
        <w:tc>
          <w:tcPr>
            <w:tcW w:w="6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6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of</w:t>
            </w:r>
          </w:p>
        </w:tc>
        <w:tc>
          <w:tcPr>
            <w:tcW w:w="6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of</w:t>
            </w:r>
          </w:p>
        </w:tc>
        <w:tc>
          <w:tcPr>
            <w:tcW w:w="68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80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of</w:t>
            </w:r>
          </w:p>
        </w:tc>
        <w:tc>
          <w:tcPr>
            <w:tcW w:w="6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of</w:t>
            </w:r>
          </w:p>
        </w:tc>
        <w:tc>
          <w:tcPr>
            <w:tcW w:w="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26"/>
              <w:spacing w:after="0" w:line="145"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26"/>
              <w:spacing w:after="0" w:line="14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6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gridSpan w:val="4"/>
            <w:vMerge w:val="continue"/>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gridSpan w:val="4"/>
            <w:vMerge w:val="continue"/>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gridSpan w:val="4"/>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5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26"/>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700" w:type="dxa"/>
            <w:vAlign w:val="bottom"/>
            <w:gridSpan w:val="2"/>
          </w:tcPr>
          <w:p>
            <w:pPr>
              <w:jc w:val="right"/>
              <w:ind w:right="163"/>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6"/>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94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5"/>
                <w:szCs w:val="15"/>
                <w:b w:val="1"/>
                <w:bCs w:val="1"/>
                <w:color w:val="auto"/>
                <w:w w:val="89"/>
              </w:rPr>
              <w:t>Balance at December 31, 2017</w:t>
            </w:r>
          </w:p>
        </w:tc>
        <w:tc>
          <w:tcPr>
            <w:tcW w:w="64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w w:val="92"/>
              </w:rPr>
              <w:t>1,377,500</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line="152" w:lineRule="exact"/>
              <w:rPr>
                <w:sz w:val="20"/>
                <w:szCs w:val="20"/>
                <w:color w:val="auto"/>
              </w:rPr>
            </w:pPr>
            <w:r>
              <w:rPr>
                <w:rFonts w:ascii="Arial" w:cs="Arial" w:eastAsia="Arial" w:hAnsi="Arial"/>
                <w:sz w:val="15"/>
                <w:szCs w:val="15"/>
                <w:b w:val="1"/>
                <w:bCs w:val="1"/>
                <w:color w:val="auto"/>
              </w:rPr>
              <w:t>$</w:t>
            </w:r>
          </w:p>
        </w:tc>
        <w:tc>
          <w:tcPr>
            <w:tcW w:w="26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w w:val="87"/>
              </w:rPr>
              <w:t>557</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w w:val="99"/>
              </w:rPr>
              <w:t>900,000</w:t>
            </w: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2" w:lineRule="exact"/>
              <w:rPr>
                <w:sz w:val="20"/>
                <w:szCs w:val="20"/>
                <w:color w:val="auto"/>
              </w:rPr>
            </w:pPr>
            <w:r>
              <w:rPr>
                <w:rFonts w:ascii="Arial" w:cs="Arial" w:eastAsia="Arial" w:hAnsi="Arial"/>
                <w:sz w:val="15"/>
                <w:szCs w:val="15"/>
                <w:b w:val="1"/>
                <w:bCs w:val="1"/>
                <w:color w:val="auto"/>
                <w:w w:val="95"/>
              </w:rPr>
              <w:t>$</w:t>
            </w:r>
          </w:p>
        </w:tc>
        <w:tc>
          <w:tcPr>
            <w:tcW w:w="40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rPr>
              <w:t>1,761</w:t>
            </w:r>
          </w:p>
        </w:tc>
        <w:tc>
          <w:tcPr>
            <w:tcW w:w="1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rPr>
              <w:t>2,100,000</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rPr>
              <w:t>3,697</w:t>
            </w:r>
          </w:p>
        </w:tc>
        <w:tc>
          <w:tcPr>
            <w:tcW w:w="1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rPr>
              <w:t>2,508,000</w:t>
            </w: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2" w:lineRule="exact"/>
              <w:rPr>
                <w:sz w:val="20"/>
                <w:szCs w:val="20"/>
                <w:color w:val="auto"/>
              </w:rPr>
            </w:pPr>
            <w:r>
              <w:rPr>
                <w:rFonts w:ascii="Arial" w:cs="Arial" w:eastAsia="Arial" w:hAnsi="Arial"/>
                <w:sz w:val="15"/>
                <w:szCs w:val="15"/>
                <w:b w:val="1"/>
                <w:bCs w:val="1"/>
                <w:color w:val="auto"/>
                <w:w w:val="95"/>
              </w:rPr>
              <w:t>$</w:t>
            </w:r>
          </w:p>
        </w:tc>
        <w:tc>
          <w:tcPr>
            <w:tcW w:w="40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rPr>
              <w:t>1,224</w:t>
            </w:r>
          </w:p>
        </w:tc>
        <w:tc>
          <w:tcPr>
            <w:tcW w:w="14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w w:val="90"/>
              </w:rPr>
              <w:t>35,789,388</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w w:val="83"/>
              </w:rPr>
              <w:t>36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w w:val="99"/>
              </w:rPr>
              <w:t>173,363</w:t>
            </w: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w w:val="82"/>
              </w:rPr>
              <w:t>$(181,168)</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5"/>
                <w:szCs w:val="15"/>
                <w:b w:val="1"/>
                <w:bCs w:val="1"/>
                <w:color w:val="auto"/>
              </w:rPr>
              <w:t>(53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40" w:type="dxa"/>
            <w:vAlign w:val="bottom"/>
          </w:tcPr>
          <w:p>
            <w:pPr>
              <w:spacing w:after="0" w:line="146" w:lineRule="exact"/>
              <w:rPr>
                <w:sz w:val="20"/>
                <w:szCs w:val="20"/>
                <w:color w:val="auto"/>
              </w:rPr>
            </w:pPr>
            <w:r>
              <w:rPr>
                <w:rFonts w:ascii="Arial" w:cs="Arial" w:eastAsia="Arial" w:hAnsi="Arial"/>
                <w:sz w:val="15"/>
                <w:szCs w:val="15"/>
                <w:color w:val="auto"/>
              </w:rPr>
              <w:t>Series A 12% convertible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Arial" w:cs="Arial" w:eastAsia="Arial" w:hAnsi="Arial"/>
                <w:sz w:val="15"/>
                <w:szCs w:val="15"/>
                <w:color w:val="auto"/>
              </w:rPr>
              <w:t>preferred stock dividend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13,775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66</w:t>
            </w:r>
          </w:p>
        </w:tc>
        <w:tc>
          <w:tcPr>
            <w:tcW w:w="780" w:type="dxa"/>
            <w:vAlign w:val="bottom"/>
            <w:gridSpan w:val="3"/>
          </w:tcPr>
          <w:p>
            <w:pPr>
              <w:jc w:val="right"/>
              <w:ind w:right="3"/>
              <w:spacing w:after="0"/>
              <w:rPr>
                <w:sz w:val="20"/>
                <w:szCs w:val="20"/>
                <w:color w:val="auto"/>
              </w:rPr>
            </w:pPr>
            <w:r>
              <w:rPr>
                <w:rFonts w:ascii="Arial" w:cs="Arial" w:eastAsia="Arial" w:hAnsi="Arial"/>
                <w:sz w:val="15"/>
                <w:szCs w:val="15"/>
                <w:color w:val="auto"/>
              </w:rPr>
              <w:t>(24)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4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Series B-1 12% convertible</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preferred stock dividend</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11,458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780" w:type="dxa"/>
            <w:vAlign w:val="bottom"/>
            <w:gridSpan w:val="3"/>
            <w:shd w:val="clear" w:color="auto" w:fill="CCEEFF"/>
          </w:tcPr>
          <w:p>
            <w:pPr>
              <w:jc w:val="right"/>
              <w:ind w:right="3"/>
              <w:spacing w:after="0"/>
              <w:rPr>
                <w:sz w:val="20"/>
                <w:szCs w:val="20"/>
                <w:color w:val="auto"/>
              </w:rPr>
            </w:pPr>
            <w:r>
              <w:rPr>
                <w:rFonts w:ascii="Arial" w:cs="Arial" w:eastAsia="Arial" w:hAnsi="Arial"/>
                <w:sz w:val="15"/>
                <w:szCs w:val="15"/>
                <w:color w:val="auto"/>
              </w:rPr>
              <w:t>(54)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40" w:type="dxa"/>
            <w:vAlign w:val="bottom"/>
          </w:tcPr>
          <w:p>
            <w:pPr>
              <w:spacing w:after="0" w:line="146" w:lineRule="exact"/>
              <w:rPr>
                <w:sz w:val="20"/>
                <w:szCs w:val="20"/>
                <w:color w:val="auto"/>
              </w:rPr>
            </w:pPr>
            <w:r>
              <w:rPr>
                <w:rFonts w:ascii="Arial" w:cs="Arial" w:eastAsia="Arial" w:hAnsi="Arial"/>
                <w:sz w:val="15"/>
                <w:szCs w:val="15"/>
                <w:color w:val="auto"/>
              </w:rPr>
              <w:t>Series B-2 12% convertible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Arial" w:cs="Arial" w:eastAsia="Arial" w:hAnsi="Arial"/>
                <w:sz w:val="15"/>
                <w:szCs w:val="15"/>
                <w:color w:val="auto"/>
              </w:rPr>
              <w:t>preferred stock dividend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26,736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127</w:t>
            </w:r>
          </w:p>
        </w:tc>
        <w:tc>
          <w:tcPr>
            <w:tcW w:w="780" w:type="dxa"/>
            <w:vAlign w:val="bottom"/>
            <w:gridSpan w:val="3"/>
          </w:tcPr>
          <w:p>
            <w:pPr>
              <w:jc w:val="right"/>
              <w:ind w:right="3"/>
              <w:spacing w:after="0"/>
              <w:rPr>
                <w:sz w:val="20"/>
                <w:szCs w:val="20"/>
                <w:color w:val="auto"/>
              </w:rPr>
            </w:pPr>
            <w:r>
              <w:rPr>
                <w:rFonts w:ascii="Arial" w:cs="Arial" w:eastAsia="Arial" w:hAnsi="Arial"/>
                <w:sz w:val="15"/>
                <w:szCs w:val="15"/>
                <w:color w:val="auto"/>
              </w:rPr>
              <w:t>(127)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4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Series B-3 8% convertible</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preferred stock dividend</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10,608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780" w:type="dxa"/>
            <w:vAlign w:val="bottom"/>
            <w:gridSpan w:val="3"/>
            <w:shd w:val="clear" w:color="auto" w:fill="CCEEFF"/>
          </w:tcPr>
          <w:p>
            <w:pPr>
              <w:jc w:val="right"/>
              <w:ind w:right="3"/>
              <w:spacing w:after="0"/>
              <w:rPr>
                <w:sz w:val="20"/>
                <w:szCs w:val="20"/>
                <w:color w:val="auto"/>
              </w:rPr>
            </w:pPr>
            <w:r>
              <w:rPr>
                <w:rFonts w:ascii="Arial" w:cs="Arial" w:eastAsia="Arial" w:hAnsi="Arial"/>
                <w:sz w:val="15"/>
                <w:szCs w:val="15"/>
                <w:color w:val="auto"/>
              </w:rPr>
              <w:t>(50)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40" w:type="dxa"/>
            <w:vAlign w:val="bottom"/>
          </w:tcPr>
          <w:p>
            <w:pPr>
              <w:spacing w:after="0" w:line="146" w:lineRule="exact"/>
              <w:rPr>
                <w:sz w:val="20"/>
                <w:szCs w:val="20"/>
                <w:color w:val="auto"/>
              </w:rPr>
            </w:pPr>
            <w:r>
              <w:rPr>
                <w:rFonts w:ascii="Arial" w:cs="Arial" w:eastAsia="Arial" w:hAnsi="Arial"/>
                <w:sz w:val="15"/>
                <w:szCs w:val="15"/>
                <w:color w:val="auto"/>
              </w:rPr>
              <w:t>Series C super dividend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ind w:left="120"/>
              <w:spacing w:after="0" w:line="159" w:lineRule="exact"/>
              <w:rPr>
                <w:sz w:val="20"/>
                <w:szCs w:val="20"/>
                <w:color w:val="auto"/>
              </w:rPr>
            </w:pPr>
            <w:r>
              <w:rPr>
                <w:rFonts w:ascii="Arial" w:cs="Arial" w:eastAsia="Arial" w:hAnsi="Arial"/>
                <w:sz w:val="15"/>
                <w:szCs w:val="15"/>
                <w:color w:val="auto"/>
              </w:rPr>
              <w:t>redeemable convertible</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Arial" w:cs="Arial" w:eastAsia="Arial" w:hAnsi="Arial"/>
                <w:sz w:val="15"/>
                <w:szCs w:val="15"/>
                <w:color w:val="auto"/>
              </w:rPr>
              <w:t>preferred stock dividend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11,899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56</w:t>
            </w:r>
          </w:p>
        </w:tc>
        <w:tc>
          <w:tcPr>
            <w:tcW w:w="780" w:type="dxa"/>
            <w:vAlign w:val="bottom"/>
            <w:gridSpan w:val="3"/>
          </w:tcPr>
          <w:p>
            <w:pPr>
              <w:jc w:val="right"/>
              <w:ind w:right="3"/>
              <w:spacing w:after="0"/>
              <w:rPr>
                <w:sz w:val="20"/>
                <w:szCs w:val="20"/>
                <w:color w:val="auto"/>
              </w:rPr>
            </w:pPr>
            <w:r>
              <w:rPr>
                <w:rFonts w:ascii="Arial" w:cs="Arial" w:eastAsia="Arial" w:hAnsi="Arial"/>
                <w:sz w:val="15"/>
                <w:szCs w:val="15"/>
                <w:color w:val="auto"/>
              </w:rPr>
              <w:t>(30)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4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Issuance of common stock</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from exercise of warrants</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1,780,478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4,449</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40" w:type="dxa"/>
            <w:vAlign w:val="bottom"/>
          </w:tcPr>
          <w:p>
            <w:pPr>
              <w:spacing w:after="0" w:line="146" w:lineRule="exact"/>
              <w:rPr>
                <w:sz w:val="20"/>
                <w:szCs w:val="20"/>
                <w:color w:val="auto"/>
              </w:rPr>
            </w:pPr>
            <w:r>
              <w:rPr>
                <w:rFonts w:ascii="Arial" w:cs="Arial" w:eastAsia="Arial" w:hAnsi="Arial"/>
                <w:sz w:val="15"/>
                <w:szCs w:val="15"/>
                <w:color w:val="auto"/>
              </w:rPr>
              <w:t>Issuance of common stock</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Arial" w:cs="Arial" w:eastAsia="Arial" w:hAnsi="Arial"/>
                <w:sz w:val="15"/>
                <w:szCs w:val="15"/>
                <w:color w:val="auto"/>
              </w:rPr>
              <w:t>for services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1,620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4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Stock-based compensation</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expense</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1,187</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spacing w:after="0" w:line="159" w:lineRule="exact"/>
              <w:rPr>
                <w:sz w:val="20"/>
                <w:szCs w:val="20"/>
                <w:color w:val="auto"/>
              </w:rPr>
            </w:pPr>
            <w:r>
              <w:rPr>
                <w:rFonts w:ascii="Arial" w:cs="Arial" w:eastAsia="Arial" w:hAnsi="Arial"/>
                <w:sz w:val="15"/>
                <w:szCs w:val="15"/>
                <w:color w:val="auto"/>
              </w:rPr>
              <w:t>Net loss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3"/>
              <w:spacing w:after="0" w:line="159" w:lineRule="exact"/>
              <w:rPr>
                <w:sz w:val="20"/>
                <w:szCs w:val="20"/>
                <w:color w:val="auto"/>
              </w:rPr>
            </w:pPr>
            <w:r>
              <w:rPr>
                <w:rFonts w:ascii="Arial" w:cs="Arial" w:eastAsia="Arial" w:hAnsi="Arial"/>
                <w:sz w:val="15"/>
                <w:szCs w:val="15"/>
                <w:color w:val="auto"/>
              </w:rPr>
              <w:t>(4,258)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5"/>
                <w:szCs w:val="15"/>
                <w:color w:val="auto"/>
              </w:rPr>
              <w:t>(4,25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1940" w:type="dxa"/>
            <w:vAlign w:val="bottom"/>
            <w:shd w:val="clear" w:color="auto" w:fill="CCEEFF"/>
          </w:tcPr>
          <w:p>
            <w:pPr>
              <w:spacing w:after="0" w:line="159" w:lineRule="exact"/>
              <w:rPr>
                <w:sz w:val="20"/>
                <w:szCs w:val="20"/>
                <w:color w:val="auto"/>
              </w:rPr>
            </w:pPr>
            <w:r>
              <w:rPr>
                <w:rFonts w:ascii="Arial" w:cs="Arial" w:eastAsia="Arial" w:hAnsi="Arial"/>
                <w:sz w:val="15"/>
                <w:szCs w:val="15"/>
                <w:b w:val="1"/>
                <w:bCs w:val="1"/>
                <w:color w:val="auto"/>
              </w:rPr>
              <w:t>Balance at March 31, 2018</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b w:val="1"/>
                <w:bCs w:val="1"/>
                <w:color w:val="auto"/>
                <w:w w:val="92"/>
              </w:rPr>
              <w:t>1,377,500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line="159" w:lineRule="exact"/>
              <w:rPr>
                <w:sz w:val="20"/>
                <w:szCs w:val="20"/>
                <w:color w:val="auto"/>
              </w:rPr>
            </w:pPr>
            <w:r>
              <w:rPr>
                <w:rFonts w:ascii="Arial" w:cs="Arial" w:eastAsia="Arial" w:hAnsi="Arial"/>
                <w:sz w:val="15"/>
                <w:szCs w:val="15"/>
                <w:b w:val="1"/>
                <w:bCs w:val="1"/>
                <w:color w:val="auto"/>
              </w:rPr>
              <w:t>$</w:t>
            </w: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b w:val="1"/>
                <w:bCs w:val="1"/>
                <w:color w:val="auto"/>
                <w:w w:val="87"/>
              </w:rPr>
              <w:t>557</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b w:val="1"/>
                <w:bCs w:val="1"/>
                <w:color w:val="auto"/>
                <w:w w:val="99"/>
              </w:rPr>
              <w:t>900,000</w:t>
            </w: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5"/>
                <w:szCs w:val="15"/>
                <w:b w:val="1"/>
                <w:bCs w:val="1"/>
                <w:color w:val="auto"/>
                <w:w w:val="95"/>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b w:val="1"/>
                <w:bCs w:val="1"/>
                <w:color w:val="auto"/>
              </w:rPr>
              <w:t>1,761</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b w:val="1"/>
                <w:bCs w:val="1"/>
                <w:color w:val="auto"/>
              </w:rPr>
              <w:t>2,100,000</w:t>
            </w: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b w:val="1"/>
                <w:bCs w:val="1"/>
                <w:color w:val="auto"/>
              </w:rPr>
              <w:t>3,697</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b w:val="1"/>
                <w:bCs w:val="1"/>
                <w:color w:val="auto"/>
              </w:rPr>
              <w:t>2,508,000</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5"/>
                <w:szCs w:val="15"/>
                <w:b w:val="1"/>
                <w:bCs w:val="1"/>
                <w:color w:val="auto"/>
                <w:w w:val="95"/>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b w:val="1"/>
                <w:bCs w:val="1"/>
                <w:color w:val="auto"/>
              </w:rPr>
              <w:t>1,224</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b w:val="1"/>
                <w:bCs w:val="1"/>
                <w:color w:val="auto"/>
                <w:w w:val="90"/>
              </w:rPr>
              <w:t>37,645,971</w:t>
            </w:r>
          </w:p>
        </w:tc>
        <w:tc>
          <w:tcPr>
            <w:tcW w:w="400" w:type="dxa"/>
            <w:vAlign w:val="bottom"/>
            <w:gridSpan w:val="2"/>
            <w:shd w:val="clear" w:color="auto" w:fill="CCEEFF"/>
          </w:tcPr>
          <w:p>
            <w:pPr>
              <w:jc w:val="right"/>
              <w:ind w:right="212"/>
              <w:spacing w:after="0" w:line="159" w:lineRule="exact"/>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b w:val="1"/>
                <w:bCs w:val="1"/>
                <w:color w:val="auto"/>
                <w:w w:val="83"/>
              </w:rPr>
              <w:t>38</w:t>
            </w:r>
          </w:p>
        </w:tc>
        <w:tc>
          <w:tcPr>
            <w:tcW w:w="1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5"/>
                <w:szCs w:val="15"/>
                <w:b w:val="1"/>
                <w:bCs w:val="1"/>
                <w:color w:val="auto"/>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b w:val="1"/>
                <w:bCs w:val="1"/>
                <w:color w:val="auto"/>
                <w:w w:val="99"/>
              </w:rPr>
              <w:t>179,359</w:t>
            </w:r>
          </w:p>
        </w:tc>
        <w:tc>
          <w:tcPr>
            <w:tcW w:w="780" w:type="dxa"/>
            <w:vAlign w:val="bottom"/>
            <w:gridSpan w:val="3"/>
            <w:shd w:val="clear" w:color="auto" w:fill="CCEEFF"/>
          </w:tcPr>
          <w:p>
            <w:pPr>
              <w:jc w:val="right"/>
              <w:ind w:right="3"/>
              <w:spacing w:after="0" w:line="159" w:lineRule="exact"/>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 xml:space="preserve"> (185,711)</w:t>
            </w:r>
          </w:p>
        </w:tc>
        <w:tc>
          <w:tcPr>
            <w:tcW w:w="18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5"/>
                <w:szCs w:val="15"/>
                <w:b w:val="1"/>
                <w:bCs w:val="1"/>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b w:val="1"/>
                <w:bCs w:val="1"/>
                <w:color w:val="auto"/>
              </w:rPr>
              <w:t>92</w:t>
            </w:r>
          </w:p>
        </w:tc>
        <w:tc>
          <w:tcPr>
            <w:tcW w:w="0" w:type="dxa"/>
            <w:vAlign w:val="bottom"/>
          </w:tcPr>
          <w:p>
            <w:pPr>
              <w:spacing w:after="0"/>
              <w:rPr>
                <w:sz w:val="1"/>
                <w:szCs w:val="1"/>
                <w:color w:val="auto"/>
              </w:rPr>
            </w:pPr>
          </w:p>
        </w:tc>
      </w:tr>
      <w:tr>
        <w:trPr>
          <w:trHeight w:val="20"/>
        </w:trPr>
        <w:tc>
          <w:tcPr>
            <w:tcW w:w="1960" w:type="dxa"/>
            <w:vAlign w:val="bottom"/>
            <w:gridSpan w:val="2"/>
            <w:vMerge w:val="restart"/>
          </w:tcPr>
          <w:p>
            <w:pPr>
              <w:spacing w:after="0"/>
              <w:rPr>
                <w:sz w:val="20"/>
                <w:szCs w:val="20"/>
                <w:color w:val="auto"/>
              </w:rPr>
            </w:pPr>
            <w:r>
              <w:rPr>
                <w:rFonts w:ascii="Arial" w:cs="Arial" w:eastAsia="Arial" w:hAnsi="Arial"/>
                <w:sz w:val="15"/>
                <w:szCs w:val="15"/>
                <w:b w:val="1"/>
                <w:bCs w:val="1"/>
                <w:color w:val="auto"/>
                <w:w w:val="90"/>
              </w:rPr>
              <w:t>Balance at December 31, 2018</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960" w:type="dxa"/>
            <w:vAlign w:val="bottom"/>
            <w:gridSpan w:val="2"/>
            <w:vMerge w:val="continue"/>
          </w:tcPr>
          <w:p>
            <w:pPr>
              <w:spacing w:after="0"/>
              <w:rPr>
                <w:sz w:val="13"/>
                <w:szCs w:val="13"/>
                <w:color w:val="auto"/>
              </w:rPr>
            </w:pPr>
          </w:p>
        </w:tc>
        <w:tc>
          <w:tcPr>
            <w:tcW w:w="640" w:type="dxa"/>
            <w:vAlign w:val="bottom"/>
          </w:tcPr>
          <w:p>
            <w:pPr>
              <w:jc w:val="right"/>
              <w:spacing w:after="0" w:line="152" w:lineRule="exact"/>
              <w:rPr>
                <w:sz w:val="20"/>
                <w:szCs w:val="20"/>
                <w:color w:val="auto"/>
              </w:rPr>
            </w:pPr>
            <w:r>
              <w:rPr>
                <w:rFonts w:ascii="Arial" w:cs="Arial" w:eastAsia="Arial" w:hAnsi="Arial"/>
                <w:sz w:val="15"/>
                <w:szCs w:val="15"/>
                <w:b w:val="1"/>
                <w:bCs w:val="1"/>
                <w:color w:val="auto"/>
                <w:w w:val="92"/>
              </w:rPr>
              <w:t>1,327,500</w:t>
            </w:r>
          </w:p>
        </w:tc>
        <w:tc>
          <w:tcPr>
            <w:tcW w:w="80" w:type="dxa"/>
            <w:vAlign w:val="bottom"/>
          </w:tcPr>
          <w:p>
            <w:pPr>
              <w:spacing w:after="0"/>
              <w:rPr>
                <w:sz w:val="13"/>
                <w:szCs w:val="13"/>
                <w:color w:val="auto"/>
              </w:rPr>
            </w:pPr>
          </w:p>
        </w:tc>
        <w:tc>
          <w:tcPr>
            <w:tcW w:w="260" w:type="dxa"/>
            <w:vAlign w:val="bottom"/>
          </w:tcPr>
          <w:p>
            <w:pPr>
              <w:spacing w:after="0" w:line="152" w:lineRule="exact"/>
              <w:rPr>
                <w:sz w:val="20"/>
                <w:szCs w:val="20"/>
                <w:color w:val="auto"/>
              </w:rPr>
            </w:pPr>
            <w:r>
              <w:rPr>
                <w:rFonts w:ascii="Arial" w:cs="Arial" w:eastAsia="Arial" w:hAnsi="Arial"/>
                <w:sz w:val="15"/>
                <w:szCs w:val="15"/>
                <w:b w:val="1"/>
                <w:bCs w:val="1"/>
                <w:color w:val="auto"/>
              </w:rPr>
              <w:t>$</w:t>
            </w:r>
          </w:p>
        </w:tc>
        <w:tc>
          <w:tcPr>
            <w:tcW w:w="260" w:type="dxa"/>
            <w:vAlign w:val="bottom"/>
          </w:tcPr>
          <w:p>
            <w:pPr>
              <w:jc w:val="right"/>
              <w:spacing w:after="0" w:line="152" w:lineRule="exact"/>
              <w:rPr>
                <w:sz w:val="20"/>
                <w:szCs w:val="20"/>
                <w:color w:val="auto"/>
              </w:rPr>
            </w:pPr>
            <w:r>
              <w:rPr>
                <w:rFonts w:ascii="Arial" w:cs="Arial" w:eastAsia="Arial" w:hAnsi="Arial"/>
                <w:sz w:val="15"/>
                <w:szCs w:val="15"/>
                <w:b w:val="1"/>
                <w:bCs w:val="1"/>
                <w:color w:val="auto"/>
                <w:w w:val="87"/>
              </w:rPr>
              <w:t>537</w:t>
            </w:r>
          </w:p>
        </w:tc>
        <w:tc>
          <w:tcPr>
            <w:tcW w:w="80" w:type="dxa"/>
            <w:vAlign w:val="bottom"/>
          </w:tcPr>
          <w:p>
            <w:pPr>
              <w:spacing w:after="0"/>
              <w:rPr>
                <w:sz w:val="13"/>
                <w:szCs w:val="13"/>
                <w:color w:val="auto"/>
              </w:rPr>
            </w:pPr>
          </w:p>
        </w:tc>
        <w:tc>
          <w:tcPr>
            <w:tcW w:w="580" w:type="dxa"/>
            <w:vAlign w:val="bottom"/>
          </w:tcPr>
          <w:p>
            <w:pPr>
              <w:jc w:val="right"/>
              <w:spacing w:after="0" w:line="152" w:lineRule="exact"/>
              <w:rPr>
                <w:sz w:val="20"/>
                <w:szCs w:val="20"/>
                <w:color w:val="auto"/>
              </w:rPr>
            </w:pPr>
            <w:r>
              <w:rPr>
                <w:rFonts w:ascii="Arial" w:cs="Arial" w:eastAsia="Arial" w:hAnsi="Arial"/>
                <w:sz w:val="15"/>
                <w:szCs w:val="15"/>
                <w:b w:val="1"/>
                <w:bCs w:val="1"/>
                <w:color w:val="auto"/>
                <w:w w:val="99"/>
              </w:rPr>
              <w:t>900,000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line="152" w:lineRule="exact"/>
              <w:rPr>
                <w:sz w:val="20"/>
                <w:szCs w:val="20"/>
                <w:color w:val="auto"/>
              </w:rPr>
            </w:pPr>
            <w:r>
              <w:rPr>
                <w:rFonts w:ascii="Arial" w:cs="Arial" w:eastAsia="Arial" w:hAnsi="Arial"/>
                <w:sz w:val="15"/>
                <w:szCs w:val="15"/>
                <w:b w:val="1"/>
                <w:bCs w:val="1"/>
                <w:color w:val="auto"/>
                <w:w w:val="95"/>
              </w:rPr>
              <w:t>$</w:t>
            </w:r>
          </w:p>
        </w:tc>
        <w:tc>
          <w:tcPr>
            <w:tcW w:w="400" w:type="dxa"/>
            <w:vAlign w:val="bottom"/>
          </w:tcPr>
          <w:p>
            <w:pPr>
              <w:jc w:val="right"/>
              <w:spacing w:after="0" w:line="152" w:lineRule="exact"/>
              <w:rPr>
                <w:sz w:val="20"/>
                <w:szCs w:val="20"/>
                <w:color w:val="auto"/>
              </w:rPr>
            </w:pPr>
            <w:r>
              <w:rPr>
                <w:rFonts w:ascii="Arial" w:cs="Arial" w:eastAsia="Arial" w:hAnsi="Arial"/>
                <w:sz w:val="15"/>
                <w:szCs w:val="15"/>
                <w:b w:val="1"/>
                <w:bCs w:val="1"/>
                <w:color w:val="auto"/>
              </w:rPr>
              <w:t>1,761</w:t>
            </w:r>
          </w:p>
        </w:tc>
        <w:tc>
          <w:tcPr>
            <w:tcW w:w="140" w:type="dxa"/>
            <w:vAlign w:val="bottom"/>
          </w:tcPr>
          <w:p>
            <w:pPr>
              <w:spacing w:after="0"/>
              <w:rPr>
                <w:sz w:val="13"/>
                <w:szCs w:val="13"/>
                <w:color w:val="auto"/>
              </w:rPr>
            </w:pPr>
          </w:p>
        </w:tc>
        <w:tc>
          <w:tcPr>
            <w:tcW w:w="700" w:type="dxa"/>
            <w:vAlign w:val="bottom"/>
          </w:tcPr>
          <w:p>
            <w:pPr>
              <w:jc w:val="right"/>
              <w:spacing w:after="0" w:line="152" w:lineRule="exact"/>
              <w:rPr>
                <w:sz w:val="20"/>
                <w:szCs w:val="20"/>
                <w:color w:val="auto"/>
              </w:rPr>
            </w:pPr>
            <w:r>
              <w:rPr>
                <w:rFonts w:ascii="Arial" w:cs="Arial" w:eastAsia="Arial" w:hAnsi="Arial"/>
                <w:sz w:val="15"/>
                <w:szCs w:val="15"/>
                <w:b w:val="1"/>
                <w:bCs w:val="1"/>
                <w:color w:val="auto"/>
              </w:rPr>
              <w:t>2,100,000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line="152" w:lineRule="exact"/>
              <w:rPr>
                <w:sz w:val="20"/>
                <w:szCs w:val="20"/>
                <w:color w:val="auto"/>
              </w:rPr>
            </w:pPr>
            <w:r>
              <w:rPr>
                <w:rFonts w:ascii="Arial" w:cs="Arial" w:eastAsia="Arial" w:hAnsi="Arial"/>
                <w:sz w:val="15"/>
                <w:szCs w:val="15"/>
                <w:b w:val="1"/>
                <w:bCs w:val="1"/>
                <w:color w:val="auto"/>
              </w:rPr>
              <w:t>3,697</w:t>
            </w:r>
          </w:p>
        </w:tc>
        <w:tc>
          <w:tcPr>
            <w:tcW w:w="120" w:type="dxa"/>
            <w:vAlign w:val="bottom"/>
          </w:tcPr>
          <w:p>
            <w:pPr>
              <w:spacing w:after="0"/>
              <w:rPr>
                <w:sz w:val="13"/>
                <w:szCs w:val="13"/>
                <w:color w:val="auto"/>
              </w:rPr>
            </w:pPr>
          </w:p>
        </w:tc>
        <w:tc>
          <w:tcPr>
            <w:tcW w:w="700" w:type="dxa"/>
            <w:vAlign w:val="bottom"/>
          </w:tcPr>
          <w:p>
            <w:pPr>
              <w:jc w:val="right"/>
              <w:spacing w:after="0" w:line="152" w:lineRule="exact"/>
              <w:rPr>
                <w:sz w:val="20"/>
                <w:szCs w:val="20"/>
                <w:color w:val="auto"/>
              </w:rPr>
            </w:pPr>
            <w:r>
              <w:rPr>
                <w:rFonts w:ascii="Arial" w:cs="Arial" w:eastAsia="Arial" w:hAnsi="Arial"/>
                <w:sz w:val="15"/>
                <w:szCs w:val="15"/>
                <w:b w:val="1"/>
                <w:bCs w:val="1"/>
                <w:color w:val="auto"/>
              </w:rPr>
              <w:t>2,508,000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line="152" w:lineRule="exact"/>
              <w:rPr>
                <w:sz w:val="20"/>
                <w:szCs w:val="20"/>
                <w:color w:val="auto"/>
              </w:rPr>
            </w:pPr>
            <w:r>
              <w:rPr>
                <w:rFonts w:ascii="Arial" w:cs="Arial" w:eastAsia="Arial" w:hAnsi="Arial"/>
                <w:sz w:val="15"/>
                <w:szCs w:val="15"/>
                <w:b w:val="1"/>
                <w:bCs w:val="1"/>
                <w:color w:val="auto"/>
                <w:w w:val="95"/>
              </w:rPr>
              <w:t>$</w:t>
            </w:r>
          </w:p>
        </w:tc>
        <w:tc>
          <w:tcPr>
            <w:tcW w:w="400" w:type="dxa"/>
            <w:vAlign w:val="bottom"/>
          </w:tcPr>
          <w:p>
            <w:pPr>
              <w:jc w:val="right"/>
              <w:spacing w:after="0" w:line="152" w:lineRule="exact"/>
              <w:rPr>
                <w:sz w:val="20"/>
                <w:szCs w:val="20"/>
                <w:color w:val="auto"/>
              </w:rPr>
            </w:pPr>
            <w:r>
              <w:rPr>
                <w:rFonts w:ascii="Arial" w:cs="Arial" w:eastAsia="Arial" w:hAnsi="Arial"/>
                <w:sz w:val="15"/>
                <w:szCs w:val="15"/>
                <w:b w:val="1"/>
                <w:bCs w:val="1"/>
                <w:color w:val="auto"/>
              </w:rPr>
              <w:t>1,224</w:t>
            </w:r>
          </w:p>
        </w:tc>
        <w:tc>
          <w:tcPr>
            <w:tcW w:w="140" w:type="dxa"/>
            <w:vAlign w:val="bottom"/>
          </w:tcPr>
          <w:p>
            <w:pPr>
              <w:spacing w:after="0"/>
              <w:rPr>
                <w:sz w:val="13"/>
                <w:szCs w:val="13"/>
                <w:color w:val="auto"/>
              </w:rPr>
            </w:pPr>
          </w:p>
        </w:tc>
        <w:tc>
          <w:tcPr>
            <w:tcW w:w="720" w:type="dxa"/>
            <w:vAlign w:val="bottom"/>
          </w:tcPr>
          <w:p>
            <w:pPr>
              <w:jc w:val="right"/>
              <w:spacing w:after="0" w:line="152" w:lineRule="exact"/>
              <w:rPr>
                <w:sz w:val="20"/>
                <w:szCs w:val="20"/>
                <w:color w:val="auto"/>
              </w:rPr>
            </w:pPr>
            <w:r>
              <w:rPr>
                <w:rFonts w:ascii="Arial" w:cs="Arial" w:eastAsia="Arial" w:hAnsi="Arial"/>
                <w:sz w:val="15"/>
                <w:szCs w:val="15"/>
                <w:b w:val="1"/>
                <w:bCs w:val="1"/>
                <w:color w:val="auto"/>
                <w:w w:val="90"/>
              </w:rPr>
              <w:t>41,190,905</w:t>
            </w:r>
          </w:p>
        </w:tc>
        <w:tc>
          <w:tcPr>
            <w:tcW w:w="8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180" w:type="dxa"/>
            <w:vAlign w:val="bottom"/>
          </w:tcPr>
          <w:p>
            <w:pPr>
              <w:jc w:val="right"/>
              <w:spacing w:after="0" w:line="152" w:lineRule="exact"/>
              <w:rPr>
                <w:sz w:val="20"/>
                <w:szCs w:val="20"/>
                <w:color w:val="auto"/>
              </w:rPr>
            </w:pPr>
            <w:r>
              <w:rPr>
                <w:rFonts w:ascii="Arial" w:cs="Arial" w:eastAsia="Arial" w:hAnsi="Arial"/>
                <w:sz w:val="15"/>
                <w:szCs w:val="15"/>
                <w:b w:val="1"/>
                <w:bCs w:val="1"/>
                <w:color w:val="auto"/>
                <w:w w:val="83"/>
              </w:rPr>
              <w:t>41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line="152" w:lineRule="exact"/>
              <w:rPr>
                <w:sz w:val="20"/>
                <w:szCs w:val="20"/>
                <w:color w:val="auto"/>
              </w:rPr>
            </w:pPr>
            <w:r>
              <w:rPr>
                <w:rFonts w:ascii="Arial" w:cs="Arial" w:eastAsia="Arial" w:hAnsi="Arial"/>
                <w:sz w:val="15"/>
                <w:szCs w:val="15"/>
                <w:b w:val="1"/>
                <w:bCs w:val="1"/>
                <w:color w:val="auto"/>
                <w:w w:val="99"/>
              </w:rPr>
              <w:t>194,130</w:t>
            </w:r>
          </w:p>
        </w:tc>
        <w:tc>
          <w:tcPr>
            <w:tcW w:w="80" w:type="dxa"/>
            <w:vAlign w:val="bottom"/>
          </w:tcPr>
          <w:p>
            <w:pPr>
              <w:spacing w:after="0"/>
              <w:rPr>
                <w:sz w:val="13"/>
                <w:szCs w:val="13"/>
                <w:color w:val="auto"/>
              </w:rPr>
            </w:pPr>
          </w:p>
        </w:tc>
        <w:tc>
          <w:tcPr>
            <w:tcW w:w="620" w:type="dxa"/>
            <w:vAlign w:val="bottom"/>
          </w:tcPr>
          <w:p>
            <w:pPr>
              <w:jc w:val="right"/>
              <w:spacing w:after="0" w:line="152" w:lineRule="exact"/>
              <w:rPr>
                <w:sz w:val="20"/>
                <w:szCs w:val="20"/>
                <w:color w:val="auto"/>
              </w:rPr>
            </w:pPr>
            <w:r>
              <w:rPr>
                <w:rFonts w:ascii="Arial" w:cs="Arial" w:eastAsia="Arial" w:hAnsi="Arial"/>
                <w:sz w:val="15"/>
                <w:szCs w:val="15"/>
                <w:b w:val="1"/>
                <w:bCs w:val="1"/>
                <w:color w:val="auto"/>
                <w:w w:val="82"/>
              </w:rPr>
              <w:t>$(196,215)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line="152" w:lineRule="exact"/>
              <w:rPr>
                <w:sz w:val="20"/>
                <w:szCs w:val="20"/>
                <w:color w:val="auto"/>
              </w:rPr>
            </w:pPr>
            <w:r>
              <w:rPr>
                <w:rFonts w:ascii="Arial" w:cs="Arial" w:eastAsia="Arial" w:hAnsi="Arial"/>
                <w:sz w:val="15"/>
                <w:szCs w:val="15"/>
                <w:b w:val="1"/>
                <w:bCs w:val="1"/>
                <w:color w:val="auto"/>
              </w:rPr>
              <w:t>5,17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4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Series A 12% convertible</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preferred stock dividend</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3"/>
              <w:spacing w:after="0"/>
              <w:rPr>
                <w:sz w:val="20"/>
                <w:szCs w:val="20"/>
                <w:color w:val="auto"/>
              </w:rPr>
            </w:pPr>
            <w:r>
              <w:rPr>
                <w:rFonts w:ascii="Arial" w:cs="Arial" w:eastAsia="Arial" w:hAnsi="Arial"/>
                <w:sz w:val="15"/>
                <w:szCs w:val="15"/>
                <w:color w:val="auto"/>
              </w:rPr>
              <w:t>(40)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40" w:type="dxa"/>
            <w:vAlign w:val="bottom"/>
          </w:tcPr>
          <w:p>
            <w:pPr>
              <w:spacing w:after="0" w:line="146" w:lineRule="exact"/>
              <w:rPr>
                <w:sz w:val="20"/>
                <w:szCs w:val="20"/>
                <w:color w:val="auto"/>
              </w:rPr>
            </w:pPr>
            <w:r>
              <w:rPr>
                <w:rFonts w:ascii="Arial" w:cs="Arial" w:eastAsia="Arial" w:hAnsi="Arial"/>
                <w:sz w:val="15"/>
                <w:szCs w:val="15"/>
                <w:color w:val="auto"/>
              </w:rPr>
              <w:t>Series B-1 12% convertible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Arial" w:cs="Arial" w:eastAsia="Arial" w:hAnsi="Arial"/>
                <w:sz w:val="15"/>
                <w:szCs w:val="15"/>
                <w:color w:val="auto"/>
              </w:rPr>
              <w:t>preferred stock dividend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3"/>
          </w:tcPr>
          <w:p>
            <w:pPr>
              <w:jc w:val="right"/>
              <w:ind w:right="3"/>
              <w:spacing w:after="0"/>
              <w:rPr>
                <w:sz w:val="20"/>
                <w:szCs w:val="20"/>
                <w:color w:val="auto"/>
              </w:rPr>
            </w:pPr>
            <w:r>
              <w:rPr>
                <w:rFonts w:ascii="Arial" w:cs="Arial" w:eastAsia="Arial" w:hAnsi="Arial"/>
                <w:sz w:val="15"/>
                <w:szCs w:val="15"/>
                <w:color w:val="auto"/>
              </w:rPr>
              <w:t>(6)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4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Series B-2 12% convertible</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preferred stock dividend</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3"/>
              <w:spacing w:after="0"/>
              <w:rPr>
                <w:sz w:val="20"/>
                <w:szCs w:val="20"/>
                <w:color w:val="auto"/>
              </w:rPr>
            </w:pPr>
            <w:r>
              <w:rPr>
                <w:rFonts w:ascii="Arial" w:cs="Arial" w:eastAsia="Arial" w:hAnsi="Arial"/>
                <w:sz w:val="15"/>
                <w:szCs w:val="15"/>
                <w:color w:val="auto"/>
              </w:rPr>
              <w:t>(15)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40" w:type="dxa"/>
            <w:vAlign w:val="bottom"/>
          </w:tcPr>
          <w:p>
            <w:pPr>
              <w:spacing w:after="0" w:line="146" w:lineRule="exact"/>
              <w:rPr>
                <w:sz w:val="20"/>
                <w:szCs w:val="20"/>
                <w:color w:val="auto"/>
              </w:rPr>
            </w:pPr>
            <w:r>
              <w:rPr>
                <w:rFonts w:ascii="Arial" w:cs="Arial" w:eastAsia="Arial" w:hAnsi="Arial"/>
                <w:sz w:val="15"/>
                <w:szCs w:val="15"/>
                <w:color w:val="auto"/>
              </w:rPr>
              <w:t>Series B-3 8% convertible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Arial" w:cs="Arial" w:eastAsia="Arial" w:hAnsi="Arial"/>
                <w:sz w:val="15"/>
                <w:szCs w:val="15"/>
                <w:color w:val="auto"/>
              </w:rPr>
              <w:t>preferred stock dividend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3"/>
          </w:tcPr>
          <w:p>
            <w:pPr>
              <w:jc w:val="right"/>
              <w:ind w:right="3"/>
              <w:spacing w:after="0"/>
              <w:rPr>
                <w:sz w:val="20"/>
                <w:szCs w:val="20"/>
                <w:color w:val="auto"/>
              </w:rPr>
            </w:pPr>
            <w:r>
              <w:rPr>
                <w:rFonts w:ascii="Arial" w:cs="Arial" w:eastAsia="Arial" w:hAnsi="Arial"/>
                <w:sz w:val="15"/>
                <w:szCs w:val="15"/>
                <w:color w:val="auto"/>
              </w:rPr>
              <w:t>(9)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4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Series C super dividend</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120"/>
              <w:spacing w:after="0" w:line="159" w:lineRule="exact"/>
              <w:rPr>
                <w:sz w:val="20"/>
                <w:szCs w:val="20"/>
                <w:color w:val="auto"/>
              </w:rPr>
            </w:pPr>
            <w:r>
              <w:rPr>
                <w:rFonts w:ascii="Arial" w:cs="Arial" w:eastAsia="Arial" w:hAnsi="Arial"/>
                <w:sz w:val="15"/>
                <w:szCs w:val="15"/>
                <w:color w:val="auto"/>
              </w:rPr>
              <w:t>redeemable convertible</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preferred stock dividend</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3"/>
              <w:spacing w:after="0"/>
              <w:rPr>
                <w:sz w:val="20"/>
                <w:szCs w:val="20"/>
                <w:color w:val="auto"/>
              </w:rPr>
            </w:pPr>
            <w:r>
              <w:rPr>
                <w:rFonts w:ascii="Arial" w:cs="Arial" w:eastAsia="Arial" w:hAnsi="Arial"/>
                <w:sz w:val="15"/>
                <w:szCs w:val="15"/>
                <w:color w:val="auto"/>
              </w:rPr>
              <w:t>(26)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spacing w:after="0" w:line="159" w:lineRule="exact"/>
              <w:rPr>
                <w:sz w:val="20"/>
                <w:szCs w:val="20"/>
                <w:color w:val="auto"/>
              </w:rPr>
            </w:pPr>
            <w:r>
              <w:rPr>
                <w:rFonts w:ascii="Arial" w:cs="Arial" w:eastAsia="Arial" w:hAnsi="Arial"/>
                <w:sz w:val="15"/>
                <w:szCs w:val="15"/>
                <w:color w:val="auto"/>
              </w:rPr>
              <w:t>Issuance of common stock</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5"/>
                <w:szCs w:val="15"/>
                <w:color w:val="auto"/>
              </w:rPr>
              <w:t>395,233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5"/>
                <w:szCs w:val="15"/>
                <w:color w:val="auto"/>
              </w:rPr>
              <w:t>1,865</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4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Conversion of Series B</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120"/>
              <w:spacing w:after="0" w:line="159" w:lineRule="exact"/>
              <w:rPr>
                <w:sz w:val="20"/>
                <w:szCs w:val="20"/>
                <w:color w:val="auto"/>
              </w:rPr>
            </w:pPr>
            <w:r>
              <w:rPr>
                <w:rFonts w:ascii="Arial" w:cs="Arial" w:eastAsia="Arial" w:hAnsi="Arial"/>
                <w:sz w:val="15"/>
                <w:szCs w:val="15"/>
                <w:color w:val="auto"/>
              </w:rPr>
              <w:t>Convertible Preferred to</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common</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(900,000)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2"/>
              </w:rPr>
              <w:t>(1,761)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3"/>
              </w:rPr>
              <w:t>(2,100,000)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2"/>
              </w:rPr>
              <w:t>(3,697)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6"/>
              </w:rPr>
              <w:t>(2,508,000)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8"/>
              </w:rPr>
              <w:t>(1,224)</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3,789,346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6,678</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40" w:type="dxa"/>
            <w:vAlign w:val="bottom"/>
          </w:tcPr>
          <w:p>
            <w:pPr>
              <w:spacing w:after="0" w:line="146" w:lineRule="exact"/>
              <w:rPr>
                <w:sz w:val="20"/>
                <w:szCs w:val="20"/>
                <w:color w:val="auto"/>
              </w:rPr>
            </w:pPr>
            <w:r>
              <w:rPr>
                <w:rFonts w:ascii="Arial" w:cs="Arial" w:eastAsia="Arial" w:hAnsi="Arial"/>
                <w:sz w:val="15"/>
                <w:szCs w:val="15"/>
                <w:color w:val="auto"/>
                <w:w w:val="96"/>
              </w:rPr>
              <w:t>Issuance of common stock for</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tcPr>
          <w:p>
            <w:pPr>
              <w:ind w:left="120"/>
              <w:spacing w:after="0" w:line="159" w:lineRule="exact"/>
              <w:rPr>
                <w:sz w:val="20"/>
                <w:szCs w:val="20"/>
                <w:color w:val="auto"/>
              </w:rPr>
            </w:pPr>
            <w:r>
              <w:rPr>
                <w:rFonts w:ascii="Arial" w:cs="Arial" w:eastAsia="Arial" w:hAnsi="Arial"/>
                <w:sz w:val="15"/>
                <w:szCs w:val="15"/>
                <w:color w:val="auto"/>
              </w:rPr>
              <w:t>exercise of warrants and</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Arial" w:cs="Arial" w:eastAsia="Arial" w:hAnsi="Arial"/>
                <w:sz w:val="15"/>
                <w:szCs w:val="15"/>
                <w:color w:val="auto"/>
              </w:rPr>
              <w:t>options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218,927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138</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w w:val="97"/>
              </w:rPr>
              <w:t>Warrant modification (Note 9)</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6,622</w:t>
            </w:r>
          </w:p>
        </w:tc>
        <w:tc>
          <w:tcPr>
            <w:tcW w:w="780" w:type="dxa"/>
            <w:vAlign w:val="bottom"/>
            <w:gridSpan w:val="3"/>
            <w:shd w:val="clear" w:color="auto" w:fill="CCEEFF"/>
          </w:tcPr>
          <w:p>
            <w:pPr>
              <w:jc w:val="right"/>
              <w:ind w:right="3"/>
              <w:spacing w:after="0" w:line="159" w:lineRule="exact"/>
              <w:rPr>
                <w:sz w:val="20"/>
                <w:szCs w:val="20"/>
                <w:color w:val="auto"/>
              </w:rPr>
            </w:pPr>
            <w:r>
              <w:rPr>
                <w:rFonts w:ascii="Arial" w:cs="Arial" w:eastAsia="Arial" w:hAnsi="Arial"/>
                <w:sz w:val="15"/>
                <w:szCs w:val="15"/>
                <w:color w:val="auto"/>
              </w:rPr>
              <w:t>(6,622)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40" w:type="dxa"/>
            <w:vAlign w:val="bottom"/>
          </w:tcPr>
          <w:p>
            <w:pPr>
              <w:spacing w:after="0" w:line="146" w:lineRule="exact"/>
              <w:rPr>
                <w:sz w:val="20"/>
                <w:szCs w:val="20"/>
                <w:color w:val="auto"/>
              </w:rPr>
            </w:pPr>
            <w:r>
              <w:rPr>
                <w:rFonts w:ascii="Arial" w:cs="Arial" w:eastAsia="Arial" w:hAnsi="Arial"/>
                <w:sz w:val="15"/>
                <w:szCs w:val="15"/>
                <w:color w:val="auto"/>
              </w:rPr>
              <w:t>Stock-based compensation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Arial" w:cs="Arial" w:eastAsia="Arial" w:hAnsi="Arial"/>
                <w:sz w:val="15"/>
                <w:szCs w:val="15"/>
                <w:color w:val="auto"/>
              </w:rPr>
              <w:t>expense</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412</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Net loss</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3"/>
              <w:spacing w:after="0" w:line="159" w:lineRule="exact"/>
              <w:rPr>
                <w:sz w:val="20"/>
                <w:szCs w:val="20"/>
                <w:color w:val="auto"/>
              </w:rPr>
            </w:pPr>
            <w:r>
              <w:rPr>
                <w:rFonts w:ascii="Arial" w:cs="Arial" w:eastAsia="Arial" w:hAnsi="Arial"/>
                <w:sz w:val="15"/>
                <w:szCs w:val="15"/>
                <w:color w:val="auto"/>
              </w:rPr>
              <w:t>(2,375)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(2,37</w:t>
            </w:r>
          </w:p>
        </w:tc>
        <w:tc>
          <w:tcPr>
            <w:tcW w:w="0" w:type="dxa"/>
            <w:vAlign w:val="bottom"/>
          </w:tcPr>
          <w:p>
            <w:pPr>
              <w:spacing w:after="0"/>
              <w:rPr>
                <w:sz w:val="1"/>
                <w:szCs w:val="1"/>
                <w:color w:val="auto"/>
              </w:rPr>
            </w:pPr>
          </w:p>
        </w:tc>
      </w:tr>
      <w:tr>
        <w:trPr>
          <w:trHeight w:val="165"/>
        </w:trPr>
        <w:tc>
          <w:tcPr>
            <w:tcW w:w="19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Balance at March 31, 2019</w:t>
            </w:r>
          </w:p>
        </w:tc>
        <w:tc>
          <w:tcPr>
            <w:tcW w:w="64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b w:val="1"/>
                <w:bCs w:val="1"/>
                <w:color w:val="auto"/>
                <w:w w:val="92"/>
              </w:rPr>
              <w:t>1,327,500</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line="165" w:lineRule="exact"/>
              <w:rPr>
                <w:sz w:val="20"/>
                <w:szCs w:val="20"/>
                <w:color w:val="auto"/>
              </w:rPr>
            </w:pPr>
            <w:r>
              <w:rPr>
                <w:rFonts w:ascii="Arial" w:cs="Arial" w:eastAsia="Arial" w:hAnsi="Arial"/>
                <w:sz w:val="15"/>
                <w:szCs w:val="15"/>
                <w:b w:val="1"/>
                <w:bCs w:val="1"/>
                <w:color w:val="auto"/>
              </w:rPr>
              <w:t>$</w:t>
            </w:r>
          </w:p>
        </w:tc>
        <w:tc>
          <w:tcPr>
            <w:tcW w:w="26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b w:val="1"/>
                <w:bCs w:val="1"/>
                <w:color w:val="auto"/>
                <w:w w:val="87"/>
              </w:rPr>
              <w:t>537</w:t>
            </w:r>
          </w:p>
        </w:tc>
        <w:tc>
          <w:tcPr>
            <w:tcW w:w="8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8"/>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5" w:lineRule="exact"/>
              <w:rPr>
                <w:sz w:val="20"/>
                <w:szCs w:val="20"/>
                <w:color w:val="auto"/>
              </w:rPr>
            </w:pPr>
            <w:r>
              <w:rPr>
                <w:rFonts w:ascii="Arial" w:cs="Arial" w:eastAsia="Arial" w:hAnsi="Arial"/>
                <w:sz w:val="15"/>
                <w:szCs w:val="15"/>
                <w:b w:val="1"/>
                <w:bCs w:val="1"/>
                <w:color w:val="auto"/>
                <w:w w:val="95"/>
              </w:rPr>
              <w:t>$</w:t>
            </w:r>
          </w:p>
        </w:tc>
        <w:tc>
          <w:tcPr>
            <w:tcW w:w="400" w:type="dxa"/>
            <w:vAlign w:val="bottom"/>
            <w:tcBorders>
              <w:top w:val="single" w:sz="8" w:color="auto"/>
              <w:bottom w:val="single" w:sz="8" w:color="auto"/>
            </w:tcBorders>
          </w:tcPr>
          <w:p>
            <w:pPr>
              <w:jc w:val="right"/>
              <w:ind w:right="5"/>
              <w:spacing w:after="0" w:line="165"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7"/>
              <w:spacing w:after="0" w:line="16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tcPr>
          <w:p>
            <w:pPr>
              <w:jc w:val="right"/>
              <w:ind w:right="5"/>
              <w:spacing w:after="0" w:line="165" w:lineRule="exact"/>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ind w:right="7"/>
              <w:spacing w:after="0" w:line="16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5" w:lineRule="exact"/>
              <w:rPr>
                <w:sz w:val="20"/>
                <w:szCs w:val="20"/>
                <w:color w:val="auto"/>
              </w:rPr>
            </w:pPr>
            <w:r>
              <w:rPr>
                <w:rFonts w:ascii="Arial" w:cs="Arial" w:eastAsia="Arial" w:hAnsi="Arial"/>
                <w:sz w:val="15"/>
                <w:szCs w:val="15"/>
                <w:b w:val="1"/>
                <w:bCs w:val="1"/>
                <w:color w:val="auto"/>
                <w:w w:val="95"/>
              </w:rPr>
              <w:t>$</w:t>
            </w:r>
          </w:p>
        </w:tc>
        <w:tc>
          <w:tcPr>
            <w:tcW w:w="400" w:type="dxa"/>
            <w:vAlign w:val="bottom"/>
            <w:tcBorders>
              <w:top w:val="single" w:sz="8" w:color="auto"/>
              <w:bottom w:val="single" w:sz="8" w:color="auto"/>
            </w:tcBorders>
          </w:tcPr>
          <w:p>
            <w:pPr>
              <w:jc w:val="right"/>
              <w:ind w:right="5"/>
              <w:spacing w:after="0" w:line="165"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b w:val="1"/>
                <w:bCs w:val="1"/>
                <w:color w:val="auto"/>
                <w:w w:val="90"/>
              </w:rPr>
              <w:t>45,594,411</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b w:val="1"/>
                <w:bCs w:val="1"/>
                <w:color w:val="auto"/>
                <w:w w:val="83"/>
              </w:rPr>
              <w:t>45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b w:val="1"/>
                <w:bCs w:val="1"/>
                <w:color w:val="auto"/>
                <w:w w:val="99"/>
              </w:rPr>
              <w:t>209,845</w:t>
            </w:r>
          </w:p>
        </w:tc>
        <w:tc>
          <w:tcPr>
            <w:tcW w:w="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b w:val="1"/>
                <w:bCs w:val="1"/>
                <w:u w:val="single" w:color="auto"/>
                <w:color w:val="auto"/>
                <w:w w:val="88"/>
              </w:rPr>
              <w:t>$</w:t>
            </w:r>
            <w:r>
              <w:rPr>
                <w:rFonts w:ascii="Arial" w:cs="Arial" w:eastAsia="Arial" w:hAnsi="Arial"/>
                <w:sz w:val="15"/>
                <w:szCs w:val="15"/>
                <w:b w:val="1"/>
                <w:bCs w:val="1"/>
                <w:color w:val="auto"/>
                <w:w w:val="88"/>
              </w:rPr>
              <w:t>(205,308</w:t>
            </w:r>
          </w:p>
        </w:tc>
        <w:tc>
          <w:tcPr>
            <w:tcW w:w="80" w:type="dxa"/>
            <w:vAlign w:val="bottom"/>
          </w:tcPr>
          <w:p>
            <w:pPr>
              <w:jc w:val="right"/>
              <w:ind w:right="3"/>
              <w:spacing w:after="0"/>
              <w:rPr>
                <w:sz w:val="20"/>
                <w:szCs w:val="20"/>
                <w:color w:val="auto"/>
              </w:rPr>
            </w:pPr>
            <w:r>
              <w:rPr>
                <w:rFonts w:ascii="Arial" w:cs="Arial" w:eastAsia="Arial" w:hAnsi="Arial"/>
                <w:sz w:val="7"/>
                <w:szCs w:val="7"/>
                <w:b w:val="1"/>
                <w:bCs w:val="1"/>
                <w:color w:val="auto"/>
                <w:w w:val="83"/>
              </w:rPr>
              <w:t>)</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5"/>
                <w:szCs w:val="15"/>
                <w:b w:val="1"/>
                <w:bCs w:val="1"/>
                <w:color w:val="auto"/>
              </w:rPr>
              <w:t>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560" w:top="267" w:right="1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705" cy="38100"/>
                    </a:xfrm>
                    <a:prstGeom prst="rect">
                      <a:avLst/>
                    </a:prstGeom>
                    <a:noFill/>
                  </pic:spPr>
                </pic:pic>
              </a:graphicData>
            </a:graphic>
          </wp:anchor>
        </w:drawing>
        <w:t>GALECTIN THERAPEUTICS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17" w:lineRule="exact"/>
        <w:rPr>
          <w:sz w:val="20"/>
          <w:szCs w:val="20"/>
          <w:color w:val="auto"/>
        </w:rPr>
      </w:pPr>
    </w:p>
    <w:p>
      <w:pPr>
        <w:ind w:right="180" w:firstLine="431"/>
        <w:spacing w:after="0" w:line="251" w:lineRule="auto"/>
        <w:rPr>
          <w:sz w:val="20"/>
          <w:szCs w:val="20"/>
          <w:color w:val="auto"/>
        </w:rPr>
      </w:pPr>
      <w:r>
        <w:rPr>
          <w:rFonts w:ascii="Arial" w:cs="Arial" w:eastAsia="Arial" w:hAnsi="Arial"/>
          <w:sz w:val="18"/>
          <w:szCs w:val="18"/>
          <w:color w:val="auto"/>
        </w:rPr>
        <w:t>Galectin Therapeutics Inc. (the “Company”) is a clinical stage biopharmaceutical company that is applying its leadership in galectin science and drug development to create new therapies for fibrotic disease, skin diseases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92" w:lineRule="exact"/>
        <w:rPr>
          <w:sz w:val="20"/>
          <w:szCs w:val="20"/>
          <w:color w:val="auto"/>
        </w:rPr>
      </w:pPr>
    </w:p>
    <w:p>
      <w:pPr>
        <w:ind w:firstLine="431"/>
        <w:spacing w:after="0" w:line="302" w:lineRule="auto"/>
        <w:rPr>
          <w:sz w:val="20"/>
          <w:szCs w:val="20"/>
          <w:color w:val="auto"/>
        </w:rPr>
      </w:pPr>
      <w:r>
        <w:rPr>
          <w:rFonts w:ascii="Arial" w:cs="Arial" w:eastAsia="Arial" w:hAnsi="Arial"/>
          <w:sz w:val="15"/>
          <w:szCs w:val="15"/>
          <w:color w:val="auto"/>
        </w:rPr>
        <w:t>The unaudited condensed consolidated financial statements as reported in this Quarterly Report on Form 10-Q reflect all adjustments which are, in the opinion of management, necessary to present fairly the financial position of the Company as of March 31, 2019 and the results of its operations for the three months ended March 31, 2019 and 2018 and its cash flows for the three months ended March 31, 2019 and 2018. All adjustments made to the interim financial statements include all those of a normal and recurring nature. Amounts presented in the condensed consolidated balance sheet as of December 31, 2018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2018.</w:t>
      </w:r>
    </w:p>
    <w:p>
      <w:pPr>
        <w:spacing w:after="0" w:line="369" w:lineRule="exact"/>
        <w:rPr>
          <w:sz w:val="20"/>
          <w:szCs w:val="20"/>
          <w:color w:val="auto"/>
        </w:rPr>
      </w:pPr>
    </w:p>
    <w:p>
      <w:pPr>
        <w:ind w:right="40" w:firstLine="431"/>
        <w:spacing w:after="0" w:line="300" w:lineRule="auto"/>
        <w:rPr>
          <w:sz w:val="20"/>
          <w:szCs w:val="20"/>
          <w:color w:val="auto"/>
        </w:rPr>
      </w:pPr>
      <w:r>
        <w:rPr>
          <w:rFonts w:ascii="Arial" w:cs="Arial" w:eastAsia="Arial" w:hAnsi="Arial"/>
          <w:sz w:val="15"/>
          <w:szCs w:val="15"/>
          <w:color w:val="auto"/>
        </w:rPr>
        <w:t>The Company has operated at a loss since its inception and has had no significant revenues. The Company anticipates that losses will continue for the foreseeable future. At March 31, 2019, the Company had $7.0 million of unrestricted cash and cash equivalents available to fund future operations. Additionally, the Company generated approximately $1.87 million in net proceeds via sale of common stock under its At Market Sales Agreement in January and February 2019 (see Note 8). The Company believes there is sufficient cash, including availability of the line of credit (see Note 3), to fund currently planned operations at least through June 30, 2020. We will require more cash to fund our operations after June 30, 2020 and believe we will be able to obtain additional financing. The currently planned operations do not include costs related to a planned Phase 3 clinical trial. While the costs of the trial and general overhead during the Phase 3 trial are expected to be approximately $100 million, the costs and timing of such trial is not yet finalized. These costs will require additional funding. The Company has commenced a Rights Offering to its common stockholders and certain warrant holders targeting a financing of $50 to $70 million, which is expected to conclude on May 23, 2019. However, there can be no assurance that we will be successful in completing the rights offering or obtaining other new financing or, if available, that any financing will be on terms favorable to us. The Company has not made commitments for its planned Phase 3 trial that cannot be covered with available cash. Accordingly, based on the forecasts and estimates underlying our current operating plan, the financial statements do not currently include any adjustments that might be necessary if we are unable to continue as a going concern.</w:t>
      </w:r>
    </w:p>
    <w:p>
      <w:pPr>
        <w:spacing w:after="0" w:line="376" w:lineRule="exact"/>
        <w:rPr>
          <w:sz w:val="20"/>
          <w:szCs w:val="20"/>
          <w:color w:val="auto"/>
        </w:rPr>
      </w:pPr>
    </w:p>
    <w:p>
      <w:pPr>
        <w:ind w:right="220" w:firstLine="431"/>
        <w:spacing w:after="0" w:line="264"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111" w:lineRule="exact"/>
        <w:rPr>
          <w:sz w:val="20"/>
          <w:szCs w:val="20"/>
          <w:color w:val="auto"/>
        </w:rPr>
      </w:pPr>
    </w:p>
    <w:p>
      <w:pPr>
        <w:ind w:firstLine="431"/>
        <w:spacing w:after="0" w:line="306" w:lineRule="auto"/>
        <w:rPr>
          <w:sz w:val="20"/>
          <w:szCs w:val="20"/>
          <w:color w:val="auto"/>
        </w:rPr>
      </w:pPr>
      <w:r>
        <w:rPr>
          <w:rFonts w:ascii="Arial" w:cs="Arial" w:eastAsia="Arial" w:hAnsi="Arial"/>
          <w:sz w:val="15"/>
          <w:szCs w:val="15"/>
          <w:color w:val="auto"/>
        </w:rPr>
        <w:t xml:space="preserve">The Financial Accounting Standards Board (the “FASB”) issued Accounting Standards Update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amended by ASU 2018-11, </w:t>
      </w:r>
      <w:r>
        <w:rPr>
          <w:rFonts w:ascii="Arial" w:cs="Arial" w:eastAsia="Arial" w:hAnsi="Arial"/>
          <w:sz w:val="15"/>
          <w:szCs w:val="15"/>
          <w:i w:val="1"/>
          <w:iCs w:val="1"/>
          <w:color w:val="auto"/>
        </w:rPr>
        <w:t>Leases (Topic 842): Targeted Improvements</w:t>
      </w:r>
      <w:r>
        <w:rPr>
          <w:rFonts w:ascii="Arial" w:cs="Arial" w:eastAsia="Arial" w:hAnsi="Arial"/>
          <w:sz w:val="15"/>
          <w:szCs w:val="15"/>
          <w:color w:val="auto"/>
        </w:rPr>
        <w:t>. The new guidance requires a lessee to recognize assets and liabilities for all leases with lease terms of more than 12 months and provide additional disclosures. The ASU requires adoption using a modified retrospective transition approach with either 1) periods prior to the adoption date being recast or 2) a cumulative-effect adjustment recognized to the opening balance of retained earnings on the adoption date with prior periods not recast. We adopted this standard using a modified retrospective transition approach on January 1, 2019 however we only have one lease related to our office space and it was amended effective January 1, 2019. Therefore, no cumulative-effect adjustment approach was required. See Note 11 for the financial position impact and additional disclosures.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80"/>
          </w:cols>
          <w:pgMar w:left="560" w:top="267" w:right="5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705" cy="38100"/>
                    </a:xfrm>
                    <a:prstGeom prst="rect">
                      <a:avLst/>
                    </a:prstGeom>
                    <a:noFill/>
                  </pic:spPr>
                </pic:pic>
              </a:graphicData>
            </a:graphic>
          </wp:anchor>
        </w:drawing>
        <w:t>2. Accrued Expenses and Other</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expenses consist of the following:</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860" w:type="dxa"/>
            <w:vAlign w:val="bottom"/>
            <w:gridSpan w:val="3"/>
          </w:tcPr>
          <w:p>
            <w:pPr>
              <w:ind w:left="1280"/>
              <w:spacing w:after="0"/>
              <w:rPr>
                <w:sz w:val="20"/>
                <w:szCs w:val="20"/>
                <w:color w:val="auto"/>
              </w:rPr>
            </w:pPr>
            <w:r>
              <w:rPr>
                <w:rFonts w:ascii="Arial" w:cs="Arial" w:eastAsia="Arial" w:hAnsi="Arial"/>
                <w:sz w:val="14"/>
                <w:szCs w:val="14"/>
                <w:color w:val="auto"/>
                <w:w w:val="89"/>
              </w:rPr>
              <w:t>March 31,</w:t>
            </w:r>
          </w:p>
        </w:tc>
        <w:tc>
          <w:tcPr>
            <w:tcW w:w="1480" w:type="dxa"/>
            <w:vAlign w:val="bottom"/>
            <w:gridSpan w:val="4"/>
          </w:tcPr>
          <w:p>
            <w:pPr>
              <w:ind w:left="640"/>
              <w:spacing w:after="0"/>
              <w:rPr>
                <w:sz w:val="20"/>
                <w:szCs w:val="20"/>
                <w:color w:val="auto"/>
              </w:rPr>
            </w:pPr>
            <w:r>
              <w:rPr>
                <w:rFonts w:ascii="Arial" w:cs="Arial" w:eastAsia="Arial" w:hAnsi="Arial"/>
                <w:sz w:val="14"/>
                <w:szCs w:val="14"/>
                <w:color w:val="auto"/>
                <w:w w:val="93"/>
              </w:rPr>
              <w:t>December 31,</w:t>
            </w:r>
          </w:p>
        </w:tc>
      </w:tr>
      <w:tr>
        <w:trPr>
          <w:trHeight w:val="164"/>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w w:val="89"/>
              </w:rPr>
              <w:t>2019</w:t>
            </w: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w w:val="89"/>
              </w:rPr>
              <w:t>2018</w:t>
            </w:r>
          </w:p>
        </w:tc>
        <w:tc>
          <w:tcPr>
            <w:tcW w:w="60" w:type="dxa"/>
            <w:vAlign w:val="bottom"/>
          </w:tcPr>
          <w:p>
            <w:pPr>
              <w:spacing w:after="0"/>
              <w:rPr>
                <w:sz w:val="14"/>
                <w:szCs w:val="14"/>
                <w:color w:val="auto"/>
              </w:rPr>
            </w:pPr>
          </w:p>
        </w:tc>
      </w:tr>
      <w:tr>
        <w:trPr>
          <w:trHeight w:val="13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gridSpan w:val="2"/>
          </w:tcPr>
          <w:p>
            <w:pPr>
              <w:ind w:left="20"/>
              <w:spacing w:after="0" w:line="139" w:lineRule="exact"/>
              <w:rPr>
                <w:sz w:val="20"/>
                <w:szCs w:val="20"/>
                <w:color w:val="auto"/>
              </w:rPr>
            </w:pPr>
            <w:r>
              <w:rPr>
                <w:rFonts w:ascii="Arial" w:cs="Arial" w:eastAsia="Arial" w:hAnsi="Arial"/>
                <w:sz w:val="14"/>
                <w:szCs w:val="14"/>
                <w:color w:val="auto"/>
                <w:w w:val="92"/>
              </w:rPr>
              <w:t>(in thousands)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2"/>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4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Accrued compensation</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392</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1,294</w:t>
            </w: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Accrued research and development costs and other</w:t>
            </w:r>
          </w:p>
        </w:tc>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Line of Credit</w:t>
      </w:r>
    </w:p>
    <w:p>
      <w:pPr>
        <w:spacing w:after="0" w:line="117" w:lineRule="exact"/>
        <w:rPr>
          <w:sz w:val="20"/>
          <w:szCs w:val="20"/>
          <w:color w:val="auto"/>
        </w:rPr>
      </w:pPr>
    </w:p>
    <w:p>
      <w:pPr>
        <w:ind w:right="100" w:firstLine="431"/>
        <w:spacing w:after="0" w:line="265" w:lineRule="auto"/>
        <w:rPr>
          <w:sz w:val="20"/>
          <w:szCs w:val="20"/>
          <w:color w:val="auto"/>
        </w:rPr>
      </w:pPr>
      <w:r>
        <w:rPr>
          <w:rFonts w:ascii="Arial" w:cs="Arial" w:eastAsia="Arial" w:hAnsi="Arial"/>
          <w:sz w:val="17"/>
          <w:szCs w:val="17"/>
          <w:color w:val="auto"/>
        </w:rPr>
        <w:t>On December 19, 2017, the Company entered into a $10 million Line of Credit arrangement with Richard E. Uihlein, a director and shareholder who had an approximate 7% ownership interest in the Company on a fully-diluted basis at December 31, 2017. Originally, borrowings may be made by the Company through December 31, 2018. Borrowings bear interest at the Applicable Federal Rate for short term loans published by the Internal Revenue Service (2.7% in January 2019). All borrowings and interest were originally due on December 31, 2019 but could be prepaid without penalty. In connection with the Line of Credit agreement, the Company issued to Mr. Uihlein warrants to purchase 1 million shares of the Company’s common stock for $5 per share. Half of the warrants vested at closing of the Line of Credit and the other half vest ratably with borrowings under the agreement. There have been no borrowings under the Line of Credit to date.</w:t>
      </w:r>
    </w:p>
    <w:p>
      <w:pPr>
        <w:spacing w:after="0" w:line="77" w:lineRule="exact"/>
        <w:rPr>
          <w:sz w:val="20"/>
          <w:szCs w:val="20"/>
          <w:color w:val="auto"/>
        </w:rPr>
      </w:pPr>
    </w:p>
    <w:p>
      <w:pPr>
        <w:ind w:firstLine="431"/>
        <w:spacing w:after="0" w:line="250" w:lineRule="auto"/>
        <w:rPr>
          <w:sz w:val="20"/>
          <w:szCs w:val="20"/>
          <w:color w:val="auto"/>
        </w:rPr>
      </w:pPr>
      <w:r>
        <w:rPr>
          <w:rFonts w:ascii="Arial" w:cs="Arial" w:eastAsia="Arial" w:hAnsi="Arial"/>
          <w:sz w:val="18"/>
          <w:szCs w:val="18"/>
          <w:color w:val="auto"/>
        </w:rPr>
        <w:t>On December 20, 2018, the Line of Credit arrangement was extended for one year for both borrowings and maturity. At the time of the conversion of the Series B Convertible Preferred stock into common stock (See Note 9), on January 11, 2019, the Line of Credit arrangement was extended for an additional two years for both borrowings and maturity. After the second amendment to the Line of Credit arrangement, borrowings may be made through December 31, 2021 with repayment due on December 31, 2022. There was no additional consideration or benefits provided to Mr. Uihlein for any of the extensions of the Line of Credit.</w:t>
      </w:r>
    </w:p>
    <w:p>
      <w:pPr>
        <w:spacing w:after="0" w:line="86" w:lineRule="exact"/>
        <w:rPr>
          <w:sz w:val="20"/>
          <w:szCs w:val="20"/>
          <w:color w:val="auto"/>
        </w:rPr>
      </w:pPr>
    </w:p>
    <w:p>
      <w:pPr>
        <w:ind w:right="20" w:firstLine="431"/>
        <w:spacing w:after="0" w:line="306" w:lineRule="auto"/>
        <w:rPr>
          <w:sz w:val="20"/>
          <w:szCs w:val="20"/>
          <w:color w:val="auto"/>
        </w:rPr>
      </w:pPr>
      <w:r>
        <w:rPr>
          <w:rFonts w:ascii="Arial" w:cs="Arial" w:eastAsia="Arial" w:hAnsi="Arial"/>
          <w:sz w:val="15"/>
          <w:szCs w:val="15"/>
          <w:color w:val="auto"/>
        </w:rPr>
        <w:t>The fair value of the 500,000 warrants vested at closing in December 2017 was $696,000 at the date of issuance based on the following assumptions: an expected life of 7 years, volatility of 98%, risk free interest rate of 2.05% and zero dividends. The fair value of the vested warrants was recorded in other current assets and other assets (non-current) as a deferred financing cost and were to be amortized on a straight-line basis from December 19, 2017 through December 31, 2019. The remaining unamortized balance of the deferred financing cost on January 11, 2019 was adjusted to be recorded as expense on a straight-line basis through December 31, 2022. Amortization for the three months ended March 31, 2019 and 2018 of $22,000 and $84,000, respectively, was recorded as interest expense. The fair value of warrants that vest in the future based on borrowings will be computed when those borrowings occur and amortized over the remaining period through December 31, 2022 reflecting the second extension.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17" w:lineRule="exact"/>
        <w:rPr>
          <w:sz w:val="20"/>
          <w:szCs w:val="20"/>
          <w:color w:val="auto"/>
        </w:rPr>
      </w:pPr>
    </w:p>
    <w:p>
      <w:pPr>
        <w:ind w:right="20" w:firstLine="431"/>
        <w:spacing w:after="0" w:line="264"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8"/>
        </w:trPr>
        <w:tc>
          <w:tcPr>
            <w:tcW w:w="3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39"/>
        </w:trPr>
        <w:tc>
          <w:tcPr>
            <w:tcW w:w="364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39"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39"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6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Research and development</w:t>
            </w:r>
          </w:p>
        </w:tc>
        <w:tc>
          <w:tcPr>
            <w:tcW w:w="30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86</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534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Total stock-based compensation expense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040" w:type="dxa"/>
            <w:vAlign w:val="bottom"/>
            <w:vMerge w:val="restart"/>
          </w:tcPr>
          <w:p>
            <w:pPr>
              <w:jc w:val="right"/>
              <w:ind w:right="2452"/>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6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560" w:top="267" w:right="559" w:bottom="1440" w:gutter="0" w:footer="0" w:header="0"/>
        </w:sectPr>
      </w:pPr>
    </w:p>
    <w:bookmarkStart w:id="9" w:name="page10"/>
    <w:bookmarkEnd w:id="9"/>
    <w:p>
      <w:pPr>
        <w:ind w:right="620" w:firstLine="43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705" cy="38100"/>
                    </a:xfrm>
                    <a:prstGeom prst="rect">
                      <a:avLst/>
                    </a:prstGeom>
                    <a:noFill/>
                  </pic:spPr>
                </pic:pic>
              </a:graphicData>
            </a:graphic>
          </wp:anchor>
        </w:drawing>
        <w:t>The following table summarizes the stock option activity in the Company’s equity incentive plans, including non-plan grants to Company executives, from December 31, 2018 through March 31, 2019:</w:t>
      </w:r>
    </w:p>
    <w:p>
      <w:pPr>
        <w:spacing w:after="0" w:line="18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4"/>
          </w:tcPr>
          <w:p>
            <w:pPr>
              <w:jc w:val="right"/>
              <w:ind w:right="60"/>
              <w:spacing w:after="0"/>
              <w:rPr>
                <w:sz w:val="20"/>
                <w:szCs w:val="20"/>
                <w:color w:val="auto"/>
              </w:rPr>
            </w:pPr>
            <w:r>
              <w:rPr>
                <w:rFonts w:ascii="Arial" w:cs="Arial" w:eastAsia="Arial" w:hAnsi="Arial"/>
                <w:sz w:val="14"/>
                <w:szCs w:val="14"/>
                <w:color w:val="auto"/>
              </w:rPr>
              <w:t>Weighted Average</w:t>
            </w:r>
          </w:p>
        </w:tc>
      </w:tr>
      <w:tr>
        <w:trPr>
          <w:trHeight w:val="164"/>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w w:val="91"/>
              </w:rPr>
              <w:t>Exercise Price</w:t>
            </w:r>
          </w:p>
        </w:tc>
      </w:tr>
      <w:tr>
        <w:trPr>
          <w:trHeight w:val="205"/>
        </w:trPr>
        <w:tc>
          <w:tcPr>
            <w:tcW w:w="20" w:type="dxa"/>
            <w:vAlign w:val="bottom"/>
          </w:tcPr>
          <w:p>
            <w:pPr>
              <w:spacing w:after="0"/>
              <w:rPr>
                <w:sz w:val="17"/>
                <w:szCs w:val="17"/>
                <w:color w:val="auto"/>
              </w:rPr>
            </w:pPr>
          </w:p>
        </w:tc>
        <w:tc>
          <w:tcPr>
            <w:tcW w:w="56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Outstanding, December 31, 2018</w:t>
            </w:r>
          </w:p>
        </w:tc>
        <w:tc>
          <w:tcPr>
            <w:tcW w:w="78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2"/>
              </w:rPr>
              <w:t>2,713,979</w:t>
            </w: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4.67</w:t>
            </w:r>
          </w:p>
        </w:tc>
        <w:tc>
          <w:tcPr>
            <w:tcW w:w="60" w:type="dxa"/>
            <w:vAlign w:val="bottom"/>
            <w:tcBorders>
              <w:top w:val="single" w:sz="8" w:color="CCEEFF"/>
            </w:tcBorders>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530,000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w:t>
            </w: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(133,837)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6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660" w:type="dxa"/>
            <w:vAlign w:val="bottom"/>
          </w:tcPr>
          <w:p>
            <w:pPr>
              <w:ind w:left="320"/>
              <w:spacing w:after="0"/>
              <w:rPr>
                <w:sz w:val="20"/>
                <w:szCs w:val="20"/>
                <w:color w:val="auto"/>
              </w:rPr>
            </w:pPr>
            <w:r>
              <w:rPr>
                <w:rFonts w:ascii="Arial" w:cs="Arial" w:eastAsia="Arial" w:hAnsi="Arial"/>
                <w:sz w:val="18"/>
                <w:szCs w:val="18"/>
                <w:color w:val="auto"/>
              </w:rPr>
              <w:t>Options forfeited/cancelled</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(39,098)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3,071,044</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31"/>
        <w:spacing w:after="0" w:line="329" w:lineRule="auto"/>
        <w:rPr>
          <w:sz w:val="20"/>
          <w:szCs w:val="20"/>
          <w:color w:val="auto"/>
        </w:rPr>
      </w:pPr>
      <w:r>
        <w:rPr>
          <w:rFonts w:ascii="Arial" w:cs="Arial" w:eastAsia="Arial" w:hAnsi="Arial"/>
          <w:sz w:val="15"/>
          <w:szCs w:val="15"/>
          <w:color w:val="auto"/>
        </w:rPr>
        <w:t>As of March 31, 2019, there was $1,699,000 of unrecognized compensation related to 579,375 unvested options, which is expected to be recognized over a weighted–average period of approximately 1.26 years. The weighted-average grant date fair value for options granted during the three months ended March 31, 2019 was $3.83. The Company granted 530,000 stock options during the three months ended March 31, 2019.</w:t>
      </w:r>
    </w:p>
    <w:p>
      <w:pPr>
        <w:spacing w:after="0" w:line="137" w:lineRule="exact"/>
        <w:rPr>
          <w:sz w:val="20"/>
          <w:szCs w:val="20"/>
          <w:color w:val="auto"/>
        </w:rPr>
      </w:pPr>
    </w:p>
    <w:p>
      <w:pPr>
        <w:ind w:right="740" w:firstLine="431"/>
        <w:spacing w:after="0" w:line="264"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8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color w:val="auto"/>
                <w:w w:val="87"/>
              </w:rPr>
              <w:t>Three</w:t>
            </w:r>
          </w:p>
        </w:tc>
        <w:tc>
          <w:tcPr>
            <w:tcW w:w="3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Three</w:t>
            </w:r>
          </w:p>
        </w:tc>
      </w:tr>
      <w:tr>
        <w:trPr>
          <w:trHeight w:val="146"/>
        </w:trPr>
        <w:tc>
          <w:tcPr>
            <w:tcW w:w="3500" w:type="dxa"/>
            <w:vAlign w:val="bottom"/>
          </w:tcPr>
          <w:p>
            <w:pPr>
              <w:spacing w:after="0"/>
              <w:rPr>
                <w:sz w:val="12"/>
                <w:szCs w:val="12"/>
                <w:color w:val="auto"/>
              </w:rPr>
            </w:pPr>
          </w:p>
        </w:tc>
        <w:tc>
          <w:tcPr>
            <w:tcW w:w="3340" w:type="dxa"/>
            <w:vAlign w:val="bottom"/>
            <w:gridSpan w:val="3"/>
          </w:tcPr>
          <w:p>
            <w:pPr>
              <w:jc w:val="center"/>
              <w:ind w:left="1456"/>
              <w:spacing w:after="0" w:line="145" w:lineRule="exact"/>
              <w:rPr>
                <w:sz w:val="20"/>
                <w:szCs w:val="20"/>
                <w:color w:val="auto"/>
              </w:rPr>
            </w:pPr>
            <w:r>
              <w:rPr>
                <w:rFonts w:ascii="Arial" w:cs="Arial" w:eastAsia="Arial" w:hAnsi="Arial"/>
                <w:sz w:val="14"/>
                <w:szCs w:val="14"/>
                <w:color w:val="auto"/>
                <w:w w:val="92"/>
              </w:rPr>
              <w:t>Months Ended</w:t>
            </w:r>
          </w:p>
        </w:tc>
        <w:tc>
          <w:tcPr>
            <w:tcW w:w="1360" w:type="dxa"/>
            <w:vAlign w:val="bottom"/>
            <w:gridSpan w:val="3"/>
          </w:tcPr>
          <w:p>
            <w:pPr>
              <w:jc w:val="center"/>
              <w:ind w:left="38"/>
              <w:spacing w:after="0" w:line="145" w:lineRule="exact"/>
              <w:rPr>
                <w:sz w:val="20"/>
                <w:szCs w:val="20"/>
                <w:color w:val="auto"/>
              </w:rPr>
            </w:pPr>
            <w:r>
              <w:rPr>
                <w:rFonts w:ascii="Arial" w:cs="Arial" w:eastAsia="Arial" w:hAnsi="Arial"/>
                <w:sz w:val="14"/>
                <w:szCs w:val="14"/>
                <w:color w:val="auto"/>
                <w:w w:val="92"/>
              </w:rPr>
              <w:t>Months Ended</w:t>
            </w:r>
          </w:p>
        </w:tc>
      </w:tr>
      <w:tr>
        <w:trPr>
          <w:trHeight w:val="164"/>
        </w:trPr>
        <w:tc>
          <w:tcPr>
            <w:tcW w:w="3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color w:val="auto"/>
                <w:w w:val="93"/>
              </w:rPr>
              <w:t>March 31,</w:t>
            </w:r>
          </w:p>
        </w:tc>
        <w:tc>
          <w:tcPr>
            <w:tcW w:w="3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March 31,</w:t>
            </w:r>
          </w:p>
        </w:tc>
      </w:tr>
      <w:tr>
        <w:trPr>
          <w:trHeight w:val="139"/>
        </w:trPr>
        <w:tc>
          <w:tcPr>
            <w:tcW w:w="350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39" w:lineRule="exact"/>
              <w:rPr>
                <w:sz w:val="20"/>
                <w:szCs w:val="20"/>
                <w:color w:val="auto"/>
              </w:rPr>
            </w:pPr>
            <w:r>
              <w:rPr>
                <w:rFonts w:ascii="Arial" w:cs="Arial" w:eastAsia="Arial" w:hAnsi="Arial"/>
                <w:sz w:val="14"/>
                <w:szCs w:val="14"/>
                <w:color w:val="auto"/>
                <w:w w:val="89"/>
              </w:rPr>
              <w:t>2019</w:t>
            </w:r>
          </w:p>
        </w:tc>
        <w:tc>
          <w:tcPr>
            <w:tcW w:w="4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39" w:lineRule="exact"/>
              <w:rPr>
                <w:sz w:val="20"/>
                <w:szCs w:val="20"/>
                <w:color w:val="auto"/>
              </w:rPr>
            </w:pPr>
            <w:r>
              <w:rPr>
                <w:rFonts w:ascii="Arial" w:cs="Arial" w:eastAsia="Arial" w:hAnsi="Arial"/>
                <w:sz w:val="14"/>
                <w:szCs w:val="14"/>
                <w:color w:val="auto"/>
                <w:w w:val="89"/>
              </w:rPr>
              <w:t>2018</w:t>
            </w:r>
          </w:p>
        </w:tc>
        <w:tc>
          <w:tcPr>
            <w:tcW w:w="200" w:type="dxa"/>
            <w:vAlign w:val="bottom"/>
            <w:tcBorders>
              <w:bottom w:val="single" w:sz="8" w:color="CCEEFF"/>
            </w:tcBorders>
          </w:tcPr>
          <w:p>
            <w:pPr>
              <w:spacing w:after="0"/>
              <w:rPr>
                <w:sz w:val="12"/>
                <w:szCs w:val="12"/>
                <w:color w:val="auto"/>
              </w:rPr>
            </w:pPr>
          </w:p>
        </w:tc>
      </w:tr>
      <w:tr>
        <w:trPr>
          <w:trHeight w:val="205"/>
        </w:trPr>
        <w:tc>
          <w:tcPr>
            <w:tcW w:w="3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Risk-free interest rate</w:t>
            </w:r>
          </w:p>
        </w:tc>
        <w:tc>
          <w:tcPr>
            <w:tcW w:w="20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line="205" w:lineRule="exact"/>
              <w:rPr>
                <w:sz w:val="20"/>
                <w:szCs w:val="20"/>
                <w:color w:val="auto"/>
              </w:rPr>
            </w:pPr>
            <w:r>
              <w:rPr>
                <w:rFonts w:ascii="Arial" w:cs="Arial" w:eastAsia="Arial" w:hAnsi="Arial"/>
                <w:sz w:val="18"/>
                <w:szCs w:val="18"/>
                <w:color w:val="auto"/>
              </w:rPr>
              <w:t>2.68%</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2.18%</w:t>
            </w:r>
          </w:p>
        </w:tc>
      </w:tr>
      <w:tr>
        <w:trPr>
          <w:trHeight w:val="212"/>
        </w:trPr>
        <w:tc>
          <w:tcPr>
            <w:tcW w:w="350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20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6 years</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 years</w:t>
            </w:r>
          </w:p>
        </w:tc>
      </w:tr>
      <w:tr>
        <w:trPr>
          <w:trHeight w:val="212"/>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3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104%</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Expected dividend rate</w:t>
            </w:r>
          </w:p>
        </w:tc>
        <w:tc>
          <w:tcPr>
            <w:tcW w:w="334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345"/>
        </w:trPr>
        <w:tc>
          <w:tcPr>
            <w:tcW w:w="3500" w:type="dxa"/>
            <w:vAlign w:val="bottom"/>
          </w:tcPr>
          <w:p>
            <w:pPr>
              <w:spacing w:after="0"/>
              <w:rPr>
                <w:sz w:val="24"/>
                <w:szCs w:val="24"/>
                <w:color w:val="auto"/>
              </w:rPr>
            </w:pPr>
          </w:p>
        </w:tc>
        <w:tc>
          <w:tcPr>
            <w:tcW w:w="2020" w:type="dxa"/>
            <w:vAlign w:val="bottom"/>
          </w:tcPr>
          <w:p>
            <w:pPr>
              <w:jc w:val="right"/>
              <w:ind w:right="1256"/>
              <w:spacing w:after="0"/>
              <w:rPr>
                <w:sz w:val="20"/>
                <w:szCs w:val="20"/>
                <w:color w:val="auto"/>
              </w:rPr>
            </w:pPr>
            <w:r>
              <w:rPr>
                <w:rFonts w:ascii="Arial" w:cs="Arial" w:eastAsia="Arial" w:hAnsi="Arial"/>
                <w:sz w:val="18"/>
                <w:szCs w:val="18"/>
                <w:color w:val="auto"/>
              </w:rPr>
              <w:t>10</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760"/>
          </w:cols>
          <w:pgMar w:left="560" w:top="273" w:right="5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705" cy="38100"/>
                    </a:xfrm>
                    <a:prstGeom prst="rect">
                      <a:avLst/>
                    </a:prstGeom>
                    <a:noFill/>
                  </pic:spPr>
                </pic:pic>
              </a:graphicData>
            </a:graphic>
          </wp:anchor>
        </w:drawing>
        <w:t>5. Common Stock Warrants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common stock warrant activity from December 31, 2018 through March 31, 2019:</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4"/>
          </w:tcPr>
          <w:p>
            <w:pPr>
              <w:jc w:val="right"/>
              <w:ind w:right="60"/>
              <w:spacing w:after="0"/>
              <w:rPr>
                <w:sz w:val="20"/>
                <w:szCs w:val="20"/>
                <w:color w:val="auto"/>
              </w:rPr>
            </w:pPr>
            <w:r>
              <w:rPr>
                <w:rFonts w:ascii="Arial" w:cs="Arial" w:eastAsia="Arial" w:hAnsi="Arial"/>
                <w:sz w:val="14"/>
                <w:szCs w:val="14"/>
                <w:color w:val="auto"/>
              </w:rPr>
              <w:t>Weighted Average</w:t>
            </w:r>
          </w:p>
        </w:tc>
      </w:tr>
      <w:tr>
        <w:trPr>
          <w:trHeight w:val="164"/>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color w:val="auto"/>
              </w:rPr>
              <w:t>Shares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w w:val="91"/>
              </w:rPr>
              <w:t>Exercise Price</w:t>
            </w:r>
          </w:p>
        </w:tc>
      </w:tr>
      <w:tr>
        <w:trPr>
          <w:trHeight w:val="205"/>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Outstanding, December 31, 2018</w:t>
            </w:r>
          </w:p>
        </w:tc>
        <w:tc>
          <w:tcPr>
            <w:tcW w:w="8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0"/>
              </w:rPr>
              <w:t>10,647,026</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3.48</w:t>
            </w:r>
          </w:p>
        </w:tc>
        <w:tc>
          <w:tcPr>
            <w:tcW w:w="60" w:type="dxa"/>
            <w:vAlign w:val="bottom"/>
            <w:tcBorders>
              <w:top w:val="single" w:sz="8" w:color="CCEEFF"/>
            </w:tcBorders>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2"/>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(85,090)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Forfeited/cancelled</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(143,411)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2019</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10,418,525</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17" w:lineRule="exact"/>
        <w:rPr>
          <w:sz w:val="20"/>
          <w:szCs w:val="20"/>
          <w:color w:val="auto"/>
        </w:rPr>
      </w:pPr>
    </w:p>
    <w:p>
      <w:pPr>
        <w:ind w:right="220" w:firstLine="431"/>
        <w:spacing w:after="0" w:line="266" w:lineRule="auto"/>
        <w:rPr>
          <w:sz w:val="20"/>
          <w:szCs w:val="20"/>
          <w:color w:val="auto"/>
        </w:rPr>
      </w:pPr>
      <w:r>
        <w:rPr>
          <w:rFonts w:ascii="Arial" w:cs="Arial" w:eastAsia="Arial" w:hAnsi="Arial"/>
          <w:sz w:val="17"/>
          <w:szCs w:val="17"/>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or level 3 assets or liabilities at March 31, 2019 or December 31, 2018.</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Loss Per Share</w:t>
      </w:r>
    </w:p>
    <w:p>
      <w:pPr>
        <w:spacing w:after="0" w:line="117" w:lineRule="exact"/>
        <w:rPr>
          <w:sz w:val="20"/>
          <w:szCs w:val="20"/>
          <w:color w:val="auto"/>
        </w:rPr>
      </w:pPr>
    </w:p>
    <w:p>
      <w:pPr>
        <w:ind w:right="100" w:firstLine="431"/>
        <w:spacing w:after="0" w:line="249" w:lineRule="auto"/>
        <w:rPr>
          <w:sz w:val="20"/>
          <w:szCs w:val="20"/>
          <w:color w:val="auto"/>
        </w:rPr>
      </w:pPr>
      <w:r>
        <w:rPr>
          <w:rFonts w:ascii="Arial" w:cs="Arial" w:eastAsia="Arial" w:hAnsi="Arial"/>
          <w:sz w:val="18"/>
          <w:szCs w:val="18"/>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93" w:lineRule="exact"/>
        <w:rPr>
          <w:sz w:val="20"/>
          <w:szCs w:val="20"/>
          <w:color w:val="auto"/>
        </w:rPr>
      </w:pPr>
    </w:p>
    <w:p>
      <w:pPr>
        <w:ind w:right="20" w:firstLine="431"/>
        <w:spacing w:after="0" w:line="264"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March 31, 2019</w:t>
            </w:r>
          </w:p>
        </w:tc>
        <w:tc>
          <w:tcPr>
            <w:tcW w:w="1400" w:type="dxa"/>
            <w:vAlign w:val="bottom"/>
            <w:gridSpan w:val="3"/>
          </w:tcPr>
          <w:p>
            <w:pPr>
              <w:jc w:val="center"/>
              <w:ind w:left="298"/>
              <w:spacing w:after="0"/>
              <w:rPr>
                <w:sz w:val="20"/>
                <w:szCs w:val="20"/>
                <w:color w:val="auto"/>
              </w:rPr>
            </w:pPr>
            <w:r>
              <w:rPr>
                <w:rFonts w:ascii="Arial" w:cs="Arial" w:eastAsia="Arial" w:hAnsi="Arial"/>
                <w:sz w:val="14"/>
                <w:szCs w:val="14"/>
                <w:color w:val="auto"/>
                <w:w w:val="92"/>
              </w:rPr>
              <w:t>March 31, 2018</w:t>
            </w:r>
          </w:p>
        </w:tc>
      </w:tr>
      <w:tr>
        <w:trPr>
          <w:trHeight w:val="164"/>
        </w:trPr>
        <w:tc>
          <w:tcPr>
            <w:tcW w:w="5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ind w:right="158"/>
              <w:spacing w:after="0"/>
              <w:rPr>
                <w:sz w:val="20"/>
                <w:szCs w:val="20"/>
                <w:color w:val="auto"/>
              </w:rPr>
            </w:pPr>
            <w:r>
              <w:rPr>
                <w:rFonts w:ascii="Arial" w:cs="Arial" w:eastAsia="Arial" w:hAnsi="Arial"/>
                <w:sz w:val="14"/>
                <w:szCs w:val="14"/>
                <w:color w:val="auto"/>
              </w:rPr>
              <w:t>(shares)</w:t>
            </w:r>
          </w:p>
        </w:tc>
        <w:tc>
          <w:tcPr>
            <w:tcW w:w="44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(shares)</w:t>
            </w:r>
          </w:p>
        </w:tc>
      </w:tr>
      <w:tr>
        <w:trPr>
          <w:trHeight w:val="205"/>
        </w:trPr>
        <w:tc>
          <w:tcPr>
            <w:tcW w:w="53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Warrants to purchase shares of common stock</w:t>
            </w:r>
          </w:p>
        </w:tc>
        <w:tc>
          <w:tcPr>
            <w:tcW w:w="5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7"/>
              </w:rPr>
              <w:t>10,418,525</w:t>
            </w:r>
          </w:p>
        </w:tc>
        <w:tc>
          <w:tcPr>
            <w:tcW w:w="4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97"/>
              </w:rPr>
              <w:t>11,449,463</w:t>
            </w:r>
          </w:p>
        </w:tc>
        <w:tc>
          <w:tcPr>
            <w:tcW w:w="60" w:type="dxa"/>
            <w:vAlign w:val="bottom"/>
            <w:tcBorders>
              <w:top w:val="single" w:sz="8" w:color="CCEEFF"/>
            </w:tcBorders>
            <w:shd w:val="clear" w:color="auto" w:fill="CCEEFF"/>
          </w:tcPr>
          <w:p>
            <w:pPr>
              <w:spacing w:after="0"/>
              <w:rPr>
                <w:sz w:val="17"/>
                <w:szCs w:val="17"/>
                <w:color w:val="auto"/>
              </w:rPr>
            </w:pPr>
          </w:p>
        </w:tc>
      </w:tr>
      <w:tr>
        <w:trPr>
          <w:trHeight w:val="212"/>
        </w:trPr>
        <w:tc>
          <w:tcPr>
            <w:tcW w:w="538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3,071,044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5,615,263</w:t>
            </w:r>
          </w:p>
        </w:tc>
        <w:tc>
          <w:tcPr>
            <w:tcW w:w="60" w:type="dxa"/>
            <w:vAlign w:val="bottom"/>
          </w:tcPr>
          <w:p>
            <w:pPr>
              <w:spacing w:after="0"/>
              <w:rPr>
                <w:sz w:val="18"/>
                <w:szCs w:val="18"/>
                <w:color w:val="auto"/>
              </w:rPr>
            </w:pPr>
          </w:p>
        </w:tc>
      </w:tr>
      <w:tr>
        <w:trPr>
          <w:trHeight w:val="212"/>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of common stock issuable upon conversion of preferred stock</w:t>
            </w:r>
          </w:p>
        </w:tc>
        <w:tc>
          <w:tcPr>
            <w:tcW w:w="5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514,602</w:t>
            </w:r>
          </w:p>
        </w:tc>
        <w:tc>
          <w:tcPr>
            <w:tcW w:w="4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4,312,282</w:t>
            </w:r>
          </w:p>
        </w:tc>
        <w:tc>
          <w:tcPr>
            <w:tcW w:w="60" w:type="dxa"/>
            <w:vAlign w:val="bottom"/>
            <w:shd w:val="clear" w:color="auto" w:fill="CCEEFF"/>
          </w:tcPr>
          <w:p>
            <w:pPr>
              <w:spacing w:after="0"/>
              <w:rPr>
                <w:sz w:val="18"/>
                <w:szCs w:val="18"/>
                <w:color w:val="auto"/>
              </w:rPr>
            </w:pPr>
          </w:p>
        </w:tc>
      </w:tr>
      <w:tr>
        <w:trPr>
          <w:trHeight w:val="218"/>
        </w:trPr>
        <w:tc>
          <w:tcPr>
            <w:tcW w:w="53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14,004,171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21,377,008</w:t>
            </w:r>
          </w:p>
        </w:tc>
        <w:tc>
          <w:tcPr>
            <w:tcW w:w="6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At Market Issuance of Common Stock</w:t>
      </w:r>
    </w:p>
    <w:p>
      <w:pPr>
        <w:spacing w:after="0" w:line="111" w:lineRule="exact"/>
        <w:rPr>
          <w:sz w:val="20"/>
          <w:szCs w:val="20"/>
          <w:color w:val="auto"/>
        </w:rPr>
      </w:pPr>
    </w:p>
    <w:p>
      <w:pPr>
        <w:ind w:right="40" w:firstLine="431"/>
        <w:spacing w:after="0" w:line="248" w:lineRule="auto"/>
        <w:rPr>
          <w:sz w:val="20"/>
          <w:szCs w:val="20"/>
          <w:color w:val="auto"/>
        </w:rPr>
      </w:pPr>
      <w:r>
        <w:rPr>
          <w:rFonts w:ascii="Arial" w:cs="Arial" w:eastAsia="Arial" w:hAnsi="Arial"/>
          <w:sz w:val="18"/>
          <w:szCs w:val="18"/>
          <w:color w:val="auto"/>
        </w:rPr>
        <w:t>On May 19, 2017, the Company entered into an At Market Issuance Sales Agreement (the “2017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2017 At Market Agreement. During the three months ended March 31, 2019, the Company issued 395,233 shares of its common stock under the 2017 At Market Agreement for net proceeds of approximately $1,865,000.</w:t>
      </w:r>
    </w:p>
    <w:p>
      <w:pPr>
        <w:spacing w:after="0" w:line="196" w:lineRule="exact"/>
        <w:rPr>
          <w:sz w:val="20"/>
          <w:szCs w:val="20"/>
          <w:color w:val="auto"/>
        </w:rPr>
      </w:pPr>
    </w:p>
    <w:p>
      <w:pPr>
        <w:ind w:firstLine="431"/>
        <w:spacing w:after="0" w:line="264" w:lineRule="auto"/>
        <w:rPr>
          <w:sz w:val="20"/>
          <w:szCs w:val="20"/>
          <w:color w:val="auto"/>
        </w:rPr>
      </w:pPr>
      <w:r>
        <w:rPr>
          <w:rFonts w:ascii="Arial" w:cs="Arial" w:eastAsia="Arial" w:hAnsi="Arial"/>
          <w:sz w:val="18"/>
          <w:szCs w:val="18"/>
          <w:color w:val="auto"/>
        </w:rPr>
        <w:t>For the three months ended March 31, 2018, the Company has issued a total of 74,476 shares of common stock for dividends on Series A, Series B and Series C Preferred Stock.</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00"/>
          </w:cols>
          <w:pgMar w:left="560" w:top="267" w:right="5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705" cy="38100"/>
                    </a:xfrm>
                    <a:prstGeom prst="rect">
                      <a:avLst/>
                    </a:prstGeom>
                    <a:noFill/>
                  </pic:spPr>
                </pic:pic>
              </a:graphicData>
            </a:graphic>
          </wp:anchor>
        </w:drawing>
        <w:t>9. Preferred Stock Conversion into Common Stock</w:t>
      </w:r>
    </w:p>
    <w:p>
      <w:pPr>
        <w:spacing w:after="0" w:line="117" w:lineRule="exact"/>
        <w:rPr>
          <w:sz w:val="20"/>
          <w:szCs w:val="20"/>
          <w:color w:val="auto"/>
        </w:rPr>
      </w:pPr>
    </w:p>
    <w:p>
      <w:pPr>
        <w:ind w:right="200" w:firstLine="431"/>
        <w:spacing w:after="0" w:line="271" w:lineRule="auto"/>
        <w:rPr>
          <w:sz w:val="20"/>
          <w:szCs w:val="20"/>
          <w:color w:val="auto"/>
        </w:rPr>
      </w:pPr>
      <w:r>
        <w:rPr>
          <w:rFonts w:ascii="Arial" w:cs="Arial" w:eastAsia="Arial" w:hAnsi="Arial"/>
          <w:sz w:val="17"/>
          <w:szCs w:val="17"/>
          <w:color w:val="auto"/>
        </w:rPr>
        <w:t>On January 11, 2019, 10X Fund L.P. (“10X Fund”), converted all of its Series B Convertible Preferred Stock into Common Stock of Galectin Therapeutics. Pursuant to the terms of the conversion, as of January 11, 2019, 10X Fund converted 5,508,000 shares of its Series B-1, B-2 and B-3 Convertible Preferred Stock into 3,789,346 shares of Common Stock of Galectin Therapeutics. All special voting rights and protective provisions that previously benefited the Series B Preferred Stock were extinguished by the conversion to Common Stock.</w:t>
      </w:r>
    </w:p>
    <w:p>
      <w:pPr>
        <w:spacing w:after="0" w:line="175" w:lineRule="exact"/>
        <w:rPr>
          <w:sz w:val="20"/>
          <w:szCs w:val="20"/>
          <w:color w:val="auto"/>
        </w:rPr>
      </w:pPr>
    </w:p>
    <w:p>
      <w:pPr>
        <w:ind w:firstLine="431"/>
        <w:spacing w:after="0" w:line="250" w:lineRule="auto"/>
        <w:rPr>
          <w:sz w:val="20"/>
          <w:szCs w:val="20"/>
          <w:color w:val="auto"/>
        </w:rPr>
      </w:pPr>
      <w:r>
        <w:rPr>
          <w:rFonts w:ascii="Arial" w:cs="Arial" w:eastAsia="Arial" w:hAnsi="Arial"/>
          <w:sz w:val="18"/>
          <w:szCs w:val="18"/>
          <w:color w:val="auto"/>
        </w:rPr>
        <w:t>In connection with the conversion of the Series B Preferred Stock, the Company extended by five years the exercise date of warrants for 3,579,642 shares of Common Stock issued by the Company in connection with sale of the Series B-1 and Series B-2 Preferred Stock. Before the extension, the warrants had various expiration dates in 2019 and 2020. The warrant amendments give 10X Fund the right to nominate one director to the Company’s board of directors. Previously, under the now extinguished voting rights of the Series B Preferred, 10X Fund had the right to name two directors and nominate an additional three directors.</w:t>
      </w:r>
    </w:p>
    <w:p>
      <w:pPr>
        <w:spacing w:after="0" w:line="192" w:lineRule="exact"/>
        <w:rPr>
          <w:sz w:val="20"/>
          <w:szCs w:val="20"/>
          <w:color w:val="auto"/>
        </w:rPr>
      </w:pPr>
    </w:p>
    <w:p>
      <w:pPr>
        <w:ind w:right="220" w:firstLine="431"/>
        <w:spacing w:after="0" w:line="248" w:lineRule="auto"/>
        <w:rPr>
          <w:sz w:val="20"/>
          <w:szCs w:val="20"/>
          <w:color w:val="auto"/>
        </w:rPr>
      </w:pPr>
      <w:r>
        <w:rPr>
          <w:rFonts w:ascii="Arial" w:cs="Arial" w:eastAsia="Arial" w:hAnsi="Arial"/>
          <w:sz w:val="18"/>
          <w:szCs w:val="18"/>
          <w:color w:val="auto"/>
        </w:rPr>
        <w:t>The Company has accounted for the modified terms of the warrants pursuant to ASC 718, Stock Compensation, whereby the Company has recognized a charge for the change in fair value of the warrants immediately before and immediately after the modification. In January 2019, the Company recognized a one-time non-cash charge of $6,622,000 related to the extension of the 3,579,642 warrants. The following assumptions were used to value the extension of the warrants immediately before and immediately after the modification: a) immediately before the modification — an expected life range of 0.09 to 1.33 years, volatility of 98%, risk free interest rate range of 2.4% to 2.59% and zero dividends and; b) immediately following the modification — an expected life range of 5.09 to 6.33 years, volatility range of 106%, risk free interest rate range of 2.56% to 2.6% and zero dividends.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1" w:lineRule="exact"/>
        <w:rPr>
          <w:sz w:val="20"/>
          <w:szCs w:val="20"/>
          <w:color w:val="auto"/>
        </w:rPr>
      </w:pPr>
    </w:p>
    <w:p>
      <w:pPr>
        <w:ind w:right="180" w:firstLine="431"/>
        <w:spacing w:after="0" w:line="264"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significant pending legal proceedings.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17" w:lineRule="exact"/>
        <w:rPr>
          <w:sz w:val="20"/>
          <w:szCs w:val="20"/>
          <w:color w:val="auto"/>
        </w:rPr>
      </w:pPr>
    </w:p>
    <w:p>
      <w:pPr>
        <w:ind w:right="100" w:firstLine="431"/>
        <w:spacing w:after="0" w:line="248" w:lineRule="auto"/>
        <w:rPr>
          <w:sz w:val="20"/>
          <w:szCs w:val="20"/>
          <w:color w:val="auto"/>
        </w:rPr>
      </w:pPr>
      <w:r>
        <w:rPr>
          <w:rFonts w:ascii="Arial" w:cs="Arial" w:eastAsia="Arial" w:hAnsi="Arial"/>
          <w:sz w:val="18"/>
          <w:szCs w:val="18"/>
          <w:color w:val="auto"/>
        </w:rPr>
        <w:t>The Company has one operating lease for its office space which was amended effective January 1, 2019 for a term of 38 months with no residual value guarantees or material restrictive covenants. The amended lease provided for free rent for the first two months of the lease and continues the security deposit of $6,000. In addition to base rental payments included in the contractual obligations table above, the Company is responsible for our pro-rata share of the operating expenses for the building. Our lease cost for the three-month period ended March 31, 2019 was $11,000 and is included in general and administrative expenses. As of March 31, 2019, the right to use lease asset consisted of $108,000 and is included in other assets. Also, at March 31, 2019, current lease liability of $34,000 is included in accrued expenses and other and noncurrent lease liability of $81,000 is in other liabilities.</w:t>
      </w:r>
    </w:p>
    <w:p>
      <w:pPr>
        <w:spacing w:after="0" w:line="196" w:lineRule="exact"/>
        <w:rPr>
          <w:sz w:val="20"/>
          <w:szCs w:val="20"/>
          <w:color w:val="auto"/>
        </w:rPr>
      </w:pPr>
    </w:p>
    <w:tbl>
      <w:tblPr>
        <w:tblLayout w:type="fixed"/>
        <w:tblInd w:w="420" w:type="dxa"/>
        <w:tblCellMar>
          <w:top w:w="0" w:type="dxa"/>
          <w:left w:w="0" w:type="dxa"/>
          <w:bottom w:w="0" w:type="dxa"/>
          <w:right w:w="0" w:type="dxa"/>
        </w:tblCellMar>
      </w:tblP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Maturity of operating lease as of March 31, 2019 in thousands:</w:t>
            </w: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320" w:type="dxa"/>
            <w:vAlign w:val="bottom"/>
            <w:vMerge w:val="restart"/>
          </w:tcPr>
          <w:p>
            <w:pPr>
              <w:spacing w:after="0"/>
              <w:rPr>
                <w:sz w:val="20"/>
                <w:szCs w:val="20"/>
                <w:color w:val="auto"/>
              </w:rPr>
            </w:pPr>
          </w:p>
        </w:tc>
        <w:tc>
          <w:tcPr>
            <w:tcW w:w="50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3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2020</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2022</w:t>
            </w:r>
          </w:p>
        </w:tc>
        <w:tc>
          <w:tcPr>
            <w:tcW w:w="19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9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liability</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discount rate used in calculating the present value of the lease payments was 11.04%</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Galectin Sciences LLC</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In January 2014, we created Galectin Sciences, LLC (the “LLC” or “Investee”), a collaborative joint venture co-owned by SBH Sciences, Inc.</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(“SBH”), to research and develop small organic molecule inhibitors of galectin-3 for oral administration. The LLC was initially capitalized with a</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$400,000 cash investment to fund future research and development activities, which was provided by the Company, and specific in-process research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development (“IPR&amp;D”) contributed by SBH. The estimated fair value of the IPR&amp;D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80"/>
          </w:cols>
          <w:pgMar w:left="560" w:top="267" w:right="559" w:bottom="1440" w:gutter="0" w:footer="0" w:header="0"/>
        </w:sectPr>
      </w:pPr>
    </w:p>
    <w:bookmarkStart w:id="12" w:name="page13"/>
    <w:bookmarkEnd w:id="12"/>
    <w:p>
      <w:pPr>
        <w:spacing w:after="0" w:line="30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705" cy="38100"/>
                    </a:xfrm>
                    <a:prstGeom prst="rect">
                      <a:avLst/>
                    </a:prstGeom>
                    <a:noFill/>
                  </pic:spPr>
                </pic:pic>
              </a:graphicData>
            </a:graphic>
          </wp:anchor>
        </w:drawing>
        <w:t>contributed by SBH, on the date of contribution, was $400,000. Initially, the Company and SBH each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Since then, the Company has contributed a total of $1,859,000, including $55,000 for the three months ended March 31, 2019, for expenses of the LLC. Since the end of 2014, SBH has contributed $123,000 for expenses in the LLC. As of March 31, 2019, the Company’s ownership percentage in the LLC was 81.2%. The Company accounts for the interest in the LLC as a consolidated, less than wholly owned subsidiary. Because the LLC’s equity is immaterial, the value of the non-controlling interest is also deemed to be immaterial.</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40"/>
          </w:cols>
          <w:pgMar w:left="560" w:top="273" w:right="5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705" cy="38100"/>
                    </a:xfrm>
                    <a:prstGeom prst="rect">
                      <a:avLst/>
                    </a:prstGeom>
                    <a:noFill/>
                  </pic:spPr>
                </pic:pic>
              </a:graphicData>
            </a:graphic>
          </wp:anchor>
        </w:drawing>
        <w:t>Item 2. Management’s Discussion and Analysis of Financial Condition and Results of Operations</w:t>
      </w:r>
    </w:p>
    <w:p>
      <w:pPr>
        <w:spacing w:after="0" w:line="117" w:lineRule="exact"/>
        <w:rPr>
          <w:sz w:val="20"/>
          <w:szCs w:val="20"/>
          <w:color w:val="auto"/>
        </w:rPr>
      </w:pPr>
    </w:p>
    <w:p>
      <w:pPr>
        <w:ind w:firstLine="431"/>
        <w:spacing w:after="0" w:line="300" w:lineRule="auto"/>
        <w:rPr>
          <w:sz w:val="20"/>
          <w:szCs w:val="20"/>
          <w:color w:val="auto"/>
        </w:rPr>
      </w:pPr>
      <w:r>
        <w:rPr>
          <w:rFonts w:ascii="Arial" w:cs="Arial" w:eastAsia="Arial" w:hAnsi="Arial"/>
          <w:sz w:val="15"/>
          <w:szCs w:val="15"/>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June 30, 2020;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279" w:lineRule="exact"/>
        <w:rPr>
          <w:sz w:val="20"/>
          <w:szCs w:val="20"/>
          <w:color w:val="auto"/>
        </w:rPr>
      </w:pPr>
    </w:p>
    <w:p>
      <w:pPr>
        <w:ind w:left="840" w:hanging="31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23" w:lineRule="exact"/>
        <w:rPr>
          <w:rFonts w:ascii="Arial" w:cs="Arial" w:eastAsia="Arial" w:hAnsi="Arial"/>
          <w:sz w:val="18"/>
          <w:szCs w:val="18"/>
          <w:color w:val="auto"/>
        </w:rPr>
      </w:pPr>
    </w:p>
    <w:p>
      <w:pPr>
        <w:ind w:left="840" w:hanging="314"/>
        <w:spacing w:after="0"/>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cannot assure you that we will generate revenue or profit,</w:t>
      </w:r>
    </w:p>
    <w:p>
      <w:pPr>
        <w:spacing w:after="0" w:line="135" w:lineRule="exact"/>
        <w:rPr>
          <w:rFonts w:ascii="Arial" w:cs="Arial" w:eastAsia="Arial" w:hAnsi="Arial"/>
          <w:sz w:val="17"/>
          <w:szCs w:val="17"/>
          <w:color w:val="auto"/>
        </w:rPr>
      </w:pPr>
    </w:p>
    <w:p>
      <w:pPr>
        <w:ind w:left="840" w:hanging="31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23" w:lineRule="exact"/>
        <w:rPr>
          <w:rFonts w:ascii="Arial" w:cs="Arial" w:eastAsia="Arial" w:hAnsi="Arial"/>
          <w:sz w:val="18"/>
          <w:szCs w:val="18"/>
          <w:color w:val="auto"/>
        </w:rPr>
      </w:pPr>
    </w:p>
    <w:p>
      <w:pPr>
        <w:ind w:left="840" w:right="600" w:hanging="314"/>
        <w:spacing w:after="0" w:line="264"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87" w:lineRule="exact"/>
        <w:rPr>
          <w:rFonts w:ascii="Arial" w:cs="Arial" w:eastAsia="Arial" w:hAnsi="Arial"/>
          <w:sz w:val="18"/>
          <w:szCs w:val="18"/>
          <w:color w:val="auto"/>
        </w:rPr>
      </w:pPr>
    </w:p>
    <w:p>
      <w:pPr>
        <w:ind w:left="840" w:hanging="31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any litigation,</w:t>
      </w:r>
    </w:p>
    <w:p>
      <w:pPr>
        <w:spacing w:after="0" w:line="123" w:lineRule="exact"/>
        <w:rPr>
          <w:rFonts w:ascii="Arial" w:cs="Arial" w:eastAsia="Arial" w:hAnsi="Arial"/>
          <w:sz w:val="18"/>
          <w:szCs w:val="18"/>
          <w:color w:val="auto"/>
        </w:rPr>
      </w:pPr>
    </w:p>
    <w:p>
      <w:pPr>
        <w:ind w:left="840" w:right="100" w:hanging="314"/>
        <w:spacing w:after="0" w:line="264"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technology, including manufacturing of drug product, and clinical trials, including expected dates of availability of clinical data,</w:t>
      </w:r>
    </w:p>
    <w:p>
      <w:pPr>
        <w:spacing w:after="0" w:line="87" w:lineRule="exact"/>
        <w:rPr>
          <w:rFonts w:ascii="Arial" w:cs="Arial" w:eastAsia="Arial" w:hAnsi="Arial"/>
          <w:sz w:val="18"/>
          <w:szCs w:val="18"/>
          <w:color w:val="auto"/>
        </w:rPr>
      </w:pPr>
    </w:p>
    <w:p>
      <w:pPr>
        <w:ind w:left="840" w:hanging="31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23" w:lineRule="exact"/>
        <w:rPr>
          <w:rFonts w:ascii="Arial" w:cs="Arial" w:eastAsia="Arial" w:hAnsi="Arial"/>
          <w:sz w:val="18"/>
          <w:szCs w:val="18"/>
          <w:color w:val="auto"/>
        </w:rPr>
      </w:pPr>
    </w:p>
    <w:p>
      <w:pPr>
        <w:ind w:left="840" w:hanging="31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23" w:lineRule="exact"/>
        <w:rPr>
          <w:rFonts w:ascii="Arial" w:cs="Arial" w:eastAsia="Arial" w:hAnsi="Arial"/>
          <w:sz w:val="18"/>
          <w:szCs w:val="18"/>
          <w:color w:val="auto"/>
        </w:rPr>
      </w:pPr>
    </w:p>
    <w:p>
      <w:pPr>
        <w:ind w:left="840" w:right="260" w:hanging="314"/>
        <w:spacing w:after="0" w:line="364" w:lineRule="auto"/>
        <w:tabs>
          <w:tab w:leader="none" w:pos="84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19" w:lineRule="exact"/>
        <w:rPr>
          <w:rFonts w:ascii="Arial" w:cs="Arial" w:eastAsia="Arial" w:hAnsi="Arial"/>
          <w:sz w:val="15"/>
          <w:szCs w:val="15"/>
          <w:color w:val="auto"/>
        </w:rPr>
      </w:pPr>
    </w:p>
    <w:p>
      <w:pPr>
        <w:ind w:left="840" w:hanging="314"/>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 and</w:t>
      </w:r>
    </w:p>
    <w:p>
      <w:pPr>
        <w:spacing w:after="0" w:line="123" w:lineRule="exact"/>
        <w:rPr>
          <w:rFonts w:ascii="Arial" w:cs="Arial" w:eastAsia="Arial" w:hAnsi="Arial"/>
          <w:sz w:val="18"/>
          <w:szCs w:val="18"/>
          <w:color w:val="auto"/>
        </w:rPr>
      </w:pPr>
    </w:p>
    <w:p>
      <w:pPr>
        <w:ind w:left="840" w:right="220" w:hanging="314"/>
        <w:spacing w:after="0" w:line="264"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180" w:lineRule="exact"/>
        <w:rPr>
          <w:sz w:val="20"/>
          <w:szCs w:val="20"/>
          <w:color w:val="auto"/>
        </w:rPr>
      </w:pPr>
    </w:p>
    <w:p>
      <w:pPr>
        <w:ind w:right="280" w:firstLine="431"/>
        <w:spacing w:after="0" w:line="264"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Overview</w:t>
      </w:r>
    </w:p>
    <w:p>
      <w:pPr>
        <w:spacing w:after="0" w:line="222" w:lineRule="exact"/>
        <w:rPr>
          <w:sz w:val="20"/>
          <w:szCs w:val="20"/>
          <w:color w:val="auto"/>
        </w:rPr>
      </w:pPr>
    </w:p>
    <w:p>
      <w:pPr>
        <w:ind w:right="20" w:firstLine="431"/>
        <w:spacing w:after="0" w:line="303" w:lineRule="auto"/>
        <w:rPr>
          <w:sz w:val="20"/>
          <w:szCs w:val="20"/>
          <w:color w:val="auto"/>
        </w:rPr>
      </w:pPr>
      <w:r>
        <w:rPr>
          <w:rFonts w:ascii="Arial" w:cs="Arial" w:eastAsia="Arial" w:hAnsi="Arial"/>
          <w:sz w:val="15"/>
          <w:szCs w:val="15"/>
          <w:color w:val="auto"/>
        </w:rPr>
        <w:t>We are a clinical stage biopharmaceutical company engaged in drug research and development to create new therapies for fibrotic disease, severe skin disease, and cancer.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significant additional resources.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80"/>
          </w:cols>
          <w:pgMar w:left="560" w:top="267" w:right="559" w:bottom="1440" w:gutter="0" w:footer="0" w:header="0"/>
        </w:sectPr>
      </w:pPr>
    </w:p>
    <w:bookmarkStart w:id="14" w:name="page15"/>
    <w:bookmarkEnd w:id="14"/>
    <w:p>
      <w:pPr>
        <w:ind w:right="80" w:firstLine="431"/>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705" cy="38100"/>
                    </a:xfrm>
                    <a:prstGeom prst="rect">
                      <a:avLst/>
                    </a:prstGeom>
                    <a:noFill/>
                  </pic:spPr>
                </pic:pic>
              </a:graphicData>
            </a:graphic>
          </wp:anchor>
        </w:drawing>
        <w:t>Our lead galectin-3 inhibitor is GR-MD-02, which has been demonstrated in preclinical models to reverse liver fibrosis and cirrhosis. GR-MD-02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gene responsible for galectin-3 “knocked-out” can no longer develop fibrosis in response to experimental stimuli compared to animals with an intact galectin-3 gene. Galectin Therapeutics Inc. is using its galectin-3 inhibitor to treat advanced liver fibrosis and liver cirrhosis in NASH (non-alcoholic steatohepatitis) patients. We have completed two Phase 1 clinical studies, a Phase 2 clinical study in NASH patients with advanced fibrosis (NASH-FX) and a second Phase 2B clinical trial in NASH patients with well compensated cirrhosis. We announced, in December 2017 top line results from our Phase 2b study in NASH patients with cirrhosis (NASH-CX) and results of an End of Phase 2 meeting with the FDA in May 2018 which provided direction on potentially acceptable end points for a Phase 3 trial. The latter was confirmed in a Type C meeting with FDA in February 2019. The company with its external NASH consultants has designed a Phase 3 study which has been sent to various contract research organizations (CROs) for their input on feasibility, timing costs and other important considerations. NASH cirrhosis is a progressive disease, currently not treatable and ultimately may result in liver failure that has poor prognosis and no effective, approved medical therapies other than liver transplant. Galectin-3 expression is highly increased in the liver of patients with liver fibrosis and liver cirrhosis. We believe that our galectin-3 inhibitor, by reducing galectin-3 at the cellular level, ultimately showing a strong anti-fibrotic potential may provide a novel treatment for various forms of liver fibrosis.</w:t>
      </w:r>
    </w:p>
    <w:p>
      <w:pPr>
        <w:spacing w:after="0" w:line="186" w:lineRule="exact"/>
        <w:rPr>
          <w:sz w:val="20"/>
          <w:szCs w:val="20"/>
          <w:color w:val="auto"/>
        </w:rPr>
      </w:pPr>
    </w:p>
    <w:p>
      <w:pPr>
        <w:ind w:firstLine="431"/>
        <w:spacing w:after="0" w:line="301" w:lineRule="auto"/>
        <w:rPr>
          <w:sz w:val="20"/>
          <w:szCs w:val="20"/>
          <w:color w:val="auto"/>
        </w:rPr>
      </w:pPr>
      <w:r>
        <w:rPr>
          <w:rFonts w:ascii="Arial" w:cs="Arial" w:eastAsia="Arial" w:hAnsi="Arial"/>
          <w:sz w:val="15"/>
          <w:szCs w:val="15"/>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that bind galectin proteins and offer alternative options to larger market segments in our primary disease indications. We also have established through Galectin Sciences LLC, a discovery program aimed at the targeted development of small molecules (generally, non-carbohydrate) that bind galectin proteins and may afford options for alternative means of drug delivery (e.g., oral) and as a result expand the potential uses of our galectin-3 inhibitor compounds. We are also pursuing a development pathway to clinical enhancement and commercialization for our lead compounds in immuno-oncology for cancer therapy. However, our clinical development efforts are focused on both liver fibrosis and fatty liver disease as represented by a Phase 2 clinical trial in NASH-cirrhosis which reported top line data in December 2017 and on planning for Phase 3 studies. All of our proposed products are presently in development, including pre-clinical and clinical trials.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117" w:lineRule="exact"/>
        <w:rPr>
          <w:sz w:val="20"/>
          <w:szCs w:val="20"/>
          <w:color w:val="auto"/>
        </w:rPr>
      </w:pPr>
    </w:p>
    <w:p>
      <w:pPr>
        <w:ind w:right="40" w:firstLine="431"/>
        <w:spacing w:after="0" w:line="264" w:lineRule="auto"/>
        <w:rPr>
          <w:sz w:val="20"/>
          <w:szCs w:val="20"/>
          <w:color w:val="auto"/>
        </w:rPr>
      </w:pPr>
      <w:r>
        <w:rPr>
          <w:rFonts w:ascii="Arial" w:cs="Arial" w:eastAsia="Arial" w:hAnsi="Arial"/>
          <w:sz w:val="17"/>
          <w:szCs w:val="17"/>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substantiating the importance of galectin-3 in the fibrotic process arises from gene knockout experiments in animal studies. Mice genetically altered to eliminate the galectin-3 gene, and thus unable to produce galectin-3, are incapable of developing liver fibrosis in response to toxic insult to the liver and in fatty liver disease as well as development of fibrosis in other tissues.</w:t>
      </w:r>
    </w:p>
    <w:p>
      <w:pPr>
        <w:spacing w:after="0" w:line="185" w:lineRule="exact"/>
        <w:rPr>
          <w:sz w:val="20"/>
          <w:szCs w:val="20"/>
          <w:color w:val="auto"/>
        </w:rPr>
      </w:pPr>
    </w:p>
    <w:p>
      <w:pPr>
        <w:ind w:firstLine="431"/>
        <w:spacing w:after="0" w:line="264" w:lineRule="auto"/>
        <w:rPr>
          <w:sz w:val="20"/>
          <w:szCs w:val="20"/>
          <w:color w:val="auto"/>
        </w:rPr>
      </w:pPr>
      <w:r>
        <w:rPr>
          <w:rFonts w:ascii="Arial" w:cs="Arial" w:eastAsia="Arial" w:hAnsi="Arial"/>
          <w:sz w:val="17"/>
          <w:szCs w:val="17"/>
          <w:color w:val="auto"/>
        </w:rPr>
        <w:t>We have one new proprietary chemical entity (NCE) in development, GR-MD-02, which has shown promise in preclinical and early clinical studies in treatment of fibrosis, severe skin disease, and in cancer therapy. Currently we are focusing on development of GR-MD-02 intended to be used in the treatment of liver fibrosis associated with fatty liver disease (NASH) and more specifically in NASH cirrhosis. We have also leveraged our relationships with well-known investigators to demonstrate clinical effects of GR-MD-02 in treating moderate to severe plaque psoriasis, severe atopic dermatitis, and in cancer therapy in combination with immune-system modifying agent(s). GR-MD-02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GM-CT-01 compound has been explored in limited other preclinical studies.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80"/>
          </w:cols>
          <w:pgMar w:left="560" w:top="273" w:right="559" w:bottom="1440" w:gutter="0" w:footer="0" w:header="0"/>
        </w:sectPr>
      </w:pPr>
    </w:p>
    <w:bookmarkStart w:id="15" w:name="page16"/>
    <w:bookmarkEnd w:id="15"/>
    <w:p>
      <w:pPr>
        <w:jc w:val="right"/>
        <w:ind w:right="1180"/>
        <w:spacing w:after="0"/>
        <w:rPr>
          <w:sz w:val="20"/>
          <w:szCs w:val="20"/>
          <w:color w:val="auto"/>
        </w:rPr>
      </w:pPr>
      <w:r>
        <w:rPr>
          <w:rFonts w:ascii="Arial" w:cs="Arial" w:eastAsia="Arial" w:hAnsi="Arial"/>
          <w:sz w:val="18"/>
          <w:szCs w:val="18"/>
          <w:color w:val="auto"/>
        </w:rPr>
        <w:t>Our product pipeline is shown below:</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Fibrosis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NASH with Advanced Fibrosis: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NASH-CX trial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NASH-FX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NASH – RX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Lung Fibrosis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Kidney Fibrosis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Cardiac and Vascular Fibrosis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Immunotherapy</w:t>
      </w:r>
    </w:p>
    <w:p>
      <w:pPr>
        <w:spacing w:after="0" w:line="22" w:lineRule="exact"/>
        <w:rPr>
          <w:sz w:val="20"/>
          <w:szCs w:val="20"/>
          <w:color w:val="auto"/>
        </w:rPr>
      </w:pPr>
    </w:p>
    <w:p>
      <w:pPr>
        <w:ind w:right="1520"/>
        <w:spacing w:after="0" w:line="279" w:lineRule="auto"/>
        <w:rPr>
          <w:sz w:val="20"/>
          <w:szCs w:val="20"/>
          <w:color w:val="auto"/>
        </w:rPr>
      </w:pPr>
      <w:r>
        <w:rPr>
          <w:rFonts w:ascii="Arial" w:cs="Arial" w:eastAsia="Arial" w:hAnsi="Arial"/>
          <w:sz w:val="17"/>
          <w:szCs w:val="17"/>
          <w:color w:val="auto"/>
        </w:rPr>
        <w:t>Melanoma, Head,Neck Squamous Cell Carcinoma (HNSCC)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-465455</wp:posOffset>
            </wp:positionV>
            <wp:extent cx="729170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GR-MD-02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GR-MD-02</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GR-MD-02</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GR-MD-02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GM-CT-01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GR-MD-02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Status</w:t>
      </w:r>
    </w:p>
    <w:p>
      <w:pPr>
        <w:spacing w:after="0" w:line="206" w:lineRule="exact"/>
        <w:rPr>
          <w:sz w:val="20"/>
          <w:szCs w:val="20"/>
          <w:color w:val="auto"/>
        </w:rPr>
      </w:pPr>
    </w:p>
    <w:p>
      <w:pPr>
        <w:ind w:right="40"/>
        <w:spacing w:after="0" w:line="317" w:lineRule="auto"/>
        <w:rPr>
          <w:sz w:val="20"/>
          <w:szCs w:val="20"/>
          <w:color w:val="auto"/>
        </w:rPr>
      </w:pPr>
      <w:r>
        <w:rPr>
          <w:rFonts w:ascii="Arial" w:cs="Arial" w:eastAsia="Arial" w:hAnsi="Arial"/>
          <w:sz w:val="15"/>
          <w:szCs w:val="15"/>
          <w:color w:val="auto"/>
        </w:rPr>
        <w:t>IND submitted January 2013. Results from the Phase 1 clinical trial were reported in 2014, with final results reported in January 2015. End of Phase 1 meeting held with FDA in 2014. Two Phase 2 clinical trials were designed.</w:t>
      </w:r>
    </w:p>
    <w:p>
      <w:pPr>
        <w:spacing w:after="0" w:line="5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NASH FX trial was designed for patients with advanced fibrosis but not cirrhosis. The NASH FX trial top line data was reported in September 2016</w:t>
      </w:r>
    </w:p>
    <w:p>
      <w:pPr>
        <w:spacing w:after="0" w:line="9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NASH CX trial, was designed for patients with well compensated cirrhosis. The NASH CX trial top line data was reported in December 2017. End of Phase 2 (EOP2) meeting held with FDA in May 2018.</w:t>
      </w:r>
    </w:p>
    <w:p>
      <w:pPr>
        <w:spacing w:after="0" w:line="87"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The NASH -RX trial, a Phase 3 trial designed for NASH patients with well compensated cirrhosis, is in planning stage based on feedback on potential endpoints received from FDA at end of Phase 2 meeting and in consultation with our external hepatology consultants. As part of the planning related to the Phase 3 trial, the Company has had ongoing discussions with FDA regarding Galectin’s proposal for the next clinical study as well as the overall development program. These ongoing conversations included a recent Type C Meeting via teleconference with the Agency on February 6, 2019, to discuss Galectin’s proposal for use of progression to varices as the primary surrogate endpoint moving forward.</w:t>
      </w:r>
    </w:p>
    <w:p>
      <w:pPr>
        <w:spacing w:after="0" w:line="72"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In the meeting, FDA confirmed that the Agency is supportive of the use of progression to varices as a potential surrogate endpoint and progression to large varices as a component of a composite clinical benefit endpoint pending additional requested information. Galectin will address and implement additional FDA requests and considerations for the Phase 3 trial, when and where possible. Given the newness of the endpoint and the new information to be generated in the trial, some information requested may not currently be available or may not be able to be addressed fully until data from the Phase 3 trial is available to address the information requests.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200" w:lineRule="exact"/>
        <w:rPr>
          <w:sz w:val="20"/>
          <w:szCs w:val="20"/>
          <w:color w:val="auto"/>
        </w:rPr>
      </w:pPr>
    </w:p>
    <w:p>
      <w:pPr>
        <w:spacing w:after="0" w:line="217"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Investigator IND submitted in December 2013. Phase 1B study in process. A second Phase 1B study began in Q-1 2016. Investigator IND for that study submitted in September</w:t>
      </w:r>
    </w:p>
    <w:p>
      <w:pPr>
        <w:spacing w:after="0" w:line="2" w:lineRule="exact"/>
        <w:rPr>
          <w:sz w:val="20"/>
          <w:szCs w:val="20"/>
          <w:color w:val="auto"/>
        </w:rPr>
      </w:pPr>
    </w:p>
    <w:p>
      <w:pPr>
        <w:ind w:right="180"/>
        <w:spacing w:after="0" w:line="312" w:lineRule="auto"/>
        <w:rPr>
          <w:sz w:val="20"/>
          <w:szCs w:val="20"/>
          <w:color w:val="auto"/>
        </w:rPr>
      </w:pPr>
      <w:r>
        <w:rPr>
          <w:rFonts w:ascii="Arial" w:cs="Arial" w:eastAsia="Arial" w:hAnsi="Arial"/>
          <w:sz w:val="15"/>
          <w:szCs w:val="15"/>
          <w:color w:val="auto"/>
        </w:rPr>
        <w:t>2015. Early data was reported in February 2017 and studies with the 3</w:t>
      </w:r>
      <w:r>
        <w:rPr>
          <w:rFonts w:ascii="Arial" w:cs="Arial" w:eastAsia="Arial" w:hAnsi="Arial"/>
          <w:sz w:val="12"/>
          <w:szCs w:val="12"/>
          <w:color w:val="auto"/>
        </w:rPr>
        <w:t>rd</w:t>
      </w:r>
      <w:r>
        <w:rPr>
          <w:rFonts w:ascii="Arial" w:cs="Arial" w:eastAsia="Arial" w:hAnsi="Arial"/>
          <w:sz w:val="15"/>
          <w:szCs w:val="15"/>
          <w:color w:val="auto"/>
        </w:rPr>
        <w:t xml:space="preserve"> cohort were reported in September 2018. Continuation of trial is ongoing to expand the dataset of melanoma and HNSCC patients at the 4 mg/Kg dose.</w:t>
      </w:r>
    </w:p>
    <w:p>
      <w:pPr>
        <w:sectPr>
          <w:pgSz w:w="11900" w:h="16838" w:orient="portrait"/>
          <w:cols w:equalWidth="0" w:num="3">
            <w:col w:w="4260" w:space="720"/>
            <w:col w:w="1120" w:space="280"/>
            <w:col w:w="4380"/>
          </w:cols>
          <w:pgMar w:left="560" w:top="273" w:right="57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Indication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Psoriasis</w:t>
      </w:r>
    </w:p>
    <w:p>
      <w:pPr>
        <w:spacing w:after="0" w:line="2" w:lineRule="exact"/>
        <w:rPr>
          <w:sz w:val="20"/>
          <w:szCs w:val="20"/>
          <w:color w:val="auto"/>
        </w:rPr>
      </w:pPr>
    </w:p>
    <w:p>
      <w:pPr>
        <w:ind w:right="2060"/>
        <w:spacing w:after="0" w:line="349" w:lineRule="auto"/>
        <w:rPr>
          <w:sz w:val="20"/>
          <w:szCs w:val="20"/>
          <w:color w:val="auto"/>
        </w:rPr>
      </w:pPr>
      <w:r>
        <w:rPr>
          <w:rFonts w:ascii="Arial" w:cs="Arial" w:eastAsia="Arial" w:hAnsi="Arial"/>
          <w:sz w:val="15"/>
          <w:szCs w:val="15"/>
          <w:color w:val="auto"/>
        </w:rPr>
        <w:t>Moderate to Severe Plaque Psoriasis Severe Atopic Dermatitis</w:t>
      </w:r>
    </w:p>
    <w:p>
      <w:pPr>
        <w:spacing w:after="0" w:line="20" w:lineRule="exact"/>
        <w:rPr>
          <w:sz w:val="20"/>
          <w:szCs w:val="20"/>
          <w:color w:val="auto"/>
        </w:rPr>
      </w:pPr>
      <w:r>
        <w:rPr>
          <w:sz w:val="20"/>
          <w:szCs w:val="20"/>
          <w:color w:val="auto"/>
        </w:rPr>
        <w:br w:type="column"/>
      </w:r>
    </w:p>
    <w:p>
      <w:pPr>
        <w:spacing w:after="0"/>
        <w:tabs>
          <w:tab w:leader="none" w:pos="2900" w:val="left"/>
        </w:tabs>
        <w:rPr>
          <w:sz w:val="20"/>
          <w:szCs w:val="20"/>
          <w:color w:val="auto"/>
        </w:rPr>
      </w:pPr>
      <w:r>
        <w:rPr>
          <w:rFonts w:ascii="Arial" w:cs="Arial" w:eastAsia="Arial" w:hAnsi="Arial"/>
          <w:sz w:val="14"/>
          <w:szCs w:val="14"/>
          <w:b w:val="1"/>
          <w:bCs w:val="1"/>
          <w:color w:val="auto"/>
        </w:rPr>
        <w:t>Drug</w:t>
      </w:r>
      <w:r>
        <w:rPr>
          <w:sz w:val="20"/>
          <w:szCs w:val="20"/>
          <w:color w:val="auto"/>
        </w:rPr>
        <w:tab/>
      </w:r>
      <w:r>
        <w:rPr>
          <w:rFonts w:ascii="Arial" w:cs="Arial" w:eastAsia="Arial" w:hAnsi="Arial"/>
          <w:sz w:val="14"/>
          <w:szCs w:val="14"/>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-179705</wp:posOffset>
            </wp:positionV>
            <wp:extent cx="729170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p>
    <w:p>
      <w:pPr>
        <w:spacing w:after="0" w:line="186" w:lineRule="exact"/>
        <w:rPr>
          <w:sz w:val="20"/>
          <w:szCs w:val="20"/>
          <w:color w:val="auto"/>
        </w:rPr>
      </w:pPr>
    </w:p>
    <w:p>
      <w:pPr>
        <w:ind w:left="800" w:right="80" w:hanging="1070"/>
        <w:spacing w:after="0" w:line="304" w:lineRule="auto"/>
        <w:tabs>
          <w:tab w:leader="none" w:pos="780" w:val="left"/>
        </w:tabs>
        <w:rPr>
          <w:sz w:val="20"/>
          <w:szCs w:val="20"/>
          <w:color w:val="auto"/>
        </w:rPr>
      </w:pPr>
      <w:r>
        <w:rPr>
          <w:rFonts w:ascii="Arial" w:cs="Arial" w:eastAsia="Arial" w:hAnsi="Arial"/>
          <w:sz w:val="18"/>
          <w:szCs w:val="18"/>
          <w:color w:val="auto"/>
        </w:rPr>
        <w:t>GR-MD-02</w:t>
      </w:r>
      <w:r>
        <w:rPr>
          <w:sz w:val="20"/>
          <w:szCs w:val="20"/>
          <w:color w:val="auto"/>
        </w:rPr>
        <w:tab/>
      </w:r>
      <w:r>
        <w:rPr>
          <w:rFonts w:ascii="Arial" w:cs="Arial" w:eastAsia="Arial" w:hAnsi="Arial"/>
          <w:sz w:val="15"/>
          <w:szCs w:val="15"/>
          <w:color w:val="auto"/>
        </w:rPr>
        <w:t>IND submitted March 2015. A phase 2a trial in moderate to severe plaque psoriasis patients began in January 2016. Interim data on the first four patients were positive and were reported in May 2016. Further positive data was reported in September 2016. Investigator initiated IND submitted for treatment of three patients with severe atopic dermatitis, with positive preliminary data presented in February 2017. Further studies are dependent on finding a suitable strategic partner.</w:t>
      </w:r>
    </w:p>
    <w:p>
      <w:pPr>
        <w:spacing w:after="0" w:line="157" w:lineRule="exact"/>
        <w:rPr>
          <w:sz w:val="20"/>
          <w:szCs w:val="20"/>
          <w:color w:val="auto"/>
        </w:rPr>
      </w:pPr>
    </w:p>
    <w:p>
      <w:pPr>
        <w:sectPr>
          <w:pgSz w:w="11900" w:h="16838" w:orient="portrait"/>
          <w:cols w:equalWidth="0" w:num="2">
            <w:col w:w="4640" w:space="720"/>
            <w:col w:w="5420"/>
          </w:cols>
          <w:pgMar w:left="560" w:top="262" w:right="559" w:bottom="1440" w:gutter="0" w:footer="0" w:header="0"/>
        </w:sectPr>
      </w:pPr>
    </w:p>
    <w:p>
      <w:pPr>
        <w:ind w:firstLine="431"/>
        <w:spacing w:after="0" w:line="262" w:lineRule="auto"/>
        <w:rPr>
          <w:sz w:val="20"/>
          <w:szCs w:val="20"/>
          <w:color w:val="auto"/>
        </w:rPr>
      </w:pPr>
      <w:r>
        <w:rPr>
          <w:rFonts w:ascii="Arial" w:cs="Arial" w:eastAsia="Arial" w:hAnsi="Arial"/>
          <w:sz w:val="17"/>
          <w:szCs w:val="17"/>
          <w:i w:val="1"/>
          <w:iCs w:val="1"/>
          <w:color w:val="auto"/>
        </w:rPr>
        <w:t xml:space="preserve">Fibrosis. </w:t>
      </w:r>
      <w:r>
        <w:rPr>
          <w:rFonts w:ascii="Arial" w:cs="Arial" w:eastAsia="Arial" w:hAnsi="Arial"/>
          <w:sz w:val="17"/>
          <w:szCs w:val="17"/>
          <w:color w:val="auto"/>
        </w:rPr>
        <w:t>GR-MD-02 is our lead product candidate for treatment of fibrotic disease. Our preclinical data show that GR-MD-02 has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 effect on liver fibrosis as shown in several relevant animal models. In addition, in NASH animal models, GR-MD-02 has been shown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The human pharmacokinetic data defined a drug dose for use in the planned Phase 2 trials based on extrapolation from efficacy data in NASH animal models of liver fibrosis and/or cirrhosis. Additionally, there was evidence of a pharmacodynamic effect of GR-MD-02 at the 8 mg/kg dose with a decrease in alpha 2 macroglobulin, a serum marker of fibrotic activity, and a reduction in liver stiffness as determined by FibroScan</w:t>
      </w:r>
      <w:r>
        <w:rPr>
          <w:rFonts w:ascii="Arial" w:cs="Arial" w:eastAsia="Arial" w:hAnsi="Arial"/>
          <w:sz w:val="13"/>
          <w:szCs w:val="13"/>
          <w:color w:val="auto"/>
        </w:rPr>
        <w:t>®</w:t>
      </w:r>
      <w:r>
        <w:rPr>
          <w:rFonts w:ascii="Arial" w:cs="Arial" w:eastAsia="Arial" w:hAnsi="Arial"/>
          <w:sz w:val="17"/>
          <w:szCs w:val="17"/>
          <w:color w:val="auto"/>
        </w:rPr>
        <w:t>. An “End of Phase 1 Meeting” was held with FDA which, amongst other items, provided guidance on the primary endpoint for the Phase 2 clinical trial, the NASH-CX trial.</w:t>
      </w:r>
    </w:p>
    <w:p>
      <w:pPr>
        <w:spacing w:after="0" w:line="189" w:lineRule="exact"/>
        <w:rPr>
          <w:sz w:val="20"/>
          <w:szCs w:val="20"/>
          <w:color w:val="auto"/>
        </w:rPr>
      </w:pPr>
    </w:p>
    <w:p>
      <w:pPr>
        <w:ind w:right="40" w:firstLine="431"/>
        <w:spacing w:after="0" w:line="265" w:lineRule="auto"/>
        <w:rPr>
          <w:sz w:val="20"/>
          <w:szCs w:val="20"/>
          <w:color w:val="auto"/>
        </w:rPr>
      </w:pPr>
      <w:r>
        <w:rPr>
          <w:rFonts w:ascii="Arial" w:cs="Arial" w:eastAsia="Arial" w:hAnsi="Arial"/>
          <w:sz w:val="17"/>
          <w:szCs w:val="17"/>
          <w:color w:val="auto"/>
        </w:rPr>
        <w:t>Additionally, an open label drug-drug interaction study was completed in healthy volunteers during the second quarter of 2015 with GR-MD-02 and it showed that with 8 mg/kg dose of GR-MD-02 and 2 mg/kg dose of midazolam there was no drug-drug interaction and no serious adverse events or drug-related adverse events were observed. This study was required by the U.S. Food and Drug Administration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enabled the Company to expand the number of patients eligible for its Phase 2 clinical trial. In addition, should GR-MD-02 be approved for marketing, the success of this study supports a broader patient population for the drug label.</w:t>
      </w:r>
    </w:p>
    <w:p>
      <w:pPr>
        <w:spacing w:after="0" w:line="182" w:lineRule="exact"/>
        <w:rPr>
          <w:sz w:val="20"/>
          <w:szCs w:val="20"/>
          <w:color w:val="auto"/>
        </w:rPr>
      </w:pPr>
    </w:p>
    <w:p>
      <w:pPr>
        <w:ind w:right="180" w:firstLine="431"/>
        <w:spacing w:after="0" w:line="312" w:lineRule="auto"/>
        <w:rPr>
          <w:sz w:val="20"/>
          <w:szCs w:val="20"/>
          <w:color w:val="auto"/>
        </w:rPr>
      </w:pPr>
      <w:r>
        <w:rPr>
          <w:rFonts w:ascii="Arial" w:cs="Arial" w:eastAsia="Arial" w:hAnsi="Arial"/>
          <w:sz w:val="15"/>
          <w:szCs w:val="15"/>
          <w:color w:val="auto"/>
        </w:rPr>
        <w:t>Our Phase 2 program in fibrotic disease consisted of two separate human clinical trials. The primary clinical trial was the Phase 2b NASH-CX study for one year for patients with NASH with well compensated cirrhosis, which began enrolling in June, 2015. This study was the primary focus of our program and is a randomized, placebo-controlled, double-blind, parallel-group Phase 2b trial to evaluate the safety and efficacy of GR-MD-02 for treatment of liver fibrosis and resultant portal hypertension in NASH patients with well compensated cirrhosis. A smaller, exploratory NASH-FX trial was conducted to explore potential use of various non-invasive imaging techniques in NASH patients with advanced fibrosis but not cirrhosis.</w:t>
      </w:r>
    </w:p>
    <w:p>
      <w:pPr>
        <w:spacing w:after="0" w:line="143" w:lineRule="exact"/>
        <w:rPr>
          <w:sz w:val="20"/>
          <w:szCs w:val="20"/>
          <w:color w:val="auto"/>
        </w:rPr>
      </w:pPr>
    </w:p>
    <w:p>
      <w:pPr>
        <w:ind w:right="20" w:firstLine="431"/>
        <w:spacing w:after="0" w:line="303" w:lineRule="auto"/>
        <w:rPr>
          <w:sz w:val="20"/>
          <w:szCs w:val="20"/>
          <w:color w:val="auto"/>
        </w:rPr>
      </w:pPr>
      <w:r>
        <w:rPr>
          <w:rFonts w:ascii="Arial" w:cs="Arial" w:eastAsia="Arial" w:hAnsi="Arial"/>
          <w:sz w:val="15"/>
          <w:szCs w:val="15"/>
          <w:b w:val="1"/>
          <w:bCs w:val="1"/>
          <w:color w:val="auto"/>
        </w:rPr>
        <w:t xml:space="preserve">NASH-FX Trial: </w:t>
      </w:r>
      <w:r>
        <w:rPr>
          <w:rFonts w:ascii="Arial" w:cs="Arial" w:eastAsia="Arial" w:hAnsi="Arial"/>
          <w:sz w:val="15"/>
          <w:szCs w:val="15"/>
          <w:color w:val="auto"/>
        </w:rPr>
        <w:t>The NASH-FX trial, a Phase 2a pilot trial NASH-FX for patients with NASH advanced fibrosis that explored use of three</w:t>
      </w:r>
      <w:r>
        <w:rPr>
          <w:rFonts w:ascii="Arial" w:cs="Arial" w:eastAsia="Arial" w:hAnsi="Arial"/>
          <w:sz w:val="15"/>
          <w:szCs w:val="15"/>
          <w:b w:val="1"/>
          <w:bCs w:val="1"/>
          <w:color w:val="auto"/>
        </w:rPr>
        <w:t xml:space="preserve"> </w:t>
      </w:r>
      <w:r>
        <w:rPr>
          <w:rFonts w:ascii="Arial" w:cs="Arial" w:eastAsia="Arial" w:hAnsi="Arial"/>
          <w:sz w:val="15"/>
          <w:szCs w:val="15"/>
          <w:color w:val="auto"/>
        </w:rPr>
        <w:t>non-invasive imaging technologies, is now complete. It was a short, single site, four-month trial in 30 NASH patients with advanced fibrosis, but not cirrhosis, randomized 1:1 to either 9 bi-weekly doses of 8 mg/kg of GR-MD-02 or placebo. The trial did not meet its primary biomarker endpoint as measured using multi-parametric magnetic resonance imaging (LiverMultiScan</w:t>
      </w:r>
      <w:r>
        <w:rPr>
          <w:rFonts w:ascii="Arial" w:cs="Arial" w:eastAsia="Arial" w:hAnsi="Arial"/>
          <w:sz w:val="12"/>
          <w:szCs w:val="12"/>
          <w:color w:val="auto"/>
        </w:rPr>
        <w:t>(R)</w:t>
      </w:r>
      <w:r>
        <w:rPr>
          <w:rFonts w:ascii="Arial" w:cs="Arial" w:eastAsia="Arial" w:hAnsi="Arial"/>
          <w:sz w:val="15"/>
          <w:szCs w:val="15"/>
          <w:color w:val="auto"/>
        </w:rPr>
        <w:t>, Perspectum Diagnostics). The trial also did not meet secondary endpoints that measure liver stiffness as a surrogate for fibrosis using, magnetic resonance-elastography and FibroScan</w:t>
      </w:r>
      <w:r>
        <w:rPr>
          <w:rFonts w:ascii="Arial" w:cs="Arial" w:eastAsia="Arial" w:hAnsi="Arial"/>
          <w:sz w:val="12"/>
          <w:szCs w:val="12"/>
          <w:color w:val="auto"/>
        </w:rPr>
        <w:t>®</w:t>
      </w:r>
      <w:r>
        <w:rPr>
          <w:rFonts w:ascii="Arial" w:cs="Arial" w:eastAsia="Arial" w:hAnsi="Arial"/>
          <w:sz w:val="15"/>
          <w:szCs w:val="15"/>
          <w:color w:val="auto"/>
        </w:rPr>
        <w:t xml:space="preserve"> score. We, and many experts in the field, now believe that a four-month treatment period may not be sufficient to show efficacy results in established liver fibrosis. This small study was not powered for the secondary endpoints and thus, not surprisingly, did not meet the secondary endpoints. In the trial, GR-MD-02 was found to be safe and well tolerated among the patient population with no serious adverse events. Although there was no apparent improvement in the three non-invasive tests for assessment of liver fibrosis in the four-month NASH-FX trial, the principal investigator of the NASH-FX trial has stated that the inhibition of galectin-3 with GR-MD-02 remains promising for the treatment of NASH fibrosis. Of note is that GR-MD-02 has demonstrated an improved clinical effect in moderate-to-severe psoriasis, suggesting the compound has activity in humans in an</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80"/>
          </w:cols>
          <w:pgMar w:left="560" w:top="262" w:right="559" w:bottom="1440" w:gutter="0" w:footer="0" w:header="0"/>
          <w:type w:val="continuous"/>
        </w:sectPr>
      </w:pPr>
    </w:p>
    <w:bookmarkStart w:id="17" w:name="page18"/>
    <w:bookmarkEnd w:id="17"/>
    <w:p>
      <w:pPr>
        <w:ind w:right="8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705" cy="38100"/>
                    </a:xfrm>
                    <a:prstGeom prst="rect">
                      <a:avLst/>
                    </a:prstGeom>
                    <a:noFill/>
                  </pic:spPr>
                </pic:pic>
              </a:graphicData>
            </a:graphic>
          </wp:anchor>
        </w:drawing>
        <w:t>immune-mediated inflammatory human disease that can occur in association with NASH. We believe 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and renal disease. We have further demonstrated the broad applicability of the actions of our galectin-3 inhibitor’s biological effect in ameliorating fibrosis involving lung, kidney, blood vessels, and cardiac tissues in a wide variety of animal models.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5"/>
          <w:szCs w:val="15"/>
          <w:b w:val="1"/>
          <w:bCs w:val="1"/>
          <w:color w:val="auto"/>
        </w:rPr>
        <w:t xml:space="preserve">NASH-CX Trial: </w:t>
      </w:r>
      <w:r>
        <w:rPr>
          <w:rFonts w:ascii="Arial" w:cs="Arial" w:eastAsia="Arial" w:hAnsi="Arial"/>
          <w:sz w:val="15"/>
          <w:szCs w:val="15"/>
          <w:color w:val="auto"/>
        </w:rPr>
        <w:t>The NASH-CX trial was a larger well-designed multi-center clinical trial that explored use of GR-MD-02 for the treatment of</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liver fibrosis and resultant portal hypertension in patients with well-compensated NASH cirrhosis. Enrollment in this trial was completed in September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2016, and a total of 162 patients at 36 sites in the United States were randomized to receive either 2 mg/kg of GR-MD-02, 8 mg/kg of GR-MD-02 or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placebo, with approximately 54 patients in each group. The primary endpoint was a reduction in change in hepatic venous pressure gradient (HVPG).</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Patients received an infusion every other week for one year, total of 26 infusions, and were evaluated to determine the change in HVPG as compared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with placebo. HVPG was also correlated with secondary endpoints of fibrosis on liver biopsy as well as with measurement of liver stiffness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(FibroScan</w:t>
      </w:r>
      <w:r>
        <w:rPr>
          <w:rFonts w:ascii="Arial" w:cs="Arial" w:eastAsia="Arial" w:hAnsi="Arial"/>
          <w:sz w:val="12"/>
          <w:szCs w:val="12"/>
          <w:color w:val="auto"/>
        </w:rPr>
        <w:t>(R)</w:t>
      </w:r>
      <w:r>
        <w:rPr>
          <w:rFonts w:ascii="Arial" w:cs="Arial" w:eastAsia="Arial" w:hAnsi="Arial"/>
          <w:sz w:val="15"/>
          <w:szCs w:val="15"/>
          <w:color w:val="auto"/>
        </w:rPr>
        <w:t>) and assessment of liver metabolism (</w:t>
      </w:r>
      <w:r>
        <w:rPr>
          <w:rFonts w:ascii="Arial" w:cs="Arial" w:eastAsia="Arial" w:hAnsi="Arial"/>
          <w:sz w:val="12"/>
          <w:szCs w:val="12"/>
          <w:color w:val="auto"/>
        </w:rPr>
        <w:t>13</w:t>
      </w:r>
      <w:r>
        <w:rPr>
          <w:rFonts w:ascii="Arial" w:cs="Arial" w:eastAsia="Arial" w:hAnsi="Arial"/>
          <w:sz w:val="15"/>
          <w:szCs w:val="15"/>
          <w:color w:val="auto"/>
        </w:rPr>
        <w:t>C-methacetin breath test, Exalenz), which are non-invasive measures of the liver that may be used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in future studies. Top line data readout was reported in December 2017 demonstrating positive efficacy data and safety and clinically meaningful results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 the NASH patients with well compensated cirrhosis without esophageal varices (stage 1 cirrhosis).</w:t>
      </w:r>
    </w:p>
    <w:p>
      <w:pPr>
        <w:spacing w:after="0" w:line="205" w:lineRule="exact"/>
        <w:rPr>
          <w:sz w:val="20"/>
          <w:szCs w:val="20"/>
          <w:color w:val="auto"/>
        </w:rPr>
      </w:pPr>
    </w:p>
    <w:p>
      <w:pPr>
        <w:ind w:right="160" w:firstLine="431"/>
        <w:spacing w:after="0" w:line="276" w:lineRule="auto"/>
        <w:rPr>
          <w:sz w:val="20"/>
          <w:szCs w:val="20"/>
          <w:color w:val="auto"/>
        </w:rPr>
      </w:pPr>
      <w:r>
        <w:rPr>
          <w:rFonts w:ascii="Arial" w:cs="Arial" w:eastAsia="Arial" w:hAnsi="Arial"/>
          <w:sz w:val="17"/>
          <w:szCs w:val="17"/>
          <w:color w:val="auto"/>
        </w:rPr>
        <w:t>In the total patient population, the primary endpoint HVPG showed a trend toward benefit with GR-MD-02 treatment, but the difference from placebo was not statistically significant. The mean change in HVPG of placebo from baseline to week 54 was 0.3 mm Hg. The mean change in HVPG from baseline was -0.37 and -0.42 for the 2 mg/kg dose and 8 mg/kg dose of GR-MD-02, respectively.</w:t>
      </w:r>
    </w:p>
    <w:p>
      <w:pPr>
        <w:spacing w:after="0" w:line="172" w:lineRule="exact"/>
        <w:rPr>
          <w:sz w:val="20"/>
          <w:szCs w:val="20"/>
          <w:color w:val="auto"/>
        </w:rPr>
      </w:pPr>
    </w:p>
    <w:p>
      <w:pPr>
        <w:ind w:right="60" w:firstLine="431"/>
        <w:spacing w:after="0" w:line="247" w:lineRule="auto"/>
        <w:rPr>
          <w:sz w:val="20"/>
          <w:szCs w:val="20"/>
          <w:color w:val="auto"/>
        </w:rPr>
      </w:pPr>
      <w:r>
        <w:rPr>
          <w:rFonts w:ascii="Arial" w:cs="Arial" w:eastAsia="Arial" w:hAnsi="Arial"/>
          <w:sz w:val="18"/>
          <w:szCs w:val="18"/>
          <w:color w:val="auto"/>
        </w:rPr>
        <w:t>Further analysis showed that the drug effect was significantly dependent on dose “varices” in the total group of patients (p&lt;0.02). In those NASH cirrhosis patients without varices at baseline (about 50% of the total population), there was a statistically significant effect of the 2 mg/kg dose of GR-MD-02 on the absolute change in HVPG (-1.08 mm Hg, p&lt;0.01). The effect of the 8 mg/Kg dose of GR-MD-02 on absolute or percent change in HVPG from baseline to week 54 was not significant. The population of patients without varices at baseline were further subdivided into those with mild portal hypertension (HVPG greater or equal to 6 mm Hg and less than 10 mm Hg). In patients with mild portal hypertension (MPH), both doses of GR-MD-02 demonstrated a statistically significant effect on change in HVPG. The mean change in HVPG in the MPH group were +1.8 mm Hg for placebo and -0.3 and -0.4 mm Hg in the 2 mg/kg and 8 mg/kg dose groups, respectively. In patients with clinically significant portal hypertension (HVPG greater than 10 mm Hg) with no varices at baseline, there was a statistically significant effect of 2 mg/kg of GR-MD-02 on the change in HVPG.</w:t>
      </w:r>
    </w:p>
    <w:p>
      <w:pPr>
        <w:spacing w:after="0" w:line="199" w:lineRule="exact"/>
        <w:rPr>
          <w:sz w:val="20"/>
          <w:szCs w:val="20"/>
          <w:color w:val="auto"/>
        </w:rPr>
      </w:pPr>
    </w:p>
    <w:p>
      <w:pPr>
        <w:ind w:firstLine="431"/>
        <w:spacing w:after="0" w:line="251" w:lineRule="auto"/>
        <w:rPr>
          <w:sz w:val="20"/>
          <w:szCs w:val="20"/>
          <w:color w:val="auto"/>
        </w:rPr>
      </w:pPr>
      <w:r>
        <w:rPr>
          <w:rFonts w:ascii="Arial" w:cs="Arial" w:eastAsia="Arial" w:hAnsi="Arial"/>
          <w:sz w:val="18"/>
          <w:szCs w:val="18"/>
          <w:color w:val="auto"/>
        </w:rPr>
        <w:t>A responder analysis was performed on those patients without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GR-MD-02 2 mg/kg group was statistically significant (p&lt;0.01) while that of the 8 mg/kg group was not.</w:t>
      </w:r>
    </w:p>
    <w:p>
      <w:pPr>
        <w:spacing w:after="0" w:line="192" w:lineRule="exact"/>
        <w:rPr>
          <w:sz w:val="20"/>
          <w:szCs w:val="20"/>
          <w:color w:val="auto"/>
        </w:rPr>
      </w:pPr>
    </w:p>
    <w:p>
      <w:pPr>
        <w:ind w:right="140" w:firstLine="431"/>
        <w:spacing w:after="0" w:line="293" w:lineRule="auto"/>
        <w:rPr>
          <w:sz w:val="20"/>
          <w:szCs w:val="20"/>
          <w:color w:val="auto"/>
        </w:rPr>
      </w:pPr>
      <w:r>
        <w:rPr>
          <w:rFonts w:ascii="Arial" w:cs="Arial" w:eastAsia="Arial" w:hAnsi="Arial"/>
          <w:sz w:val="17"/>
          <w:szCs w:val="17"/>
          <w:color w:val="auto"/>
        </w:rPr>
        <w:t>In terms of cirrhosis complications over the 54-week treatment period, in patients without varices there were statistically significantly fewer new varices that developed in the treatment groups vs placebo. We believe this may represent a useful measure of clinical outcome.</w:t>
      </w:r>
    </w:p>
    <w:p>
      <w:pPr>
        <w:spacing w:after="0" w:line="158" w:lineRule="exact"/>
        <w:rPr>
          <w:sz w:val="20"/>
          <w:szCs w:val="20"/>
          <w:color w:val="auto"/>
        </w:rPr>
      </w:pPr>
    </w:p>
    <w:p>
      <w:pPr>
        <w:ind w:right="20" w:firstLine="431"/>
        <w:spacing w:after="0" w:line="303" w:lineRule="auto"/>
        <w:rPr>
          <w:sz w:val="20"/>
          <w:szCs w:val="20"/>
          <w:color w:val="auto"/>
        </w:rPr>
      </w:pPr>
      <w:r>
        <w:rPr>
          <w:rFonts w:ascii="Arial" w:cs="Arial" w:eastAsia="Arial" w:hAnsi="Arial"/>
          <w:sz w:val="15"/>
          <w:szCs w:val="15"/>
          <w:color w:val="auto"/>
        </w:rPr>
        <w:t>The major conclusions, to date from the NASH-CX trial results are that: i) GR-MD-02 had a statistically significant and clinically meaningful effect in improving HVPG vs placebo in patients with NASH cirrhosis who did not have esophageal varices at baseline. This effect was seen regardless of the patient’s baseline portal hypertension. Furthermore, we believe that patients with esophageal varices may have masked benefits in the total patient population. ii) There was an important drug effect of GR-MD-02 in the total patient population on liver biopsy with a statistically significant improvement in hepatocyte ballooning (ie cell death), (iii) There was a statistically significant reduction (p=0.02) in the development of new esophageal varices in drug-treated patients compared to placebo. We believe that this is a clinically relevant endpoint related to patient outcomes, (iv) While there was a drug effect in both the 2 mg/kg and 8 mg/kg dosage groups on liver biopsy and in the mild portal hypertension group, there was a consistently greater and statistically significant effect of the 2 mg/kg dose of GR-MD-02, (v) GR-MD-02 appears to be safe and well tolerated in this one year clinical trial and (vi) We believe this is the first large, randomized clinical trial of any drug to demonstrate a clinically meaningful improvement in portal hypertension or liver biopsy in patients with compensated NASH cirrhosis without esophageal varices.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80"/>
          </w:cols>
          <w:pgMar w:left="560" w:top="273" w:right="559" w:bottom="1440" w:gutter="0" w:footer="0" w:header="0"/>
        </w:sectPr>
      </w:pPr>
    </w:p>
    <w:bookmarkStart w:id="18" w:name="page19"/>
    <w:bookmarkEnd w:id="18"/>
    <w:p>
      <w:pPr>
        <w:ind w:right="280" w:firstLine="43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Further information and details on the NASH-CX results summarized above is available in public presentations posted to our website and filed with the SEC.</w:t>
      </w:r>
    </w:p>
    <w:p>
      <w:pPr>
        <w:spacing w:after="0" w:line="174" w:lineRule="exact"/>
        <w:rPr>
          <w:sz w:val="20"/>
          <w:szCs w:val="20"/>
          <w:color w:val="auto"/>
        </w:rPr>
      </w:pPr>
    </w:p>
    <w:p>
      <w:pPr>
        <w:ind w:right="80" w:firstLine="431"/>
        <w:spacing w:after="0" w:line="268" w:lineRule="auto"/>
        <w:rPr>
          <w:sz w:val="20"/>
          <w:szCs w:val="20"/>
          <w:color w:val="auto"/>
        </w:rPr>
      </w:pPr>
      <w:r>
        <w:rPr>
          <w:rFonts w:ascii="Arial" w:cs="Arial" w:eastAsia="Arial" w:hAnsi="Arial"/>
          <w:sz w:val="17"/>
          <w:szCs w:val="17"/>
          <w:b w:val="1"/>
          <w:bCs w:val="1"/>
          <w:color w:val="auto"/>
        </w:rPr>
        <w:t xml:space="preserve">NASH-RX Trial: </w:t>
      </w:r>
      <w:r>
        <w:rPr>
          <w:rFonts w:ascii="Arial" w:cs="Arial" w:eastAsia="Arial" w:hAnsi="Arial"/>
          <w:sz w:val="17"/>
          <w:szCs w:val="17"/>
          <w:color w:val="auto"/>
        </w:rPr>
        <w:t>The NASH-RX Trial is a phase 3 trial of GR-MD-02 in NASH cirrhosis patients. We have met with the FDA to discuss the</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of the NASH-CX trial in an End of Phase 2 meeting as disclosed in our May 14, 2018 press release. The proposed target population of the Phase 3 clinical trial will be patients with well compensated established NASH cirrhosis and portal hypertension</w:t>
      </w:r>
      <w:r>
        <w:rPr>
          <w:rFonts w:ascii="Arial" w:cs="Arial" w:eastAsia="Arial" w:hAnsi="Arial"/>
          <w:sz w:val="17"/>
          <w:szCs w:val="17"/>
          <w:b w:val="1"/>
          <w:bCs w:val="1"/>
          <w:color w:val="auto"/>
        </w:rPr>
        <w:t>.</w:t>
      </w:r>
      <w:r>
        <w:rPr>
          <w:rFonts w:ascii="Arial" w:cs="Arial" w:eastAsia="Arial" w:hAnsi="Arial"/>
          <w:sz w:val="17"/>
          <w:szCs w:val="17"/>
          <w:color w:val="auto"/>
        </w:rPr>
        <w:t xml:space="preserve"> Patients will be selected based on criteria commonly used in clinical practice to identify patients with portal hypertension who are at risk of developing esophageal varices. Ongoing conversations with FDA included a recent Type C Meeting via teleconference with the Agency on February 6, 2019, to discuss Galectin’s proposal for use of progression to varices as the primary surrogate endpoint moving forward.</w:t>
      </w:r>
    </w:p>
    <w:p>
      <w:pPr>
        <w:spacing w:after="0" w:line="178" w:lineRule="exact"/>
        <w:rPr>
          <w:sz w:val="20"/>
          <w:szCs w:val="20"/>
          <w:color w:val="auto"/>
        </w:rPr>
      </w:pPr>
    </w:p>
    <w:p>
      <w:pPr>
        <w:ind w:firstLine="431"/>
        <w:spacing w:after="0" w:line="250" w:lineRule="auto"/>
        <w:rPr>
          <w:sz w:val="20"/>
          <w:szCs w:val="20"/>
          <w:color w:val="auto"/>
        </w:rPr>
      </w:pPr>
      <w:r>
        <w:rPr>
          <w:rFonts w:ascii="Arial" w:cs="Arial" w:eastAsia="Arial" w:hAnsi="Arial"/>
          <w:sz w:val="18"/>
          <w:szCs w:val="18"/>
          <w:color w:val="auto"/>
        </w:rPr>
        <w:t>In the meeting, FDA confirmed that the Agency is supportive of the use of progression to varices as a potential surrogate endpoint and progression to large varices as a component of a composite clinical benefit endpoint pending additional requested information. Galectin will address and implement additional FDA requests and considerations for the Phase 3 trial, when and where possible. Given the newness of the endpoint and the new information to be generated in the trial, some information requested may not currently be available or may not be able to be addressed fully until data from the Phase 3 trial is available to address the information requests.</w:t>
      </w:r>
    </w:p>
    <w:p>
      <w:pPr>
        <w:spacing w:after="0" w:line="192" w:lineRule="exact"/>
        <w:rPr>
          <w:sz w:val="20"/>
          <w:szCs w:val="20"/>
          <w:color w:val="auto"/>
        </w:rPr>
      </w:pPr>
    </w:p>
    <w:p>
      <w:pPr>
        <w:ind w:firstLine="431"/>
        <w:spacing w:after="0" w:line="303" w:lineRule="auto"/>
        <w:rPr>
          <w:sz w:val="20"/>
          <w:szCs w:val="20"/>
          <w:color w:val="auto"/>
        </w:rPr>
      </w:pPr>
      <w:r>
        <w:rPr>
          <w:rFonts w:ascii="Arial" w:cs="Arial" w:eastAsia="Arial" w:hAnsi="Arial"/>
          <w:sz w:val="15"/>
          <w:szCs w:val="15"/>
          <w:color w:val="auto"/>
        </w:rPr>
        <w:t>The focus and goal of the therapeutic program is to stop the progression of and reverse the fibrosis and/or portal hypertension in the liver and, thereby improve liver function and prevent the development of complications of fibrosis/cirrhosis and liver-related mortality in patients. The results of the NASH-CX trial substantiate that, subject to confirmation in later stage clinical trials, we believe that this goal is achievable in a significant portion of the NASH cirrhosis patient population i.e. those NASH cirrhosis patients with portal hypertension at risk of developing esophageal varices that may bleed and experience other decompensating events. The trial design has been refined with external consultants and sent out to potential CROs in a confidential Request for Proposal (RFP) process. We have selected a global CRO with experience in international late-stage NASH trials and executed a start-up agreement while the final Master Service Agreement is being negotiated. The startup agreement will enable the CRO to start work on protocols development, statistical analysis plans and engage vendors for various activities in support of the NASH-RX trial. We are also planning on using a NASH site network to speed up initial enrollment. These activities should help to mitigate time delays in study startup.</w:t>
      </w:r>
    </w:p>
    <w:p>
      <w:pPr>
        <w:spacing w:after="0" w:line="157" w:lineRule="exact"/>
        <w:rPr>
          <w:sz w:val="20"/>
          <w:szCs w:val="20"/>
          <w:color w:val="auto"/>
        </w:rPr>
      </w:pPr>
    </w:p>
    <w:p>
      <w:pPr>
        <w:ind w:right="40" w:firstLine="431"/>
        <w:spacing w:after="0" w:line="263" w:lineRule="auto"/>
        <w:rPr>
          <w:sz w:val="20"/>
          <w:szCs w:val="20"/>
          <w:color w:val="auto"/>
        </w:rPr>
      </w:pPr>
      <w:r>
        <w:rPr>
          <w:rFonts w:ascii="Arial" w:cs="Arial" w:eastAsia="Arial" w:hAnsi="Arial"/>
          <w:sz w:val="17"/>
          <w:szCs w:val="17"/>
          <w:color w:val="auto"/>
        </w:rPr>
        <w:t xml:space="preserve">The final primary endpoint and additional aspects of the Phase 3 clinical trial design, including projected timing and costs will be announced once the final protocol is completed and filed with FDA. The study is a parallel group, randomized, placebo-controlled, double-blinded trial, of either 2 mg/kg or 4 mg/kg GR-MD-02 or placebo administered by i.v. infusion every two weeks for two years to NASH Cirrhosis patients who did not have esophageal varices at baseline. The surrogate endpoint is the proportion of patients in treatment groups who develop esophageal varices vs placebo after 2 years of treatment under an accelerated approval (Subpart H) pathway. Various secondary and exploratory endpoints are planned to be included which amongst other items may include HVPG determination in a subset of patients, liver biopsies, various biomarkers, and the methacetin breath test (Exalenz). There will be adjudication panels/central readers for the critical endpoints. No interim analysis is included in the study design. Primary inclusion criteria is based on using modified Baveno VI criteria amongst other factors. This represents those criteria </w:t>
      </w:r>
      <w:r>
        <w:rPr>
          <w:rFonts w:ascii="Arial" w:cs="Arial" w:eastAsia="Arial" w:hAnsi="Arial"/>
          <w:sz w:val="17"/>
          <w:szCs w:val="17"/>
          <w:u w:val="single" w:color="auto"/>
          <w:color w:val="auto"/>
        </w:rPr>
        <w:t>commonly used</w:t>
      </w:r>
      <w:r>
        <w:rPr>
          <w:rFonts w:ascii="Arial" w:cs="Arial" w:eastAsia="Arial" w:hAnsi="Arial"/>
          <w:sz w:val="17"/>
          <w:szCs w:val="17"/>
          <w:color w:val="auto"/>
        </w:rPr>
        <w:t xml:space="preserve"> in clinical practice to identify patients with portal hypertension who are at risk of developing esophageal varices. This is a global study which will include around 120 sites in North America, Europe and the Pacific.</w:t>
      </w:r>
    </w:p>
    <w:p>
      <w:pPr>
        <w:spacing w:after="0" w:line="186" w:lineRule="exact"/>
        <w:rPr>
          <w:sz w:val="20"/>
          <w:szCs w:val="20"/>
          <w:color w:val="auto"/>
        </w:rPr>
      </w:pPr>
    </w:p>
    <w:p>
      <w:pPr>
        <w:ind w:right="320" w:firstLine="431"/>
        <w:spacing w:after="0" w:line="254" w:lineRule="auto"/>
        <w:rPr>
          <w:sz w:val="20"/>
          <w:szCs w:val="20"/>
          <w:color w:val="auto"/>
        </w:rPr>
      </w:pPr>
      <w:r>
        <w:rPr>
          <w:rFonts w:ascii="Arial" w:cs="Arial" w:eastAsia="Arial" w:hAnsi="Arial"/>
          <w:sz w:val="18"/>
          <w:szCs w:val="18"/>
          <w:color w:val="auto"/>
        </w:rPr>
        <w:t>The key milestones and associated target dates for the NASH-RX trial are subject to change as are elements of design of the trial. These target dates currently include: First Patient Fall, 2019; Enrollment Period Estimated: 1 year; Last Patient enrolled: Q3—Q4, 2020; Estimated Last Patient completion: Fall, 2022 and Top Line Data: Q4 2022.</w:t>
      </w:r>
    </w:p>
    <w:p>
      <w:pPr>
        <w:spacing w:after="0" w:line="189" w:lineRule="exact"/>
        <w:rPr>
          <w:sz w:val="20"/>
          <w:szCs w:val="20"/>
          <w:color w:val="auto"/>
        </w:rPr>
      </w:pPr>
    </w:p>
    <w:p>
      <w:pPr>
        <w:ind w:right="40" w:firstLine="431"/>
        <w:spacing w:after="0" w:line="301" w:lineRule="auto"/>
        <w:rPr>
          <w:sz w:val="20"/>
          <w:szCs w:val="20"/>
          <w:color w:val="auto"/>
        </w:rPr>
      </w:pPr>
      <w:r>
        <w:rPr>
          <w:rFonts w:ascii="Arial" w:cs="Arial" w:eastAsia="Arial" w:hAnsi="Arial"/>
          <w:sz w:val="15"/>
          <w:szCs w:val="15"/>
          <w:i w:val="1"/>
          <w:iCs w:val="1"/>
          <w:color w:val="auto"/>
        </w:rPr>
        <w:t xml:space="preserve">Cancer Immunotherapy. </w:t>
      </w:r>
      <w:r>
        <w:rPr>
          <w:rFonts w:ascii="Arial" w:cs="Arial" w:eastAsia="Arial" w:hAnsi="Arial"/>
          <w:sz w:val="15"/>
          <w:szCs w:val="15"/>
          <w:color w:val="auto"/>
        </w:rPr>
        <w:t>We believe there is potential for galectin inhibition to play a key role in the burgeoning area of cancer immunotherapy.</w:t>
      </w:r>
      <w:r>
        <w:rPr>
          <w:rFonts w:ascii="Arial" w:cs="Arial" w:eastAsia="Arial" w:hAnsi="Arial"/>
          <w:sz w:val="15"/>
          <w:szCs w:val="15"/>
          <w:i w:val="1"/>
          <w:iCs w:val="1"/>
          <w:color w:val="auto"/>
        </w:rPr>
        <w:t xml:space="preserve"> </w:t>
      </w:r>
      <w:r>
        <w:rPr>
          <w:rFonts w:ascii="Arial" w:cs="Arial" w:eastAsia="Arial" w:hAnsi="Arial"/>
          <w:sz w:val="15"/>
          <w:szCs w:val="15"/>
          <w:color w:val="auto"/>
        </w:rPr>
        <w:t>For example, there have been several recent approvals of drugs that enhance a patient’s immune system to fight cancer. It is our goal to use a galectin inhibitor to further enhance the immune system function to fight cancer in a way that complements other approaches to this type of therapy. This 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GR-MD-02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studies of GR-MD-02 in combination with Yervoy</w:t>
      </w:r>
      <w:r>
        <w:rPr>
          <w:rFonts w:ascii="Arial" w:cs="Arial" w:eastAsia="Arial" w:hAnsi="Arial"/>
          <w:sz w:val="12"/>
          <w:szCs w:val="12"/>
          <w:color w:val="auto"/>
        </w:rPr>
        <w:t>®</w:t>
      </w:r>
      <w:r>
        <w:rPr>
          <w:rFonts w:ascii="Arial" w:cs="Arial" w:eastAsia="Arial" w:hAnsi="Arial"/>
          <w:sz w:val="15"/>
          <w:szCs w:val="15"/>
          <w:color w:val="auto"/>
        </w:rPr>
        <w:t xml:space="preserve"> (ipilimumab) and KEYTRUDA (pembrolizumab) in Phase 1B studies of patients with metastatic melanoma. The KEYTRUDA trial has also been expanded to include patients with non-small cell lung cancer and head and neck squamous cell carcinoma. These studies are being conducted under the sponsorship of Providence Portland Medical Center’s Earle A. Chiles Research Institute (EACRI).</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80"/>
          </w:cols>
          <w:pgMar w:left="560" w:top="273" w:right="559" w:bottom="1440" w:gutter="0" w:footer="0" w:header="0"/>
        </w:sectPr>
      </w:pPr>
    </w:p>
    <w:bookmarkStart w:id="19" w:name="page20"/>
    <w:bookmarkEnd w:id="19"/>
    <w:p>
      <w:pPr>
        <w:ind w:firstLine="431"/>
        <w:spacing w:after="0" w:line="29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705" cy="38100"/>
                    </a:xfrm>
                    <a:prstGeom prst="rect">
                      <a:avLst/>
                    </a:prstGeom>
                    <a:noFill/>
                  </pic:spPr>
                </pic:pic>
              </a:graphicData>
            </a:graphic>
          </wp:anchor>
        </w:drawing>
        <w:t>Data on this combination immunotherapy program was initially presented on February 7, 2017 at the 9th GTCBio Immunotherapeutics &amp; Immunomonitoring Conference in San Diego, CA by Dr. William L. Redmond, Providence Cancer Center. Preclinical results in mouse models of multiple types of cancers showed important anti-tumor activity and increased survival effects of combining GR-MD-02 with different types of immune modulators, providing a case for progressing studies into human patients with cancer. Seven patients were treated in the GR-MD-02 in combination with Yervoy trial, with no safety concerns in these low dose cohorts. Due to changes in the standard of care for metastatic melanoma (i.e., approval of anti-PD-1), recruitment has been slowed significantly in this trial. Promising results were reported in the Phase 1b trial combining GR-MD-02 with pembrolizumab (KEYTRUDA). Cohort 1 was completed (n=6, 5 with melanoma, one head and neck) with one partial response and one mixed response in 5 melanoma patients. There was a rapid and marked tumor response after 3 doses of combined GR-MD-02 and pembrolizumab in the one partial response patient who had failed high-dose IL-2 and oncolytic virus + ipilimumab. The study is ongoing and progression to further development will be based on response rate as compared to historical response rates to pembrolizumab alone. In September 2018 we announced additional preliminary clinical data from cohort 3 of this investigator-initiated trial. When aggregated with cohorts previously reported, the data shows a 50% objective response rate in advanced melanoma with GR-MD-02 in combination with KEYTRUDA, and a significant decrease in the frequency of suppressive myeloid-derived suppressor cells following treatment in the responding patients (on day 85 post-treatment). Fourteen advanced melanoma patients across three dose cohorts now have Objective Response Rate (ORR) and Disease Control Rate (DCR) data. Six patients completed in cohort 3 (8 mg/Kg) have now been added to the three patients completed in cohort 2 (4 mg/Kg) and five patients completed in cohort 1 (2 mg/Kg). Cohorts 1 and 3 each had two patients with an objective response. All three patients in cohort 2 had an objective response. In addition to the fourteen advanced melanoma patients, six patients with head and neck cancer were enrolled in this trial with a 33% ORR and 67% DCR. These data, taken together with the observed favorable safety and tolerability of the combination, in the view of the principal investigator, provide compelling rationale to move forward. Given that all three melanoma patients were responders at the 4 mg/Kg dose, the investigators plan to continue the trial with the expansion of the 4 mg/Kg cohort to include additional advanced melanoma patients and additional head and neck cancer patients. The expansion cohort will target to include 15 patients and is planned to have continued GR-MD-02 dosing as long as pembrolizumab is administered. Assuming these additional data are positive, the next logical step could be a Phase II trial.</w:t>
      </w:r>
    </w:p>
    <w:p>
      <w:pPr>
        <w:spacing w:after="0" w:line="200" w:lineRule="exact"/>
        <w:rPr>
          <w:sz w:val="20"/>
          <w:szCs w:val="20"/>
          <w:color w:val="auto"/>
        </w:rPr>
      </w:pPr>
    </w:p>
    <w:p>
      <w:pPr>
        <w:spacing w:after="0" w:line="279" w:lineRule="exact"/>
        <w:rPr>
          <w:sz w:val="20"/>
          <w:szCs w:val="20"/>
          <w:color w:val="auto"/>
        </w:rPr>
      </w:pPr>
    </w:p>
    <w:p>
      <w:pPr>
        <w:ind w:firstLine="431"/>
        <w:spacing w:after="0" w:line="271" w:lineRule="auto"/>
        <w:rPr>
          <w:sz w:val="20"/>
          <w:szCs w:val="20"/>
          <w:color w:val="auto"/>
        </w:rPr>
      </w:pPr>
      <w:r>
        <w:rPr>
          <w:rFonts w:ascii="Arial" w:cs="Arial" w:eastAsia="Arial" w:hAnsi="Arial"/>
          <w:sz w:val="17"/>
          <w:szCs w:val="17"/>
          <w:i w:val="1"/>
          <w:iCs w:val="1"/>
          <w:color w:val="auto"/>
        </w:rPr>
        <w:t xml:space="preserve">Severe skin diseases. </w:t>
      </w:r>
      <w:r>
        <w:rPr>
          <w:rFonts w:ascii="Arial" w:cs="Arial" w:eastAsia="Arial" w:hAnsi="Arial"/>
          <w:sz w:val="17"/>
          <w:szCs w:val="17"/>
          <w:color w:val="auto"/>
        </w:rPr>
        <w:t>During our Phase 1 NASH fibrosis trial with GR-MD-02, a clinical effect on plaque psoriasis was observed in a NASH</w:t>
      </w:r>
      <w:r>
        <w:rPr>
          <w:rFonts w:ascii="Arial" w:cs="Arial" w:eastAsia="Arial" w:hAnsi="Arial"/>
          <w:sz w:val="17"/>
          <w:szCs w:val="17"/>
          <w:i w:val="1"/>
          <w:iCs w:val="1"/>
          <w:color w:val="auto"/>
        </w:rPr>
        <w:t xml:space="preserve"> </w:t>
      </w:r>
      <w:r>
        <w:rPr>
          <w:rFonts w:ascii="Arial" w:cs="Arial" w:eastAsia="Arial" w:hAnsi="Arial"/>
          <w:sz w:val="17"/>
          <w:szCs w:val="17"/>
          <w:color w:val="auto"/>
        </w:rPr>
        <w:t>patient who also had 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75" w:lineRule="exact"/>
        <w:rPr>
          <w:sz w:val="20"/>
          <w:szCs w:val="20"/>
          <w:color w:val="auto"/>
        </w:rPr>
      </w:pPr>
    </w:p>
    <w:p>
      <w:pPr>
        <w:ind w:right="120" w:firstLine="431"/>
        <w:spacing w:after="0" w:line="297" w:lineRule="auto"/>
        <w:rPr>
          <w:sz w:val="20"/>
          <w:szCs w:val="20"/>
          <w:color w:val="auto"/>
        </w:rPr>
      </w:pPr>
      <w:r>
        <w:rPr>
          <w:rFonts w:ascii="Arial" w:cs="Arial" w:eastAsia="Arial" w:hAnsi="Arial"/>
          <w:sz w:val="15"/>
          <w:szCs w:val="15"/>
          <w:color w:val="auto"/>
        </w:rPr>
        <w:t>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5 patients with moderate to severe plaque psoriasis were administered GR-MD-02 every two weeks for 24 weeks. In May 2016, we reported positive results on the first four patients after</w:t>
      </w:r>
    </w:p>
    <w:p>
      <w:pPr>
        <w:spacing w:after="0" w:line="3"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12 weeks of therapy. Based on these results, we modified the trial to include 24 weeks of therapy. In August 2016, we reported on four patients after 24 weeks of therapy and one patient after 12 weeks of therapy. The four patients who received 24 weeks of therapy experienced an average of 48% improvement in their plaque psoriasis. At this time, the average response in all five patients remains at 50% with one patient having an 82% improvement. However, there are existing drugs on the market in this disease that produce 75% and higher improvements in 60-90% of patients. While we are encouraged that this study has demonstrated clinically meaningful results in a human disease with GR-MD-02, the next steps would entail a controlled, does-ranging clinical trial which we do not expect to conduct absent a strategic partnership.</w:t>
      </w:r>
    </w:p>
    <w:p>
      <w:pPr>
        <w:spacing w:after="0" w:line="155" w:lineRule="exact"/>
        <w:rPr>
          <w:sz w:val="20"/>
          <w:szCs w:val="20"/>
          <w:color w:val="auto"/>
        </w:rPr>
      </w:pPr>
    </w:p>
    <w:p>
      <w:pPr>
        <w:ind w:right="100" w:firstLine="431"/>
        <w:spacing w:after="0" w:line="317" w:lineRule="auto"/>
        <w:rPr>
          <w:sz w:val="20"/>
          <w:szCs w:val="20"/>
          <w:color w:val="auto"/>
        </w:rPr>
      </w:pPr>
      <w:r>
        <w:rPr>
          <w:rFonts w:ascii="Arial" w:cs="Arial" w:eastAsia="Arial" w:hAnsi="Arial"/>
          <w:sz w:val="15"/>
          <w:szCs w:val="15"/>
          <w:color w:val="auto"/>
        </w:rPr>
        <w:t>We believe the mechanism of action for GR-MD-02 is based upon interaction with, and inhibition of, galectin proteins, particularly galectin-3, which are expressed at high levels in certain pathological states including inflammation, fibrosis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 as discussed previously.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60"/>
          </w:cols>
          <w:pgMar w:left="560" w:top="273" w:right="5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705" cy="38100"/>
                    </a:xfrm>
                    <a:prstGeom prst="rect">
                      <a:avLst/>
                    </a:prstGeom>
                    <a:noFill/>
                  </pic:spPr>
                </pic:pic>
              </a:graphicData>
            </a:graphic>
          </wp:anchor>
        </w:drawing>
        <w:t>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2019 Compared to Three Months Ended March 31,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2"/>
              </w:rPr>
              <w:t>Three Months</w:t>
            </w:r>
          </w:p>
        </w:tc>
        <w:tc>
          <w:tcPr>
            <w:tcW w:w="400" w:type="dxa"/>
            <w:vAlign w:val="bottom"/>
          </w:tcPr>
          <w:p>
            <w:pPr>
              <w:spacing w:after="0"/>
              <w:rPr>
                <w:sz w:val="14"/>
                <w:szCs w:val="14"/>
                <w:color w:val="auto"/>
              </w:rPr>
            </w:pPr>
          </w:p>
        </w:tc>
        <w:tc>
          <w:tcPr>
            <w:tcW w:w="2000" w:type="dxa"/>
            <w:vAlign w:val="bottom"/>
            <w:gridSpan w:val="3"/>
          </w:tcPr>
          <w:p>
            <w:pPr>
              <w:jc w:val="center"/>
              <w:ind w:right="280"/>
              <w:spacing w:after="0"/>
              <w:rPr>
                <w:sz w:val="20"/>
                <w:szCs w:val="20"/>
                <w:color w:val="auto"/>
              </w:rPr>
            </w:pPr>
            <w:r>
              <w:rPr>
                <w:rFonts w:ascii="Arial" w:cs="Arial" w:eastAsia="Arial" w:hAnsi="Arial"/>
                <w:sz w:val="14"/>
                <w:szCs w:val="14"/>
                <w:color w:val="auto"/>
                <w:w w:val="89"/>
              </w:rPr>
              <w:t>2019 as Compared to 2018</w:t>
            </w:r>
          </w:p>
        </w:tc>
      </w:tr>
      <w:tr>
        <w:trPr>
          <w:trHeight w:val="164"/>
        </w:trPr>
        <w:tc>
          <w:tcPr>
            <w:tcW w:w="4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1"/>
              </w:rPr>
              <w:t>Ended March 31,</w:t>
            </w:r>
          </w:p>
        </w:tc>
        <w:tc>
          <w:tcPr>
            <w:tcW w:w="400" w:type="dxa"/>
            <w:vAlign w:val="bottom"/>
          </w:tcPr>
          <w:p>
            <w:pPr>
              <w:spacing w:after="0"/>
              <w:rPr>
                <w:sz w:val="14"/>
                <w:szCs w:val="14"/>
                <w:color w:val="auto"/>
              </w:rPr>
            </w:pPr>
          </w:p>
        </w:tc>
        <w:tc>
          <w:tcPr>
            <w:tcW w:w="2000" w:type="dxa"/>
            <w:vAlign w:val="bottom"/>
            <w:gridSpan w:val="3"/>
          </w:tcPr>
          <w:p>
            <w:pPr>
              <w:jc w:val="center"/>
              <w:ind w:right="280"/>
              <w:spacing w:after="0"/>
              <w:rPr>
                <w:sz w:val="20"/>
                <w:szCs w:val="20"/>
                <w:color w:val="auto"/>
              </w:rPr>
            </w:pPr>
            <w:r>
              <w:rPr>
                <w:rFonts w:ascii="Arial" w:cs="Arial" w:eastAsia="Arial" w:hAnsi="Arial"/>
                <w:sz w:val="14"/>
                <w:szCs w:val="14"/>
                <w:color w:val="auto"/>
                <w:w w:val="92"/>
              </w:rPr>
              <w:t>Three Months</w:t>
            </w:r>
          </w:p>
        </w:tc>
      </w:tr>
      <w:tr>
        <w:trPr>
          <w:trHeight w:val="139"/>
        </w:trPr>
        <w:tc>
          <w:tcPr>
            <w:tcW w:w="40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169"/>
              <w:spacing w:after="0" w:line="139" w:lineRule="exact"/>
              <w:rPr>
                <w:sz w:val="20"/>
                <w:szCs w:val="20"/>
                <w:color w:val="auto"/>
              </w:rPr>
            </w:pPr>
            <w:r>
              <w:rPr>
                <w:rFonts w:ascii="Arial" w:cs="Arial" w:eastAsia="Arial" w:hAnsi="Arial"/>
                <w:sz w:val="14"/>
                <w:szCs w:val="14"/>
                <w:color w:val="auto"/>
                <w:w w:val="89"/>
              </w:rPr>
              <w:t>2019</w:t>
            </w:r>
          </w:p>
        </w:tc>
        <w:tc>
          <w:tcPr>
            <w:tcW w:w="700" w:type="dxa"/>
            <w:vAlign w:val="bottom"/>
            <w:tcBorders>
              <w:top w:val="single" w:sz="8" w:color="auto"/>
              <w:bottom w:val="single" w:sz="8" w:color="auto"/>
            </w:tcBorders>
          </w:tcPr>
          <w:p>
            <w:pPr>
              <w:jc w:val="right"/>
              <w:ind w:right="44"/>
              <w:spacing w:after="0" w:line="139" w:lineRule="exact"/>
              <w:rPr>
                <w:sz w:val="20"/>
                <w:szCs w:val="20"/>
                <w:color w:val="auto"/>
              </w:rPr>
            </w:pPr>
            <w:r>
              <w:rPr>
                <w:rFonts w:ascii="Arial" w:cs="Arial" w:eastAsia="Arial" w:hAnsi="Arial"/>
                <w:sz w:val="14"/>
                <w:szCs w:val="14"/>
                <w:color w:val="auto"/>
              </w:rPr>
              <w:t>2018</w:t>
            </w:r>
          </w:p>
        </w:tc>
        <w:tc>
          <w:tcPr>
            <w:tcW w:w="40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89"/>
              <w:spacing w:after="0" w:line="139" w:lineRule="exact"/>
              <w:rPr>
                <w:sz w:val="20"/>
                <w:szCs w:val="20"/>
                <w:color w:val="auto"/>
              </w:rPr>
            </w:pPr>
            <w:r>
              <w:rPr>
                <w:rFonts w:ascii="Arial" w:cs="Arial" w:eastAsia="Arial" w:hAnsi="Arial"/>
                <w:sz w:val="14"/>
                <w:szCs w:val="14"/>
                <w:color w:val="auto"/>
                <w:w w:val="88"/>
              </w:rPr>
              <w:t>$ Change</w:t>
            </w:r>
          </w:p>
        </w:tc>
        <w:tc>
          <w:tcPr>
            <w:tcW w:w="840" w:type="dxa"/>
            <w:vAlign w:val="bottom"/>
            <w:tcBorders>
              <w:top w:val="single" w:sz="8" w:color="auto"/>
              <w:bottom w:val="single" w:sz="8" w:color="auto"/>
            </w:tcBorders>
          </w:tcPr>
          <w:p>
            <w:pPr>
              <w:ind w:left="180"/>
              <w:spacing w:after="0" w:line="139" w:lineRule="exact"/>
              <w:rPr>
                <w:sz w:val="20"/>
                <w:szCs w:val="20"/>
                <w:color w:val="auto"/>
              </w:rPr>
            </w:pPr>
            <w:r>
              <w:rPr>
                <w:rFonts w:ascii="Arial" w:cs="Arial" w:eastAsia="Arial" w:hAnsi="Arial"/>
                <w:sz w:val="14"/>
                <w:szCs w:val="14"/>
                <w:color w:val="auto"/>
                <w:w w:val="97"/>
              </w:rPr>
              <w:t>% Change</w:t>
            </w:r>
          </w:p>
        </w:tc>
        <w:tc>
          <w:tcPr>
            <w:tcW w:w="240" w:type="dxa"/>
            <w:vAlign w:val="bottom"/>
          </w:tcPr>
          <w:p>
            <w:pPr>
              <w:spacing w:after="0"/>
              <w:rPr>
                <w:sz w:val="12"/>
                <w:szCs w:val="12"/>
                <w:color w:val="auto"/>
              </w:rPr>
            </w:pPr>
          </w:p>
        </w:tc>
      </w:tr>
      <w:tr>
        <w:trPr>
          <w:trHeight w:val="139"/>
        </w:trPr>
        <w:tc>
          <w:tcPr>
            <w:tcW w:w="40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3"/>
          </w:tcPr>
          <w:p>
            <w:pPr>
              <w:jc w:val="right"/>
              <w:ind w:right="109"/>
              <w:spacing w:after="0" w:line="139" w:lineRule="exact"/>
              <w:rPr>
                <w:sz w:val="20"/>
                <w:szCs w:val="20"/>
                <w:color w:val="auto"/>
              </w:rPr>
            </w:pPr>
            <w:r>
              <w:rPr>
                <w:rFonts w:ascii="Arial" w:cs="Arial" w:eastAsia="Arial" w:hAnsi="Arial"/>
                <w:sz w:val="14"/>
                <w:szCs w:val="14"/>
                <w:color w:val="auto"/>
              </w:rPr>
              <w:t>(In thousands, except %)</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2"/>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74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$646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32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 (1,652)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r>
    </w:tbl>
    <w:p>
      <w:pPr>
        <w:spacing w:after="0" w:line="199" w:lineRule="exact"/>
        <w:rPr>
          <w:sz w:val="20"/>
          <w:szCs w:val="20"/>
          <w:color w:val="auto"/>
        </w:rPr>
      </w:pPr>
    </w:p>
    <w:p>
      <w:pPr>
        <w:ind w:firstLine="431"/>
        <w:spacing w:after="0" w:line="304" w:lineRule="auto"/>
        <w:rPr>
          <w:sz w:val="20"/>
          <w:szCs w:val="20"/>
          <w:color w:val="auto"/>
        </w:rPr>
      </w:pPr>
      <w:r>
        <w:rPr>
          <w:rFonts w:ascii="Arial" w:cs="Arial" w:eastAsia="Arial" w:hAnsi="Arial"/>
          <w:sz w:val="15"/>
          <w:szCs w:val="15"/>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research and development expenses were as follows: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20" w:type="dxa"/>
            <w:vAlign w:val="bottom"/>
            <w:gridSpan w:val="5"/>
          </w:tcPr>
          <w:p>
            <w:pPr>
              <w:jc w:val="center"/>
              <w:ind w:right="80"/>
              <w:spacing w:after="0"/>
              <w:rPr>
                <w:sz w:val="20"/>
                <w:szCs w:val="20"/>
                <w:color w:val="auto"/>
              </w:rPr>
            </w:pPr>
            <w:r>
              <w:rPr>
                <w:rFonts w:ascii="Arial" w:cs="Arial" w:eastAsia="Arial" w:hAnsi="Arial"/>
                <w:sz w:val="14"/>
                <w:szCs w:val="14"/>
                <w:color w:val="auto"/>
                <w:w w:val="92"/>
              </w:rPr>
              <w:t>Three Months</w:t>
            </w:r>
          </w:p>
        </w:tc>
      </w:tr>
      <w:tr>
        <w:trPr>
          <w:trHeight w:val="146"/>
        </w:trPr>
        <w:tc>
          <w:tcPr>
            <w:tcW w:w="5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center"/>
              <w:ind w:right="500"/>
              <w:spacing w:after="0" w:line="145" w:lineRule="exact"/>
              <w:rPr>
                <w:sz w:val="20"/>
                <w:szCs w:val="20"/>
                <w:color w:val="auto"/>
              </w:rPr>
            </w:pPr>
            <w:r>
              <w:rPr>
                <w:rFonts w:ascii="Arial" w:cs="Arial" w:eastAsia="Arial" w:hAnsi="Arial"/>
                <w:sz w:val="14"/>
                <w:szCs w:val="14"/>
                <w:color w:val="auto"/>
                <w:w w:val="88"/>
              </w:rPr>
              <w:t>Ended</w:t>
            </w:r>
          </w:p>
        </w:tc>
      </w:tr>
      <w:tr>
        <w:trPr>
          <w:trHeight w:val="164"/>
        </w:trPr>
        <w:tc>
          <w:tcPr>
            <w:tcW w:w="5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20" w:type="dxa"/>
            <w:vAlign w:val="bottom"/>
            <w:gridSpan w:val="5"/>
          </w:tcPr>
          <w:p>
            <w:pPr>
              <w:jc w:val="center"/>
              <w:ind w:right="60"/>
              <w:spacing w:after="0"/>
              <w:rPr>
                <w:sz w:val="20"/>
                <w:szCs w:val="20"/>
                <w:color w:val="auto"/>
              </w:rPr>
            </w:pPr>
            <w:r>
              <w:rPr>
                <w:rFonts w:ascii="Arial" w:cs="Arial" w:eastAsia="Arial" w:hAnsi="Arial"/>
                <w:sz w:val="14"/>
                <w:szCs w:val="14"/>
                <w:color w:val="auto"/>
                <w:w w:val="93"/>
              </w:rPr>
              <w:t>March 31,</w:t>
            </w:r>
          </w:p>
        </w:tc>
      </w:tr>
      <w:tr>
        <w:trPr>
          <w:trHeight w:val="120"/>
        </w:trPr>
        <w:tc>
          <w:tcPr>
            <w:tcW w:w="5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6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3"/>
                <w:szCs w:val="13"/>
                <w:color w:val="auto"/>
              </w:rPr>
              <w:t>2019</w:t>
            </w:r>
          </w:p>
        </w:tc>
        <w:tc>
          <w:tcPr>
            <w:tcW w:w="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12"/>
              <w:spacing w:after="0" w:line="120" w:lineRule="exact"/>
              <w:rPr>
                <w:sz w:val="20"/>
                <w:szCs w:val="20"/>
                <w:color w:val="auto"/>
              </w:rPr>
            </w:pPr>
            <w:r>
              <w:rPr>
                <w:rFonts w:ascii="Arial" w:cs="Arial" w:eastAsia="Arial" w:hAnsi="Arial"/>
                <w:sz w:val="13"/>
                <w:szCs w:val="13"/>
                <w:color w:val="auto"/>
              </w:rPr>
              <w:t>2018</w:t>
            </w:r>
          </w:p>
        </w:tc>
        <w:tc>
          <w:tcPr>
            <w:tcW w:w="60" w:type="dxa"/>
            <w:vAlign w:val="bottom"/>
          </w:tcPr>
          <w:p>
            <w:pPr>
              <w:spacing w:after="0"/>
              <w:rPr>
                <w:sz w:val="10"/>
                <w:szCs w:val="10"/>
                <w:color w:val="auto"/>
              </w:rPr>
            </w:pPr>
          </w:p>
        </w:tc>
      </w:tr>
      <w:tr>
        <w:trPr>
          <w:trHeight w:val="164"/>
        </w:trPr>
        <w:tc>
          <w:tcPr>
            <w:tcW w:w="5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20" w:type="dxa"/>
            <w:vAlign w:val="bottom"/>
            <w:gridSpan w:val="5"/>
          </w:tcPr>
          <w:p>
            <w:pPr>
              <w:jc w:val="center"/>
              <w:ind w:right="80"/>
              <w:spacing w:after="0"/>
              <w:rPr>
                <w:sz w:val="20"/>
                <w:szCs w:val="20"/>
                <w:color w:val="auto"/>
              </w:rPr>
            </w:pPr>
            <w:r>
              <w:rPr>
                <w:rFonts w:ascii="Arial" w:cs="Arial" w:eastAsia="Arial" w:hAnsi="Arial"/>
                <w:sz w:val="14"/>
                <w:szCs w:val="14"/>
                <w:color w:val="auto"/>
                <w:w w:val="90"/>
              </w:rPr>
              <w:t>(in thousands)</w:t>
            </w:r>
          </w:p>
        </w:tc>
      </w:tr>
      <w:tr>
        <w:trPr>
          <w:trHeight w:val="212"/>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1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2"/>
        </w:trPr>
        <w:tc>
          <w:tcPr>
            <w:tcW w:w="5040" w:type="dxa"/>
            <w:vAlign w:val="bottom"/>
          </w:tcPr>
          <w:p>
            <w:pPr>
              <w:ind w:left="340"/>
              <w:spacing w:after="0"/>
              <w:rPr>
                <w:sz w:val="20"/>
                <w:szCs w:val="20"/>
                <w:color w:val="auto"/>
              </w:rPr>
            </w:pPr>
            <w:r>
              <w:rPr>
                <w:rFonts w:ascii="Arial" w:cs="Arial" w:eastAsia="Arial" w:hAnsi="Arial"/>
                <w:sz w:val="18"/>
                <w:szCs w:val="18"/>
                <w:color w:val="auto"/>
              </w:rPr>
              <w:t>Clinical activities</w:t>
            </w:r>
          </w:p>
        </w:tc>
        <w:tc>
          <w:tcPr>
            <w:tcW w:w="2260" w:type="dxa"/>
            <w:vAlign w:val="bottom"/>
            <w:gridSpan w:val="3"/>
          </w:tcPr>
          <w:p>
            <w:pPr>
              <w:jc w:val="right"/>
              <w:ind w:right="20"/>
              <w:spacing w:after="0"/>
              <w:rPr>
                <w:sz w:val="20"/>
                <w:szCs w:val="20"/>
                <w:color w:val="auto"/>
              </w:rPr>
            </w:pPr>
            <w:r>
              <w:rPr>
                <w:rFonts w:ascii="Arial" w:cs="Arial" w:eastAsia="Arial" w:hAnsi="Arial"/>
                <w:sz w:val="18"/>
                <w:szCs w:val="18"/>
                <w:color w:val="auto"/>
              </w:rPr>
              <w:t>$ (15)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$1,287</w:t>
            </w:r>
          </w:p>
        </w:tc>
        <w:tc>
          <w:tcPr>
            <w:tcW w:w="60" w:type="dxa"/>
            <w:vAlign w:val="bottom"/>
          </w:tcPr>
          <w:p>
            <w:pPr>
              <w:spacing w:after="0"/>
              <w:rPr>
                <w:sz w:val="18"/>
                <w:szCs w:val="18"/>
                <w:color w:val="auto"/>
              </w:rPr>
            </w:pPr>
          </w:p>
        </w:tc>
      </w:tr>
      <w:tr>
        <w:trPr>
          <w:trHeight w:val="212"/>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Pre-clinical activities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r>
      <w:tr>
        <w:trPr>
          <w:trHeight w:val="218"/>
        </w:trPr>
        <w:tc>
          <w:tcPr>
            <w:tcW w:w="504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1840" w:type="dxa"/>
            <w:vAlign w:val="bottom"/>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18"/>
                <w:szCs w:val="18"/>
                <w:color w:val="auto"/>
              </w:rPr>
            </w:pPr>
          </w:p>
        </w:tc>
      </w:tr>
      <w:tr>
        <w:trPr>
          <w:trHeight w:val="212"/>
        </w:trPr>
        <w:tc>
          <w:tcPr>
            <w:tcW w:w="50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646</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2,298</w:t>
            </w:r>
          </w:p>
        </w:tc>
        <w:tc>
          <w:tcPr>
            <w:tcW w:w="60" w:type="dxa"/>
            <w:vAlign w:val="bottom"/>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right="300" w:firstLine="431"/>
        <w:spacing w:after="0" w:line="254" w:lineRule="auto"/>
        <w:rPr>
          <w:sz w:val="20"/>
          <w:szCs w:val="20"/>
          <w:color w:val="auto"/>
        </w:rPr>
      </w:pPr>
      <w:r>
        <w:rPr>
          <w:rFonts w:ascii="Arial" w:cs="Arial" w:eastAsia="Arial" w:hAnsi="Arial"/>
          <w:sz w:val="18"/>
          <w:szCs w:val="18"/>
          <w:color w:val="auto"/>
        </w:rPr>
        <w:t>Clinical programs expenses decreased primarily due to costs related to our Phase 2 clinical trials winding down during the three months ended March 31, 2019. Other research and development expense decreased primarily due to a decrease in non-cash stock-based compensation expense of approximately $448,000.</w:t>
      </w:r>
    </w:p>
    <w:p>
      <w:pPr>
        <w:spacing w:after="0" w:line="189" w:lineRule="exact"/>
        <w:rPr>
          <w:sz w:val="20"/>
          <w:szCs w:val="20"/>
          <w:color w:val="auto"/>
        </w:rPr>
      </w:pPr>
    </w:p>
    <w:p>
      <w:pPr>
        <w:ind w:firstLine="431"/>
        <w:spacing w:after="0" w:line="264" w:lineRule="auto"/>
        <w:rPr>
          <w:sz w:val="20"/>
          <w:szCs w:val="20"/>
          <w:color w:val="auto"/>
        </w:rPr>
      </w:pPr>
      <w:r>
        <w:rPr>
          <w:rFonts w:ascii="Arial" w:cs="Arial" w:eastAsia="Arial" w:hAnsi="Arial"/>
          <w:sz w:val="17"/>
          <w:szCs w:val="17"/>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color w:val="auto"/>
                <w:w w:val="92"/>
              </w:rPr>
              <w:t>Three Months</w:t>
            </w:r>
          </w:p>
        </w:tc>
        <w:tc>
          <w:tcPr>
            <w:tcW w:w="480" w:type="dxa"/>
            <w:vAlign w:val="bottom"/>
          </w:tcPr>
          <w:p>
            <w:pPr>
              <w:spacing w:after="0"/>
              <w:rPr>
                <w:sz w:val="14"/>
                <w:szCs w:val="14"/>
                <w:color w:val="auto"/>
              </w:rPr>
            </w:pPr>
          </w:p>
        </w:tc>
        <w:tc>
          <w:tcPr>
            <w:tcW w:w="2080" w:type="dxa"/>
            <w:vAlign w:val="bottom"/>
            <w:gridSpan w:val="3"/>
          </w:tcPr>
          <w:p>
            <w:pPr>
              <w:jc w:val="center"/>
              <w:ind w:right="280"/>
              <w:spacing w:after="0"/>
              <w:rPr>
                <w:sz w:val="20"/>
                <w:szCs w:val="20"/>
                <w:color w:val="auto"/>
              </w:rPr>
            </w:pPr>
            <w:r>
              <w:rPr>
                <w:rFonts w:ascii="Arial" w:cs="Arial" w:eastAsia="Arial" w:hAnsi="Arial"/>
                <w:sz w:val="14"/>
                <w:szCs w:val="14"/>
                <w:color w:val="auto"/>
                <w:w w:val="89"/>
              </w:rPr>
              <w:t>2019 as Compared to 2018</w:t>
            </w:r>
          </w:p>
        </w:tc>
      </w:tr>
      <w:tr>
        <w:trPr>
          <w:trHeight w:val="164"/>
        </w:trPr>
        <w:tc>
          <w:tcPr>
            <w:tcW w:w="3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color w:val="auto"/>
                <w:w w:val="90"/>
              </w:rPr>
              <w:t>Ended March 31,</w:t>
            </w:r>
          </w:p>
        </w:tc>
        <w:tc>
          <w:tcPr>
            <w:tcW w:w="480" w:type="dxa"/>
            <w:vAlign w:val="bottom"/>
          </w:tcPr>
          <w:p>
            <w:pPr>
              <w:spacing w:after="0"/>
              <w:rPr>
                <w:sz w:val="14"/>
                <w:szCs w:val="14"/>
                <w:color w:val="auto"/>
              </w:rPr>
            </w:pPr>
          </w:p>
        </w:tc>
        <w:tc>
          <w:tcPr>
            <w:tcW w:w="2080" w:type="dxa"/>
            <w:vAlign w:val="bottom"/>
            <w:gridSpan w:val="3"/>
          </w:tcPr>
          <w:p>
            <w:pPr>
              <w:jc w:val="center"/>
              <w:ind w:right="280"/>
              <w:spacing w:after="0"/>
              <w:rPr>
                <w:sz w:val="20"/>
                <w:szCs w:val="20"/>
                <w:color w:val="auto"/>
              </w:rPr>
            </w:pPr>
            <w:r>
              <w:rPr>
                <w:rFonts w:ascii="Arial" w:cs="Arial" w:eastAsia="Arial" w:hAnsi="Arial"/>
                <w:sz w:val="14"/>
                <w:szCs w:val="14"/>
                <w:color w:val="auto"/>
                <w:w w:val="92"/>
              </w:rPr>
              <w:t>Three Months</w:t>
            </w:r>
          </w:p>
        </w:tc>
      </w:tr>
      <w:tr>
        <w:trPr>
          <w:trHeight w:val="139"/>
        </w:trPr>
        <w:tc>
          <w:tcPr>
            <w:tcW w:w="3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269"/>
              <w:spacing w:after="0" w:line="139" w:lineRule="exact"/>
              <w:rPr>
                <w:sz w:val="20"/>
                <w:szCs w:val="20"/>
                <w:color w:val="auto"/>
              </w:rPr>
            </w:pPr>
            <w:r>
              <w:rPr>
                <w:rFonts w:ascii="Arial" w:cs="Arial" w:eastAsia="Arial" w:hAnsi="Arial"/>
                <w:sz w:val="14"/>
                <w:szCs w:val="14"/>
                <w:color w:val="auto"/>
              </w:rPr>
              <w:t>2019</w:t>
            </w:r>
          </w:p>
        </w:tc>
        <w:tc>
          <w:tcPr>
            <w:tcW w:w="720" w:type="dxa"/>
            <w:vAlign w:val="bottom"/>
            <w:tcBorders>
              <w:top w:val="single" w:sz="8" w:color="auto"/>
              <w:bottom w:val="single" w:sz="8" w:color="auto"/>
            </w:tcBorders>
          </w:tcPr>
          <w:p>
            <w:pPr>
              <w:jc w:val="right"/>
              <w:ind w:right="24"/>
              <w:spacing w:after="0" w:line="139" w:lineRule="exact"/>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89"/>
              <w:spacing w:after="0" w:line="139" w:lineRule="exact"/>
              <w:rPr>
                <w:sz w:val="20"/>
                <w:szCs w:val="20"/>
                <w:color w:val="auto"/>
              </w:rPr>
            </w:pPr>
            <w:r>
              <w:rPr>
                <w:rFonts w:ascii="Arial" w:cs="Arial" w:eastAsia="Arial" w:hAnsi="Arial"/>
                <w:sz w:val="14"/>
                <w:szCs w:val="14"/>
                <w:color w:val="auto"/>
                <w:w w:val="88"/>
              </w:rPr>
              <w:t>$ Change</w:t>
            </w:r>
          </w:p>
        </w:tc>
        <w:tc>
          <w:tcPr>
            <w:tcW w:w="920" w:type="dxa"/>
            <w:vAlign w:val="bottom"/>
            <w:tcBorders>
              <w:top w:val="single" w:sz="8" w:color="auto"/>
              <w:bottom w:val="single" w:sz="8" w:color="auto"/>
            </w:tcBorders>
          </w:tcPr>
          <w:p>
            <w:pPr>
              <w:ind w:left="260"/>
              <w:spacing w:after="0" w:line="139" w:lineRule="exact"/>
              <w:rPr>
                <w:sz w:val="20"/>
                <w:szCs w:val="20"/>
                <w:color w:val="auto"/>
              </w:rPr>
            </w:pPr>
            <w:r>
              <w:rPr>
                <w:rFonts w:ascii="Arial" w:cs="Arial" w:eastAsia="Arial" w:hAnsi="Arial"/>
                <w:sz w:val="14"/>
                <w:szCs w:val="14"/>
                <w:color w:val="auto"/>
                <w:w w:val="97"/>
              </w:rPr>
              <w:t>% Change</w:t>
            </w:r>
          </w:p>
        </w:tc>
        <w:tc>
          <w:tcPr>
            <w:tcW w:w="240" w:type="dxa"/>
            <w:vAlign w:val="bottom"/>
          </w:tcPr>
          <w:p>
            <w:pPr>
              <w:spacing w:after="0"/>
              <w:rPr>
                <w:sz w:val="12"/>
                <w:szCs w:val="12"/>
                <w:color w:val="auto"/>
              </w:rPr>
            </w:pPr>
          </w:p>
        </w:tc>
      </w:tr>
      <w:tr>
        <w:trPr>
          <w:trHeight w:val="139"/>
        </w:trPr>
        <w:tc>
          <w:tcPr>
            <w:tcW w:w="39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20" w:type="dxa"/>
            <w:vAlign w:val="bottom"/>
            <w:gridSpan w:val="3"/>
          </w:tcPr>
          <w:p>
            <w:pPr>
              <w:jc w:val="right"/>
              <w:ind w:right="189"/>
              <w:spacing w:after="0" w:line="139" w:lineRule="exact"/>
              <w:rPr>
                <w:sz w:val="20"/>
                <w:szCs w:val="20"/>
                <w:color w:val="auto"/>
              </w:rPr>
            </w:pPr>
            <w:r>
              <w:rPr>
                <w:rFonts w:ascii="Arial" w:cs="Arial" w:eastAsia="Arial" w:hAnsi="Arial"/>
                <w:sz w:val="14"/>
                <w:szCs w:val="14"/>
                <w:color w:val="auto"/>
              </w:rPr>
              <w:t>(In thousands, except %)</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2"/>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720" w:type="dxa"/>
            <w:vAlign w:val="bottom"/>
            <w:gridSpan w:val="2"/>
            <w:shd w:val="clear" w:color="auto" w:fill="CCEEFF"/>
          </w:tcPr>
          <w:p>
            <w:pPr>
              <w:jc w:val="right"/>
              <w:ind w:right="169"/>
              <w:spacing w:after="0"/>
              <w:rPr>
                <w:sz w:val="20"/>
                <w:szCs w:val="20"/>
                <w:color w:val="auto"/>
              </w:rPr>
            </w:pPr>
            <w:r>
              <w:rPr>
                <w:rFonts w:ascii="Arial" w:cs="Arial" w:eastAsia="Arial" w:hAnsi="Arial"/>
                <w:sz w:val="18"/>
                <w:szCs w:val="18"/>
                <w:color w:val="auto"/>
              </w:rPr>
              <w:t>$1,721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40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  (159)</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bl>
    <w:p>
      <w:pPr>
        <w:spacing w:after="0" w:line="199" w:lineRule="exact"/>
        <w:rPr>
          <w:sz w:val="20"/>
          <w:szCs w:val="20"/>
          <w:color w:val="auto"/>
        </w:rPr>
      </w:pPr>
    </w:p>
    <w:p>
      <w:pPr>
        <w:ind w:right="40" w:firstLine="431"/>
        <w:spacing w:after="0" w:line="251" w:lineRule="auto"/>
        <w:rPr>
          <w:sz w:val="20"/>
          <w:szCs w:val="20"/>
          <w:color w:val="auto"/>
        </w:rPr>
      </w:pPr>
      <w:r>
        <w:rPr>
          <w:rFonts w:ascii="Arial" w:cs="Arial" w:eastAsia="Arial" w:hAnsi="Arial"/>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decrease in general and administrative expenses for the three-months ended March 31, 2019 as compared to the same period in 2018 is due to a decrease in non-cash, stock-based compensation expense of $327,000 and an increase in legal expenses of approximately $260,000.</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80"/>
          </w:cols>
          <w:pgMar w:left="560" w:top="267" w:right="5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705" cy="38100"/>
                    </a:xfrm>
                    <a:prstGeom prst="rect">
                      <a:avLst/>
                    </a:prstGeom>
                    <a:noFill/>
                  </pic:spPr>
                </pic:pic>
              </a:graphicData>
            </a:graphic>
          </wp:anchor>
        </w:drawing>
        <w:t>Liquidity and Capital Resources</w:t>
      </w:r>
    </w:p>
    <w:p>
      <w:pPr>
        <w:spacing w:after="0" w:line="117" w:lineRule="exact"/>
        <w:rPr>
          <w:sz w:val="20"/>
          <w:szCs w:val="20"/>
          <w:color w:val="auto"/>
        </w:rPr>
      </w:pPr>
    </w:p>
    <w:p>
      <w:pPr>
        <w:ind w:firstLine="431"/>
        <w:spacing w:after="0" w:line="299" w:lineRule="auto"/>
        <w:rPr>
          <w:sz w:val="20"/>
          <w:szCs w:val="20"/>
          <w:color w:val="auto"/>
        </w:rPr>
      </w:pPr>
      <w:r>
        <w:rPr>
          <w:rFonts w:ascii="Arial" w:cs="Arial" w:eastAsia="Arial" w:hAnsi="Arial"/>
          <w:sz w:val="15"/>
          <w:szCs w:val="15"/>
          <w:color w:val="auto"/>
        </w:rPr>
        <w:t>Since our inception on July 10, 2000, we have financed our operations from proceeds of public and private offerings of debt and equity. As of March 31, 2019, we raised a net total of $149.4 million from these offerings. We have operated at a loss since our inception and have had no significant revenues. We anticipate that losses will continue for the foreseeable future. At March 31, 2019, the Company had $7.0 million of unrestricted cash and cash equivalents available to fund future operations. In December 2018, the Company announced the extension of its $10 million unsecured line of credit facility with stockholder and director, Richard E. Uihlein. The Company has not drawn under the line of credit. Additionally, in January 2019, the Company received $1.87 million in net proceeds through sales of common stock under the At The Market Issuance Sales Agreement. The Company believes there is sufficient cash, including availability of the line of credit, to fund currently planned operations at least through June 30, 2020. We will require more cash to fund our operations after June 30, 2020 and believe we will be able to obtain additional financing. The currently planned operations do not include costs related to a planned Phase 3 clinical trial. While the costs of the trial and general overhead during the Phase 3 trial are expected to be approximately $100 million, the costs and timing of such trial are not yet finalized. The Company has not made commitments for such trial that cannot be covered with available cash. The costs of a Phase 3 clinical trial will require additional financing. The Company has commenced a Rights Offering to its common stockholders and certain warrant holders targeting a financing of $50 to $70 million, which is expected to conclude on May 23, 2019. However, there can be no assurance that we will be successful in completing the rights offering or obtaining other new financing or, if available, that any financing will be on terms favorable to us. Based on the forecasts and estimates underlying our current operating plan, the financial statements do not currently include any adjustments that might be necessary if we are unable to continue as a going concern.</w:t>
      </w:r>
    </w:p>
    <w:p>
      <w:pPr>
        <w:spacing w:after="0" w:line="378" w:lineRule="exact"/>
        <w:rPr>
          <w:sz w:val="20"/>
          <w:szCs w:val="20"/>
          <w:color w:val="auto"/>
        </w:rPr>
      </w:pPr>
    </w:p>
    <w:p>
      <w:pPr>
        <w:ind w:right="120" w:firstLine="431"/>
        <w:spacing w:after="0" w:line="254" w:lineRule="auto"/>
        <w:rPr>
          <w:sz w:val="20"/>
          <w:szCs w:val="20"/>
          <w:color w:val="auto"/>
        </w:rPr>
      </w:pPr>
      <w:r>
        <w:rPr>
          <w:rFonts w:ascii="Arial" w:cs="Arial" w:eastAsia="Arial" w:hAnsi="Arial"/>
          <w:sz w:val="18"/>
          <w:szCs w:val="18"/>
          <w:color w:val="auto"/>
        </w:rPr>
        <w:t>Net cash used in operations decreased by $232,000 to $3,284,000 for the three months ended March 31, 2019, as compared to $3,516,000 for the three months ended March 31, 2018. Cash operating expenses decreased principally due to the winding down of Phase 2 research and development activities related to our clinical trial activity with GR-MD-02.</w:t>
      </w:r>
    </w:p>
    <w:p>
      <w:pPr>
        <w:spacing w:after="0" w:line="189" w:lineRule="exact"/>
        <w:rPr>
          <w:sz w:val="20"/>
          <w:szCs w:val="20"/>
          <w:color w:val="auto"/>
        </w:rPr>
      </w:pPr>
    </w:p>
    <w:p>
      <w:pPr>
        <w:jc w:val="both"/>
        <w:ind w:right="300" w:firstLine="431"/>
        <w:spacing w:after="0" w:line="329" w:lineRule="auto"/>
        <w:rPr>
          <w:sz w:val="20"/>
          <w:szCs w:val="20"/>
          <w:color w:val="auto"/>
        </w:rPr>
      </w:pPr>
      <w:r>
        <w:rPr>
          <w:rFonts w:ascii="Arial" w:cs="Arial" w:eastAsia="Arial" w:hAnsi="Arial"/>
          <w:sz w:val="15"/>
          <w:szCs w:val="15"/>
          <w:color w:val="auto"/>
        </w:rPr>
        <w:t>Net cash provided by financing activities for the three months ended March 31, 2019, of $2,003,000 represents proceeds from the issuance of common stock from the ATM of $1,865,000 and $138,000 from the exercise of common stock options and warrants. Net cash provided by financing activities for the three months ended March 31, 2018, of $4,451,000 represents proceeds from the exercise of common stock warrants.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1" w:lineRule="exact"/>
        <w:rPr>
          <w:sz w:val="20"/>
          <w:szCs w:val="20"/>
          <w:color w:val="auto"/>
        </w:rPr>
      </w:pPr>
    </w:p>
    <w:p>
      <w:pPr>
        <w:ind w:right="520" w:firstLine="431"/>
        <w:spacing w:after="0" w:line="264"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80"/>
          </w:cols>
          <w:pgMar w:left="560" w:top="267" w:right="5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705" cy="38100"/>
                    </a:xfrm>
                    <a:prstGeom prst="rect">
                      <a:avLst/>
                    </a:prstGeom>
                    <a:noFill/>
                  </pic:spPr>
                </pic:pic>
              </a:graphicData>
            </a:graphic>
          </wp:anchor>
        </w:drawing>
        <w:t>Off-Balance Sheet Arrangements</w:t>
      </w:r>
    </w:p>
    <w:p>
      <w:pPr>
        <w:spacing w:after="0" w:line="111" w:lineRule="exact"/>
        <w:rPr>
          <w:sz w:val="20"/>
          <w:szCs w:val="20"/>
          <w:color w:val="auto"/>
        </w:rPr>
      </w:pPr>
    </w:p>
    <w:p>
      <w:pPr>
        <w:ind w:right="100" w:firstLine="431"/>
        <w:spacing w:after="0" w:line="329" w:lineRule="auto"/>
        <w:rPr>
          <w:sz w:val="20"/>
          <w:szCs w:val="20"/>
          <w:color w:val="auto"/>
        </w:rPr>
      </w:pPr>
      <w:r>
        <w:rPr>
          <w:rFonts w:ascii="Arial" w:cs="Arial" w:eastAsia="Arial" w:hAnsi="Arial"/>
          <w:sz w:val="15"/>
          <w:szCs w:val="15"/>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17" w:lineRule="exact"/>
        <w:rPr>
          <w:sz w:val="20"/>
          <w:szCs w:val="20"/>
          <w:color w:val="auto"/>
        </w:rPr>
      </w:pPr>
    </w:p>
    <w:p>
      <w:pPr>
        <w:jc w:val="both"/>
        <w:ind w:right="160" w:firstLine="431"/>
        <w:spacing w:after="0" w:line="312" w:lineRule="auto"/>
        <w:rPr>
          <w:sz w:val="20"/>
          <w:szCs w:val="20"/>
          <w:color w:val="auto"/>
        </w:rPr>
      </w:pPr>
      <w:r>
        <w:rPr>
          <w:rFonts w:ascii="Arial" w:cs="Arial" w:eastAsia="Arial" w:hAnsi="Arial"/>
          <w:sz w:val="15"/>
          <w:szCs w:val="15"/>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49" w:lineRule="exact"/>
        <w:rPr>
          <w:sz w:val="20"/>
          <w:szCs w:val="20"/>
          <w:color w:val="auto"/>
        </w:rPr>
      </w:pPr>
    </w:p>
    <w:p>
      <w:pPr>
        <w:ind w:right="20" w:firstLine="431"/>
        <w:spacing w:after="0" w:line="329" w:lineRule="auto"/>
        <w:rPr>
          <w:sz w:val="20"/>
          <w:szCs w:val="20"/>
          <w:color w:val="auto"/>
        </w:rPr>
      </w:pPr>
      <w:r>
        <w:rPr>
          <w:rFonts w:ascii="Arial" w:cs="Arial" w:eastAsia="Arial" w:hAnsi="Arial"/>
          <w:sz w:val="15"/>
          <w:szCs w:val="15"/>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2018 Annual Report on Form 10-K.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firstLine="431"/>
        <w:spacing w:after="0" w:line="251"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right="40" w:firstLine="431"/>
        <w:spacing w:after="0" w:line="317" w:lineRule="auto"/>
        <w:rPr>
          <w:sz w:val="20"/>
          <w:szCs w:val="20"/>
          <w:color w:val="auto"/>
        </w:rPr>
      </w:pPr>
      <w:r>
        <w:rPr>
          <w:rFonts w:ascii="Arial" w:cs="Arial" w:eastAsia="Arial" w:hAnsi="Arial"/>
          <w:sz w:val="15"/>
          <w:szCs w:val="15"/>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March 31, 2019, our disclosure controls and procedures were effective at a reasonable assurance level. During the quarter ended March 31, 2019, no change in our internal control over financial reporting has materially affected, or is reasonably likely to materially affect, our internal control over financial reporting.</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40"/>
          </w:cols>
          <w:pgMar w:left="560" w:top="273" w:right="599" w:bottom="1440" w:gutter="0" w:footer="0" w:header="0"/>
        </w:sectPr>
      </w:pPr>
    </w:p>
    <w:bookmarkStart w:id="23" w:name="page24"/>
    <w:bookmarkEnd w:id="23"/>
    <w:p>
      <w:pPr>
        <w:jc w:val="center"/>
        <w:ind w:right="-2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705" cy="38100"/>
                    </a:xfrm>
                    <a:prstGeom prst="rect">
                      <a:avLst/>
                    </a:prstGeom>
                    <a:noFill/>
                  </pic:spPr>
                </pic:pic>
              </a:graphicData>
            </a:graphic>
          </wp:anchor>
        </w:drawing>
        <w:t>PART II — OTHER INFORMATION</w:t>
      </w:r>
    </w:p>
    <w:p>
      <w:pPr>
        <w:spacing w:after="0" w:line="11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left="423"/>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left="3" w:right="140" w:firstLine="431"/>
        <w:spacing w:after="0" w:line="364" w:lineRule="auto"/>
        <w:rPr>
          <w:sz w:val="20"/>
          <w:szCs w:val="20"/>
          <w:color w:val="auto"/>
        </w:rPr>
      </w:pPr>
      <w:r>
        <w:rPr>
          <w:rFonts w:ascii="Arial" w:cs="Arial" w:eastAsia="Arial" w:hAnsi="Arial"/>
          <w:sz w:val="15"/>
          <w:szCs w:val="15"/>
          <w:color w:val="auto"/>
        </w:rPr>
        <w:t>The information set forth in this report should be read in conjunction with the risk factors set forth in Item 1A, “Risk Factors,” of Part I of our Annual Report on Form 10-K for the year ended December 31, 2018, which could materially impact our business, financial condition or future results.</w:t>
      </w:r>
    </w:p>
    <w:p>
      <w:pPr>
        <w:spacing w:after="0" w:line="212"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423"/>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ind w:left="423"/>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423"/>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jc w:val="center"/>
        <w:ind w:right="8777"/>
        <w:spacing w:after="0"/>
        <w:rPr>
          <w:sz w:val="20"/>
          <w:szCs w:val="20"/>
          <w:color w:val="auto"/>
        </w:rPr>
      </w:pPr>
      <w:r>
        <w:rPr>
          <w:rFonts w:ascii="Arial" w:cs="Arial" w:eastAsia="Arial" w:hAnsi="Arial"/>
          <w:sz w:val="15"/>
          <w:szCs w:val="15"/>
          <w:b w:val="1"/>
          <w:bCs w:val="1"/>
          <w:color w:val="auto"/>
        </w:rPr>
        <w:t>Item 5. Other Information</w:t>
      </w:r>
    </w:p>
    <w:p>
      <w:pPr>
        <w:spacing w:after="0" w:line="151" w:lineRule="exact"/>
        <w:rPr>
          <w:sz w:val="20"/>
          <w:szCs w:val="20"/>
          <w:color w:val="auto"/>
        </w:rPr>
      </w:pPr>
    </w:p>
    <w:p>
      <w:pPr>
        <w:jc w:val="center"/>
        <w:ind w:right="8817"/>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Item 6. Exhibits</w:t>
      </w:r>
    </w:p>
    <w:p>
      <w:pPr>
        <w:spacing w:after="0" w:line="223"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14"/>
                <w:szCs w:val="14"/>
                <w:color w:val="auto"/>
              </w:rPr>
            </w:pPr>
          </w:p>
        </w:tc>
        <w:tc>
          <w:tcPr>
            <w:tcW w:w="8220" w:type="dxa"/>
            <w:vAlign w:val="bottom"/>
            <w:gridSpan w:val="5"/>
            <w:vMerge w:val="restart"/>
          </w:tcPr>
          <w:p>
            <w:pPr>
              <w:ind w:left="3140"/>
              <w:spacing w:after="0"/>
              <w:rPr>
                <w:sz w:val="20"/>
                <w:szCs w:val="20"/>
                <w:color w:val="auto"/>
              </w:rPr>
            </w:pPr>
            <w:r>
              <w:rPr>
                <w:rFonts w:ascii="Arial" w:cs="Arial" w:eastAsia="Arial" w:hAnsi="Arial"/>
                <w:sz w:val="14"/>
                <w:szCs w:val="14"/>
                <w:b w:val="1"/>
                <w:bCs w:val="1"/>
                <w:color w:val="auto"/>
              </w:rPr>
              <w:t>Description of Document</w:t>
            </w:r>
          </w:p>
        </w:tc>
        <w:tc>
          <w:tcPr>
            <w:tcW w:w="4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Note</w:t>
            </w:r>
          </w:p>
        </w:tc>
        <w:tc>
          <w:tcPr>
            <w:tcW w:w="0" w:type="dxa"/>
            <w:vAlign w:val="bottom"/>
          </w:tcPr>
          <w:p>
            <w:pPr>
              <w:spacing w:after="0"/>
              <w:rPr>
                <w:sz w:val="1"/>
                <w:szCs w:val="1"/>
                <w:color w:val="auto"/>
              </w:rPr>
            </w:pPr>
          </w:p>
        </w:tc>
      </w:tr>
      <w:tr>
        <w:trPr>
          <w:trHeight w:val="168"/>
        </w:trPr>
        <w:tc>
          <w:tcPr>
            <w:tcW w:w="11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4"/>
                <w:szCs w:val="14"/>
                <w:color w:val="auto"/>
              </w:rPr>
            </w:pPr>
          </w:p>
        </w:tc>
        <w:tc>
          <w:tcPr>
            <w:tcW w:w="8220" w:type="dxa"/>
            <w:vAlign w:val="bottom"/>
            <w:gridSpan w:val="5"/>
            <w:vMerge w:val="continue"/>
          </w:tcPr>
          <w:p>
            <w:pPr>
              <w:spacing w:after="0"/>
              <w:rPr>
                <w:sz w:val="14"/>
                <w:szCs w:val="14"/>
                <w:color w:val="auto"/>
              </w:rPr>
            </w:pPr>
          </w:p>
        </w:tc>
        <w:tc>
          <w:tcPr>
            <w:tcW w:w="1040" w:type="dxa"/>
            <w:vAlign w:val="bottom"/>
            <w:gridSpan w:val="2"/>
          </w:tcPr>
          <w:p>
            <w:pPr>
              <w:jc w:val="center"/>
              <w:ind w:left="329"/>
              <w:spacing w:after="0"/>
              <w:rPr>
                <w:sz w:val="20"/>
                <w:szCs w:val="20"/>
                <w:color w:val="auto"/>
              </w:rPr>
            </w:pPr>
            <w:r>
              <w:rPr>
                <w:rFonts w:ascii="Arial" w:cs="Arial" w:eastAsia="Arial" w:hAnsi="Arial"/>
                <w:sz w:val="14"/>
                <w:szCs w:val="14"/>
                <w:b w:val="1"/>
                <w:bCs w:val="1"/>
                <w:color w:val="auto"/>
                <w:w w:val="88"/>
              </w:rPr>
              <w:t>Reference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0" w:type="dxa"/>
            <w:vAlign w:val="bottom"/>
          </w:tcPr>
          <w:p>
            <w:pPr>
              <w:spacing w:after="0"/>
              <w:rPr>
                <w:sz w:val="23"/>
                <w:szCs w:val="23"/>
                <w:color w:val="auto"/>
              </w:rPr>
            </w:pPr>
          </w:p>
        </w:tc>
        <w:tc>
          <w:tcPr>
            <w:tcW w:w="500" w:type="dxa"/>
            <w:vAlign w:val="bottom"/>
          </w:tcPr>
          <w:p>
            <w:pPr>
              <w:jc w:val="center"/>
              <w:ind w:right="21"/>
              <w:spacing w:after="0"/>
              <w:rPr>
                <w:sz w:val="20"/>
                <w:szCs w:val="20"/>
                <w:color w:val="auto"/>
              </w:rPr>
            </w:pPr>
            <w:r>
              <w:rPr>
                <w:rFonts w:ascii="Arial" w:cs="Arial" w:eastAsia="Arial" w:hAnsi="Arial"/>
                <w:sz w:val="18"/>
                <w:szCs w:val="18"/>
                <w:color w:val="auto"/>
                <w:w w:val="95"/>
              </w:rPr>
              <w:t>31.1*</w:t>
            </w:r>
          </w:p>
        </w:tc>
        <w:tc>
          <w:tcPr>
            <w:tcW w:w="560" w:type="dxa"/>
            <w:vAlign w:val="bottom"/>
          </w:tcPr>
          <w:p>
            <w:pPr>
              <w:spacing w:after="0"/>
              <w:rPr>
                <w:sz w:val="23"/>
                <w:szCs w:val="23"/>
                <w:color w:val="auto"/>
              </w:rPr>
            </w:pPr>
          </w:p>
        </w:tc>
        <w:tc>
          <w:tcPr>
            <w:tcW w:w="8580" w:type="dxa"/>
            <w:vAlign w:val="bottom"/>
            <w:gridSpan w:val="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Certification Pursuant to Rule 13a-14(a) of the Securities Exchange Act of 1934</w:t>
              </w:r>
            </w:hyperlink>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300" w:type="dxa"/>
            <w:vAlign w:val="bottom"/>
            <w:gridSpan w:val="3"/>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56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Certification Pursuant to Rule 13a-14(a) of the Securities Exchange Act of 1934</w:t>
              </w:r>
            </w:hyperlink>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300" w:type="dxa"/>
            <w:vAlign w:val="bottom"/>
            <w:gridSpan w:val="3"/>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7"/>
              </w:rPr>
              <w:t>32.1**</w:t>
            </w:r>
          </w:p>
        </w:tc>
        <w:tc>
          <w:tcPr>
            <w:tcW w:w="56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Certification Pursuant to 18 U.S.C. Section 1350, as Adopted Pursuant to Section 906 of the Sarbanes-Oxley Act of</w:t>
              </w:r>
            </w:hyperlink>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84"/>
              </w:rPr>
            </w:pPr>
            <w:hyperlink w:anchor="page28">
              <w:r>
                <w:rPr>
                  <w:rFonts w:ascii="Arial" w:cs="Arial" w:eastAsia="Arial" w:hAnsi="Arial"/>
                  <w:sz w:val="18"/>
                  <w:szCs w:val="18"/>
                  <w:color w:val="0000EE"/>
                  <w:w w:val="84"/>
                </w:rPr>
                <w:t>2002</w:t>
              </w:r>
            </w:hyperlink>
          </w:p>
        </w:tc>
        <w:tc>
          <w:tcPr>
            <w:tcW w:w="3140" w:type="dxa"/>
            <w:vAlign w:val="bottom"/>
            <w:tcBorders>
              <w:top w:val="single" w:sz="8" w:color="0000EE"/>
            </w:tcBorders>
          </w:tcPr>
          <w:p>
            <w:pPr>
              <w:spacing w:after="0"/>
              <w:rPr>
                <w:sz w:val="16"/>
                <w:szCs w:val="16"/>
                <w:color w:val="auto"/>
              </w:rPr>
            </w:pPr>
          </w:p>
        </w:tc>
        <w:tc>
          <w:tcPr>
            <w:tcW w:w="152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2520" w:type="dxa"/>
            <w:vAlign w:val="bottom"/>
            <w:tcBorders>
              <w:top w:val="single" w:sz="8" w:color="0000EE"/>
            </w:tcBorders>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80" w:type="dxa"/>
            <w:vAlign w:val="bottom"/>
            <w:gridSpan w:val="2"/>
          </w:tcPr>
          <w:p>
            <w:pPr>
              <w:jc w:val="center"/>
              <w:spacing w:after="0"/>
              <w:rPr>
                <w:sz w:val="20"/>
                <w:szCs w:val="20"/>
                <w:color w:val="auto"/>
              </w:rPr>
            </w:pPr>
            <w:r>
              <w:rPr>
                <w:rFonts w:ascii="Arial" w:cs="Arial" w:eastAsia="Arial" w:hAnsi="Arial"/>
                <w:sz w:val="18"/>
                <w:szCs w:val="18"/>
                <w:color w:val="auto"/>
                <w:w w:val="97"/>
              </w:rPr>
              <w:t>32.2**</w:t>
            </w:r>
          </w:p>
        </w:tc>
        <w:tc>
          <w:tcPr>
            <w:tcW w:w="560" w:type="dxa"/>
            <w:vAlign w:val="bottom"/>
          </w:tcPr>
          <w:p>
            <w:pPr>
              <w:spacing w:after="0"/>
              <w:rPr>
                <w:sz w:val="24"/>
                <w:szCs w:val="24"/>
                <w:color w:val="auto"/>
              </w:rPr>
            </w:pPr>
          </w:p>
        </w:tc>
        <w:tc>
          <w:tcPr>
            <w:tcW w:w="8580" w:type="dxa"/>
            <w:vAlign w:val="bottom"/>
            <w:gridSpan w:val="6"/>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Certification Pursuant to 18 U.S.C. Section 1350, as Adopted Pursuant to Section 906 of the Sarbanes-Oxley Act of</w:t>
              </w:r>
            </w:hyperlink>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84"/>
              </w:rPr>
            </w:pPr>
            <w:hyperlink w:anchor="page29">
              <w:r>
                <w:rPr>
                  <w:rFonts w:ascii="Arial" w:cs="Arial" w:eastAsia="Arial" w:hAnsi="Arial"/>
                  <w:sz w:val="18"/>
                  <w:szCs w:val="18"/>
                  <w:color w:val="0000EE"/>
                  <w:w w:val="84"/>
                </w:rPr>
                <w:t>2002</w:t>
              </w:r>
            </w:hyperlink>
          </w:p>
        </w:tc>
        <w:tc>
          <w:tcPr>
            <w:tcW w:w="3140" w:type="dxa"/>
            <w:vAlign w:val="bottom"/>
            <w:tcBorders>
              <w:top w:val="single" w:sz="8" w:color="0000EE"/>
            </w:tcBorders>
          </w:tcPr>
          <w:p>
            <w:pPr>
              <w:spacing w:after="0"/>
              <w:rPr>
                <w:sz w:val="16"/>
                <w:szCs w:val="16"/>
                <w:color w:val="auto"/>
              </w:rPr>
            </w:pPr>
          </w:p>
        </w:tc>
        <w:tc>
          <w:tcPr>
            <w:tcW w:w="152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2520" w:type="dxa"/>
            <w:vAlign w:val="bottom"/>
            <w:tcBorders>
              <w:top w:val="single" w:sz="8" w:color="0000EE"/>
            </w:tcBorders>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1140" w:type="dxa"/>
            <w:vAlign w:val="bottom"/>
            <w:gridSpan w:val="3"/>
          </w:tcPr>
          <w:p>
            <w:pPr>
              <w:jc w:val="center"/>
              <w:ind w:right="560"/>
              <w:spacing w:after="0"/>
              <w:rPr>
                <w:sz w:val="20"/>
                <w:szCs w:val="20"/>
                <w:color w:val="auto"/>
              </w:rPr>
            </w:pPr>
            <w:r>
              <w:rPr>
                <w:rFonts w:ascii="Arial" w:cs="Arial" w:eastAsia="Arial" w:hAnsi="Arial"/>
                <w:sz w:val="18"/>
                <w:szCs w:val="18"/>
                <w:color w:val="auto"/>
                <w:w w:val="89"/>
              </w:rPr>
              <w:t>101.INS</w:t>
            </w:r>
          </w:p>
        </w:tc>
        <w:tc>
          <w:tcPr>
            <w:tcW w:w="858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40" w:type="dxa"/>
            <w:vAlign w:val="bottom"/>
            <w:gridSpan w:val="3"/>
          </w:tcPr>
          <w:p>
            <w:pPr>
              <w:jc w:val="center"/>
              <w:ind w:right="500"/>
              <w:spacing w:after="0"/>
              <w:rPr>
                <w:sz w:val="20"/>
                <w:szCs w:val="20"/>
                <w:color w:val="auto"/>
              </w:rPr>
            </w:pPr>
            <w:r>
              <w:rPr>
                <w:rFonts w:ascii="Arial" w:cs="Arial" w:eastAsia="Arial" w:hAnsi="Arial"/>
                <w:sz w:val="18"/>
                <w:szCs w:val="18"/>
                <w:color w:val="auto"/>
                <w:w w:val="87"/>
              </w:rPr>
              <w:t>101.SCH</w:t>
            </w:r>
          </w:p>
        </w:tc>
        <w:tc>
          <w:tcPr>
            <w:tcW w:w="85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40" w:type="dxa"/>
            <w:vAlign w:val="bottom"/>
            <w:gridSpan w:val="3"/>
          </w:tcPr>
          <w:p>
            <w:pPr>
              <w:jc w:val="center"/>
              <w:ind w:right="480"/>
              <w:spacing w:after="0"/>
              <w:rPr>
                <w:sz w:val="20"/>
                <w:szCs w:val="20"/>
                <w:color w:val="auto"/>
              </w:rPr>
            </w:pPr>
            <w:r>
              <w:rPr>
                <w:rFonts w:ascii="Arial" w:cs="Arial" w:eastAsia="Arial" w:hAnsi="Arial"/>
                <w:sz w:val="18"/>
                <w:szCs w:val="18"/>
                <w:color w:val="auto"/>
                <w:w w:val="94"/>
              </w:rPr>
              <w:t>101.CAL</w:t>
            </w:r>
          </w:p>
        </w:tc>
        <w:tc>
          <w:tcPr>
            <w:tcW w:w="8580" w:type="dxa"/>
            <w:vAlign w:val="bottom"/>
            <w:gridSpan w:val="6"/>
          </w:tcPr>
          <w:p>
            <w:pPr>
              <w:spacing w:after="0"/>
              <w:rPr>
                <w:sz w:val="20"/>
                <w:szCs w:val="20"/>
                <w:color w:val="auto"/>
              </w:rPr>
            </w:pPr>
            <w:r>
              <w:rPr>
                <w:rFonts w:ascii="Arial" w:cs="Arial" w:eastAsia="Arial" w:hAnsi="Arial"/>
                <w:sz w:val="18"/>
                <w:szCs w:val="18"/>
                <w:color w:val="auto"/>
              </w:rPr>
              <w:t>XBRL Taxonomy Calculation Linkbase Document*</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40" w:type="dxa"/>
            <w:vAlign w:val="bottom"/>
            <w:gridSpan w:val="3"/>
          </w:tcPr>
          <w:p>
            <w:pPr>
              <w:jc w:val="center"/>
              <w:ind w:right="500"/>
              <w:spacing w:after="0"/>
              <w:rPr>
                <w:sz w:val="20"/>
                <w:szCs w:val="20"/>
                <w:color w:val="auto"/>
              </w:rPr>
            </w:pPr>
            <w:r>
              <w:rPr>
                <w:rFonts w:ascii="Arial" w:cs="Arial" w:eastAsia="Arial" w:hAnsi="Arial"/>
                <w:sz w:val="18"/>
                <w:szCs w:val="18"/>
                <w:color w:val="auto"/>
                <w:w w:val="90"/>
              </w:rPr>
              <w:t>101.DEF</w:t>
            </w:r>
          </w:p>
        </w:tc>
        <w:tc>
          <w:tcPr>
            <w:tcW w:w="85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40" w:type="dxa"/>
            <w:vAlign w:val="bottom"/>
            <w:gridSpan w:val="3"/>
          </w:tcPr>
          <w:p>
            <w:pPr>
              <w:jc w:val="center"/>
              <w:ind w:right="480"/>
              <w:spacing w:after="0"/>
              <w:rPr>
                <w:sz w:val="20"/>
                <w:szCs w:val="20"/>
                <w:color w:val="auto"/>
              </w:rPr>
            </w:pPr>
            <w:r>
              <w:rPr>
                <w:rFonts w:ascii="Arial" w:cs="Arial" w:eastAsia="Arial" w:hAnsi="Arial"/>
                <w:sz w:val="18"/>
                <w:szCs w:val="18"/>
                <w:color w:val="auto"/>
                <w:w w:val="95"/>
              </w:rPr>
              <w:t>101.LAB</w:t>
            </w:r>
          </w:p>
        </w:tc>
        <w:tc>
          <w:tcPr>
            <w:tcW w:w="8580" w:type="dxa"/>
            <w:vAlign w:val="bottom"/>
            <w:gridSpan w:val="6"/>
          </w:tcPr>
          <w:p>
            <w:pPr>
              <w:spacing w:after="0"/>
              <w:rPr>
                <w:sz w:val="20"/>
                <w:szCs w:val="20"/>
                <w:color w:val="auto"/>
              </w:rPr>
            </w:pPr>
            <w:r>
              <w:rPr>
                <w:rFonts w:ascii="Arial" w:cs="Arial" w:eastAsia="Arial" w:hAnsi="Arial"/>
                <w:sz w:val="18"/>
                <w:szCs w:val="18"/>
                <w:color w:val="auto"/>
              </w:rPr>
              <w:t>XBRL Taxonomy Label Linkbase Document*</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40" w:type="dxa"/>
            <w:vAlign w:val="bottom"/>
            <w:gridSpan w:val="3"/>
          </w:tcPr>
          <w:p>
            <w:pPr>
              <w:jc w:val="center"/>
              <w:ind w:right="520"/>
              <w:spacing w:after="0"/>
              <w:rPr>
                <w:sz w:val="20"/>
                <w:szCs w:val="20"/>
                <w:color w:val="auto"/>
              </w:rPr>
            </w:pPr>
            <w:r>
              <w:rPr>
                <w:rFonts w:ascii="Arial" w:cs="Arial" w:eastAsia="Arial" w:hAnsi="Arial"/>
                <w:sz w:val="18"/>
                <w:szCs w:val="18"/>
                <w:color w:val="auto"/>
                <w:w w:val="85"/>
              </w:rPr>
              <w:t>101.PRE</w:t>
            </w:r>
          </w:p>
        </w:tc>
        <w:tc>
          <w:tcPr>
            <w:tcW w:w="8580" w:type="dxa"/>
            <w:vAlign w:val="bottom"/>
            <w:gridSpan w:val="6"/>
          </w:tcPr>
          <w:p>
            <w:pPr>
              <w:spacing w:after="0"/>
              <w:rPr>
                <w:sz w:val="20"/>
                <w:szCs w:val="20"/>
                <w:color w:val="auto"/>
              </w:rPr>
            </w:pPr>
            <w:r>
              <w:rPr>
                <w:rFonts w:ascii="Arial" w:cs="Arial" w:eastAsia="Arial" w:hAnsi="Arial"/>
                <w:sz w:val="18"/>
                <w:szCs w:val="18"/>
                <w:color w:val="auto"/>
              </w:rPr>
              <w:t>XBRL Taxonomy Presentation Linkbase Document*</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6807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720" cy="8255"/>
                    </a:xfrm>
                    <a:prstGeom prst="rect">
                      <a:avLst/>
                    </a:prstGeom>
                    <a:noFill/>
                  </pic:spPr>
                </pic:pic>
              </a:graphicData>
            </a:graphic>
          </wp:anchor>
        </w:drawing>
      </w:r>
    </w:p>
    <w:p>
      <w:pPr>
        <w:spacing w:after="0" w:line="154" w:lineRule="exact"/>
        <w:rPr>
          <w:sz w:val="20"/>
          <w:szCs w:val="20"/>
          <w:color w:val="auto"/>
        </w:rPr>
      </w:pPr>
    </w:p>
    <w:p>
      <w:pPr>
        <w:ind w:left="423" w:hanging="423"/>
        <w:spacing w:after="0"/>
        <w:tabs>
          <w:tab w:leader="none" w:pos="423"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6" w:lineRule="exact"/>
        <w:rPr>
          <w:sz w:val="20"/>
          <w:szCs w:val="20"/>
          <w:color w:val="auto"/>
        </w:rPr>
      </w:pPr>
    </w:p>
    <w:p>
      <w:pPr>
        <w:ind w:left="5303" w:right="2200" w:hanging="5303"/>
        <w:spacing w:after="0" w:line="419" w:lineRule="auto"/>
        <w:tabs>
          <w:tab w:leader="none" w:pos="417"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 24</w:t>
      </w:r>
    </w:p>
    <w:p>
      <w:pPr>
        <w:sectPr>
          <w:pgSz w:w="11900" w:h="16838" w:orient="portrait"/>
          <w:cols w:equalWidth="0" w:num="1">
            <w:col w:w="10763"/>
          </w:cols>
          <w:pgMar w:left="557" w:top="267" w:right="57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70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705" cy="38100"/>
                    </a:xfrm>
                    <a:prstGeom prst="rect">
                      <a:avLst/>
                    </a:prstGeom>
                    <a:noFill/>
                  </pic:spPr>
                </pic:pic>
              </a:graphicData>
            </a:graphic>
          </wp:anchor>
        </w:drawing>
        <w:t>SIGNATURES</w:t>
      </w:r>
    </w:p>
    <w:p>
      <w:pPr>
        <w:spacing w:after="0" w:line="222" w:lineRule="exact"/>
        <w:rPr>
          <w:sz w:val="20"/>
          <w:szCs w:val="20"/>
          <w:color w:val="auto"/>
        </w:rPr>
      </w:pPr>
    </w:p>
    <w:p>
      <w:pPr>
        <w:ind w:right="300" w:firstLine="431"/>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10, 2019.</w:t>
      </w:r>
    </w:p>
    <w:p>
      <w:pPr>
        <w:spacing w:after="0" w:line="20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GALECTIN THERAPEUTICS INC.</w:t>
      </w:r>
    </w:p>
    <w:p>
      <w:pPr>
        <w:spacing w:after="0" w:line="216" w:lineRule="exact"/>
        <w:rPr>
          <w:sz w:val="20"/>
          <w:szCs w:val="20"/>
          <w:color w:val="auto"/>
        </w:rPr>
      </w:pPr>
    </w:p>
    <w:tbl>
      <w:tblPr>
        <w:tblLayout w:type="fixed"/>
        <w:tblInd w:w="6480" w:type="dxa"/>
        <w:tblCellMar>
          <w:top w:w="0" w:type="dxa"/>
          <w:left w:w="0" w:type="dxa"/>
          <w:bottom w:w="0" w:type="dxa"/>
          <w:right w:w="0" w:type="dxa"/>
        </w:tblCellMar>
      </w:tblP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Harold H. Shlevin</w:t>
            </w:r>
          </w:p>
        </w:tc>
      </w:tr>
      <w:tr>
        <w:trPr>
          <w:trHeight w:val="193"/>
        </w:trPr>
        <w:tc>
          <w:tcPr>
            <w:tcW w:w="520" w:type="dxa"/>
            <w:vAlign w:val="bottom"/>
          </w:tcPr>
          <w:p>
            <w:pPr>
              <w:spacing w:after="0" w:line="194" w:lineRule="exact"/>
              <w:rPr>
                <w:sz w:val="20"/>
                <w:szCs w:val="20"/>
                <w:color w:val="auto"/>
              </w:rPr>
            </w:pPr>
            <w:r>
              <w:rPr>
                <w:rFonts w:ascii="Arial" w:cs="Arial" w:eastAsia="Arial" w:hAnsi="Arial"/>
                <w:sz w:val="18"/>
                <w:szCs w:val="18"/>
                <w:color w:val="auto"/>
                <w:w w:val="94"/>
              </w:rPr>
              <w:t>Name:</w:t>
            </w:r>
          </w:p>
        </w:tc>
        <w:tc>
          <w:tcPr>
            <w:tcW w:w="3800" w:type="dxa"/>
            <w:vAlign w:val="bottom"/>
          </w:tcPr>
          <w:p>
            <w:pPr>
              <w:ind w:left="40"/>
              <w:spacing w:after="0" w:line="194" w:lineRule="exact"/>
              <w:rPr>
                <w:sz w:val="20"/>
                <w:szCs w:val="20"/>
                <w:color w:val="auto"/>
              </w:rPr>
            </w:pPr>
            <w:r>
              <w:rPr>
                <w:rFonts w:ascii="Arial" w:cs="Arial" w:eastAsia="Arial" w:hAnsi="Arial"/>
                <w:sz w:val="18"/>
                <w:szCs w:val="18"/>
                <w:color w:val="auto"/>
              </w:rPr>
              <w:t>Harold H. Shlevin, Ph.D.</w:t>
            </w:r>
          </w:p>
        </w:tc>
      </w:tr>
      <w:tr>
        <w:trPr>
          <w:trHeight w:val="212"/>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40"/>
              <w:spacing w:after="0"/>
              <w:rPr>
                <w:sz w:val="20"/>
                <w:szCs w:val="20"/>
                <w:color w:val="auto"/>
              </w:rPr>
            </w:pPr>
            <w:r>
              <w:rPr>
                <w:rFonts w:ascii="Arial" w:cs="Arial" w:eastAsia="Arial" w:hAnsi="Arial"/>
                <w:sz w:val="18"/>
                <w:szCs w:val="18"/>
                <w:color w:val="auto"/>
                <w:w w:val="99"/>
              </w:rPr>
              <w:t>Chief Executive Officer and President (principal</w:t>
            </w:r>
          </w:p>
        </w:tc>
      </w:tr>
      <w:tr>
        <w:trPr>
          <w:trHeight w:val="223"/>
        </w:trPr>
        <w:tc>
          <w:tcPr>
            <w:tcW w:w="520" w:type="dxa"/>
            <w:vAlign w:val="bottom"/>
          </w:tcPr>
          <w:p>
            <w:pPr>
              <w:spacing w:after="0"/>
              <w:rPr>
                <w:sz w:val="19"/>
                <w:szCs w:val="19"/>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rPr>
              <w:t>executive officer)</w:t>
            </w:r>
          </w:p>
        </w:tc>
      </w:tr>
      <w:tr>
        <w:trPr>
          <w:trHeight w:val="423"/>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Jack W. Callicutt</w:t>
            </w:r>
          </w:p>
        </w:tc>
      </w:tr>
      <w:tr>
        <w:trPr>
          <w:trHeight w:val="193"/>
        </w:trPr>
        <w:tc>
          <w:tcPr>
            <w:tcW w:w="520" w:type="dxa"/>
            <w:vAlign w:val="bottom"/>
          </w:tcPr>
          <w:p>
            <w:pPr>
              <w:spacing w:after="0" w:line="194" w:lineRule="exact"/>
              <w:rPr>
                <w:sz w:val="20"/>
                <w:szCs w:val="20"/>
                <w:color w:val="auto"/>
              </w:rPr>
            </w:pPr>
            <w:r>
              <w:rPr>
                <w:rFonts w:ascii="Arial" w:cs="Arial" w:eastAsia="Arial" w:hAnsi="Arial"/>
                <w:sz w:val="18"/>
                <w:szCs w:val="18"/>
                <w:color w:val="auto"/>
                <w:w w:val="94"/>
              </w:rPr>
              <w:t>Name:</w:t>
            </w:r>
          </w:p>
        </w:tc>
        <w:tc>
          <w:tcPr>
            <w:tcW w:w="3800" w:type="dxa"/>
            <w:vAlign w:val="bottom"/>
          </w:tcPr>
          <w:p>
            <w:pPr>
              <w:ind w:left="40"/>
              <w:spacing w:after="0" w:line="194" w:lineRule="exact"/>
              <w:rPr>
                <w:sz w:val="20"/>
                <w:szCs w:val="20"/>
                <w:color w:val="auto"/>
              </w:rPr>
            </w:pPr>
            <w:r>
              <w:rPr>
                <w:rFonts w:ascii="Arial" w:cs="Arial" w:eastAsia="Arial" w:hAnsi="Arial"/>
                <w:sz w:val="18"/>
                <w:szCs w:val="18"/>
                <w:color w:val="auto"/>
              </w:rPr>
              <w:t>Jack W. Callicutt</w:t>
            </w:r>
          </w:p>
        </w:tc>
      </w:tr>
      <w:tr>
        <w:trPr>
          <w:trHeight w:val="212"/>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23"/>
        </w:trPr>
        <w:tc>
          <w:tcPr>
            <w:tcW w:w="520" w:type="dxa"/>
            <w:vAlign w:val="bottom"/>
          </w:tcPr>
          <w:p>
            <w:pPr>
              <w:spacing w:after="0"/>
              <w:rPr>
                <w:sz w:val="19"/>
                <w:szCs w:val="19"/>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00"/>
          </w:cols>
          <w:pgMar w:left="560" w:top="267" w:right="5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16"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2" w:lineRule="exact"/>
        <w:rPr>
          <w:sz w:val="20"/>
          <w:szCs w:val="20"/>
          <w:color w:val="auto"/>
        </w:rPr>
      </w:pPr>
    </w:p>
    <w:p>
      <w:pPr>
        <w:ind w:left="3"/>
        <w:spacing w:after="0"/>
        <w:rPr>
          <w:sz w:val="20"/>
          <w:szCs w:val="20"/>
          <w:color w:val="auto"/>
        </w:rPr>
      </w:pPr>
      <w:r>
        <w:rPr>
          <w:rFonts w:ascii="Arial" w:cs="Arial" w:eastAsia="Arial" w:hAnsi="Arial"/>
          <w:sz w:val="18"/>
          <w:szCs w:val="18"/>
          <w:color w:val="auto"/>
        </w:rPr>
        <w:t>I, Harold H. Shlevin, certify that:</w:t>
      </w:r>
    </w:p>
    <w:p>
      <w:pPr>
        <w:spacing w:after="0" w:line="124" w:lineRule="exact"/>
        <w:rPr>
          <w:sz w:val="20"/>
          <w:szCs w:val="20"/>
          <w:color w:val="auto"/>
        </w:rPr>
      </w:pPr>
    </w:p>
    <w:p>
      <w:pPr>
        <w:ind w:left="423" w:hanging="423"/>
        <w:spacing w:after="0"/>
        <w:tabs>
          <w:tab w:leader="none" w:pos="423"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23" w:lineRule="exact"/>
        <w:rPr>
          <w:rFonts w:ascii="Arial" w:cs="Arial" w:eastAsia="Arial" w:hAnsi="Arial"/>
          <w:sz w:val="18"/>
          <w:szCs w:val="18"/>
          <w:color w:val="auto"/>
        </w:rPr>
      </w:pPr>
    </w:p>
    <w:p>
      <w:pPr>
        <w:jc w:val="both"/>
        <w:ind w:left="423" w:right="120" w:hanging="423"/>
        <w:spacing w:after="0" w:line="254" w:lineRule="auto"/>
        <w:tabs>
          <w:tab w:leader="none" w:pos="423"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8"/>
          <w:szCs w:val="18"/>
          <w:color w:val="auto"/>
        </w:rPr>
      </w:pPr>
    </w:p>
    <w:p>
      <w:pPr>
        <w:ind w:left="423" w:right="80" w:hanging="423"/>
        <w:spacing w:after="0" w:line="293" w:lineRule="auto"/>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423" w:right="320" w:hanging="423"/>
        <w:spacing w:after="0" w:line="302" w:lineRule="auto"/>
        <w:tabs>
          <w:tab w:leader="none" w:pos="423"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3"/>
        <w:spacing w:after="0"/>
        <w:rPr>
          <w:rFonts w:ascii="Arial" w:cs="Arial" w:eastAsia="Arial" w:hAnsi="Arial"/>
          <w:sz w:val="15"/>
          <w:szCs w:val="15"/>
          <w:color w:val="auto"/>
        </w:rPr>
      </w:pPr>
      <w:r>
        <w:rPr>
          <w:rFonts w:ascii="Arial" w:cs="Arial" w:eastAsia="Arial" w:hAnsi="Arial"/>
          <w:sz w:val="18"/>
          <w:szCs w:val="18"/>
          <w:color w:val="auto"/>
        </w:rPr>
        <w:t>15d-15(f)) for the registrant and we have:</w:t>
      </w:r>
    </w:p>
    <w:p>
      <w:pPr>
        <w:spacing w:after="0" w:line="112" w:lineRule="exact"/>
        <w:rPr>
          <w:rFonts w:ascii="Arial" w:cs="Arial" w:eastAsia="Arial" w:hAnsi="Arial"/>
          <w:sz w:val="15"/>
          <w:szCs w:val="15"/>
          <w:color w:val="auto"/>
        </w:rPr>
      </w:pPr>
    </w:p>
    <w:p>
      <w:pPr>
        <w:ind w:left="843" w:right="140" w:hanging="420"/>
        <w:spacing w:after="0" w:line="254" w:lineRule="auto"/>
        <w:tabs>
          <w:tab w:leader="none" w:pos="84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8"/>
          <w:szCs w:val="18"/>
          <w:color w:val="auto"/>
        </w:rPr>
      </w:pPr>
    </w:p>
    <w:p>
      <w:pPr>
        <w:ind w:left="843" w:right="260" w:hanging="420"/>
        <w:spacing w:after="0" w:line="254" w:lineRule="auto"/>
        <w:tabs>
          <w:tab w:leader="none" w:pos="84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Arial" w:cs="Arial" w:eastAsia="Arial" w:hAnsi="Arial"/>
          <w:sz w:val="18"/>
          <w:szCs w:val="18"/>
          <w:color w:val="auto"/>
        </w:rPr>
      </w:pPr>
    </w:p>
    <w:p>
      <w:pPr>
        <w:jc w:val="both"/>
        <w:ind w:left="843" w:right="420" w:hanging="420"/>
        <w:spacing w:after="0" w:line="364" w:lineRule="auto"/>
        <w:tabs>
          <w:tab w:leader="none" w:pos="843" w:val="left"/>
        </w:tabs>
        <w:numPr>
          <w:ilvl w:val="1"/>
          <w:numId w:val="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5"/>
          <w:szCs w:val="15"/>
          <w:color w:val="auto"/>
        </w:rPr>
      </w:pPr>
    </w:p>
    <w:p>
      <w:pPr>
        <w:ind w:left="843" w:right="140" w:hanging="420"/>
        <w:spacing w:after="0" w:line="254" w:lineRule="auto"/>
        <w:tabs>
          <w:tab w:leader="none" w:pos="843"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8"/>
          <w:szCs w:val="18"/>
          <w:color w:val="auto"/>
        </w:rPr>
      </w:pPr>
    </w:p>
    <w:p>
      <w:pPr>
        <w:ind w:left="423" w:right="20" w:hanging="423"/>
        <w:spacing w:after="0" w:line="364" w:lineRule="auto"/>
        <w:tabs>
          <w:tab w:leader="none" w:pos="423"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 w:lineRule="exact"/>
        <w:rPr>
          <w:rFonts w:ascii="Arial" w:cs="Arial" w:eastAsia="Arial" w:hAnsi="Arial"/>
          <w:sz w:val="15"/>
          <w:szCs w:val="15"/>
          <w:color w:val="auto"/>
        </w:rPr>
      </w:pPr>
    </w:p>
    <w:p>
      <w:pPr>
        <w:ind w:left="843" w:right="660" w:hanging="420"/>
        <w:spacing w:after="0" w:line="364" w:lineRule="auto"/>
        <w:tabs>
          <w:tab w:leader="none" w:pos="843" w:val="left"/>
        </w:tabs>
        <w:numPr>
          <w:ilvl w:val="1"/>
          <w:numId w:val="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Arial" w:cs="Arial" w:eastAsia="Arial" w:hAnsi="Arial"/>
          <w:sz w:val="15"/>
          <w:szCs w:val="15"/>
          <w:color w:val="auto"/>
        </w:rPr>
      </w:pPr>
    </w:p>
    <w:p>
      <w:pPr>
        <w:ind w:left="843" w:right="360" w:hanging="420"/>
        <w:spacing w:after="0" w:line="264" w:lineRule="auto"/>
        <w:tabs>
          <w:tab w:leader="none" w:pos="843"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tbl>
      <w:tblPr>
        <w:tblLayout w:type="fixed"/>
        <w:tblInd w:w="3" w:type="dxa"/>
        <w:tblCellMar>
          <w:top w:w="0" w:type="dxa"/>
          <w:left w:w="0" w:type="dxa"/>
          <w:bottom w:w="0" w:type="dxa"/>
          <w:right w:w="0" w:type="dxa"/>
        </w:tblCellMar>
      </w:tblP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Date: May 10, 2019</w:t>
            </w:r>
          </w:p>
        </w:tc>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Harold H. Shlevin</w:t>
            </w:r>
          </w:p>
        </w:tc>
      </w:tr>
      <w:tr>
        <w:trPr>
          <w:trHeight w:val="193"/>
        </w:trPr>
        <w:tc>
          <w:tcPr>
            <w:tcW w:w="5940" w:type="dxa"/>
            <w:vAlign w:val="bottom"/>
          </w:tcPr>
          <w:p>
            <w:pPr>
              <w:ind w:left="5460"/>
              <w:spacing w:after="0" w:line="194" w:lineRule="exact"/>
              <w:rPr>
                <w:sz w:val="20"/>
                <w:szCs w:val="20"/>
                <w:color w:val="auto"/>
              </w:rPr>
            </w:pPr>
            <w:r>
              <w:rPr>
                <w:rFonts w:ascii="Arial" w:cs="Arial" w:eastAsia="Arial" w:hAnsi="Arial"/>
                <w:sz w:val="18"/>
                <w:szCs w:val="18"/>
                <w:color w:val="auto"/>
                <w:w w:val="86"/>
              </w:rPr>
              <w:t>Name:</w:t>
            </w:r>
          </w:p>
        </w:tc>
        <w:tc>
          <w:tcPr>
            <w:tcW w:w="4860" w:type="dxa"/>
            <w:vAlign w:val="bottom"/>
          </w:tcPr>
          <w:p>
            <w:pPr>
              <w:ind w:left="100"/>
              <w:spacing w:after="0" w:line="194" w:lineRule="exact"/>
              <w:rPr>
                <w:sz w:val="20"/>
                <w:szCs w:val="20"/>
                <w:color w:val="auto"/>
              </w:rPr>
            </w:pPr>
            <w:r>
              <w:rPr>
                <w:rFonts w:ascii="Arial" w:cs="Arial" w:eastAsia="Arial" w:hAnsi="Arial"/>
                <w:sz w:val="18"/>
                <w:szCs w:val="18"/>
                <w:color w:val="auto"/>
              </w:rPr>
              <w:t>Harold H. Shlevin, Ph.D.</w:t>
            </w:r>
          </w:p>
        </w:tc>
      </w:tr>
      <w:tr>
        <w:trPr>
          <w:trHeight w:val="212"/>
        </w:trPr>
        <w:tc>
          <w:tcPr>
            <w:tcW w:w="5940" w:type="dxa"/>
            <w:vAlign w:val="bottom"/>
          </w:tcPr>
          <w:p>
            <w:pPr>
              <w:ind w:left="5460"/>
              <w:spacing w:after="0"/>
              <w:rPr>
                <w:sz w:val="20"/>
                <w:szCs w:val="20"/>
                <w:color w:val="auto"/>
              </w:rPr>
            </w:pPr>
            <w:r>
              <w:rPr>
                <w:rFonts w:ascii="Arial" w:cs="Arial" w:eastAsia="Arial" w:hAnsi="Arial"/>
                <w:sz w:val="18"/>
                <w:szCs w:val="18"/>
                <w:color w:val="auto"/>
              </w:rPr>
              <w:t>Title:</w:t>
            </w:r>
          </w:p>
        </w:tc>
        <w:tc>
          <w:tcPr>
            <w:tcW w:w="486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23"/>
        </w:trPr>
        <w:tc>
          <w:tcPr>
            <w:tcW w:w="5940" w:type="dxa"/>
            <w:vAlign w:val="bottom"/>
          </w:tcPr>
          <w:p>
            <w:pPr>
              <w:spacing w:after="0"/>
              <w:rPr>
                <w:sz w:val="19"/>
                <w:szCs w:val="19"/>
                <w:color w:val="auto"/>
              </w:rPr>
            </w:pPr>
          </w:p>
        </w:tc>
        <w:tc>
          <w:tcPr>
            <w:tcW w:w="48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0803"/>
          </w:cols>
          <w:pgMar w:left="557" w:top="121" w:right="5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16"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2" w:lineRule="exact"/>
        <w:rPr>
          <w:sz w:val="20"/>
          <w:szCs w:val="20"/>
          <w:color w:val="auto"/>
        </w:rPr>
      </w:pPr>
    </w:p>
    <w:p>
      <w:pPr>
        <w:ind w:left="3"/>
        <w:spacing w:after="0"/>
        <w:rPr>
          <w:sz w:val="20"/>
          <w:szCs w:val="20"/>
          <w:color w:val="auto"/>
        </w:rPr>
      </w:pPr>
      <w:r>
        <w:rPr>
          <w:rFonts w:ascii="Arial" w:cs="Arial" w:eastAsia="Arial" w:hAnsi="Arial"/>
          <w:sz w:val="18"/>
          <w:szCs w:val="18"/>
          <w:color w:val="auto"/>
        </w:rPr>
        <w:t>I, Jack W. Callicutt, certify that:</w:t>
      </w:r>
    </w:p>
    <w:p>
      <w:pPr>
        <w:spacing w:after="0" w:line="124" w:lineRule="exact"/>
        <w:rPr>
          <w:sz w:val="20"/>
          <w:szCs w:val="20"/>
          <w:color w:val="auto"/>
        </w:rPr>
      </w:pPr>
    </w:p>
    <w:p>
      <w:pPr>
        <w:ind w:left="423" w:hanging="423"/>
        <w:spacing w:after="0"/>
        <w:tabs>
          <w:tab w:leader="none" w:pos="423"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23" w:lineRule="exact"/>
        <w:rPr>
          <w:rFonts w:ascii="Arial" w:cs="Arial" w:eastAsia="Arial" w:hAnsi="Arial"/>
          <w:sz w:val="18"/>
          <w:szCs w:val="18"/>
          <w:color w:val="auto"/>
        </w:rPr>
      </w:pPr>
    </w:p>
    <w:p>
      <w:pPr>
        <w:jc w:val="both"/>
        <w:ind w:left="423" w:right="120" w:hanging="423"/>
        <w:spacing w:after="0" w:line="254" w:lineRule="auto"/>
        <w:tabs>
          <w:tab w:leader="none" w:pos="423"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8"/>
          <w:szCs w:val="18"/>
          <w:color w:val="auto"/>
        </w:rPr>
      </w:pPr>
    </w:p>
    <w:p>
      <w:pPr>
        <w:ind w:left="423" w:right="80" w:hanging="423"/>
        <w:spacing w:after="0" w:line="293" w:lineRule="auto"/>
        <w:tabs>
          <w:tab w:leader="none" w:pos="423"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423" w:right="320" w:hanging="423"/>
        <w:spacing w:after="0" w:line="302" w:lineRule="auto"/>
        <w:tabs>
          <w:tab w:leader="none" w:pos="423"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3"/>
        <w:spacing w:after="0"/>
        <w:rPr>
          <w:rFonts w:ascii="Arial" w:cs="Arial" w:eastAsia="Arial" w:hAnsi="Arial"/>
          <w:sz w:val="15"/>
          <w:szCs w:val="15"/>
          <w:color w:val="auto"/>
        </w:rPr>
      </w:pPr>
      <w:r>
        <w:rPr>
          <w:rFonts w:ascii="Arial" w:cs="Arial" w:eastAsia="Arial" w:hAnsi="Arial"/>
          <w:sz w:val="18"/>
          <w:szCs w:val="18"/>
          <w:color w:val="auto"/>
        </w:rPr>
        <w:t>15d-15(f)) for the registrant and we have:</w:t>
      </w:r>
    </w:p>
    <w:p>
      <w:pPr>
        <w:spacing w:after="0" w:line="112" w:lineRule="exact"/>
        <w:rPr>
          <w:rFonts w:ascii="Arial" w:cs="Arial" w:eastAsia="Arial" w:hAnsi="Arial"/>
          <w:sz w:val="15"/>
          <w:szCs w:val="15"/>
          <w:color w:val="auto"/>
        </w:rPr>
      </w:pPr>
    </w:p>
    <w:p>
      <w:pPr>
        <w:ind w:left="843" w:right="140" w:hanging="420"/>
        <w:spacing w:after="0" w:line="254" w:lineRule="auto"/>
        <w:tabs>
          <w:tab w:leader="none" w:pos="84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8"/>
          <w:szCs w:val="18"/>
          <w:color w:val="auto"/>
        </w:rPr>
      </w:pPr>
    </w:p>
    <w:p>
      <w:pPr>
        <w:ind w:left="843" w:right="260" w:hanging="420"/>
        <w:spacing w:after="0" w:line="254" w:lineRule="auto"/>
        <w:tabs>
          <w:tab w:leader="none" w:pos="84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Arial" w:cs="Arial" w:eastAsia="Arial" w:hAnsi="Arial"/>
          <w:sz w:val="18"/>
          <w:szCs w:val="18"/>
          <w:color w:val="auto"/>
        </w:rPr>
      </w:pPr>
    </w:p>
    <w:p>
      <w:pPr>
        <w:jc w:val="both"/>
        <w:ind w:left="843" w:right="420" w:hanging="420"/>
        <w:spacing w:after="0" w:line="364" w:lineRule="auto"/>
        <w:tabs>
          <w:tab w:leader="none" w:pos="843" w:val="left"/>
        </w:tabs>
        <w:numPr>
          <w:ilvl w:val="1"/>
          <w:numId w:val="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5"/>
          <w:szCs w:val="15"/>
          <w:color w:val="auto"/>
        </w:rPr>
      </w:pPr>
    </w:p>
    <w:p>
      <w:pPr>
        <w:ind w:left="843" w:right="140" w:hanging="420"/>
        <w:spacing w:after="0" w:line="254" w:lineRule="auto"/>
        <w:tabs>
          <w:tab w:leader="none" w:pos="843"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8"/>
          <w:szCs w:val="18"/>
          <w:color w:val="auto"/>
        </w:rPr>
      </w:pPr>
    </w:p>
    <w:p>
      <w:pPr>
        <w:ind w:left="423" w:right="20" w:hanging="423"/>
        <w:spacing w:after="0" w:line="364" w:lineRule="auto"/>
        <w:tabs>
          <w:tab w:leader="none" w:pos="423"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 w:lineRule="exact"/>
        <w:rPr>
          <w:rFonts w:ascii="Arial" w:cs="Arial" w:eastAsia="Arial" w:hAnsi="Arial"/>
          <w:sz w:val="15"/>
          <w:szCs w:val="15"/>
          <w:color w:val="auto"/>
        </w:rPr>
      </w:pPr>
    </w:p>
    <w:p>
      <w:pPr>
        <w:ind w:left="843" w:right="660" w:hanging="420"/>
        <w:spacing w:after="0" w:line="364" w:lineRule="auto"/>
        <w:tabs>
          <w:tab w:leader="none" w:pos="843" w:val="left"/>
        </w:tabs>
        <w:numPr>
          <w:ilvl w:val="1"/>
          <w:numId w:val="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Arial" w:cs="Arial" w:eastAsia="Arial" w:hAnsi="Arial"/>
          <w:sz w:val="15"/>
          <w:szCs w:val="15"/>
          <w:color w:val="auto"/>
        </w:rPr>
      </w:pPr>
    </w:p>
    <w:p>
      <w:pPr>
        <w:ind w:left="843" w:right="360" w:hanging="420"/>
        <w:spacing w:after="0" w:line="264" w:lineRule="auto"/>
        <w:tabs>
          <w:tab w:leader="none" w:pos="843"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tbl>
      <w:tblPr>
        <w:tblLayout w:type="fixed"/>
        <w:tblInd w:w="3" w:type="dxa"/>
        <w:tblCellMar>
          <w:top w:w="0" w:type="dxa"/>
          <w:left w:w="0" w:type="dxa"/>
          <w:bottom w:w="0" w:type="dxa"/>
          <w:right w:w="0" w:type="dxa"/>
        </w:tblCellMar>
      </w:tblP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Date: May 10, 2019</w:t>
            </w:r>
          </w:p>
        </w:tc>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W. Callicutt</w:t>
            </w:r>
          </w:p>
        </w:tc>
      </w:tr>
      <w:tr>
        <w:trPr>
          <w:trHeight w:val="193"/>
        </w:trPr>
        <w:tc>
          <w:tcPr>
            <w:tcW w:w="5940" w:type="dxa"/>
            <w:vAlign w:val="bottom"/>
          </w:tcPr>
          <w:p>
            <w:pPr>
              <w:ind w:left="5460"/>
              <w:spacing w:after="0" w:line="194" w:lineRule="exact"/>
              <w:rPr>
                <w:sz w:val="20"/>
                <w:szCs w:val="20"/>
                <w:color w:val="auto"/>
              </w:rPr>
            </w:pPr>
            <w:r>
              <w:rPr>
                <w:rFonts w:ascii="Arial" w:cs="Arial" w:eastAsia="Arial" w:hAnsi="Arial"/>
                <w:sz w:val="18"/>
                <w:szCs w:val="18"/>
                <w:color w:val="auto"/>
                <w:w w:val="86"/>
              </w:rPr>
              <w:t>Name:</w:t>
            </w:r>
          </w:p>
        </w:tc>
        <w:tc>
          <w:tcPr>
            <w:tcW w:w="4860" w:type="dxa"/>
            <w:vAlign w:val="bottom"/>
          </w:tcPr>
          <w:p>
            <w:pPr>
              <w:ind w:left="100"/>
              <w:spacing w:after="0" w:line="194" w:lineRule="exact"/>
              <w:rPr>
                <w:sz w:val="20"/>
                <w:szCs w:val="20"/>
                <w:color w:val="auto"/>
              </w:rPr>
            </w:pPr>
            <w:r>
              <w:rPr>
                <w:rFonts w:ascii="Arial" w:cs="Arial" w:eastAsia="Arial" w:hAnsi="Arial"/>
                <w:sz w:val="18"/>
                <w:szCs w:val="18"/>
                <w:color w:val="auto"/>
              </w:rPr>
              <w:t>Jack W. Callicutt</w:t>
            </w:r>
          </w:p>
        </w:tc>
      </w:tr>
      <w:tr>
        <w:trPr>
          <w:trHeight w:val="212"/>
        </w:trPr>
        <w:tc>
          <w:tcPr>
            <w:tcW w:w="5940" w:type="dxa"/>
            <w:vAlign w:val="bottom"/>
          </w:tcPr>
          <w:p>
            <w:pPr>
              <w:ind w:left="5460"/>
              <w:spacing w:after="0"/>
              <w:rPr>
                <w:sz w:val="20"/>
                <w:szCs w:val="20"/>
                <w:color w:val="auto"/>
              </w:rPr>
            </w:pPr>
            <w:r>
              <w:rPr>
                <w:rFonts w:ascii="Arial" w:cs="Arial" w:eastAsia="Arial" w:hAnsi="Arial"/>
                <w:sz w:val="18"/>
                <w:szCs w:val="18"/>
                <w:color w:val="auto"/>
              </w:rPr>
              <w:t>Title:</w:t>
            </w:r>
          </w:p>
        </w:tc>
        <w:tc>
          <w:tcPr>
            <w:tcW w:w="48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3"/>
        </w:trPr>
        <w:tc>
          <w:tcPr>
            <w:tcW w:w="5940" w:type="dxa"/>
            <w:vAlign w:val="bottom"/>
          </w:tcPr>
          <w:p>
            <w:pPr>
              <w:spacing w:after="0"/>
              <w:rPr>
                <w:sz w:val="19"/>
                <w:szCs w:val="19"/>
                <w:color w:val="auto"/>
              </w:rPr>
            </w:pPr>
          </w:p>
        </w:tc>
        <w:tc>
          <w:tcPr>
            <w:tcW w:w="48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0803"/>
          </w:cols>
          <w:pgMar w:left="557" w:top="121" w:right="5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16"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2"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5" w:lineRule="exact"/>
        <w:rPr>
          <w:sz w:val="20"/>
          <w:szCs w:val="20"/>
          <w:color w:val="auto"/>
        </w:rPr>
      </w:pPr>
    </w:p>
    <w:p>
      <w:pPr>
        <w:jc w:val="both"/>
        <w:ind w:right="260" w:firstLine="431"/>
        <w:spacing w:after="0" w:line="329" w:lineRule="auto"/>
        <w:rPr>
          <w:sz w:val="20"/>
          <w:szCs w:val="20"/>
          <w:color w:val="auto"/>
        </w:rPr>
      </w:pPr>
      <w:r>
        <w:rPr>
          <w:rFonts w:ascii="Arial" w:cs="Arial" w:eastAsia="Arial" w:hAnsi="Arial"/>
          <w:sz w:val="15"/>
          <w:szCs w:val="15"/>
          <w:color w:val="auto"/>
        </w:rPr>
        <w:t>In connection with the Quarterly Report of Galectin Therapeutics Inc. (the “Company”) on Form 10-Q for the period ended March 31, 2019 as filed with the Securities and Exchange Commission on the date hereof (the “Report”), I, Harold H. Shlevin, Chief Executive Officer of the Company, certify, pursuant to 18 U.S.C. § 1350, as adopted pursuant to § 906 of the Sarbanes-Oxley Act of 2002, that, to my knowledge:</w:t>
      </w:r>
    </w:p>
    <w:p>
      <w:pPr>
        <w:spacing w:after="0" w:line="45" w:lineRule="exact"/>
        <w:rPr>
          <w:sz w:val="20"/>
          <w:szCs w:val="20"/>
          <w:color w:val="auto"/>
        </w:rPr>
      </w:pPr>
    </w:p>
    <w:p>
      <w:pPr>
        <w:ind w:left="840" w:hanging="420"/>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3" w:lineRule="exact"/>
        <w:rPr>
          <w:rFonts w:ascii="Arial" w:cs="Arial" w:eastAsia="Arial" w:hAnsi="Arial"/>
          <w:sz w:val="18"/>
          <w:szCs w:val="18"/>
          <w:color w:val="auto"/>
        </w:rPr>
      </w:pPr>
    </w:p>
    <w:p>
      <w:pPr>
        <w:ind w:left="840" w:right="480" w:hanging="420"/>
        <w:spacing w:after="0" w:line="264"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Date: May 10, 2019</w:t>
            </w:r>
          </w:p>
        </w:tc>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Harold H. Shlevin</w:t>
            </w:r>
          </w:p>
        </w:tc>
      </w:tr>
      <w:tr>
        <w:trPr>
          <w:trHeight w:val="193"/>
        </w:trPr>
        <w:tc>
          <w:tcPr>
            <w:tcW w:w="5940" w:type="dxa"/>
            <w:vAlign w:val="bottom"/>
          </w:tcPr>
          <w:p>
            <w:pPr>
              <w:ind w:left="5460"/>
              <w:spacing w:after="0" w:line="194" w:lineRule="exact"/>
              <w:rPr>
                <w:sz w:val="20"/>
                <w:szCs w:val="20"/>
                <w:color w:val="auto"/>
              </w:rPr>
            </w:pPr>
            <w:r>
              <w:rPr>
                <w:rFonts w:ascii="Arial" w:cs="Arial" w:eastAsia="Arial" w:hAnsi="Arial"/>
                <w:sz w:val="18"/>
                <w:szCs w:val="18"/>
                <w:color w:val="auto"/>
                <w:w w:val="86"/>
              </w:rPr>
              <w:t>Name:</w:t>
            </w:r>
          </w:p>
        </w:tc>
        <w:tc>
          <w:tcPr>
            <w:tcW w:w="4860" w:type="dxa"/>
            <w:vAlign w:val="bottom"/>
          </w:tcPr>
          <w:p>
            <w:pPr>
              <w:ind w:left="100"/>
              <w:spacing w:after="0" w:line="194" w:lineRule="exact"/>
              <w:rPr>
                <w:sz w:val="20"/>
                <w:szCs w:val="20"/>
                <w:color w:val="auto"/>
              </w:rPr>
            </w:pPr>
            <w:r>
              <w:rPr>
                <w:rFonts w:ascii="Arial" w:cs="Arial" w:eastAsia="Arial" w:hAnsi="Arial"/>
                <w:sz w:val="18"/>
                <w:szCs w:val="18"/>
                <w:color w:val="auto"/>
              </w:rPr>
              <w:t>Harold H. Shlevin, Ph.D.</w:t>
            </w:r>
          </w:p>
        </w:tc>
      </w:tr>
      <w:tr>
        <w:trPr>
          <w:trHeight w:val="212"/>
        </w:trPr>
        <w:tc>
          <w:tcPr>
            <w:tcW w:w="5940" w:type="dxa"/>
            <w:vAlign w:val="bottom"/>
          </w:tcPr>
          <w:p>
            <w:pPr>
              <w:ind w:left="5460"/>
              <w:spacing w:after="0"/>
              <w:rPr>
                <w:sz w:val="20"/>
                <w:szCs w:val="20"/>
                <w:color w:val="auto"/>
              </w:rPr>
            </w:pPr>
            <w:r>
              <w:rPr>
                <w:rFonts w:ascii="Arial" w:cs="Arial" w:eastAsia="Arial" w:hAnsi="Arial"/>
                <w:sz w:val="18"/>
                <w:szCs w:val="18"/>
                <w:color w:val="auto"/>
              </w:rPr>
              <w:t>Title:</w:t>
            </w:r>
          </w:p>
        </w:tc>
        <w:tc>
          <w:tcPr>
            <w:tcW w:w="486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23"/>
        </w:trPr>
        <w:tc>
          <w:tcPr>
            <w:tcW w:w="5940" w:type="dxa"/>
            <w:vAlign w:val="bottom"/>
          </w:tcPr>
          <w:p>
            <w:pPr>
              <w:spacing w:after="0"/>
              <w:rPr>
                <w:sz w:val="19"/>
                <w:szCs w:val="19"/>
                <w:color w:val="auto"/>
              </w:rPr>
            </w:pPr>
          </w:p>
        </w:tc>
        <w:tc>
          <w:tcPr>
            <w:tcW w:w="48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pacing w:after="0" w:line="213" w:lineRule="exact"/>
        <w:rPr>
          <w:sz w:val="20"/>
          <w:szCs w:val="20"/>
          <w:color w:val="auto"/>
        </w:rPr>
      </w:pPr>
    </w:p>
    <w:p>
      <w:pPr>
        <w:ind w:right="100" w:firstLine="431"/>
        <w:spacing w:after="0" w:line="329"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0800"/>
          </w:cols>
          <w:pgMar w:left="560" w:top="121" w:right="5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28"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2"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9" w:lineRule="exact"/>
        <w:rPr>
          <w:sz w:val="20"/>
          <w:szCs w:val="20"/>
          <w:color w:val="auto"/>
        </w:rPr>
      </w:pPr>
    </w:p>
    <w:p>
      <w:pPr>
        <w:ind w:right="300" w:firstLine="431"/>
        <w:spacing w:after="0" w:line="329" w:lineRule="auto"/>
        <w:rPr>
          <w:sz w:val="20"/>
          <w:szCs w:val="20"/>
          <w:color w:val="auto"/>
        </w:rPr>
      </w:pPr>
      <w:r>
        <w:rPr>
          <w:rFonts w:ascii="Arial" w:cs="Arial" w:eastAsia="Arial" w:hAnsi="Arial"/>
          <w:sz w:val="15"/>
          <w:szCs w:val="15"/>
          <w:color w:val="auto"/>
        </w:rPr>
        <w:t>In connection with the Quarterly Report of Galectin Therapeutics Inc. (the “Company”) on Form 10-Q for the period ended March 31, 2019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45" w:lineRule="exact"/>
        <w:rPr>
          <w:sz w:val="20"/>
          <w:szCs w:val="20"/>
          <w:color w:val="auto"/>
        </w:rPr>
      </w:pPr>
    </w:p>
    <w:p>
      <w:pPr>
        <w:ind w:left="1380" w:hanging="523"/>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3" w:lineRule="exact"/>
        <w:rPr>
          <w:rFonts w:ascii="Arial" w:cs="Arial" w:eastAsia="Arial" w:hAnsi="Arial"/>
          <w:sz w:val="18"/>
          <w:szCs w:val="18"/>
          <w:color w:val="auto"/>
        </w:rPr>
      </w:pPr>
    </w:p>
    <w:p>
      <w:pPr>
        <w:ind w:left="1380" w:right="200" w:hanging="523"/>
        <w:spacing w:after="0" w:line="264"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Date: May 10, 2019</w:t>
            </w:r>
          </w:p>
        </w:tc>
        <w:tc>
          <w:tcPr>
            <w:tcW w:w="48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W. Callicutt</w:t>
            </w:r>
          </w:p>
        </w:tc>
      </w:tr>
      <w:tr>
        <w:trPr>
          <w:trHeight w:val="193"/>
        </w:trPr>
        <w:tc>
          <w:tcPr>
            <w:tcW w:w="5940" w:type="dxa"/>
            <w:vAlign w:val="bottom"/>
          </w:tcPr>
          <w:p>
            <w:pPr>
              <w:ind w:left="5460"/>
              <w:spacing w:after="0" w:line="194" w:lineRule="exact"/>
              <w:rPr>
                <w:sz w:val="20"/>
                <w:szCs w:val="20"/>
                <w:color w:val="auto"/>
              </w:rPr>
            </w:pPr>
            <w:r>
              <w:rPr>
                <w:rFonts w:ascii="Arial" w:cs="Arial" w:eastAsia="Arial" w:hAnsi="Arial"/>
                <w:sz w:val="18"/>
                <w:szCs w:val="18"/>
                <w:color w:val="auto"/>
                <w:w w:val="86"/>
              </w:rPr>
              <w:t>Name:</w:t>
            </w:r>
          </w:p>
        </w:tc>
        <w:tc>
          <w:tcPr>
            <w:tcW w:w="4860" w:type="dxa"/>
            <w:vAlign w:val="bottom"/>
          </w:tcPr>
          <w:p>
            <w:pPr>
              <w:ind w:left="100"/>
              <w:spacing w:after="0" w:line="194" w:lineRule="exact"/>
              <w:rPr>
                <w:sz w:val="20"/>
                <w:szCs w:val="20"/>
                <w:color w:val="auto"/>
              </w:rPr>
            </w:pPr>
            <w:r>
              <w:rPr>
                <w:rFonts w:ascii="Arial" w:cs="Arial" w:eastAsia="Arial" w:hAnsi="Arial"/>
                <w:sz w:val="18"/>
                <w:szCs w:val="18"/>
                <w:color w:val="auto"/>
              </w:rPr>
              <w:t>Jack W. Callicutt</w:t>
            </w:r>
          </w:p>
        </w:tc>
      </w:tr>
      <w:tr>
        <w:trPr>
          <w:trHeight w:val="212"/>
        </w:trPr>
        <w:tc>
          <w:tcPr>
            <w:tcW w:w="5940" w:type="dxa"/>
            <w:vAlign w:val="bottom"/>
          </w:tcPr>
          <w:p>
            <w:pPr>
              <w:ind w:left="5460"/>
              <w:spacing w:after="0"/>
              <w:rPr>
                <w:sz w:val="20"/>
                <w:szCs w:val="20"/>
                <w:color w:val="auto"/>
              </w:rPr>
            </w:pPr>
            <w:r>
              <w:rPr>
                <w:rFonts w:ascii="Arial" w:cs="Arial" w:eastAsia="Arial" w:hAnsi="Arial"/>
                <w:sz w:val="18"/>
                <w:szCs w:val="18"/>
                <w:color w:val="auto"/>
              </w:rPr>
              <w:t>Title:</w:t>
            </w:r>
          </w:p>
        </w:tc>
        <w:tc>
          <w:tcPr>
            <w:tcW w:w="48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3"/>
        </w:trPr>
        <w:tc>
          <w:tcPr>
            <w:tcW w:w="5940" w:type="dxa"/>
            <w:vAlign w:val="bottom"/>
          </w:tcPr>
          <w:p>
            <w:pPr>
              <w:spacing w:after="0"/>
              <w:rPr>
                <w:sz w:val="19"/>
                <w:szCs w:val="19"/>
                <w:color w:val="auto"/>
              </w:rPr>
            </w:pPr>
          </w:p>
        </w:tc>
        <w:tc>
          <w:tcPr>
            <w:tcW w:w="48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13" w:lineRule="exact"/>
        <w:rPr>
          <w:sz w:val="20"/>
          <w:szCs w:val="20"/>
          <w:color w:val="auto"/>
        </w:rPr>
      </w:pPr>
    </w:p>
    <w:p>
      <w:pPr>
        <w:ind w:right="100" w:firstLine="431"/>
        <w:spacing w:after="0" w:line="329"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0800"/>
      </w:cols>
      <w:pgMar w:left="560" w:top="12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2019-12-28T12:04:03Z</dcterms:created>
  <dcterms:modified xsi:type="dcterms:W3CDTF">2019-12-28T12:04:03Z</dcterms:modified>
</cp:coreProperties>
</file>