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2013</w:t>
      </w:r>
    </w:p>
    <w:p>
      <w:pPr>
        <w:spacing w:after="0" w:line="199"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9" w:lineRule="exact"/>
        <w:rPr>
          <w:sz w:val="24"/>
          <w:szCs w:val="24"/>
          <w:color w:val="auto"/>
        </w:rPr>
      </w:pPr>
    </w:p>
    <w:p>
      <w:pPr>
        <w:ind w:left="35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3731260</wp:posOffset>
            </wp:positionH>
            <wp:positionV relativeFrom="paragraph">
              <wp:posOffset>-10160</wp:posOffset>
            </wp:positionV>
            <wp:extent cx="1263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001-31791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GALECTIN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219710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tbl>
      <w:tblPr>
        <w:tblLayout w:type="fixed"/>
        <w:tblInd w:w="760" w:type="dxa"/>
        <w:tblCellMar>
          <w:top w:w="0" w:type="dxa"/>
          <w:left w:w="0" w:type="dxa"/>
          <w:bottom w:w="0" w:type="dxa"/>
          <w:right w:w="0" w:type="dxa"/>
        </w:tblCellMar>
      </w:tblPr>
      <w:tr>
        <w:trPr>
          <w:trHeight w:val="218"/>
        </w:trPr>
        <w:tc>
          <w:tcPr>
            <w:tcW w:w="6960" w:type="dxa"/>
            <w:vAlign w:val="bottom"/>
          </w:tcPr>
          <w:p>
            <w:pPr>
              <w:jc w:val="center"/>
              <w:ind w:right="2624"/>
              <w:spacing w:after="0"/>
              <w:rPr>
                <w:sz w:val="20"/>
                <w:szCs w:val="20"/>
                <w:color w:val="auto"/>
              </w:rPr>
            </w:pPr>
            <w:r>
              <w:rPr>
                <w:rFonts w:ascii="Arial" w:cs="Arial" w:eastAsia="Arial" w:hAnsi="Arial"/>
                <w:sz w:val="18"/>
                <w:szCs w:val="18"/>
                <w:b w:val="1"/>
                <w:bCs w:val="1"/>
                <w:color w:val="auto"/>
                <w:w w:val="90"/>
              </w:rPr>
              <w:t>Nevada</w:t>
            </w:r>
          </w:p>
        </w:tc>
        <w:tc>
          <w:tcPr>
            <w:tcW w:w="1460" w:type="dxa"/>
            <w:vAlign w:val="bottom"/>
          </w:tcPr>
          <w:p>
            <w:pPr>
              <w:jc w:val="right"/>
              <w:ind w:right="24"/>
              <w:spacing w:after="0"/>
              <w:rPr>
                <w:sz w:val="20"/>
                <w:szCs w:val="20"/>
                <w:color w:val="auto"/>
              </w:rPr>
            </w:pPr>
            <w:r>
              <w:rPr>
                <w:rFonts w:ascii="Arial" w:cs="Arial" w:eastAsia="Arial" w:hAnsi="Arial"/>
                <w:sz w:val="18"/>
                <w:szCs w:val="18"/>
                <w:b w:val="1"/>
                <w:bCs w:val="1"/>
                <w:color w:val="auto"/>
              </w:rPr>
              <w:t>04-3562325</w:t>
            </w:r>
          </w:p>
        </w:tc>
      </w:tr>
      <w:tr>
        <w:trPr>
          <w:trHeight w:val="149"/>
        </w:trPr>
        <w:tc>
          <w:tcPr>
            <w:tcW w:w="6960" w:type="dxa"/>
            <w:vAlign w:val="bottom"/>
          </w:tcPr>
          <w:p>
            <w:pPr>
              <w:jc w:val="center"/>
              <w:ind w:right="2624"/>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1460" w:type="dxa"/>
            <w:vAlign w:val="bottom"/>
          </w:tcPr>
          <w:p>
            <w:pPr>
              <w:jc w:val="center"/>
              <w:ind w:left="32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960" w:type="dxa"/>
            <w:vAlign w:val="bottom"/>
          </w:tcPr>
          <w:p>
            <w:pPr>
              <w:jc w:val="center"/>
              <w:ind w:right="2624"/>
              <w:spacing w:after="0"/>
              <w:rPr>
                <w:sz w:val="20"/>
                <w:szCs w:val="20"/>
                <w:color w:val="auto"/>
              </w:rPr>
            </w:pPr>
            <w:r>
              <w:rPr>
                <w:rFonts w:ascii="Arial" w:cs="Arial" w:eastAsia="Arial" w:hAnsi="Arial"/>
                <w:sz w:val="14"/>
                <w:szCs w:val="14"/>
                <w:b w:val="1"/>
                <w:bCs w:val="1"/>
                <w:color w:val="auto"/>
                <w:w w:val="87"/>
              </w:rPr>
              <w:t>of incorporation)</w:t>
            </w:r>
          </w:p>
        </w:tc>
        <w:tc>
          <w:tcPr>
            <w:tcW w:w="1460" w:type="dxa"/>
            <w:vAlign w:val="bottom"/>
          </w:tcPr>
          <w:p>
            <w:pPr>
              <w:jc w:val="center"/>
              <w:ind w:left="32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6960" w:type="dxa"/>
            <w:vAlign w:val="bottom"/>
          </w:tcPr>
          <w:p>
            <w:pPr>
              <w:jc w:val="center"/>
              <w:ind w:right="2624"/>
              <w:spacing w:after="0"/>
              <w:rPr>
                <w:sz w:val="20"/>
                <w:szCs w:val="20"/>
                <w:color w:val="auto"/>
              </w:rPr>
            </w:pPr>
            <w:r>
              <w:rPr>
                <w:rFonts w:ascii="Arial" w:cs="Arial" w:eastAsia="Arial" w:hAnsi="Arial"/>
                <w:sz w:val="18"/>
                <w:szCs w:val="18"/>
                <w:b w:val="1"/>
                <w:bCs w:val="1"/>
                <w:color w:val="auto"/>
                <w:w w:val="88"/>
              </w:rPr>
              <w:t>4960 Peachtree Industrial Blvd., Suite 240, Norcross, GA</w:t>
            </w:r>
          </w:p>
        </w:tc>
        <w:tc>
          <w:tcPr>
            <w:tcW w:w="1460" w:type="dxa"/>
            <w:vAlign w:val="bottom"/>
          </w:tcPr>
          <w:p>
            <w:pPr>
              <w:jc w:val="right"/>
              <w:ind w:right="224"/>
              <w:spacing w:after="0"/>
              <w:rPr>
                <w:sz w:val="20"/>
                <w:szCs w:val="20"/>
                <w:color w:val="auto"/>
              </w:rPr>
            </w:pPr>
            <w:r>
              <w:rPr>
                <w:rFonts w:ascii="Arial" w:cs="Arial" w:eastAsia="Arial" w:hAnsi="Arial"/>
                <w:sz w:val="18"/>
                <w:szCs w:val="18"/>
                <w:b w:val="1"/>
                <w:bCs w:val="1"/>
                <w:color w:val="auto"/>
              </w:rPr>
              <w:t>30071</w:t>
            </w:r>
          </w:p>
        </w:tc>
      </w:tr>
      <w:tr>
        <w:trPr>
          <w:trHeight w:val="174"/>
        </w:trPr>
        <w:tc>
          <w:tcPr>
            <w:tcW w:w="6960" w:type="dxa"/>
            <w:vAlign w:val="bottom"/>
          </w:tcPr>
          <w:p>
            <w:pPr>
              <w:jc w:val="center"/>
              <w:ind w:right="2624"/>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1460" w:type="dxa"/>
            <w:vAlign w:val="bottom"/>
          </w:tcPr>
          <w:p>
            <w:pPr>
              <w:jc w:val="center"/>
              <w:ind w:left="32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960" w:type="dxa"/>
            <w:vAlign w:val="bottom"/>
          </w:tcPr>
          <w:p>
            <w:pPr>
              <w:jc w:val="right"/>
              <w:ind w:right="1384"/>
              <w:spacing w:after="0"/>
              <w:rPr>
                <w:sz w:val="20"/>
                <w:szCs w:val="20"/>
                <w:color w:val="auto"/>
              </w:rPr>
            </w:pPr>
            <w:r>
              <w:rPr>
                <w:rFonts w:ascii="Arial" w:cs="Arial" w:eastAsia="Arial" w:hAnsi="Arial"/>
                <w:sz w:val="18"/>
                <w:szCs w:val="18"/>
                <w:b w:val="1"/>
                <w:bCs w:val="1"/>
                <w:color w:val="auto"/>
              </w:rPr>
              <w:t>(678) 620-3186</w:t>
            </w:r>
          </w:p>
        </w:tc>
        <w:tc>
          <w:tcPr>
            <w:tcW w:w="1460" w:type="dxa"/>
            <w:vAlign w:val="bottom"/>
          </w:tcPr>
          <w:p>
            <w:pPr>
              <w:spacing w:after="0"/>
              <w:rPr>
                <w:sz w:val="24"/>
                <w:szCs w:val="24"/>
                <w:color w:val="auto"/>
              </w:rPr>
            </w:pPr>
          </w:p>
        </w:tc>
      </w:tr>
      <w:tr>
        <w:trPr>
          <w:trHeight w:val="174"/>
        </w:trPr>
        <w:tc>
          <w:tcPr>
            <w:tcW w:w="6960" w:type="dxa"/>
            <w:vAlign w:val="bottom"/>
          </w:tcPr>
          <w:p>
            <w:pPr>
              <w:jc w:val="center"/>
              <w:ind w:left="2864"/>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146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right="44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84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2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2960" w:type="dxa"/>
            <w:vAlign w:val="bottom"/>
          </w:tcPr>
          <w:p>
            <w:pPr>
              <w:ind w:left="80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40" w:type="dxa"/>
            <w:vAlign w:val="bottom"/>
          </w:tcPr>
          <w:p>
            <w:pPr>
              <w:spacing w:after="0"/>
              <w:rPr>
                <w:sz w:val="20"/>
                <w:szCs w:val="20"/>
                <w:color w:val="auto"/>
              </w:rPr>
            </w:pPr>
            <w:r>
              <w:rPr>
                <w:rFonts w:ascii="Arial" w:cs="Arial" w:eastAsia="Arial" w:hAnsi="Arial"/>
                <w:sz w:val="18"/>
                <w:szCs w:val="18"/>
                <w:color w:val="auto"/>
              </w:rPr>
              <w:t>Non-Accelerated Filer</w:t>
            </w:r>
          </w:p>
        </w:tc>
        <w:tc>
          <w:tcPr>
            <w:tcW w:w="622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960" w:type="dxa"/>
            <w:vAlign w:val="bottom"/>
          </w:tcPr>
          <w:p>
            <w:pPr>
              <w:ind w:left="80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060" w:type="dxa"/>
            <w:vAlign w:val="bottom"/>
            <w:gridSpan w:val="2"/>
          </w:tcPr>
          <w:p>
            <w:pPr>
              <w:spacing w:after="0"/>
              <w:rPr>
                <w:sz w:val="20"/>
                <w:szCs w:val="20"/>
                <w:color w:val="auto"/>
              </w:rPr>
            </w:pPr>
            <w:r>
              <w:rPr>
                <w:rFonts w:ascii="Arial" w:cs="Arial" w:eastAsia="Arial" w:hAnsi="Arial"/>
                <w:sz w:val="18"/>
                <w:szCs w:val="18"/>
                <w:color w:val="auto"/>
                <w:w w:val="89"/>
              </w:rPr>
              <w:t>Indicate by check mark whether the registrant is a shell company (as defined in Rule 12b-2 of the Exchange Act).</w:t>
            </w:r>
          </w:p>
        </w:tc>
        <w:tc>
          <w:tcPr>
            <w:tcW w:w="2960" w:type="dxa"/>
            <w:vAlign w:val="bottom"/>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400" w:type="dxa"/>
            <w:vAlign w:val="bottom"/>
          </w:tcPr>
          <w:p>
            <w:pPr>
              <w:spacing w:after="0"/>
              <w:rPr>
                <w:sz w:val="24"/>
                <w:szCs w:val="24"/>
                <w:color w:val="auto"/>
              </w:rPr>
            </w:pPr>
          </w:p>
        </w:tc>
      </w:tr>
      <w:tr>
        <w:trPr>
          <w:trHeight w:val="358"/>
        </w:trPr>
        <w:tc>
          <w:tcPr>
            <w:tcW w:w="8060" w:type="dxa"/>
            <w:vAlign w:val="bottom"/>
            <w:gridSpan w:val="2"/>
          </w:tcPr>
          <w:p>
            <w:pPr>
              <w:spacing w:after="0"/>
              <w:rPr>
                <w:sz w:val="20"/>
                <w:szCs w:val="20"/>
                <w:color w:val="auto"/>
              </w:rPr>
            </w:pPr>
            <w:r>
              <w:rPr>
                <w:rFonts w:ascii="Arial" w:cs="Arial" w:eastAsia="Arial" w:hAnsi="Arial"/>
                <w:sz w:val="18"/>
                <w:szCs w:val="18"/>
                <w:color w:val="auto"/>
                <w:w w:val="93"/>
              </w:rPr>
              <w:t>The number of shares outstanding of the registrant’s common stock as of August 13, 2013 was 16,878,180.</w:t>
            </w:r>
          </w:p>
        </w:tc>
        <w:tc>
          <w:tcPr>
            <w:tcW w:w="29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51"/>
        </w:trPr>
        <w:tc>
          <w:tcPr>
            <w:tcW w:w="1840" w:type="dxa"/>
            <w:vAlign w:val="bottom"/>
            <w:tcBorders>
              <w:bottom w:val="single" w:sz="8" w:color="auto"/>
            </w:tcBorders>
          </w:tcPr>
          <w:p>
            <w:pPr>
              <w:spacing w:after="0"/>
              <w:rPr>
                <w:sz w:val="13"/>
                <w:szCs w:val="13"/>
                <w:color w:val="auto"/>
              </w:rPr>
            </w:pPr>
          </w:p>
        </w:tc>
        <w:tc>
          <w:tcPr>
            <w:tcW w:w="6220" w:type="dxa"/>
            <w:vAlign w:val="bottom"/>
            <w:tcBorders>
              <w:bottom w:val="single" w:sz="8" w:color="auto"/>
            </w:tcBorders>
          </w:tcPr>
          <w:p>
            <w:pPr>
              <w:spacing w:after="0"/>
              <w:rPr>
                <w:sz w:val="13"/>
                <w:szCs w:val="13"/>
                <w:color w:val="auto"/>
              </w:rPr>
            </w:pPr>
          </w:p>
        </w:tc>
        <w:tc>
          <w:tcPr>
            <w:tcW w:w="29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r>
      <w:tr>
        <w:trPr>
          <w:trHeight w:val="21"/>
        </w:trPr>
        <w:tc>
          <w:tcPr>
            <w:tcW w:w="1840" w:type="dxa"/>
            <w:vAlign w:val="bottom"/>
            <w:tcBorders>
              <w:bottom w:val="single" w:sz="8" w:color="auto"/>
            </w:tcBorders>
          </w:tcPr>
          <w:p>
            <w:pPr>
              <w:spacing w:after="0" w:line="20" w:lineRule="exact"/>
              <w:rPr>
                <w:sz w:val="1"/>
                <w:szCs w:val="1"/>
                <w:color w:val="auto"/>
              </w:rPr>
            </w:pPr>
          </w:p>
        </w:tc>
        <w:tc>
          <w:tcPr>
            <w:tcW w:w="622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GALECTIN THERAPEUTICS INC.</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FORM 10-Q</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 ENDED JUNE 30, 2013</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60" w:type="dxa"/>
            <w:vAlign w:val="bottom"/>
            <w:gridSpan w:val="14"/>
            <w:vMerge w:val="restart"/>
          </w:tcPr>
          <w:p>
            <w:pPr>
              <w:jc w:val="center"/>
              <w:ind w:right="2900"/>
              <w:spacing w:after="0"/>
              <w:rPr>
                <w:sz w:val="20"/>
                <w:szCs w:val="20"/>
                <w:color w:val="auto"/>
              </w:rPr>
            </w:pPr>
            <w:r>
              <w:rPr>
                <w:rFonts w:ascii="Arial" w:cs="Arial" w:eastAsia="Arial" w:hAnsi="Arial"/>
                <w:sz w:val="18"/>
                <w:szCs w:val="18"/>
                <w:b w:val="1"/>
                <w:bCs w:val="1"/>
                <w:color w:val="auto"/>
                <w:w w:val="99"/>
              </w:rPr>
              <w:t>PART I – FINANCIAL INFORMATION</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PAGE</w:t>
            </w:r>
          </w:p>
        </w:tc>
        <w:tc>
          <w:tcPr>
            <w:tcW w:w="0" w:type="dxa"/>
            <w:vAlign w:val="bottom"/>
          </w:tcPr>
          <w:p>
            <w:pPr>
              <w:spacing w:after="0"/>
              <w:rPr>
                <w:sz w:val="1"/>
                <w:szCs w:val="1"/>
                <w:color w:val="auto"/>
              </w:rPr>
            </w:pPr>
          </w:p>
        </w:tc>
      </w:tr>
      <w:tr>
        <w:trPr>
          <w:trHeight w:val="194"/>
        </w:trPr>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60" w:type="dxa"/>
            <w:vAlign w:val="bottom"/>
            <w:gridSpan w:val="14"/>
            <w:vMerge w:val="continue"/>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9940" w:type="dxa"/>
            <w:vAlign w:val="bottom"/>
            <w:gridSpan w:val="22"/>
          </w:tcPr>
          <w:p>
            <w:pPr>
              <w:spacing w:after="0"/>
              <w:rPr>
                <w:sz w:val="20"/>
                <w:szCs w:val="20"/>
                <w:color w:val="auto"/>
              </w:rPr>
            </w:pPr>
            <w:r>
              <w:rPr>
                <w:rFonts w:ascii="Arial" w:cs="Arial" w:eastAsia="Arial" w:hAnsi="Arial"/>
                <w:sz w:val="18"/>
                <w:szCs w:val="18"/>
                <w:color w:val="auto"/>
              </w:rPr>
              <w:t>Unaudited Condensed Consolidated Financial Statements</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000" w:type="dxa"/>
            <w:vAlign w:val="bottom"/>
          </w:tcPr>
          <w:p>
            <w:pPr>
              <w:spacing w:after="0"/>
              <w:rPr>
                <w:sz w:val="15"/>
                <w:szCs w:val="15"/>
                <w:color w:val="auto"/>
              </w:rPr>
            </w:pPr>
          </w:p>
        </w:tc>
        <w:tc>
          <w:tcPr>
            <w:tcW w:w="9940" w:type="dxa"/>
            <w:vAlign w:val="bottom"/>
            <w:gridSpan w:val="22"/>
          </w:tcPr>
          <w:p>
            <w:pPr>
              <w:spacing w:after="0" w:line="184"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June 30, 2013 and December 31, 2012 (unaudited)</w:t>
              </w:r>
            </w:hyperlink>
          </w:p>
        </w:tc>
        <w:tc>
          <w:tcPr>
            <w:tcW w:w="380" w:type="dxa"/>
            <w:vAlign w:val="bottom"/>
          </w:tcPr>
          <w:p>
            <w:pPr>
              <w:jc w:val="right"/>
              <w:spacing w:after="0" w:line="184"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9620" w:type="dxa"/>
            <w:vAlign w:val="bottom"/>
            <w:tcBorders>
              <w:bottom w:val="single" w:sz="8" w:color="0000EE"/>
            </w:tcBorders>
            <w:gridSpan w:val="20"/>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Statements of Operations for the Three and Six Months Ended June 30, 2013 and 2012, and for the Cumulative</w:t>
              </w:r>
            </w:hyperlink>
          </w:p>
        </w:tc>
        <w:tc>
          <w:tcPr>
            <w:tcW w:w="32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20" w:type="dxa"/>
            <w:vAlign w:val="bottom"/>
            <w:gridSpan w:val="2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Period From Inception (July 10, 2000) to June 30, 2013 (unaudited)</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970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 of Changes in Redeemable Convertible Preferred Stock and Stockholders’ Equity (Deficit) for the Six</w:t>
              </w:r>
            </w:hyperlink>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20" w:type="dxa"/>
            <w:vAlign w:val="bottom"/>
            <w:gridSpan w:val="20"/>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Months Ended June 30, 2013 (unaudited)</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9420" w:type="dxa"/>
            <w:vAlign w:val="bottom"/>
            <w:tcBorders>
              <w:bottom w:val="single" w:sz="8" w:color="0000EE"/>
            </w:tcBorders>
            <w:gridSpan w:val="19"/>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Consolidated Statements of Cash Flows for the Six Months Ended June 30, 2013 and 2012, and for the Cumulative Period</w:t>
              </w:r>
            </w:hyperlink>
          </w:p>
        </w:tc>
        <w:tc>
          <w:tcPr>
            <w:tcW w:w="520" w:type="dxa"/>
            <w:vAlign w:val="bottom"/>
            <w:gridSpan w:val="3"/>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20" w:type="dxa"/>
            <w:vAlign w:val="bottom"/>
            <w:gridSpan w:val="20"/>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From Inception (July 10, 2000) to June 30, 2013 (unaudited)</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4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68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Notes to Unaudited Condensed Consolidated Financial Statements</w:t>
              </w:r>
            </w:hyperlink>
          </w:p>
        </w:tc>
        <w:tc>
          <w:tcPr>
            <w:tcW w:w="5260" w:type="dxa"/>
            <w:vAlign w:val="bottom"/>
            <w:gridSpan w:val="8"/>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9940" w:type="dxa"/>
            <w:vAlign w:val="bottom"/>
            <w:gridSpan w:val="22"/>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Management’s Discussion and Analysis of Financial Condition and Results of Operations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42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Quantitative and Qualitative Disclosures about Market Risk</w:t>
              </w:r>
            </w:hyperlink>
          </w:p>
        </w:tc>
        <w:tc>
          <w:tcPr>
            <w:tcW w:w="2080" w:type="dxa"/>
            <w:vAlign w:val="bottom"/>
            <w:tcBorders>
              <w:top w:val="single" w:sz="8" w:color="0000EE"/>
            </w:tcBorders>
            <w:gridSpan w:val="6"/>
          </w:tcPr>
          <w:p>
            <w:pPr>
              <w:spacing w:after="0"/>
              <w:rPr>
                <w:sz w:val="24"/>
                <w:szCs w:val="24"/>
                <w:color w:val="auto"/>
              </w:rPr>
            </w:pPr>
          </w:p>
        </w:tc>
        <w:tc>
          <w:tcPr>
            <w:tcW w:w="3640" w:type="dxa"/>
            <w:vAlign w:val="bottom"/>
            <w:gridSpan w:val="5"/>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9940" w:type="dxa"/>
            <w:vAlign w:val="bottom"/>
            <w:gridSpan w:val="22"/>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Controls and Procedures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60" w:type="dxa"/>
            <w:vAlign w:val="bottom"/>
            <w:gridSpan w:val="12"/>
          </w:tcPr>
          <w:p>
            <w:pPr>
              <w:jc w:val="center"/>
              <w:ind w:right="3880"/>
              <w:spacing w:after="0"/>
              <w:rPr>
                <w:rFonts w:ascii="Arial" w:cs="Arial" w:eastAsia="Arial" w:hAnsi="Arial"/>
                <w:sz w:val="18"/>
                <w:szCs w:val="18"/>
                <w:b w:val="1"/>
                <w:bCs w:val="1"/>
                <w:color w:val="0000EE"/>
                <w:w w:val="99"/>
              </w:rPr>
            </w:pPr>
            <w:hyperlink w:anchor="page19">
              <w:r>
                <w:rPr>
                  <w:rFonts w:ascii="Arial" w:cs="Arial" w:eastAsia="Arial" w:hAnsi="Arial"/>
                  <w:sz w:val="18"/>
                  <w:szCs w:val="18"/>
                  <w:b w:val="1"/>
                  <w:bCs w:val="1"/>
                  <w:color w:val="0000EE"/>
                  <w:w w:val="99"/>
                </w:rPr>
                <w:t>PART II – OTHER INFORMATION</w:t>
              </w:r>
            </w:hyperlink>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3280" w:type="dxa"/>
            <w:vAlign w:val="bottom"/>
            <w:gridSpan w:val="10"/>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Legal Proceedings</w:t>
              </w:r>
            </w:hyperlink>
          </w:p>
        </w:tc>
        <w:tc>
          <w:tcPr>
            <w:tcW w:w="2780" w:type="dxa"/>
            <w:vAlign w:val="bottom"/>
            <w:tcBorders>
              <w:top w:val="single" w:sz="8" w:color="0000EE"/>
            </w:tcBorders>
            <w:gridSpan w:val="6"/>
          </w:tcPr>
          <w:p>
            <w:pPr>
              <w:spacing w:after="0"/>
              <w:rPr>
                <w:sz w:val="24"/>
                <w:szCs w:val="24"/>
                <w:color w:val="auto"/>
              </w:rPr>
            </w:pPr>
          </w:p>
        </w:tc>
        <w:tc>
          <w:tcPr>
            <w:tcW w:w="3880" w:type="dxa"/>
            <w:vAlign w:val="bottom"/>
            <w:gridSpan w:val="6"/>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7"/>
              </w:rPr>
            </w:pPr>
            <w:hyperlink w:anchor="page19">
              <w:r>
                <w:rPr>
                  <w:rFonts w:ascii="Arial" w:cs="Arial" w:eastAsia="Arial" w:hAnsi="Arial"/>
                  <w:sz w:val="18"/>
                  <w:szCs w:val="18"/>
                  <w:color w:val="0000EE"/>
                  <w:w w:val="87"/>
                </w:rPr>
                <w:t>Risk Factors</w:t>
              </w:r>
            </w:hyperlink>
          </w:p>
        </w:tc>
        <w:tc>
          <w:tcPr>
            <w:tcW w:w="400" w:type="dxa"/>
            <w:vAlign w:val="bottom"/>
            <w:tcBorders>
              <w:top w:val="single" w:sz="8" w:color="0000EE"/>
            </w:tcBorders>
            <w:gridSpan w:val="2"/>
          </w:tcPr>
          <w:p>
            <w:pPr>
              <w:spacing w:after="0"/>
              <w:rPr>
                <w:sz w:val="24"/>
                <w:szCs w:val="24"/>
                <w:color w:val="auto"/>
              </w:rPr>
            </w:pPr>
          </w:p>
        </w:tc>
        <w:tc>
          <w:tcPr>
            <w:tcW w:w="8640" w:type="dxa"/>
            <w:vAlign w:val="bottom"/>
            <w:gridSpan w:val="16"/>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9940" w:type="dxa"/>
            <w:vAlign w:val="bottom"/>
            <w:gridSpan w:val="22"/>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Unregistered Sales of Equity Securities and Use of Proceeds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22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20">
              <w:r>
                <w:rPr>
                  <w:rFonts w:ascii="Arial" w:cs="Arial" w:eastAsia="Arial" w:hAnsi="Arial"/>
                  <w:sz w:val="18"/>
                  <w:szCs w:val="18"/>
                  <w:color w:val="0000EE"/>
                  <w:w w:val="88"/>
                </w:rPr>
                <w:t>Defaults Upon Senior Securities</w:t>
              </w:r>
            </w:hyperlink>
          </w:p>
        </w:tc>
        <w:tc>
          <w:tcPr>
            <w:tcW w:w="1960" w:type="dxa"/>
            <w:vAlign w:val="bottom"/>
            <w:tcBorders>
              <w:top w:val="single" w:sz="8" w:color="0000EE"/>
            </w:tcBorders>
            <w:gridSpan w:val="4"/>
          </w:tcPr>
          <w:p>
            <w:pPr>
              <w:spacing w:after="0"/>
              <w:rPr>
                <w:sz w:val="24"/>
                <w:szCs w:val="24"/>
                <w:color w:val="auto"/>
              </w:rPr>
            </w:pPr>
          </w:p>
        </w:tc>
        <w:tc>
          <w:tcPr>
            <w:tcW w:w="5700" w:type="dxa"/>
            <w:vAlign w:val="bottom"/>
            <w:gridSpan w:val="10"/>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Mine Safety Disclosures</w:t>
              </w:r>
            </w:hyperlink>
          </w:p>
        </w:tc>
        <w:tc>
          <w:tcPr>
            <w:tcW w:w="8200" w:type="dxa"/>
            <w:vAlign w:val="bottom"/>
            <w:gridSpan w:val="15"/>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5.</w:t>
            </w:r>
          </w:p>
        </w:tc>
        <w:tc>
          <w:tcPr>
            <w:tcW w:w="9940" w:type="dxa"/>
            <w:vAlign w:val="bottom"/>
            <w:gridSpan w:val="22"/>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Other Information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1"/>
              </w:rPr>
            </w:pPr>
            <w:hyperlink w:anchor="page21">
              <w:r>
                <w:rPr>
                  <w:rFonts w:ascii="Arial" w:cs="Arial" w:eastAsia="Arial" w:hAnsi="Arial"/>
                  <w:sz w:val="18"/>
                  <w:szCs w:val="18"/>
                  <w:color w:val="0000EE"/>
                  <w:w w:val="91"/>
                </w:rPr>
                <w:t>Exhibits</w:t>
              </w:r>
            </w:hyperlink>
          </w:p>
        </w:tc>
        <w:tc>
          <w:tcPr>
            <w:tcW w:w="680" w:type="dxa"/>
            <w:vAlign w:val="bottom"/>
            <w:tcBorders>
              <w:top w:val="single" w:sz="8" w:color="0000EE"/>
            </w:tcBorders>
            <w:gridSpan w:val="2"/>
          </w:tcPr>
          <w:p>
            <w:pPr>
              <w:spacing w:after="0"/>
              <w:rPr>
                <w:sz w:val="24"/>
                <w:szCs w:val="24"/>
                <w:color w:val="auto"/>
              </w:rPr>
            </w:pPr>
          </w:p>
        </w:tc>
        <w:tc>
          <w:tcPr>
            <w:tcW w:w="8660" w:type="dxa"/>
            <w:vAlign w:val="bottom"/>
            <w:gridSpan w:val="17"/>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04"/>
        </w:trPr>
        <w:tc>
          <w:tcPr>
            <w:tcW w:w="10940" w:type="dxa"/>
            <w:vAlign w:val="bottom"/>
            <w:gridSpan w:val="2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SIGNATURES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83"/>
        </w:trPr>
        <w:tc>
          <w:tcPr>
            <w:tcW w:w="10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900" w:type="dxa"/>
            <w:vAlign w:val="bottom"/>
            <w:gridSpan w:val="14"/>
          </w:tcPr>
          <w:p>
            <w:pPr>
              <w:jc w:val="right"/>
              <w:ind w:right="220"/>
              <w:spacing w:after="0"/>
              <w:rPr>
                <w:sz w:val="20"/>
                <w:szCs w:val="20"/>
                <w:color w:val="auto"/>
              </w:rPr>
            </w:pPr>
            <w:r>
              <w:rPr>
                <w:rFonts w:ascii="Arial" w:cs="Arial" w:eastAsia="Arial" w:hAnsi="Arial"/>
                <w:sz w:val="18"/>
                <w:szCs w:val="18"/>
                <w:color w:val="auto"/>
              </w:rPr>
              <w:t>2</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Development-Stage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118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6"/>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94"/>
              <w:spacing w:after="0"/>
              <w:rPr>
                <w:sz w:val="20"/>
                <w:szCs w:val="20"/>
                <w:color w:val="auto"/>
              </w:rPr>
            </w:pPr>
            <w:r>
              <w:rPr>
                <w:rFonts w:ascii="Arial" w:cs="Arial" w:eastAsia="Arial" w:hAnsi="Arial"/>
                <w:sz w:val="14"/>
                <w:szCs w:val="14"/>
                <w:b w:val="1"/>
                <w:bCs w:val="1"/>
                <w:color w:val="auto"/>
              </w:rPr>
              <w:t>2013</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jc w:val="right"/>
              <w:ind w:right="193"/>
              <w:spacing w:after="0"/>
              <w:rPr>
                <w:sz w:val="20"/>
                <w:szCs w:val="20"/>
                <w:color w:val="auto"/>
              </w:rPr>
            </w:pPr>
            <w:r>
              <w:rPr>
                <w:rFonts w:ascii="Arial" w:cs="Arial" w:eastAsia="Arial" w:hAnsi="Arial"/>
                <w:sz w:val="14"/>
                <w:szCs w:val="14"/>
                <w:b w:val="1"/>
                <w:bCs w:val="1"/>
                <w:color w:val="auto"/>
                <w:w w:val="83"/>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3"/>
          </w:tcPr>
          <w:p>
            <w:pPr>
              <w:ind w:left="480"/>
              <w:spacing w:after="0"/>
              <w:rPr>
                <w:sz w:val="20"/>
                <w:szCs w:val="20"/>
                <w:color w:val="auto"/>
              </w:rPr>
            </w:pPr>
            <w:r>
              <w:rPr>
                <w:rFonts w:ascii="Arial" w:cs="Arial" w:eastAsia="Arial" w:hAnsi="Arial"/>
                <w:sz w:val="14"/>
                <w:szCs w:val="14"/>
                <w:b w:val="1"/>
                <w:bCs w:val="1"/>
                <w:color w:val="auto"/>
                <w:w w:val="84"/>
              </w:rPr>
              <w:t>(in thousands)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5,099</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5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5,187</w:t>
            </w:r>
          </w:p>
        </w:tc>
        <w:tc>
          <w:tcPr>
            <w:tcW w:w="5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34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Other long term assets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5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5,225</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9,561</w:t>
            </w:r>
          </w:p>
        </w:tc>
        <w:tc>
          <w:tcPr>
            <w:tcW w:w="0" w:type="dxa"/>
            <w:vAlign w:val="bottom"/>
          </w:tcPr>
          <w:p>
            <w:pPr>
              <w:spacing w:after="0"/>
              <w:rPr>
                <w:sz w:val="1"/>
                <w:szCs w:val="1"/>
                <w:color w:val="auto"/>
              </w:rPr>
            </w:pPr>
          </w:p>
        </w:tc>
      </w:tr>
      <w:tr>
        <w:trPr>
          <w:trHeight w:val="20"/>
        </w:trPr>
        <w:tc>
          <w:tcPr>
            <w:tcW w:w="9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3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320" w:type="dxa"/>
            <w:vAlign w:val="bottom"/>
          </w:tcPr>
          <w:p>
            <w:pPr>
              <w:ind w:left="200"/>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285</w:t>
            </w:r>
          </w:p>
        </w:tc>
        <w:tc>
          <w:tcPr>
            <w:tcW w:w="5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Accrued dividends payable</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5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5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34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1,644</w:t>
            </w:r>
          </w:p>
        </w:tc>
        <w:tc>
          <w:tcPr>
            <w:tcW w:w="0" w:type="dxa"/>
            <w:vAlign w:val="bottom"/>
          </w:tcPr>
          <w:p>
            <w:pPr>
              <w:spacing w:after="0"/>
              <w:rPr>
                <w:sz w:val="1"/>
                <w:szCs w:val="1"/>
                <w:color w:val="auto"/>
              </w:rPr>
            </w:pPr>
          </w:p>
        </w:tc>
      </w:tr>
      <w:tr>
        <w:trPr>
          <w:trHeight w:val="329"/>
        </w:trPr>
        <w:tc>
          <w:tcPr>
            <w:tcW w:w="9340" w:type="dxa"/>
            <w:vAlign w:val="bottom"/>
            <w:gridSpan w:val="2"/>
          </w:tcPr>
          <w:p>
            <w:pPr>
              <w:spacing w:after="0"/>
              <w:rPr>
                <w:sz w:val="20"/>
                <w:szCs w:val="20"/>
                <w:color w:val="auto"/>
              </w:rPr>
            </w:pPr>
            <w:r>
              <w:rPr>
                <w:rFonts w:ascii="Arial" w:cs="Arial" w:eastAsia="Arial" w:hAnsi="Arial"/>
                <w:sz w:val="18"/>
                <w:szCs w:val="18"/>
                <w:color w:val="auto"/>
              </w:rPr>
              <w:t>Commitments and contingencies (Note 8)</w:t>
            </w: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w w:val="93"/>
              </w:rPr>
              <w:t>Series B-1 12% redeemable convertible preferred stock; 900,000 shares authorized, issued and outstanding at June 30, 2013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December 31, 2012, redemption value: $1,800,000, liquidation value: $1,800,000 at June 30, 2013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w:t>
            </w: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w w:val="91"/>
              </w:rPr>
              <w:t>Series B-2 12% redeemable convertible preferred stock; 2,100,000 shares authorized, issued and outstanding at June 30, 2013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20" w:type="dxa"/>
            <w:vAlign w:val="bottom"/>
          </w:tcPr>
          <w:p>
            <w:pPr>
              <w:ind w:left="200"/>
              <w:spacing w:after="0"/>
              <w:rPr>
                <w:sz w:val="20"/>
                <w:szCs w:val="20"/>
                <w:color w:val="auto"/>
              </w:rPr>
            </w:pPr>
            <w:r>
              <w:rPr>
                <w:rFonts w:ascii="Arial" w:cs="Arial" w:eastAsia="Arial" w:hAnsi="Arial"/>
                <w:sz w:val="18"/>
                <w:szCs w:val="18"/>
                <w:color w:val="auto"/>
              </w:rPr>
              <w:t>and December 31, 2012, redemption value: $4,200,000, liquidation value: $4,200,000 at June 30, 2013</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3,005</w:t>
            </w: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2,900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w w:val="93"/>
              </w:rPr>
              <w:t>Series C super dividend convertible preferred stock; 1,000 shares authorized, 215 and 220 shares issued and outstanding at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June 30, 2013 and December 31, 2012, respectively, redemption value: $5,110,000, liquidation value: $2,182,000 at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June 30, 2013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2,154</w:t>
            </w:r>
          </w:p>
        </w:tc>
        <w:tc>
          <w:tcPr>
            <w:tcW w:w="0" w:type="dxa"/>
            <w:vAlign w:val="bottom"/>
          </w:tcPr>
          <w:p>
            <w:pPr>
              <w:spacing w:after="0"/>
              <w:rPr>
                <w:sz w:val="1"/>
                <w:szCs w:val="1"/>
                <w:color w:val="auto"/>
              </w:rPr>
            </w:pPr>
          </w:p>
        </w:tc>
      </w:tr>
      <w:tr>
        <w:trPr>
          <w:trHeight w:val="323"/>
        </w:trPr>
        <w:tc>
          <w:tcPr>
            <w:tcW w:w="9340" w:type="dxa"/>
            <w:vAlign w:val="bottom"/>
            <w:gridSpan w:val="2"/>
          </w:tcPr>
          <w:p>
            <w:pPr>
              <w:spacing w:after="0"/>
              <w:rPr>
                <w:sz w:val="20"/>
                <w:szCs w:val="20"/>
                <w:color w:val="auto"/>
              </w:rPr>
            </w:pPr>
            <w:r>
              <w:rPr>
                <w:rFonts w:ascii="Arial" w:cs="Arial" w:eastAsia="Arial" w:hAnsi="Arial"/>
                <w:sz w:val="18"/>
                <w:szCs w:val="18"/>
                <w:color w:val="auto"/>
              </w:rPr>
              <w:t>Stockholders’ equity (deficit):</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32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7"/>
              </w:rPr>
              <w:t>Undesignated stock, $0.01 par value; 20,000,000 shares authorized, 8,001,000 designated at June 30, 2013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and December 31, 2012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20" w:type="dxa"/>
            <w:vAlign w:val="bottom"/>
          </w:tcPr>
          <w:p>
            <w:pPr>
              <w:ind w:left="860"/>
              <w:spacing w:after="0"/>
              <w:rPr>
                <w:sz w:val="20"/>
                <w:szCs w:val="20"/>
                <w:color w:val="auto"/>
              </w:rPr>
            </w:pPr>
            <w:r>
              <w:rPr>
                <w:rFonts w:ascii="Arial" w:cs="Arial" w:eastAsia="Arial" w:hAnsi="Arial"/>
                <w:sz w:val="18"/>
                <w:szCs w:val="18"/>
                <w:color w:val="auto"/>
                <w:w w:val="97"/>
              </w:rPr>
              <w:t>Series A 12% convertible preferred stock; 5,000,000 shares authorized, 1,562,500 issued and outstanding at</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tcPr>
          <w:p>
            <w:pPr>
              <w:ind w:left="1060"/>
              <w:spacing w:after="0"/>
              <w:rPr>
                <w:sz w:val="20"/>
                <w:szCs w:val="20"/>
                <w:color w:val="auto"/>
              </w:rPr>
            </w:pPr>
            <w:r>
              <w:rPr>
                <w:rFonts w:ascii="Arial" w:cs="Arial" w:eastAsia="Arial" w:hAnsi="Arial"/>
                <w:sz w:val="18"/>
                <w:szCs w:val="18"/>
                <w:color w:val="auto"/>
              </w:rPr>
              <w:t>June 30, 2013 and December 31, 2012</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632</w:t>
            </w: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32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8"/>
              </w:rPr>
              <w:t>Common stock, $0.001 par value; 50,000,000 shares authorized at June 30, 2013 and December 31, 2012,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32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96"/>
              </w:rPr>
              <w:t>16,299,627 and 16,060,853 issued and outstanding at June 30, 2013 and December 31, 2012, respectively</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86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91,394</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80,535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Deficit accumulated during the development stage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(95,131)</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(80,018)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vMerge w:val="restart"/>
          </w:tcPr>
          <w:p>
            <w:pPr>
              <w:ind w:left="1280"/>
              <w:spacing w:after="0"/>
              <w:rPr>
                <w:sz w:val="20"/>
                <w:szCs w:val="20"/>
                <w:color w:val="auto"/>
              </w:rPr>
            </w:pPr>
            <w:r>
              <w:rPr>
                <w:rFonts w:ascii="Arial" w:cs="Arial" w:eastAsia="Arial" w:hAnsi="Arial"/>
                <w:sz w:val="18"/>
                <w:szCs w:val="18"/>
                <w:color w:val="auto"/>
              </w:rPr>
              <w:t>Total stockholders’ (deficit) equity</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3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(3,089)</w:t>
            </w:r>
          </w:p>
        </w:tc>
        <w:tc>
          <w:tcPr>
            <w:tcW w:w="24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redeemable convertible preferred stock and stockholders’ (deficit) equity</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5,225</w:t>
            </w:r>
          </w:p>
        </w:tc>
        <w:tc>
          <w:tcPr>
            <w:tcW w:w="54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Development-Stage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6"/>
          </w:tcPr>
          <w:p>
            <w:pPr>
              <w:jc w:val="right"/>
              <w:ind w:right="600"/>
              <w:spacing w:after="0" w:line="149" w:lineRule="exact"/>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2"/>
                <w:szCs w:val="12"/>
                <w:color w:val="auto"/>
              </w:rPr>
            </w:pPr>
          </w:p>
        </w:tc>
        <w:tc>
          <w:tcPr>
            <w:tcW w:w="1760" w:type="dxa"/>
            <w:vAlign w:val="bottom"/>
            <w:gridSpan w:val="6"/>
          </w:tcPr>
          <w:p>
            <w:pPr>
              <w:jc w:val="right"/>
              <w:ind w:right="500"/>
              <w:spacing w:after="0" w:line="149" w:lineRule="exact"/>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2"/>
                <w:szCs w:val="12"/>
                <w:color w:val="auto"/>
              </w:rPr>
            </w:pPr>
          </w:p>
        </w:tc>
        <w:tc>
          <w:tcPr>
            <w:tcW w:w="9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(July 10, 2000)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to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40" w:type="dxa"/>
            <w:vAlign w:val="bottom"/>
            <w:gridSpan w:val="9"/>
          </w:tcPr>
          <w:p>
            <w:pPr>
              <w:jc w:val="right"/>
              <w:ind w:right="240"/>
              <w:spacing w:after="0" w:line="142" w:lineRule="exact"/>
              <w:rPr>
                <w:sz w:val="20"/>
                <w:szCs w:val="20"/>
                <w:color w:val="auto"/>
              </w:rPr>
            </w:pPr>
            <w:r>
              <w:rPr>
                <w:rFonts w:ascii="Arial" w:cs="Arial" w:eastAsia="Arial" w:hAnsi="Arial"/>
                <w:sz w:val="14"/>
                <w:szCs w:val="14"/>
                <w:b w:val="1"/>
                <w:bCs w:val="1"/>
                <w:color w:val="auto"/>
                <w:w w:val="89"/>
              </w:rPr>
              <w:t>(in thousands, except per share amounts)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1,349</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1,215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3,101</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2,116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30,711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2,668</w:t>
            </w:r>
          </w:p>
        </w:tc>
        <w:tc>
          <w:tcPr>
            <w:tcW w:w="4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loss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1"/>
              </w:rPr>
              <w:t>(2,668)</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(5,755)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(4,621)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(80,401)</w:t>
            </w:r>
          </w:p>
        </w:tc>
        <w:tc>
          <w:tcPr>
            <w:tcW w:w="0" w:type="dxa"/>
            <w:vAlign w:val="bottom"/>
          </w:tcPr>
          <w:p>
            <w:pPr>
              <w:spacing w:after="0"/>
              <w:rPr>
                <w:sz w:val="1"/>
                <w:szCs w:val="1"/>
                <w:color w:val="auto"/>
              </w:rPr>
            </w:pPr>
          </w:p>
        </w:tc>
      </w:tr>
      <w:tr>
        <w:trPr>
          <w:trHeight w:val="222"/>
        </w:trPr>
        <w:tc>
          <w:tcPr>
            <w:tcW w:w="64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fair value of convertible debt instrument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Change in fair value of warrant liabilities</w:t>
            </w: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860"/>
              <w:spacing w:after="0"/>
              <w:rPr>
                <w:sz w:val="20"/>
                <w:szCs w:val="20"/>
                <w:color w:val="auto"/>
              </w:rPr>
            </w:pPr>
            <w:r>
              <w:rPr>
                <w:rFonts w:ascii="Arial" w:cs="Arial" w:eastAsia="Arial" w:hAnsi="Arial"/>
                <w:sz w:val="18"/>
                <w:szCs w:val="18"/>
                <w:color w:val="auto"/>
              </w:rPr>
              <w:t>Total other income (expense)</w:t>
            </w: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(2,544)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1"/>
              </w:rPr>
              <w:t>(2,660)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(5,747)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(4,610)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(77,739)</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8"/>
                <w:szCs w:val="18"/>
                <w:color w:val="auto"/>
              </w:rPr>
              <w:t>Preferred stock dividends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4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(277)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(267)</w:t>
            </w:r>
          </w:p>
        </w:tc>
        <w:tc>
          <w:tcPr>
            <w:tcW w:w="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(490)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(464)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(4,725)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accretion</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Modification of warrants</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(8,763)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(8,763)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(8,763)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(11,641)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1"/>
              </w:rPr>
              <w:t>(2,984)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(15,113)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(5,188)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(95,385)</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8"/>
                <w:szCs w:val="18"/>
                <w:color w:val="auto"/>
              </w:rPr>
              <w:t>Net loss per common share –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40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(0.72)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(0.19)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(0.94)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(0.36)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basic and diluted</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16,236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15,710</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16,158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14,360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Development-Stage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 OF CHANGES IN REDEEMABLE CONVERTIBLE PREFERRED STOCK AND STOCKHOLDERS’ (DEFICIT)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SIX MONTHS ENDED JUNE 30, 2013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data)</w:t>
      </w:r>
    </w:p>
    <w:p>
      <w:pPr>
        <w:sectPr>
          <w:pgSz w:w="11900" w:h="16838" w:orient="portrait"/>
          <w:cols w:equalWidth="0" w:num="1">
            <w:col w:w="11460"/>
          </w:cols>
          <w:pgMar w:left="240" w:top="459" w:right="199" w:bottom="221" w:gutter="0" w:footer="0" w:header="0"/>
        </w:sect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15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7"/>
              </w:rPr>
              <w:t>Series B-1 12%</w:t>
            </w:r>
          </w:p>
        </w:tc>
        <w:tc>
          <w:tcPr>
            <w:tcW w:w="15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7"/>
              </w:rPr>
              <w:t>Series B-2 12%</w:t>
            </w:r>
          </w:p>
        </w:tc>
        <w:tc>
          <w:tcPr>
            <w:tcW w:w="130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86"/>
              </w:rPr>
              <w:t>Series C Super</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56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Redeemable Convertible</w:t>
            </w:r>
          </w:p>
        </w:tc>
        <w:tc>
          <w:tcPr>
            <w:tcW w:w="156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Redeemable Convertible</w:t>
            </w:r>
          </w:p>
        </w:tc>
        <w:tc>
          <w:tcPr>
            <w:tcW w:w="130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Dividend Convertible</w:t>
            </w:r>
          </w:p>
        </w:tc>
        <w:tc>
          <w:tcPr>
            <w:tcW w:w="0" w:type="dxa"/>
            <w:vAlign w:val="bottom"/>
          </w:tcPr>
          <w:p>
            <w:pPr>
              <w:spacing w:after="0"/>
              <w:rPr>
                <w:sz w:val="1"/>
                <w:szCs w:val="1"/>
                <w:color w:val="auto"/>
              </w:rPr>
            </w:pPr>
          </w:p>
        </w:tc>
      </w:tr>
      <w:tr>
        <w:trPr>
          <w:trHeight w:val="188"/>
        </w:trPr>
        <w:tc>
          <w:tcPr>
            <w:tcW w:w="1300" w:type="dxa"/>
            <w:vAlign w:val="bottom"/>
          </w:tcPr>
          <w:p>
            <w:pPr>
              <w:spacing w:after="0"/>
              <w:rPr>
                <w:sz w:val="16"/>
                <w:szCs w:val="16"/>
                <w:color w:val="auto"/>
              </w:rPr>
            </w:pPr>
          </w:p>
        </w:tc>
        <w:tc>
          <w:tcPr>
            <w:tcW w:w="15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6"/>
              </w:rPr>
              <w:t>Preferred Stock</w:t>
            </w:r>
          </w:p>
        </w:tc>
        <w:tc>
          <w:tcPr>
            <w:tcW w:w="15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8"/>
              </w:rPr>
              <w:t>Preferred Stock</w:t>
            </w:r>
          </w:p>
        </w:tc>
        <w:tc>
          <w:tcPr>
            <w:tcW w:w="130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88"/>
              </w:rPr>
              <w:t>Preferred Stock</w:t>
            </w:r>
          </w:p>
        </w:tc>
        <w:tc>
          <w:tcPr>
            <w:tcW w:w="0" w:type="dxa"/>
            <w:vAlign w:val="bottom"/>
          </w:tcPr>
          <w:p>
            <w:pPr>
              <w:spacing w:after="0"/>
              <w:rPr>
                <w:sz w:val="1"/>
                <w:szCs w:val="1"/>
                <w:color w:val="auto"/>
              </w:rPr>
            </w:pPr>
          </w:p>
        </w:tc>
      </w:tr>
      <w:tr>
        <w:trPr>
          <w:trHeight w:val="406"/>
        </w:trPr>
        <w:tc>
          <w:tcPr>
            <w:tcW w:w="1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Number</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70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ind w:left="60"/>
              <w:spacing w:after="0" w:line="149" w:lineRule="exact"/>
              <w:rPr>
                <w:sz w:val="20"/>
                <w:szCs w:val="20"/>
                <w:color w:val="auto"/>
              </w:rPr>
            </w:pPr>
            <w:r>
              <w:rPr>
                <w:rFonts w:ascii="Arial" w:cs="Arial" w:eastAsia="Arial" w:hAnsi="Arial"/>
                <w:sz w:val="14"/>
                <w:szCs w:val="14"/>
                <w:b w:val="1"/>
                <w:bCs w:val="1"/>
                <w:color w:val="auto"/>
                <w:w w:val="97"/>
              </w:rPr>
              <w:t>Number of</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75"/>
              </w:rPr>
              <w:t>of</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300" w:type="dxa"/>
            <w:vAlign w:val="bottom"/>
            <w:vMerge w:val="restart"/>
          </w:tcPr>
          <w:p>
            <w:pPr>
              <w:spacing w:after="0"/>
              <w:rPr>
                <w:sz w:val="20"/>
                <w:szCs w:val="20"/>
                <w:color w:val="auto"/>
              </w:rPr>
            </w:pPr>
            <w:r>
              <w:rPr>
                <w:rFonts w:ascii="Arial" w:cs="Arial" w:eastAsia="Arial" w:hAnsi="Arial"/>
                <w:sz w:val="18"/>
                <w:szCs w:val="18"/>
                <w:b w:val="1"/>
                <w:bCs w:val="1"/>
                <w:color w:val="auto"/>
              </w:rPr>
              <w:t>Balance at</w:t>
            </w:r>
          </w:p>
        </w:tc>
        <w:tc>
          <w:tcPr>
            <w:tcW w:w="700" w:type="dxa"/>
            <w:vAlign w:val="bottom"/>
          </w:tcPr>
          <w:p>
            <w:pPr>
              <w:ind w:left="80"/>
              <w:spacing w:after="0"/>
              <w:rPr>
                <w:sz w:val="20"/>
                <w:szCs w:val="20"/>
                <w:color w:val="auto"/>
              </w:rPr>
            </w:pPr>
            <w:r>
              <w:rPr>
                <w:rFonts w:ascii="Arial" w:cs="Arial" w:eastAsia="Arial" w:hAnsi="Arial"/>
                <w:sz w:val="14"/>
                <w:szCs w:val="14"/>
                <w:b w:val="1"/>
                <w:bCs w:val="1"/>
                <w:color w:val="auto"/>
                <w:w w:val="93"/>
              </w:rPr>
              <w:t>of Shares</w:t>
            </w:r>
          </w:p>
        </w:tc>
        <w:tc>
          <w:tcPr>
            <w:tcW w:w="140" w:type="dxa"/>
            <w:vAlign w:val="bottom"/>
          </w:tcPr>
          <w:p>
            <w:pPr>
              <w:spacing w:after="0"/>
              <w:rPr>
                <w:sz w:val="16"/>
                <w:szCs w:val="16"/>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4"/>
              </w:rPr>
              <w:t>Amount</w:t>
            </w:r>
          </w:p>
        </w:tc>
        <w:tc>
          <w:tcPr>
            <w:tcW w:w="760" w:type="dxa"/>
            <w:vAlign w:val="bottom"/>
          </w:tcPr>
          <w:p>
            <w:pPr>
              <w:ind w:left="1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0"/>
              </w:rPr>
              <w:t>Amount</w:t>
            </w:r>
          </w:p>
        </w:tc>
        <w:tc>
          <w:tcPr>
            <w:tcW w:w="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1"/>
              </w:rPr>
              <w:t>Shares</w:t>
            </w:r>
          </w:p>
        </w:tc>
        <w:tc>
          <w:tcPr>
            <w:tcW w:w="6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89"/>
        </w:trPr>
        <w:tc>
          <w:tcPr>
            <w:tcW w:w="130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220"/>
              <w:spacing w:after="0"/>
              <w:rPr>
                <w:sz w:val="20"/>
                <w:szCs w:val="20"/>
                <w:color w:val="auto"/>
              </w:rPr>
            </w:pPr>
            <w:r>
              <w:rPr>
                <w:rFonts w:ascii="Arial" w:cs="Arial" w:eastAsia="Arial" w:hAnsi="Arial"/>
                <w:sz w:val="18"/>
                <w:szCs w:val="18"/>
                <w:b w:val="1"/>
                <w:bCs w:val="1"/>
                <w:color w:val="auto"/>
                <w:w w:val="90"/>
              </w:rPr>
              <w:t>December 31,</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00" w:type="dxa"/>
            <w:vAlign w:val="bottom"/>
          </w:tcPr>
          <w:p>
            <w:pPr>
              <w:ind w:left="220"/>
              <w:spacing w:after="0"/>
              <w:rPr>
                <w:sz w:val="20"/>
                <w:szCs w:val="20"/>
                <w:color w:val="auto"/>
              </w:rPr>
            </w:pPr>
            <w:r>
              <w:rPr>
                <w:rFonts w:ascii="Arial" w:cs="Arial" w:eastAsia="Arial" w:hAnsi="Arial"/>
                <w:sz w:val="18"/>
                <w:szCs w:val="18"/>
                <w:b w:val="1"/>
                <w:bCs w:val="1"/>
                <w:color w:val="auto"/>
              </w:rPr>
              <w:t>2012</w:t>
            </w:r>
          </w:p>
        </w:tc>
        <w:tc>
          <w:tcPr>
            <w:tcW w:w="700" w:type="dxa"/>
            <w:vAlign w:val="bottom"/>
          </w:tcPr>
          <w:p>
            <w:pPr>
              <w:ind w:left="120"/>
              <w:spacing w:after="0"/>
              <w:rPr>
                <w:sz w:val="20"/>
                <w:szCs w:val="20"/>
                <w:color w:val="auto"/>
              </w:rPr>
            </w:pPr>
            <w:r>
              <w:rPr>
                <w:rFonts w:ascii="Arial" w:cs="Arial" w:eastAsia="Arial" w:hAnsi="Arial"/>
                <w:sz w:val="18"/>
                <w:szCs w:val="18"/>
                <w:b w:val="1"/>
                <w:bCs w:val="1"/>
                <w:color w:val="auto"/>
                <w:w w:val="86"/>
              </w:rPr>
              <w:t>900,000</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3"/>
              </w:rPr>
              <w:t>1,698</w:t>
            </w:r>
          </w:p>
        </w:tc>
        <w:tc>
          <w:tcPr>
            <w:tcW w:w="760" w:type="dxa"/>
            <w:vAlign w:val="bottom"/>
          </w:tcPr>
          <w:p>
            <w:pPr>
              <w:ind w:left="60"/>
              <w:spacing w:after="0"/>
              <w:rPr>
                <w:sz w:val="20"/>
                <w:szCs w:val="20"/>
                <w:color w:val="auto"/>
              </w:rPr>
            </w:pPr>
            <w:r>
              <w:rPr>
                <w:rFonts w:ascii="Arial" w:cs="Arial" w:eastAsia="Arial" w:hAnsi="Arial"/>
                <w:sz w:val="18"/>
                <w:szCs w:val="18"/>
                <w:b w:val="1"/>
                <w:bCs w:val="1"/>
                <w:color w:val="auto"/>
                <w:w w:val="84"/>
              </w:rPr>
              <w:t>2,100,000</w:t>
            </w:r>
          </w:p>
        </w:tc>
        <w:tc>
          <w:tcPr>
            <w:tcW w:w="8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$ 2,900</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220</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3"/>
              </w:rPr>
              <w:t>2,154</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Accretion of</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220"/>
              <w:spacing w:after="0"/>
              <w:rPr>
                <w:sz w:val="20"/>
                <w:szCs w:val="20"/>
                <w:color w:val="auto"/>
              </w:rPr>
            </w:pPr>
            <w:r>
              <w:rPr>
                <w:rFonts w:ascii="Arial" w:cs="Arial" w:eastAsia="Arial" w:hAnsi="Arial"/>
                <w:sz w:val="18"/>
                <w:szCs w:val="18"/>
                <w:color w:val="auto"/>
              </w:rPr>
              <w:t>Series B</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220"/>
              <w:spacing w:after="0"/>
              <w:rPr>
                <w:sz w:val="20"/>
                <w:szCs w:val="20"/>
                <w:color w:val="auto"/>
              </w:rPr>
            </w:pPr>
            <w:r>
              <w:rPr>
                <w:rFonts w:ascii="Arial" w:cs="Arial" w:eastAsia="Arial" w:hAnsi="Arial"/>
                <w:sz w:val="18"/>
                <w:szCs w:val="18"/>
                <w:color w:val="auto"/>
              </w:rPr>
              <w:t>redeemable</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220"/>
              <w:spacing w:after="0"/>
              <w:rPr>
                <w:sz w:val="20"/>
                <w:szCs w:val="20"/>
                <w:color w:val="auto"/>
              </w:rPr>
            </w:pPr>
            <w:r>
              <w:rPr>
                <w:rFonts w:ascii="Arial" w:cs="Arial" w:eastAsia="Arial" w:hAnsi="Arial"/>
                <w:sz w:val="18"/>
                <w:szCs w:val="18"/>
                <w:color w:val="auto"/>
              </w:rPr>
              <w:t>convertible</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220"/>
              <w:spacing w:after="0"/>
              <w:rPr>
                <w:sz w:val="20"/>
                <w:szCs w:val="20"/>
                <w:color w:val="auto"/>
              </w:rPr>
            </w:pPr>
            <w:r>
              <w:rPr>
                <w:rFonts w:ascii="Arial" w:cs="Arial" w:eastAsia="Arial" w:hAnsi="Arial"/>
                <w:sz w:val="18"/>
                <w:szCs w:val="18"/>
                <w:color w:val="auto"/>
              </w:rPr>
              <w:t>preferred</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220"/>
              <w:spacing w:after="0"/>
              <w:rPr>
                <w:sz w:val="20"/>
                <w:szCs w:val="20"/>
                <w:color w:val="auto"/>
              </w:rPr>
            </w:pPr>
            <w:r>
              <w:rPr>
                <w:rFonts w:ascii="Arial" w:cs="Arial" w:eastAsia="Arial" w:hAnsi="Arial"/>
                <w:sz w:val="18"/>
                <w:szCs w:val="18"/>
                <w:color w:val="auto"/>
              </w:rPr>
              <w:t>stock</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76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79</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Accretion of</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220"/>
              <w:spacing w:after="0"/>
              <w:rPr>
                <w:sz w:val="20"/>
                <w:szCs w:val="20"/>
                <w:color w:val="auto"/>
              </w:rPr>
            </w:pPr>
            <w:r>
              <w:rPr>
                <w:rFonts w:ascii="Arial" w:cs="Arial" w:eastAsia="Arial" w:hAnsi="Arial"/>
                <w:sz w:val="18"/>
                <w:szCs w:val="18"/>
                <w:color w:val="auto"/>
              </w:rPr>
              <w:t>beneficial</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220"/>
              <w:spacing w:after="0"/>
              <w:rPr>
                <w:sz w:val="20"/>
                <w:szCs w:val="20"/>
                <w:color w:val="auto"/>
              </w:rPr>
            </w:pPr>
            <w:r>
              <w:rPr>
                <w:rFonts w:ascii="Arial" w:cs="Arial" w:eastAsia="Arial" w:hAnsi="Arial"/>
                <w:sz w:val="18"/>
                <w:szCs w:val="18"/>
                <w:color w:val="auto"/>
              </w:rPr>
              <w:t>conversion</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220"/>
              <w:spacing w:after="0"/>
              <w:rPr>
                <w:sz w:val="20"/>
                <w:szCs w:val="20"/>
                <w:color w:val="auto"/>
              </w:rPr>
            </w:pPr>
            <w:r>
              <w:rPr>
                <w:rFonts w:ascii="Arial" w:cs="Arial" w:eastAsia="Arial" w:hAnsi="Arial"/>
                <w:sz w:val="18"/>
                <w:szCs w:val="18"/>
                <w:color w:val="auto"/>
              </w:rPr>
              <w:t>feature for</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220"/>
              <w:spacing w:after="0"/>
              <w:rPr>
                <w:sz w:val="20"/>
                <w:szCs w:val="20"/>
                <w:color w:val="auto"/>
              </w:rPr>
            </w:pPr>
            <w:r>
              <w:rPr>
                <w:rFonts w:ascii="Arial" w:cs="Arial" w:eastAsia="Arial" w:hAnsi="Arial"/>
                <w:sz w:val="18"/>
                <w:szCs w:val="18"/>
                <w:color w:val="auto"/>
              </w:rPr>
              <w:t>Series B-2</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26</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Series A 12%</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220"/>
              <w:spacing w:after="0"/>
              <w:rPr>
                <w:sz w:val="20"/>
                <w:szCs w:val="20"/>
                <w:color w:val="auto"/>
              </w:rPr>
            </w:pPr>
            <w:r>
              <w:rPr>
                <w:rFonts w:ascii="Arial" w:cs="Arial" w:eastAsia="Arial" w:hAnsi="Arial"/>
                <w:sz w:val="18"/>
                <w:szCs w:val="18"/>
                <w:color w:val="auto"/>
              </w:rPr>
              <w:t>convertible</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220"/>
              <w:spacing w:after="0"/>
              <w:rPr>
                <w:sz w:val="20"/>
                <w:szCs w:val="20"/>
                <w:color w:val="auto"/>
              </w:rPr>
            </w:pPr>
            <w:r>
              <w:rPr>
                <w:rFonts w:ascii="Arial" w:cs="Arial" w:eastAsia="Arial" w:hAnsi="Arial"/>
                <w:sz w:val="18"/>
                <w:szCs w:val="18"/>
                <w:color w:val="auto"/>
              </w:rPr>
              <w:t>preferred</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220"/>
              <w:spacing w:after="0"/>
              <w:rPr>
                <w:sz w:val="20"/>
                <w:szCs w:val="20"/>
                <w:color w:val="auto"/>
              </w:rPr>
            </w:pPr>
            <w:r>
              <w:rPr>
                <w:rFonts w:ascii="Arial" w:cs="Arial" w:eastAsia="Arial" w:hAnsi="Arial"/>
                <w:sz w:val="18"/>
                <w:szCs w:val="18"/>
                <w:color w:val="auto"/>
              </w:rPr>
              <w:t>stock</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220"/>
              <w:spacing w:after="0"/>
              <w:rPr>
                <w:sz w:val="20"/>
                <w:szCs w:val="20"/>
                <w:color w:val="auto"/>
              </w:rPr>
            </w:pPr>
            <w:r>
              <w:rPr>
                <w:rFonts w:ascii="Arial" w:cs="Arial" w:eastAsia="Arial" w:hAnsi="Arial"/>
                <w:sz w:val="18"/>
                <w:szCs w:val="18"/>
                <w:color w:val="auto"/>
              </w:rPr>
              <w:t>dividend</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Series B-1</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220"/>
              <w:spacing w:after="0"/>
              <w:rPr>
                <w:sz w:val="20"/>
                <w:szCs w:val="20"/>
                <w:color w:val="auto"/>
              </w:rPr>
            </w:pPr>
            <w:r>
              <w:rPr>
                <w:rFonts w:ascii="Arial" w:cs="Arial" w:eastAsia="Arial" w:hAnsi="Arial"/>
                <w:sz w:val="18"/>
                <w:szCs w:val="18"/>
                <w:color w:val="auto"/>
              </w:rPr>
              <w:t>redeemable</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220"/>
              <w:spacing w:after="0"/>
              <w:rPr>
                <w:sz w:val="20"/>
                <w:szCs w:val="20"/>
                <w:color w:val="auto"/>
              </w:rPr>
            </w:pPr>
            <w:r>
              <w:rPr>
                <w:rFonts w:ascii="Arial" w:cs="Arial" w:eastAsia="Arial" w:hAnsi="Arial"/>
                <w:sz w:val="18"/>
                <w:szCs w:val="18"/>
                <w:color w:val="auto"/>
              </w:rPr>
              <w:t>convertible</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220"/>
              <w:spacing w:after="0"/>
              <w:rPr>
                <w:sz w:val="20"/>
                <w:szCs w:val="20"/>
                <w:color w:val="auto"/>
              </w:rPr>
            </w:pPr>
            <w:r>
              <w:rPr>
                <w:rFonts w:ascii="Arial" w:cs="Arial" w:eastAsia="Arial" w:hAnsi="Arial"/>
                <w:sz w:val="18"/>
                <w:szCs w:val="18"/>
                <w:color w:val="auto"/>
              </w:rPr>
              <w:t>preferred</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220"/>
              <w:spacing w:after="0"/>
              <w:rPr>
                <w:sz w:val="20"/>
                <w:szCs w:val="20"/>
                <w:color w:val="auto"/>
              </w:rPr>
            </w:pPr>
            <w:r>
              <w:rPr>
                <w:rFonts w:ascii="Arial" w:cs="Arial" w:eastAsia="Arial" w:hAnsi="Arial"/>
                <w:sz w:val="18"/>
                <w:szCs w:val="18"/>
                <w:color w:val="auto"/>
              </w:rPr>
              <w:t>stock</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220"/>
              <w:spacing w:after="0"/>
              <w:rPr>
                <w:sz w:val="20"/>
                <w:szCs w:val="20"/>
                <w:color w:val="auto"/>
              </w:rPr>
            </w:pPr>
            <w:r>
              <w:rPr>
                <w:rFonts w:ascii="Arial" w:cs="Arial" w:eastAsia="Arial" w:hAnsi="Arial"/>
                <w:sz w:val="18"/>
                <w:szCs w:val="18"/>
                <w:color w:val="auto"/>
              </w:rPr>
              <w:t>dividend</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Series B-2</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220"/>
              <w:spacing w:after="0"/>
              <w:rPr>
                <w:sz w:val="20"/>
                <w:szCs w:val="20"/>
                <w:color w:val="auto"/>
              </w:rPr>
            </w:pPr>
            <w:r>
              <w:rPr>
                <w:rFonts w:ascii="Arial" w:cs="Arial" w:eastAsia="Arial" w:hAnsi="Arial"/>
                <w:sz w:val="18"/>
                <w:szCs w:val="18"/>
                <w:color w:val="auto"/>
              </w:rPr>
              <w:t>redeemable</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220"/>
              <w:spacing w:after="0"/>
              <w:rPr>
                <w:sz w:val="20"/>
                <w:szCs w:val="20"/>
                <w:color w:val="auto"/>
              </w:rPr>
            </w:pPr>
            <w:r>
              <w:rPr>
                <w:rFonts w:ascii="Arial" w:cs="Arial" w:eastAsia="Arial" w:hAnsi="Arial"/>
                <w:sz w:val="18"/>
                <w:szCs w:val="18"/>
                <w:color w:val="auto"/>
              </w:rPr>
              <w:t>convertible</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220"/>
              <w:spacing w:after="0"/>
              <w:rPr>
                <w:sz w:val="20"/>
                <w:szCs w:val="20"/>
                <w:color w:val="auto"/>
              </w:rPr>
            </w:pPr>
            <w:r>
              <w:rPr>
                <w:rFonts w:ascii="Arial" w:cs="Arial" w:eastAsia="Arial" w:hAnsi="Arial"/>
                <w:sz w:val="18"/>
                <w:szCs w:val="18"/>
                <w:color w:val="auto"/>
              </w:rPr>
              <w:t>preferred</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220"/>
              <w:spacing w:after="0"/>
              <w:rPr>
                <w:sz w:val="20"/>
                <w:szCs w:val="20"/>
                <w:color w:val="auto"/>
              </w:rPr>
            </w:pPr>
            <w:r>
              <w:rPr>
                <w:rFonts w:ascii="Arial" w:cs="Arial" w:eastAsia="Arial" w:hAnsi="Arial"/>
                <w:sz w:val="18"/>
                <w:szCs w:val="18"/>
                <w:color w:val="auto"/>
              </w:rPr>
              <w:t>stock</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220"/>
              <w:spacing w:after="0"/>
              <w:rPr>
                <w:sz w:val="20"/>
                <w:szCs w:val="20"/>
                <w:color w:val="auto"/>
              </w:rPr>
            </w:pPr>
            <w:r>
              <w:rPr>
                <w:rFonts w:ascii="Arial" w:cs="Arial" w:eastAsia="Arial" w:hAnsi="Arial"/>
                <w:sz w:val="18"/>
                <w:szCs w:val="18"/>
                <w:color w:val="auto"/>
              </w:rPr>
              <w:t>dividend</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Series C super</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220"/>
              <w:spacing w:after="0"/>
              <w:rPr>
                <w:sz w:val="20"/>
                <w:szCs w:val="20"/>
                <w:color w:val="auto"/>
              </w:rPr>
            </w:pPr>
            <w:r>
              <w:rPr>
                <w:rFonts w:ascii="Arial" w:cs="Arial" w:eastAsia="Arial" w:hAnsi="Arial"/>
                <w:sz w:val="18"/>
                <w:szCs w:val="18"/>
                <w:color w:val="auto"/>
              </w:rPr>
              <w:t>dividend</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220"/>
              <w:spacing w:after="0"/>
              <w:rPr>
                <w:sz w:val="20"/>
                <w:szCs w:val="20"/>
                <w:color w:val="auto"/>
              </w:rPr>
            </w:pPr>
            <w:r>
              <w:rPr>
                <w:rFonts w:ascii="Arial" w:cs="Arial" w:eastAsia="Arial" w:hAnsi="Arial"/>
                <w:sz w:val="18"/>
                <w:szCs w:val="18"/>
                <w:color w:val="auto"/>
              </w:rPr>
              <w:t>convertible</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220"/>
              <w:spacing w:after="0"/>
              <w:rPr>
                <w:sz w:val="20"/>
                <w:szCs w:val="20"/>
                <w:color w:val="auto"/>
              </w:rPr>
            </w:pPr>
            <w:r>
              <w:rPr>
                <w:rFonts w:ascii="Arial" w:cs="Arial" w:eastAsia="Arial" w:hAnsi="Arial"/>
                <w:sz w:val="18"/>
                <w:szCs w:val="18"/>
                <w:color w:val="auto"/>
              </w:rPr>
              <w:t>preferred</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220"/>
              <w:spacing w:after="0"/>
              <w:rPr>
                <w:sz w:val="20"/>
                <w:szCs w:val="20"/>
                <w:color w:val="auto"/>
              </w:rPr>
            </w:pPr>
            <w:r>
              <w:rPr>
                <w:rFonts w:ascii="Arial" w:cs="Arial" w:eastAsia="Arial" w:hAnsi="Arial"/>
                <w:sz w:val="18"/>
                <w:szCs w:val="18"/>
                <w:color w:val="auto"/>
              </w:rPr>
              <w:t>stock</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220"/>
              <w:spacing w:after="0"/>
              <w:rPr>
                <w:sz w:val="20"/>
                <w:szCs w:val="20"/>
                <w:color w:val="auto"/>
              </w:rPr>
            </w:pPr>
            <w:r>
              <w:rPr>
                <w:rFonts w:ascii="Arial" w:cs="Arial" w:eastAsia="Arial" w:hAnsi="Arial"/>
                <w:sz w:val="18"/>
                <w:szCs w:val="18"/>
                <w:color w:val="auto"/>
              </w:rPr>
              <w:t>dividend</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Conversion of</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220"/>
              <w:spacing w:after="0"/>
              <w:rPr>
                <w:sz w:val="20"/>
                <w:szCs w:val="20"/>
                <w:color w:val="auto"/>
              </w:rPr>
            </w:pPr>
            <w:r>
              <w:rPr>
                <w:rFonts w:ascii="Arial" w:cs="Arial" w:eastAsia="Arial" w:hAnsi="Arial"/>
                <w:sz w:val="18"/>
                <w:szCs w:val="18"/>
                <w:color w:val="auto"/>
              </w:rPr>
              <w:t>Series C to</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220"/>
              <w:spacing w:after="0"/>
              <w:rPr>
                <w:sz w:val="20"/>
                <w:szCs w:val="20"/>
                <w:color w:val="auto"/>
              </w:rPr>
            </w:pPr>
            <w:r>
              <w:rPr>
                <w:rFonts w:ascii="Arial" w:cs="Arial" w:eastAsia="Arial" w:hAnsi="Arial"/>
                <w:sz w:val="18"/>
                <w:szCs w:val="18"/>
                <w:color w:val="auto"/>
              </w:rPr>
              <w:t>common</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220"/>
              <w:spacing w:after="0"/>
              <w:rPr>
                <w:sz w:val="20"/>
                <w:szCs w:val="20"/>
                <w:color w:val="auto"/>
              </w:rPr>
            </w:pPr>
            <w:r>
              <w:rPr>
                <w:rFonts w:ascii="Arial" w:cs="Arial" w:eastAsia="Arial" w:hAnsi="Arial"/>
                <w:sz w:val="18"/>
                <w:szCs w:val="18"/>
                <w:color w:val="auto"/>
              </w:rPr>
              <w:t>stock</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Issuance of</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220"/>
              <w:spacing w:after="0"/>
              <w:rPr>
                <w:sz w:val="20"/>
                <w:szCs w:val="20"/>
                <w:color w:val="auto"/>
              </w:rPr>
            </w:pPr>
            <w:r>
              <w:rPr>
                <w:rFonts w:ascii="Arial" w:cs="Arial" w:eastAsia="Arial" w:hAnsi="Arial"/>
                <w:sz w:val="18"/>
                <w:szCs w:val="18"/>
                <w:color w:val="auto"/>
              </w:rPr>
              <w:t>common</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220"/>
              <w:spacing w:after="0"/>
              <w:rPr>
                <w:sz w:val="20"/>
                <w:szCs w:val="20"/>
                <w:color w:val="auto"/>
              </w:rPr>
            </w:pPr>
            <w:r>
              <w:rPr>
                <w:rFonts w:ascii="Arial" w:cs="Arial" w:eastAsia="Arial" w:hAnsi="Arial"/>
                <w:sz w:val="18"/>
                <w:szCs w:val="18"/>
                <w:color w:val="auto"/>
              </w:rPr>
              <w:t>stock upon</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220"/>
              <w:spacing w:after="0"/>
              <w:rPr>
                <w:sz w:val="20"/>
                <w:szCs w:val="20"/>
                <w:color w:val="auto"/>
              </w:rPr>
            </w:pPr>
            <w:r>
              <w:rPr>
                <w:rFonts w:ascii="Arial" w:cs="Arial" w:eastAsia="Arial" w:hAnsi="Arial"/>
                <w:sz w:val="18"/>
                <w:szCs w:val="18"/>
                <w:color w:val="auto"/>
              </w:rPr>
              <w:t>exercise of</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220"/>
              <w:spacing w:after="0"/>
              <w:rPr>
                <w:sz w:val="20"/>
                <w:szCs w:val="20"/>
                <w:color w:val="auto"/>
              </w:rPr>
            </w:pPr>
            <w:r>
              <w:rPr>
                <w:rFonts w:ascii="Arial" w:cs="Arial" w:eastAsia="Arial" w:hAnsi="Arial"/>
                <w:sz w:val="18"/>
                <w:szCs w:val="18"/>
                <w:color w:val="auto"/>
              </w:rPr>
              <w:t>options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Modification of</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220"/>
              <w:spacing w:after="0"/>
              <w:rPr>
                <w:sz w:val="20"/>
                <w:szCs w:val="20"/>
                <w:color w:val="auto"/>
              </w:rPr>
            </w:pPr>
            <w:r>
              <w:rPr>
                <w:rFonts w:ascii="Arial" w:cs="Arial" w:eastAsia="Arial" w:hAnsi="Arial"/>
                <w:sz w:val="18"/>
                <w:szCs w:val="18"/>
                <w:color w:val="auto"/>
              </w:rPr>
              <w:t>warrants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Stock-based</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220"/>
              <w:spacing w:after="0"/>
              <w:rPr>
                <w:sz w:val="20"/>
                <w:szCs w:val="20"/>
                <w:color w:val="auto"/>
              </w:rPr>
            </w:pPr>
            <w:r>
              <w:rPr>
                <w:rFonts w:ascii="Arial" w:cs="Arial" w:eastAsia="Arial" w:hAnsi="Arial"/>
                <w:sz w:val="18"/>
                <w:szCs w:val="18"/>
                <w:color w:val="auto"/>
                <w:w w:val="94"/>
              </w:rPr>
              <w:t>compensation</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220"/>
              <w:spacing w:after="0"/>
              <w:rPr>
                <w:sz w:val="20"/>
                <w:szCs w:val="20"/>
                <w:color w:val="auto"/>
              </w:rPr>
            </w:pPr>
            <w:r>
              <w:rPr>
                <w:rFonts w:ascii="Arial" w:cs="Arial" w:eastAsia="Arial" w:hAnsi="Arial"/>
                <w:sz w:val="18"/>
                <w:szCs w:val="18"/>
                <w:color w:val="auto"/>
              </w:rPr>
              <w:t>expense</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20"/>
                <w:szCs w:val="20"/>
                <w:color w:val="auto"/>
              </w:rPr>
            </w:pPr>
            <w:r>
              <w:rPr>
                <w:rFonts w:ascii="Arial" w:cs="Arial" w:eastAsia="Arial" w:hAnsi="Arial"/>
                <w:sz w:val="18"/>
                <w:szCs w:val="18"/>
                <w:color w:val="auto"/>
              </w:rPr>
              <w:t>Net loss</w:t>
            </w:r>
          </w:p>
        </w:tc>
        <w:tc>
          <w:tcPr>
            <w:tcW w:w="7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300" w:type="dxa"/>
            <w:vAlign w:val="bottom"/>
          </w:tcPr>
          <w:p>
            <w:pPr>
              <w:spacing w:after="0"/>
              <w:rPr>
                <w:sz w:val="20"/>
                <w:szCs w:val="20"/>
                <w:color w:val="auto"/>
              </w:rPr>
            </w:pPr>
            <w:r>
              <w:rPr>
                <w:rFonts w:ascii="Arial" w:cs="Arial" w:eastAsia="Arial" w:hAnsi="Arial"/>
                <w:sz w:val="18"/>
                <w:szCs w:val="18"/>
                <w:b w:val="1"/>
                <w:bCs w:val="1"/>
                <w:color w:val="auto"/>
              </w:rPr>
              <w:t>Balance at</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300" w:type="dxa"/>
            <w:vAlign w:val="bottom"/>
          </w:tcPr>
          <w:p>
            <w:pPr>
              <w:ind w:left="220"/>
              <w:spacing w:after="0"/>
              <w:rPr>
                <w:sz w:val="20"/>
                <w:szCs w:val="20"/>
                <w:color w:val="auto"/>
              </w:rPr>
            </w:pPr>
            <w:r>
              <w:rPr>
                <w:rFonts w:ascii="Arial" w:cs="Arial" w:eastAsia="Arial" w:hAnsi="Arial"/>
                <w:sz w:val="18"/>
                <w:szCs w:val="18"/>
                <w:b w:val="1"/>
                <w:bCs w:val="1"/>
                <w:color w:val="auto"/>
                <w:w w:val="90"/>
              </w:rPr>
              <w:t>June 30, 2013</w:t>
            </w:r>
          </w:p>
        </w:tc>
        <w:tc>
          <w:tcPr>
            <w:tcW w:w="700" w:type="dxa"/>
            <w:vAlign w:val="bottom"/>
          </w:tcPr>
          <w:p>
            <w:pPr>
              <w:ind w:left="120"/>
              <w:spacing w:after="0"/>
              <w:rPr>
                <w:sz w:val="20"/>
                <w:szCs w:val="20"/>
                <w:color w:val="auto"/>
              </w:rPr>
            </w:pPr>
            <w:r>
              <w:rPr>
                <w:rFonts w:ascii="Arial" w:cs="Arial" w:eastAsia="Arial" w:hAnsi="Arial"/>
                <w:sz w:val="18"/>
                <w:szCs w:val="18"/>
                <w:b w:val="1"/>
                <w:bCs w:val="1"/>
                <w:color w:val="auto"/>
                <w:w w:val="86"/>
              </w:rPr>
              <w:t>900,000</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3"/>
              </w:rPr>
              <w:t>1,706</w:t>
            </w:r>
          </w:p>
        </w:tc>
        <w:tc>
          <w:tcPr>
            <w:tcW w:w="760" w:type="dxa"/>
            <w:vAlign w:val="bottom"/>
          </w:tcPr>
          <w:p>
            <w:pPr>
              <w:ind w:left="60"/>
              <w:spacing w:after="0"/>
              <w:rPr>
                <w:sz w:val="20"/>
                <w:szCs w:val="20"/>
                <w:color w:val="auto"/>
              </w:rPr>
            </w:pPr>
            <w:r>
              <w:rPr>
                <w:rFonts w:ascii="Arial" w:cs="Arial" w:eastAsia="Arial" w:hAnsi="Arial"/>
                <w:sz w:val="18"/>
                <w:szCs w:val="18"/>
                <w:b w:val="1"/>
                <w:bCs w:val="1"/>
                <w:color w:val="auto"/>
                <w:w w:val="84"/>
              </w:rPr>
              <w:t>2,100,000</w:t>
            </w:r>
          </w:p>
        </w:tc>
        <w:tc>
          <w:tcPr>
            <w:tcW w:w="8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$ 3,005</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215</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3"/>
              </w:rPr>
              <w:t>2,105</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-7451725</wp:posOffset>
            </wp:positionV>
            <wp:extent cx="7306310" cy="411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0631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-6216650</wp:posOffset>
            </wp:positionV>
            <wp:extent cx="7306310" cy="685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06310" cy="6858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-4844415</wp:posOffset>
            </wp:positionV>
            <wp:extent cx="7306310" cy="823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06310" cy="823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-3197860</wp:posOffset>
            </wp:positionV>
            <wp:extent cx="7306310" cy="823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06310" cy="823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-1826260</wp:posOffset>
            </wp:positionV>
            <wp:extent cx="7306310" cy="685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06310" cy="6858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-865505</wp:posOffset>
            </wp:positionV>
            <wp:extent cx="7306310" cy="411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0631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-299720</wp:posOffset>
            </wp:positionV>
            <wp:extent cx="7306310" cy="274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06310"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40" w:type="dxa"/>
        <w:tblCellMar>
          <w:top w:w="0" w:type="dxa"/>
          <w:left w:w="0" w:type="dxa"/>
          <w:bottom w:w="0" w:type="dxa"/>
          <w:right w:w="0" w:type="dxa"/>
        </w:tblCellMar>
      </w:tblPr>
      <w:tr>
        <w:trPr>
          <w:trHeight w:val="174"/>
        </w:trPr>
        <w:tc>
          <w:tcPr>
            <w:tcW w:w="1460" w:type="dxa"/>
            <w:vAlign w:val="bottom"/>
            <w:gridSpan w:val="2"/>
            <w:vMerge w:val="restart"/>
          </w:tcPr>
          <w:p>
            <w:pPr>
              <w:jc w:val="center"/>
              <w:ind w:right="92"/>
              <w:spacing w:after="0"/>
              <w:rPr>
                <w:sz w:val="20"/>
                <w:szCs w:val="20"/>
                <w:color w:val="auto"/>
              </w:rPr>
            </w:pPr>
            <w:r>
              <w:rPr>
                <w:rFonts w:ascii="Arial" w:cs="Arial" w:eastAsia="Arial" w:hAnsi="Arial"/>
                <w:sz w:val="14"/>
                <w:szCs w:val="14"/>
                <w:b w:val="1"/>
                <w:bCs w:val="1"/>
                <w:color w:val="auto"/>
                <w:w w:val="88"/>
              </w:rPr>
              <w:t>Series A 12%</w:t>
            </w:r>
          </w:p>
        </w:tc>
        <w:tc>
          <w:tcPr>
            <w:tcW w:w="2300" w:type="dxa"/>
            <w:vAlign w:val="bottom"/>
            <w:gridSpan w:val="3"/>
          </w:tcPr>
          <w:p>
            <w:pPr>
              <w:ind w:left="420"/>
              <w:spacing w:after="0"/>
              <w:rPr>
                <w:sz w:val="20"/>
                <w:szCs w:val="20"/>
                <w:color w:val="auto"/>
              </w:rPr>
            </w:pPr>
            <w:r>
              <w:rPr>
                <w:rFonts w:ascii="Arial" w:cs="Arial" w:eastAsia="Arial" w:hAnsi="Arial"/>
                <w:sz w:val="14"/>
                <w:szCs w:val="14"/>
                <w:b w:val="1"/>
                <w:bCs w:val="1"/>
                <w:color w:val="auto"/>
                <w:w w:val="95"/>
              </w:rPr>
              <w:t>Stockholders’ Equity (Deficit)</w:t>
            </w:r>
          </w:p>
        </w:tc>
        <w:tc>
          <w:tcPr>
            <w:tcW w:w="9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460" w:type="dxa"/>
            <w:vAlign w:val="bottom"/>
            <w:gridSpan w:val="2"/>
            <w:vMerge w:val="continue"/>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60" w:type="dxa"/>
            <w:vAlign w:val="bottom"/>
            <w:gridSpan w:val="2"/>
          </w:tcPr>
          <w:p>
            <w:pPr>
              <w:jc w:val="center"/>
              <w:ind w:right="112"/>
              <w:spacing w:after="0" w:line="149" w:lineRule="exact"/>
              <w:rPr>
                <w:sz w:val="20"/>
                <w:szCs w:val="20"/>
                <w:color w:val="auto"/>
              </w:rPr>
            </w:pPr>
            <w:r>
              <w:rPr>
                <w:rFonts w:ascii="Arial" w:cs="Arial" w:eastAsia="Arial" w:hAnsi="Arial"/>
                <w:sz w:val="14"/>
                <w:szCs w:val="14"/>
                <w:b w:val="1"/>
                <w:bCs w:val="1"/>
                <w:color w:val="auto"/>
                <w:w w:val="89"/>
              </w:rPr>
              <w:t>Convertible Preferred</w:t>
            </w: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820" w:type="dxa"/>
            <w:vAlign w:val="bottom"/>
          </w:tcPr>
          <w:p>
            <w:pPr>
              <w:jc w:val="center"/>
              <w:ind w:left="392"/>
              <w:spacing w:after="0"/>
              <w:rPr>
                <w:sz w:val="20"/>
                <w:szCs w:val="20"/>
                <w:color w:val="auto"/>
              </w:rPr>
            </w:pPr>
            <w:r>
              <w:rPr>
                <w:rFonts w:ascii="Arial" w:cs="Arial" w:eastAsia="Arial" w:hAnsi="Arial"/>
                <w:sz w:val="14"/>
                <w:szCs w:val="14"/>
                <w:b w:val="1"/>
                <w:bCs w:val="1"/>
                <w:color w:val="auto"/>
                <w:w w:val="83"/>
              </w:rPr>
              <w:t>Stock</w:t>
            </w:r>
          </w:p>
        </w:tc>
        <w:tc>
          <w:tcPr>
            <w:tcW w:w="640" w:type="dxa"/>
            <w:vAlign w:val="bottom"/>
          </w:tcPr>
          <w:p>
            <w:pPr>
              <w:spacing w:after="0"/>
              <w:rPr>
                <w:sz w:val="15"/>
                <w:szCs w:val="15"/>
                <w:color w:val="auto"/>
              </w:rPr>
            </w:pPr>
          </w:p>
        </w:tc>
        <w:tc>
          <w:tcPr>
            <w:tcW w:w="1540" w:type="dxa"/>
            <w:vAlign w:val="bottom"/>
            <w:gridSpan w:val="2"/>
          </w:tcPr>
          <w:p>
            <w:pPr>
              <w:ind w:left="300"/>
              <w:spacing w:after="0"/>
              <w:rPr>
                <w:sz w:val="20"/>
                <w:szCs w:val="20"/>
                <w:color w:val="auto"/>
              </w:rPr>
            </w:pPr>
            <w:r>
              <w:rPr>
                <w:rFonts w:ascii="Arial" w:cs="Arial" w:eastAsia="Arial" w:hAnsi="Arial"/>
                <w:sz w:val="14"/>
                <w:szCs w:val="14"/>
                <w:b w:val="1"/>
                <w:bCs w:val="1"/>
                <w:color w:val="auto"/>
              </w:rPr>
              <w:t>Common Stock</w:t>
            </w:r>
          </w:p>
        </w:tc>
        <w:tc>
          <w:tcPr>
            <w:tcW w:w="760" w:type="dxa"/>
            <w:vAlign w:val="bottom"/>
          </w:tcPr>
          <w:p>
            <w:pPr>
              <w:spacing w:after="0"/>
              <w:rPr>
                <w:sz w:val="15"/>
                <w:szCs w:val="15"/>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Deficit</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Accumulated</w:t>
            </w:r>
          </w:p>
        </w:tc>
        <w:tc>
          <w:tcPr>
            <w:tcW w:w="860" w:type="dxa"/>
            <w:vAlign w:val="bottom"/>
          </w:tcPr>
          <w:p>
            <w:pPr>
              <w:jc w:val="center"/>
              <w:ind w:left="12"/>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6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Additional</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During the</w:t>
            </w:r>
          </w:p>
        </w:tc>
        <w:tc>
          <w:tcPr>
            <w:tcW w:w="860" w:type="dxa"/>
            <w:vAlign w:val="bottom"/>
          </w:tcPr>
          <w:p>
            <w:pPr>
              <w:jc w:val="center"/>
              <w:ind w:left="12"/>
              <w:spacing w:after="0" w:line="149" w:lineRule="exact"/>
              <w:rPr>
                <w:sz w:val="20"/>
                <w:szCs w:val="20"/>
                <w:color w:val="auto"/>
              </w:rPr>
            </w:pPr>
            <w:r>
              <w:rPr>
                <w:rFonts w:ascii="Arial" w:cs="Arial" w:eastAsia="Arial" w:hAnsi="Arial"/>
                <w:sz w:val="14"/>
                <w:szCs w:val="14"/>
                <w:b w:val="1"/>
                <w:bCs w:val="1"/>
                <w:color w:val="auto"/>
                <w:w w:val="84"/>
              </w:rPr>
              <w:t>Stockholders’</w:t>
            </w:r>
          </w:p>
        </w:tc>
        <w:tc>
          <w:tcPr>
            <w:tcW w:w="0" w:type="dxa"/>
            <w:vAlign w:val="bottom"/>
          </w:tcPr>
          <w:p>
            <w:pPr>
              <w:spacing w:after="0"/>
              <w:rPr>
                <w:sz w:val="1"/>
                <w:szCs w:val="1"/>
                <w:color w:val="auto"/>
              </w:rPr>
            </w:pPr>
          </w:p>
        </w:tc>
      </w:tr>
      <w:tr>
        <w:trPr>
          <w:trHeight w:val="135"/>
        </w:trPr>
        <w:tc>
          <w:tcPr>
            <w:tcW w:w="820" w:type="dxa"/>
            <w:vAlign w:val="bottom"/>
          </w:tcPr>
          <w:p>
            <w:pPr>
              <w:jc w:val="center"/>
              <w:ind w:right="92"/>
              <w:spacing w:after="0" w:line="135" w:lineRule="exact"/>
              <w:rPr>
                <w:sz w:val="20"/>
                <w:szCs w:val="20"/>
                <w:color w:val="auto"/>
              </w:rPr>
            </w:pPr>
            <w:r>
              <w:rPr>
                <w:rFonts w:ascii="Arial" w:cs="Arial" w:eastAsia="Arial" w:hAnsi="Arial"/>
                <w:sz w:val="14"/>
                <w:szCs w:val="14"/>
                <w:b w:val="1"/>
                <w:bCs w:val="1"/>
                <w:color w:val="auto"/>
                <w:w w:val="88"/>
              </w:rPr>
              <w:t>Number of</w:t>
            </w:r>
          </w:p>
        </w:tc>
        <w:tc>
          <w:tcPr>
            <w:tcW w:w="64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Paid-In</w:t>
            </w:r>
          </w:p>
        </w:tc>
        <w:tc>
          <w:tcPr>
            <w:tcW w:w="9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Development</w:t>
            </w:r>
          </w:p>
        </w:tc>
        <w:tc>
          <w:tcPr>
            <w:tcW w:w="860" w:type="dxa"/>
            <w:vAlign w:val="bottom"/>
          </w:tcPr>
          <w:p>
            <w:pPr>
              <w:jc w:val="center"/>
              <w:ind w:left="12"/>
              <w:spacing w:after="0" w:line="135" w:lineRule="exact"/>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188"/>
        </w:trPr>
        <w:tc>
          <w:tcPr>
            <w:tcW w:w="820" w:type="dxa"/>
            <w:vAlign w:val="bottom"/>
          </w:tcPr>
          <w:p>
            <w:pPr>
              <w:jc w:val="center"/>
              <w:ind w:right="92"/>
              <w:spacing w:after="0"/>
              <w:rPr>
                <w:sz w:val="20"/>
                <w:szCs w:val="20"/>
                <w:color w:val="auto"/>
              </w:rPr>
            </w:pPr>
            <w:r>
              <w:rPr>
                <w:rFonts w:ascii="Arial" w:cs="Arial" w:eastAsia="Arial" w:hAnsi="Arial"/>
                <w:sz w:val="14"/>
                <w:szCs w:val="14"/>
                <w:b w:val="1"/>
                <w:bCs w:val="1"/>
                <w:color w:val="auto"/>
                <w:w w:val="81"/>
              </w:rPr>
              <w:t>Shares</w:t>
            </w:r>
          </w:p>
        </w:tc>
        <w:tc>
          <w:tcPr>
            <w:tcW w:w="640" w:type="dxa"/>
            <w:vAlign w:val="bottom"/>
          </w:tcPr>
          <w:p>
            <w:pPr>
              <w:ind w:left="40"/>
              <w:spacing w:after="0"/>
              <w:rPr>
                <w:sz w:val="20"/>
                <w:szCs w:val="20"/>
                <w:color w:val="auto"/>
              </w:rPr>
            </w:pPr>
            <w:r>
              <w:rPr>
                <w:rFonts w:ascii="Arial" w:cs="Arial" w:eastAsia="Arial" w:hAnsi="Arial"/>
                <w:sz w:val="14"/>
                <w:szCs w:val="14"/>
                <w:b w:val="1"/>
                <w:bCs w:val="1"/>
                <w:color w:val="auto"/>
              </w:rPr>
              <w:t>Amount</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660" w:type="dxa"/>
            <w:vAlign w:val="bottom"/>
          </w:tcPr>
          <w:p>
            <w:pPr>
              <w:ind w:left="120"/>
              <w:spacing w:after="0"/>
              <w:rPr>
                <w:sz w:val="20"/>
                <w:szCs w:val="20"/>
                <w:color w:val="auto"/>
              </w:rPr>
            </w:pPr>
            <w:r>
              <w:rPr>
                <w:rFonts w:ascii="Arial" w:cs="Arial" w:eastAsia="Arial" w:hAnsi="Arial"/>
                <w:sz w:val="14"/>
                <w:szCs w:val="14"/>
                <w:b w:val="1"/>
                <w:bCs w:val="1"/>
                <w:color w:val="auto"/>
                <w:w w:val="98"/>
              </w:rPr>
              <w:t>Amount</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Capital</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3"/>
              </w:rPr>
              <w:t>Stage</w:t>
            </w:r>
          </w:p>
        </w:tc>
        <w:tc>
          <w:tcPr>
            <w:tcW w:w="860" w:type="dxa"/>
            <w:vAlign w:val="bottom"/>
          </w:tcPr>
          <w:p>
            <w:pPr>
              <w:jc w:val="center"/>
              <w:ind w:left="12"/>
              <w:spacing w:after="0"/>
              <w:rPr>
                <w:sz w:val="20"/>
                <w:szCs w:val="20"/>
                <w:color w:val="auto"/>
              </w:rPr>
            </w:pPr>
            <w:r>
              <w:rPr>
                <w:rFonts w:ascii="Arial" w:cs="Arial" w:eastAsia="Arial" w:hAnsi="Arial"/>
                <w:sz w:val="14"/>
                <w:szCs w:val="14"/>
                <w:b w:val="1"/>
                <w:bCs w:val="1"/>
                <w:color w:val="auto"/>
                <w:w w:val="88"/>
              </w:rPr>
              <w:t>(Deficit)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ind w:left="40"/>
        <w:spacing w:after="0"/>
        <w:tabs>
          <w:tab w:leader="none" w:pos="860" w:val="left"/>
          <w:tab w:leader="none" w:pos="1080" w:val="left"/>
          <w:tab w:leader="none" w:pos="1540" w:val="left"/>
          <w:tab w:leader="none" w:pos="2480" w:val="left"/>
          <w:tab w:leader="none" w:pos="2780" w:val="left"/>
          <w:tab w:leader="none" w:pos="3100" w:val="left"/>
          <w:tab w:leader="none" w:pos="3860" w:val="left"/>
          <w:tab w:leader="none" w:pos="4080" w:val="left"/>
          <w:tab w:leader="none" w:pos="5180" w:val="left"/>
        </w:tabs>
        <w:rPr>
          <w:sz w:val="20"/>
          <w:szCs w:val="20"/>
          <w:color w:val="auto"/>
        </w:rPr>
      </w:pPr>
      <w:r>
        <w:rPr>
          <w:rFonts w:ascii="Arial" w:cs="Arial" w:eastAsia="Arial" w:hAnsi="Arial"/>
          <w:sz w:val="18"/>
          <w:szCs w:val="18"/>
          <w:b w:val="1"/>
          <w:bCs w:val="1"/>
          <w:color w:val="auto"/>
        </w:rPr>
        <w:t>1,562,500</w:t>
        <w:tab/>
        <w:t>$</w:t>
        <w:tab/>
        <w:t>632</w:t>
        <w:tab/>
        <w:t>16,060,853</w:t>
        <w:tab/>
        <w:t>$</w:t>
        <w:tab/>
        <w:t>16</w:t>
        <w:tab/>
        <w:t>$ 80,535</w:t>
        <w:tab/>
        <w:t>$</w:t>
        <w:tab/>
        <w:t>(80,018) $</w:t>
      </w:r>
      <w:r>
        <w:rPr>
          <w:sz w:val="20"/>
          <w:szCs w:val="20"/>
          <w:color w:val="auto"/>
        </w:rPr>
        <w:tab/>
      </w:r>
      <w:r>
        <w:rPr>
          <w:rFonts w:ascii="Arial" w:cs="Arial" w:eastAsia="Arial" w:hAnsi="Arial"/>
          <w:sz w:val="15"/>
          <w:szCs w:val="15"/>
          <w:b w:val="1"/>
          <w:bCs w:val="1"/>
          <w:color w:val="auto"/>
        </w:rPr>
        <w:t>1,165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left="4400"/>
        <w:spacing w:after="0"/>
        <w:tabs>
          <w:tab w:leader="none" w:pos="534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8"/>
          <w:szCs w:val="18"/>
          <w:color w:val="auto"/>
        </w:rPr>
        <w:t>(87)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4400"/>
        <w:spacing w:after="0"/>
        <w:tabs>
          <w:tab w:leader="none" w:pos="53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880"/>
        <w:spacing w:after="0"/>
        <w:tabs>
          <w:tab w:leader="none" w:pos="3540" w:val="left"/>
          <w:tab w:leader="none" w:pos="4380" w:val="left"/>
          <w:tab w:leader="none" w:pos="5300" w:val="left"/>
        </w:tabs>
        <w:rPr>
          <w:sz w:val="20"/>
          <w:szCs w:val="20"/>
          <w:color w:val="auto"/>
        </w:rPr>
      </w:pPr>
      <w:r>
        <w:rPr>
          <w:rFonts w:ascii="Arial" w:cs="Arial" w:eastAsia="Arial" w:hAnsi="Arial"/>
          <w:sz w:val="18"/>
          <w:szCs w:val="18"/>
          <w:color w:val="auto"/>
        </w:rPr>
        <w:t>15,625</w:t>
      </w:r>
      <w:r>
        <w:rPr>
          <w:sz w:val="20"/>
          <w:szCs w:val="20"/>
          <w:color w:val="auto"/>
        </w:rPr>
        <w:tab/>
      </w:r>
      <w:r>
        <w:rPr>
          <w:rFonts w:ascii="Arial" w:cs="Arial" w:eastAsia="Arial" w:hAnsi="Arial"/>
          <w:sz w:val="18"/>
          <w:szCs w:val="18"/>
          <w:color w:val="auto"/>
        </w:rPr>
        <w:t>57</w:t>
      </w:r>
      <w:r>
        <w:rPr>
          <w:sz w:val="20"/>
          <w:szCs w:val="20"/>
          <w:color w:val="auto"/>
        </w:rPr>
        <w:tab/>
      </w:r>
      <w:r>
        <w:rPr>
          <w:rFonts w:ascii="Arial" w:cs="Arial" w:eastAsia="Arial" w:hAnsi="Arial"/>
          <w:sz w:val="18"/>
          <w:szCs w:val="18"/>
          <w:color w:val="auto"/>
        </w:rPr>
        <w:t>(57)</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880"/>
        <w:spacing w:after="0"/>
        <w:tabs>
          <w:tab w:leader="none" w:pos="3460" w:val="left"/>
          <w:tab w:leader="none" w:pos="4320" w:val="left"/>
          <w:tab w:leader="none" w:pos="5300" w:val="left"/>
        </w:tabs>
        <w:rPr>
          <w:sz w:val="20"/>
          <w:szCs w:val="20"/>
          <w:color w:val="auto"/>
        </w:rPr>
      </w:pPr>
      <w:r>
        <w:rPr>
          <w:rFonts w:ascii="Arial" w:cs="Arial" w:eastAsia="Arial" w:hAnsi="Arial"/>
          <w:sz w:val="18"/>
          <w:szCs w:val="18"/>
          <w:color w:val="auto"/>
        </w:rPr>
        <w:t>28,490</w:t>
      </w:r>
      <w:r>
        <w:rPr>
          <w:sz w:val="20"/>
          <w:szCs w:val="20"/>
          <w:color w:val="auto"/>
        </w:rPr>
        <w:tab/>
      </w:r>
      <w:r>
        <w:rPr>
          <w:rFonts w:ascii="Arial" w:cs="Arial" w:eastAsia="Arial" w:hAnsi="Arial"/>
          <w:sz w:val="18"/>
          <w:szCs w:val="18"/>
          <w:color w:val="auto"/>
        </w:rPr>
        <w:t>111</w:t>
      </w:r>
      <w:r>
        <w:rPr>
          <w:sz w:val="20"/>
          <w:szCs w:val="20"/>
          <w:color w:val="auto"/>
        </w:rPr>
        <w:tab/>
      </w:r>
      <w:r>
        <w:rPr>
          <w:rFonts w:ascii="Arial" w:cs="Arial" w:eastAsia="Arial" w:hAnsi="Arial"/>
          <w:sz w:val="18"/>
          <w:szCs w:val="18"/>
          <w:color w:val="auto"/>
        </w:rPr>
        <w:t>(111)</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880"/>
        <w:spacing w:after="0"/>
        <w:tabs>
          <w:tab w:leader="none" w:pos="3460" w:val="left"/>
          <w:tab w:leader="none" w:pos="4300" w:val="left"/>
          <w:tab w:leader="none" w:pos="5300" w:val="left"/>
        </w:tabs>
        <w:rPr>
          <w:sz w:val="20"/>
          <w:szCs w:val="20"/>
          <w:color w:val="auto"/>
        </w:rPr>
      </w:pPr>
      <w:r>
        <w:rPr>
          <w:rFonts w:ascii="Arial" w:cs="Arial" w:eastAsia="Arial" w:hAnsi="Arial"/>
          <w:sz w:val="18"/>
          <w:szCs w:val="18"/>
          <w:color w:val="auto"/>
        </w:rPr>
        <w:t>66,476</w:t>
      </w:r>
      <w:r>
        <w:rPr>
          <w:sz w:val="20"/>
          <w:szCs w:val="20"/>
          <w:color w:val="auto"/>
        </w:rPr>
        <w:tab/>
      </w:r>
      <w:r>
        <w:rPr>
          <w:rFonts w:ascii="Arial" w:cs="Arial" w:eastAsia="Arial" w:hAnsi="Arial"/>
          <w:sz w:val="18"/>
          <w:szCs w:val="18"/>
          <w:color w:val="auto"/>
        </w:rPr>
        <w:t>260</w:t>
      </w:r>
      <w:r>
        <w:rPr>
          <w:sz w:val="20"/>
          <w:szCs w:val="20"/>
          <w:color w:val="auto"/>
        </w:rPr>
        <w:tab/>
      </w:r>
      <w:r>
        <w:rPr>
          <w:rFonts w:ascii="Arial" w:cs="Arial" w:eastAsia="Arial" w:hAnsi="Arial"/>
          <w:sz w:val="18"/>
          <w:szCs w:val="18"/>
          <w:color w:val="auto"/>
        </w:rPr>
        <w:t>(260)</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1880" w:type="dxa"/>
        <w:tblCellMar>
          <w:top w:w="0" w:type="dxa"/>
          <w:left w:w="0" w:type="dxa"/>
          <w:bottom w:w="0" w:type="dxa"/>
          <w:right w:w="0" w:type="dxa"/>
        </w:tblCellMar>
      </w:tblPr>
      <w:tr>
        <w:trPr>
          <w:trHeight w:val="222"/>
        </w:trPr>
        <w:tc>
          <w:tcPr>
            <w:tcW w:w="1080" w:type="dxa"/>
            <w:vAlign w:val="bottom"/>
          </w:tcPr>
          <w:p>
            <w:pPr>
              <w:jc w:val="right"/>
              <w:ind w:right="512"/>
              <w:spacing w:after="0"/>
              <w:rPr>
                <w:sz w:val="20"/>
                <w:szCs w:val="20"/>
                <w:color w:val="auto"/>
              </w:rPr>
            </w:pPr>
            <w:r>
              <w:rPr>
                <w:rFonts w:ascii="Arial" w:cs="Arial" w:eastAsia="Arial" w:hAnsi="Arial"/>
                <w:sz w:val="18"/>
                <w:szCs w:val="18"/>
                <w:color w:val="auto"/>
                <w:w w:val="83"/>
              </w:rPr>
              <w:t>17,114</w:t>
            </w:r>
          </w:p>
        </w:tc>
        <w:tc>
          <w:tcPr>
            <w:tcW w:w="1120" w:type="dxa"/>
            <w:vAlign w:val="bottom"/>
          </w:tcPr>
          <w:p>
            <w:pPr>
              <w:jc w:val="right"/>
              <w:ind w:right="252"/>
              <w:spacing w:after="0"/>
              <w:rPr>
                <w:sz w:val="20"/>
                <w:szCs w:val="20"/>
                <w:color w:val="auto"/>
              </w:rPr>
            </w:pPr>
            <w:r>
              <w:rPr>
                <w:rFonts w:ascii="Arial" w:cs="Arial" w:eastAsia="Arial" w:hAnsi="Arial"/>
                <w:sz w:val="18"/>
                <w:szCs w:val="18"/>
                <w:color w:val="auto"/>
              </w:rPr>
              <w:t>62</w:t>
            </w:r>
          </w:p>
        </w:tc>
        <w:tc>
          <w:tcPr>
            <w:tcW w:w="940" w:type="dxa"/>
            <w:vAlign w:val="bottom"/>
          </w:tcPr>
          <w:p>
            <w:pPr>
              <w:jc w:val="right"/>
              <w:ind w:right="232"/>
              <w:spacing w:after="0"/>
              <w:rPr>
                <w:sz w:val="20"/>
                <w:szCs w:val="20"/>
                <w:color w:val="auto"/>
              </w:rPr>
            </w:pPr>
            <w:r>
              <w:rPr>
                <w:rFonts w:ascii="Arial" w:cs="Arial" w:eastAsia="Arial" w:hAnsi="Arial"/>
                <w:sz w:val="18"/>
                <w:szCs w:val="18"/>
                <w:color w:val="auto"/>
              </w:rPr>
              <w:t>(62)</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864"/>
        </w:trPr>
        <w:tc>
          <w:tcPr>
            <w:tcW w:w="1080" w:type="dxa"/>
            <w:vAlign w:val="bottom"/>
          </w:tcPr>
          <w:p>
            <w:pPr>
              <w:jc w:val="right"/>
              <w:ind w:right="512"/>
              <w:spacing w:after="0"/>
              <w:rPr>
                <w:sz w:val="20"/>
                <w:szCs w:val="20"/>
                <w:color w:val="auto"/>
              </w:rPr>
            </w:pPr>
            <w:r>
              <w:rPr>
                <w:rFonts w:ascii="Arial" w:cs="Arial" w:eastAsia="Arial" w:hAnsi="Arial"/>
                <w:sz w:val="18"/>
                <w:szCs w:val="18"/>
                <w:color w:val="auto"/>
              </w:rPr>
              <w:t>8,475</w:t>
            </w:r>
          </w:p>
        </w:tc>
        <w:tc>
          <w:tcPr>
            <w:tcW w:w="1120" w:type="dxa"/>
            <w:vAlign w:val="bottom"/>
          </w:tcPr>
          <w:p>
            <w:pPr>
              <w:jc w:val="right"/>
              <w:ind w:right="252"/>
              <w:spacing w:after="0"/>
              <w:rPr>
                <w:sz w:val="20"/>
                <w:szCs w:val="20"/>
                <w:color w:val="auto"/>
              </w:rPr>
            </w:pPr>
            <w:r>
              <w:rPr>
                <w:rFonts w:ascii="Arial" w:cs="Arial" w:eastAsia="Arial" w:hAnsi="Arial"/>
                <w:sz w:val="18"/>
                <w:szCs w:val="18"/>
                <w:color w:val="auto"/>
              </w:rPr>
              <w:t>49</w:t>
            </w:r>
          </w:p>
        </w:tc>
        <w:tc>
          <w:tcPr>
            <w:tcW w:w="9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60" w:type="dxa"/>
            <w:vAlign w:val="bottom"/>
          </w:tcPr>
          <w:p>
            <w:pPr>
              <w:spacing w:after="0"/>
              <w:rPr>
                <w:sz w:val="19"/>
                <w:szCs w:val="19"/>
                <w:color w:val="auto"/>
              </w:rPr>
            </w:pPr>
          </w:p>
        </w:tc>
        <w:tc>
          <w:tcPr>
            <w:tcW w:w="1740" w:type="dxa"/>
            <w:vAlign w:val="bottom"/>
            <w:gridSpan w:val="5"/>
          </w:tcPr>
          <w:p>
            <w:pPr>
              <w:jc w:val="right"/>
              <w:ind w:right="140"/>
              <w:spacing w:after="0"/>
              <w:rPr>
                <w:sz w:val="20"/>
                <w:szCs w:val="20"/>
                <w:color w:val="auto"/>
              </w:rPr>
            </w:pPr>
            <w:r>
              <w:rPr>
                <w:rFonts w:ascii="Arial" w:cs="Arial" w:eastAsia="Arial" w:hAnsi="Arial"/>
                <w:sz w:val="18"/>
                <w:szCs w:val="18"/>
                <w:color w:val="auto"/>
              </w:rPr>
              <w:t>102,594</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w:t>
            </w:r>
          </w:p>
        </w:tc>
        <w:tc>
          <w:tcPr>
            <w:tcW w:w="60" w:type="dxa"/>
            <w:vAlign w:val="bottom"/>
          </w:tcPr>
          <w:p>
            <w:pPr>
              <w:spacing w:after="0"/>
              <w:rPr>
                <w:sz w:val="19"/>
                <w:szCs w:val="19"/>
                <w:color w:val="auto"/>
              </w:rPr>
            </w:pPr>
          </w:p>
        </w:tc>
      </w:tr>
      <w:tr>
        <w:trPr>
          <w:trHeight w:val="432"/>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8,763</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(8,763)</w:t>
            </w:r>
          </w:p>
        </w:tc>
        <w:tc>
          <w:tcPr>
            <w:tcW w:w="220" w:type="dxa"/>
            <w:vAlign w:val="bottom"/>
          </w:tcPr>
          <w:p>
            <w:pPr>
              <w:spacing w:after="0"/>
              <w:rPr>
                <w:sz w:val="24"/>
                <w:szCs w:val="2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642"/>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1,467</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1,467</w:t>
            </w:r>
          </w:p>
        </w:tc>
        <w:tc>
          <w:tcPr>
            <w:tcW w:w="60" w:type="dxa"/>
            <w:vAlign w:val="bottom"/>
          </w:tcPr>
          <w:p>
            <w:pPr>
              <w:spacing w:after="0"/>
              <w:rPr>
                <w:sz w:val="24"/>
                <w:szCs w:val="24"/>
                <w:color w:val="auto"/>
              </w:rPr>
            </w:pPr>
          </w:p>
        </w:tc>
      </w:tr>
      <w:tr>
        <w:trPr>
          <w:trHeight w:val="223"/>
        </w:trPr>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(5,747)</w:t>
            </w:r>
          </w:p>
        </w:tc>
        <w:tc>
          <w:tcPr>
            <w:tcW w:w="2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(5,747)</w:t>
            </w:r>
          </w:p>
        </w:tc>
      </w:tr>
      <w:tr>
        <w:trPr>
          <w:trHeight w:val="20"/>
        </w:trPr>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92"/>
              </w:rPr>
              <w:t>1,562,500</w:t>
            </w:r>
          </w:p>
        </w:tc>
        <w:tc>
          <w:tcPr>
            <w:tcW w:w="120" w:type="dxa"/>
            <w:vAlign w:val="bottom"/>
          </w:tcPr>
          <w:p>
            <w:pPr>
              <w:spacing w:after="0"/>
              <w:rPr>
                <w:sz w:val="24"/>
                <w:szCs w:val="24"/>
                <w:color w:val="auto"/>
              </w:rPr>
            </w:pPr>
          </w:p>
        </w:tc>
        <w:tc>
          <w:tcPr>
            <w:tcW w:w="162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97"/>
              </w:rPr>
              <w:t>$  632  16,299,627</w:t>
            </w:r>
          </w:p>
        </w:tc>
        <w:tc>
          <w:tcPr>
            <w:tcW w:w="200" w:type="dxa"/>
            <w:vAlign w:val="bottom"/>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16</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85"/>
              </w:rPr>
              <w:t>$ 91,394</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(95,131) $</w:t>
            </w:r>
          </w:p>
        </w:tc>
        <w:tc>
          <w:tcPr>
            <w:tcW w:w="640" w:type="dxa"/>
            <w:vAlign w:val="bottom"/>
            <w:gridSpan w:val="2"/>
          </w:tcPr>
          <w:p>
            <w:pPr>
              <w:jc w:val="right"/>
              <w:spacing w:after="0"/>
              <w:rPr>
                <w:sz w:val="20"/>
                <w:szCs w:val="20"/>
                <w:color w:val="auto"/>
              </w:rPr>
            </w:pPr>
            <w:r>
              <w:rPr>
                <w:rFonts w:ascii="Arial" w:cs="Arial" w:eastAsia="Arial" w:hAnsi="Arial"/>
                <w:sz w:val="18"/>
                <w:szCs w:val="18"/>
                <w:b w:val="1"/>
                <w:bCs w:val="1"/>
                <w:color w:val="auto"/>
              </w:rPr>
              <w:t>(3,089)</w:t>
            </w:r>
          </w:p>
        </w:tc>
      </w:tr>
      <w:tr>
        <w:trPr>
          <w:trHeight w:val="20"/>
        </w:trPr>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sectPr>
          <w:pgSz w:w="11900" w:h="16838" w:orient="portrait"/>
          <w:cols w:equalWidth="0" w:num="2">
            <w:col w:w="5720" w:space="100"/>
            <w:col w:w="5640"/>
          </w:cols>
          <w:pgMar w:left="240" w:top="459" w:right="199" w:bottom="221" w:gutter="0" w:footer="0" w:header="0"/>
          <w:type w:val="continuous"/>
        </w:sectPr>
      </w:pPr>
    </w:p>
    <w:p>
      <w:pPr>
        <w:jc w:val="center"/>
        <w:ind w:right="40"/>
        <w:spacing w:after="0"/>
        <w:rPr>
          <w:sz w:val="20"/>
          <w:szCs w:val="20"/>
          <w:color w:val="auto"/>
        </w:rPr>
      </w:pPr>
      <w:r>
        <w:rPr>
          <w:rFonts w:ascii="Arial" w:cs="Arial" w:eastAsia="Arial" w:hAnsi="Arial"/>
          <w:sz w:val="15"/>
          <w:szCs w:val="15"/>
          <w:color w:val="auto"/>
        </w:rPr>
        <w:t>See notes to unaudited condensed consolidated financial statements.</w:t>
      </w:r>
    </w:p>
    <w:p>
      <w:pPr>
        <w:sectPr>
          <w:pgSz w:w="11900" w:h="16838" w:orient="portrait"/>
          <w:cols w:equalWidth="0" w:num="1">
            <w:col w:w="11460"/>
          </w:cols>
          <w:pgMar w:left="240" w:top="459" w:right="199" w:bottom="221" w:gutter="0" w:footer="0" w:header="0"/>
          <w:type w:val="continuous"/>
        </w:sectPr>
      </w:pPr>
    </w:p>
    <w:p>
      <w:pPr>
        <w:spacing w:after="0" w:line="19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60"/>
          </w:cols>
          <w:pgMar w:left="240" w:top="459" w:right="199" w:bottom="221"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Development-Stage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6"/>
          </w:tcPr>
          <w:p>
            <w:pPr>
              <w:ind w:left="160"/>
              <w:spacing w:after="0" w:line="149" w:lineRule="exact"/>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2"/>
                <w:szCs w:val="12"/>
                <w:color w:val="auto"/>
              </w:rPr>
            </w:pPr>
          </w:p>
        </w:tc>
        <w:tc>
          <w:tcPr>
            <w:tcW w:w="9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(July 10, 2000)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w w:val="92"/>
              </w:rPr>
              <w:t>June 30,</w:t>
            </w:r>
          </w:p>
        </w:tc>
        <w:tc>
          <w:tcPr>
            <w:tcW w:w="4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to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(5,747)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(4,610)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(77,739)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128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1,467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1280"/>
              <w:spacing w:after="0"/>
              <w:rPr>
                <w:sz w:val="20"/>
                <w:szCs w:val="20"/>
                <w:color w:val="auto"/>
              </w:rPr>
            </w:pPr>
            <w:r>
              <w:rPr>
                <w:rFonts w:ascii="Arial" w:cs="Arial" w:eastAsia="Arial" w:hAnsi="Arial"/>
                <w:sz w:val="18"/>
                <w:szCs w:val="18"/>
                <w:color w:val="auto"/>
              </w:rPr>
              <w:t>Non-cash interest expense</w:t>
            </w:r>
          </w:p>
        </w:tc>
        <w:tc>
          <w:tcPr>
            <w:tcW w:w="100" w:type="dxa"/>
            <w:vAlign w:val="bottom"/>
          </w:tcPr>
          <w:p>
            <w:pPr>
              <w:spacing w:after="0"/>
              <w:rPr>
                <w:sz w:val="18"/>
                <w:szCs w:val="18"/>
                <w:color w:val="auto"/>
              </w:rPr>
            </w:pPr>
          </w:p>
        </w:tc>
        <w:tc>
          <w:tcPr>
            <w:tcW w:w="7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Change in fair value of convertible debt instrument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1280"/>
              <w:spacing w:after="0"/>
              <w:rPr>
                <w:sz w:val="20"/>
                <w:szCs w:val="20"/>
                <w:color w:val="auto"/>
              </w:rPr>
            </w:pPr>
            <w:r>
              <w:rPr>
                <w:rFonts w:ascii="Arial" w:cs="Arial" w:eastAsia="Arial" w:hAnsi="Arial"/>
                <w:sz w:val="18"/>
                <w:szCs w:val="18"/>
                <w:color w:val="auto"/>
              </w:rPr>
              <w:t>Change in fair value of warrant liabilities</w:t>
            </w:r>
          </w:p>
        </w:tc>
        <w:tc>
          <w:tcPr>
            <w:tcW w:w="100" w:type="dxa"/>
            <w:vAlign w:val="bottom"/>
          </w:tcPr>
          <w:p>
            <w:pPr>
              <w:spacing w:after="0"/>
              <w:rPr>
                <w:sz w:val="18"/>
                <w:szCs w:val="18"/>
                <w:color w:val="auto"/>
              </w:rPr>
            </w:pPr>
          </w:p>
        </w:tc>
        <w:tc>
          <w:tcPr>
            <w:tcW w:w="7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(9,022)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Write off of intangible assets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128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172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(435)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vMerge w:val="restart"/>
          </w:tcPr>
          <w:p>
            <w:pPr>
              <w:ind w:left="214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(4,355)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(3,670)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(62,908)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7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patents costs and other assets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vMerge w:val="restart"/>
          </w:tcPr>
          <w:p>
            <w:pPr>
              <w:ind w:left="860"/>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420"/>
              <w:spacing w:after="0"/>
              <w:rPr>
                <w:sz w:val="20"/>
                <w:szCs w:val="20"/>
                <w:color w:val="auto"/>
              </w:rPr>
            </w:pPr>
            <w:r>
              <w:rPr>
                <w:rFonts w:ascii="Arial" w:cs="Arial" w:eastAsia="Arial" w:hAnsi="Arial"/>
                <w:sz w:val="18"/>
                <w:szCs w:val="18"/>
                <w:color w:val="auto"/>
              </w:rPr>
              <w:t>Net proceeds from issuance of common stock and warrants</w:t>
            </w:r>
          </w:p>
        </w:tc>
        <w:tc>
          <w:tcPr>
            <w:tcW w:w="100" w:type="dxa"/>
            <w:vAlign w:val="bottom"/>
          </w:tcPr>
          <w:p>
            <w:pPr>
              <w:spacing w:after="0"/>
              <w:rPr>
                <w:sz w:val="18"/>
                <w:szCs w:val="18"/>
                <w:color w:val="auto"/>
              </w:rPr>
            </w:pPr>
          </w:p>
        </w:tc>
        <w:tc>
          <w:tcPr>
            <w:tcW w:w="7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10,403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39,093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proceeds from issuance of Series A preferred stock and related warrants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420"/>
              <w:spacing w:after="0"/>
              <w:rPr>
                <w:sz w:val="20"/>
                <w:szCs w:val="20"/>
                <w:color w:val="auto"/>
              </w:rPr>
            </w:pPr>
            <w:r>
              <w:rPr>
                <w:rFonts w:ascii="Arial" w:cs="Arial" w:eastAsia="Arial" w:hAnsi="Arial"/>
                <w:sz w:val="18"/>
                <w:szCs w:val="18"/>
                <w:color w:val="auto"/>
              </w:rPr>
              <w:t>Net proceeds from issuance of Series B-1 preferred stock and related warrants</w:t>
            </w:r>
          </w:p>
        </w:tc>
        <w:tc>
          <w:tcPr>
            <w:tcW w:w="100" w:type="dxa"/>
            <w:vAlign w:val="bottom"/>
          </w:tcPr>
          <w:p>
            <w:pPr>
              <w:spacing w:after="0"/>
              <w:rPr>
                <w:sz w:val="18"/>
                <w:szCs w:val="18"/>
                <w:color w:val="auto"/>
              </w:rPr>
            </w:pPr>
          </w:p>
        </w:tc>
        <w:tc>
          <w:tcPr>
            <w:tcW w:w="7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proceeds from issuance of Series B-2 preferred stock and related warrants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420"/>
              <w:spacing w:after="0"/>
              <w:rPr>
                <w:sz w:val="20"/>
                <w:szCs w:val="20"/>
                <w:color w:val="auto"/>
              </w:rPr>
            </w:pPr>
            <w:r>
              <w:rPr>
                <w:rFonts w:ascii="Arial" w:cs="Arial" w:eastAsia="Arial" w:hAnsi="Arial"/>
                <w:sz w:val="18"/>
                <w:szCs w:val="18"/>
                <w:color w:val="auto"/>
              </w:rPr>
              <w:t>Net proceeds from issuance of Series C preferred stock</w:t>
            </w:r>
          </w:p>
        </w:tc>
        <w:tc>
          <w:tcPr>
            <w:tcW w:w="100" w:type="dxa"/>
            <w:vAlign w:val="bottom"/>
          </w:tcPr>
          <w:p>
            <w:pPr>
              <w:spacing w:after="0"/>
              <w:rPr>
                <w:sz w:val="18"/>
                <w:szCs w:val="18"/>
                <w:color w:val="auto"/>
              </w:rPr>
            </w:pPr>
          </w:p>
        </w:tc>
        <w:tc>
          <w:tcPr>
            <w:tcW w:w="7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proceeds from issuance of convertible debt instruments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420"/>
              <w:spacing w:after="0"/>
              <w:rPr>
                <w:sz w:val="20"/>
                <w:szCs w:val="20"/>
                <w:color w:val="auto"/>
              </w:rPr>
            </w:pPr>
            <w:r>
              <w:rPr>
                <w:rFonts w:ascii="Arial" w:cs="Arial" w:eastAsia="Arial" w:hAnsi="Arial"/>
                <w:sz w:val="18"/>
                <w:szCs w:val="18"/>
                <w:color w:val="auto"/>
              </w:rPr>
              <w:t>Repayment of convertible debt instruments</w:t>
            </w:r>
          </w:p>
        </w:tc>
        <w:tc>
          <w:tcPr>
            <w:tcW w:w="100" w:type="dxa"/>
            <w:vAlign w:val="bottom"/>
          </w:tcPr>
          <w:p>
            <w:pPr>
              <w:spacing w:after="0"/>
              <w:rPr>
                <w:sz w:val="18"/>
                <w:szCs w:val="18"/>
                <w:color w:val="auto"/>
              </w:rPr>
            </w:pPr>
          </w:p>
        </w:tc>
        <w:tc>
          <w:tcPr>
            <w:tcW w:w="7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exercise of common stock warrants and options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Pr>
          <w:p>
            <w:pPr>
              <w:ind w:left="420"/>
              <w:spacing w:after="0"/>
              <w:rPr>
                <w:sz w:val="20"/>
                <w:szCs w:val="20"/>
                <w:color w:val="auto"/>
              </w:rPr>
            </w:pPr>
            <w:r>
              <w:rPr>
                <w:rFonts w:ascii="Arial" w:cs="Arial" w:eastAsia="Arial" w:hAnsi="Arial"/>
                <w:sz w:val="18"/>
                <w:szCs w:val="18"/>
                <w:color w:val="auto"/>
              </w:rPr>
              <w:t>Proceeds from shareholder advances</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10,403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480" w:type="dxa"/>
            <w:vAlign w:val="bottom"/>
            <w:gridSpan w:val="2"/>
          </w:tcPr>
          <w:p>
            <w:pPr>
              <w:spacing w:after="0"/>
              <w:rPr>
                <w:sz w:val="20"/>
                <w:szCs w:val="20"/>
                <w:color w:val="auto"/>
              </w:rPr>
            </w:pPr>
            <w:r>
              <w:rPr>
                <w:rFonts w:ascii="Arial" w:cs="Arial" w:eastAsia="Arial" w:hAnsi="Arial"/>
                <w:sz w:val="18"/>
                <w:szCs w:val="18"/>
                <w:color w:val="auto"/>
              </w:rPr>
              <w:t>NET (DECREASE) INCREASE IN CASH AND CASH EQUIVALENTS</w:t>
            </w:r>
          </w:p>
        </w:tc>
        <w:tc>
          <w:tcPr>
            <w:tcW w:w="10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(4,265)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6,733</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5,099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9,364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8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5,099</w:t>
            </w: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13,130</w:t>
            </w:r>
          </w:p>
        </w:tc>
        <w:tc>
          <w:tcPr>
            <w:tcW w:w="34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5,099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 Cash paid for 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NONCASH FINANCING ACTIVITIES: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equity warrants in connection with equity offerings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4,445</w:t>
            </w:r>
          </w:p>
        </w:tc>
        <w:tc>
          <w:tcPr>
            <w:tcW w:w="3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420"/>
              <w:spacing w:after="0"/>
              <w:rPr>
                <w:sz w:val="20"/>
                <w:szCs w:val="20"/>
                <w:color w:val="auto"/>
              </w:rPr>
            </w:pPr>
            <w:r>
              <w:rPr>
                <w:rFonts w:ascii="Arial" w:cs="Arial" w:eastAsia="Arial" w:hAnsi="Arial"/>
                <w:sz w:val="18"/>
                <w:szCs w:val="18"/>
                <w:color w:val="auto"/>
              </w:rPr>
              <w:t>Conversion of accrued expenses into common stock</w:t>
            </w:r>
          </w:p>
        </w:tc>
        <w:tc>
          <w:tcPr>
            <w:tcW w:w="100" w:type="dxa"/>
            <w:vAlign w:val="bottom"/>
          </w:tcPr>
          <w:p>
            <w:pPr>
              <w:spacing w:after="0"/>
              <w:rPr>
                <w:sz w:val="18"/>
                <w:szCs w:val="18"/>
                <w:color w:val="auto"/>
              </w:rPr>
            </w:pPr>
          </w:p>
        </w:tc>
        <w:tc>
          <w:tcPr>
            <w:tcW w:w="7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Cashless exercise of common stock options and warrants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158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190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420"/>
              <w:spacing w:after="0"/>
              <w:rPr>
                <w:sz w:val="20"/>
                <w:szCs w:val="20"/>
                <w:color w:val="auto"/>
              </w:rPr>
            </w:pPr>
            <w:r>
              <w:rPr>
                <w:rFonts w:ascii="Arial" w:cs="Arial" w:eastAsia="Arial" w:hAnsi="Arial"/>
                <w:sz w:val="18"/>
                <w:szCs w:val="18"/>
                <w:color w:val="auto"/>
              </w:rPr>
              <w:t>Conversion and redemption of convertible notes and accrued interest into common stock</w:t>
            </w:r>
          </w:p>
        </w:tc>
        <w:tc>
          <w:tcPr>
            <w:tcW w:w="100" w:type="dxa"/>
            <w:vAlign w:val="bottom"/>
          </w:tcPr>
          <w:p>
            <w:pPr>
              <w:spacing w:after="0"/>
              <w:rPr>
                <w:sz w:val="18"/>
                <w:szCs w:val="18"/>
                <w:color w:val="auto"/>
              </w:rPr>
            </w:pPr>
          </w:p>
        </w:tc>
        <w:tc>
          <w:tcPr>
            <w:tcW w:w="7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Conversion of extension costs related to convertible notes into common stock</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420"/>
              <w:spacing w:after="0"/>
              <w:rPr>
                <w:sz w:val="20"/>
                <w:szCs w:val="20"/>
                <w:color w:val="auto"/>
              </w:rPr>
            </w:pPr>
            <w:r>
              <w:rPr>
                <w:rFonts w:ascii="Arial" w:cs="Arial" w:eastAsia="Arial" w:hAnsi="Arial"/>
                <w:sz w:val="18"/>
                <w:szCs w:val="18"/>
                <w:color w:val="auto"/>
              </w:rPr>
              <w:t>Payment of preferred stock dividends in common stock</w:t>
            </w:r>
          </w:p>
        </w:tc>
        <w:tc>
          <w:tcPr>
            <w:tcW w:w="10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w w:val="79"/>
              </w:rPr>
              <w:t>490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w w:val="79"/>
              </w:rPr>
              <w:t>464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warrants to induce conversion of notes payable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60" w:type="dxa"/>
            <w:vAlign w:val="bottom"/>
          </w:tcPr>
          <w:p>
            <w:pPr>
              <w:ind w:left="420"/>
              <w:spacing w:after="0"/>
              <w:rPr>
                <w:sz w:val="20"/>
                <w:szCs w:val="20"/>
                <w:color w:val="auto"/>
              </w:rPr>
            </w:pPr>
            <w:r>
              <w:rPr>
                <w:rFonts w:ascii="Arial" w:cs="Arial" w:eastAsia="Arial" w:hAnsi="Arial"/>
                <w:sz w:val="18"/>
                <w:szCs w:val="18"/>
                <w:color w:val="auto"/>
              </w:rPr>
              <w:t>Issuance of stock to acquire Pro-Pharmaceuticals-NV</w:t>
            </w:r>
          </w:p>
        </w:tc>
        <w:tc>
          <w:tcPr>
            <w:tcW w:w="100" w:type="dxa"/>
            <w:vAlign w:val="bottom"/>
          </w:tcPr>
          <w:p>
            <w:pPr>
              <w:spacing w:after="0"/>
              <w:rPr>
                <w:sz w:val="19"/>
                <w:szCs w:val="19"/>
                <w:color w:val="auto"/>
              </w:rPr>
            </w:pPr>
          </w:p>
        </w:tc>
        <w:tc>
          <w:tcPr>
            <w:tcW w:w="7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DEVELOPMENT-STAGE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78"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jc w:val="center"/>
        <w:ind w:right="20"/>
        <w:spacing w:after="0" w:line="306" w:lineRule="auto"/>
        <w:rPr>
          <w:sz w:val="20"/>
          <w:szCs w:val="20"/>
          <w:color w:val="auto"/>
        </w:rPr>
      </w:pPr>
      <w:r>
        <w:rPr>
          <w:rFonts w:ascii="Arial" w:cs="Arial" w:eastAsia="Arial" w:hAnsi="Arial"/>
          <w:sz w:val="16"/>
          <w:szCs w:val="16"/>
          <w:color w:val="auto"/>
        </w:rPr>
        <w:t>Galectin Therapeutics Inc. (the “Company”) is a development-stage company that is applying its leadership in galectin science and drug development to create new therapies for fibrotic disease and cancer. These therapeutic candidates are based on the Company’s targeting of galectin proteins which are key mediators of biologic and pathologic function. These compounds also may have application for drugs to treat other diseases and chronic health conditions.</w:t>
      </w:r>
    </w:p>
    <w:p>
      <w:pPr>
        <w:spacing w:after="0" w:line="107"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The unaudited condensed consolidated financial statements as reported in this Quarterly Report on Form 10-Q reflect all adjustments which are, in the opinion of management, necessary to present fairly the financial position of the Company as of June 30, 2013 and the results of its operations for the three and six months ended June 30, 2013 and 2012 and the cumulative period from inception (July 10, 2000) through June 30, 2013 and its cash flows for the six months ended June 30, 2013 and 2012, and for the cumulative period from inception (July 10, 2000) to June 30, 2013. Such adjustments, other than nonrecurring adjustments that have been separately disclosed, are of a normal, recurring nature. The Company considers events or transactions that occur after the balance sheet date but before the financial statements are issued to provide additional evidence relative to certain estimates or to identify matters that require additional disclosure. Subsequent events have been evaluated through the date these financial statements are available to be issued. The results for interim periods are not necessarily indicative of results which may be expected for any other interim period or for the full year. The unaudited condensed consolidated financial statements of the Company should be read in conjunction with its Annual Report on Form 10-K for the year ended December 31, 2012.</w:t>
      </w:r>
    </w:p>
    <w:p>
      <w:pPr>
        <w:spacing w:after="0" w:line="120"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The Company has operated at a loss since its inception and has had no significant revenues. The Company anticipates that losses will continue for the foreseeable future as is develops its therapeutic candidates. At June 30, 2013, the Company had $5,099,000 of unrestricted cash and cash equivalents available to fund future operations. Subsequent to June 30, 2013, the Company received $2,429,923 from the exercise of warrants for 578,553 shares of common stock. The Company believes that with the cash on hand at June 30, 2013 and the cash received subsequent to quarter end, there is sufficient cash to fund operations through the first quarter of 2014. The Company’s ability to fund operations after its current cash resources are exhausted depends on its ability to obtain additional financing or achieve profitable operations, as to which no assurances can be given. The Company has developed several plans, including cost containment efforts and potential strategic alternatives in the event that such financing cannot be realized by the Company. Accordingly, based on the forecasts and estimates underlying the Company’s current operating plan, the financial statements do not currently include any adjustments that might be necessary if the Company is unable to continue as a going concern.</w:t>
      </w:r>
    </w:p>
    <w:p>
      <w:pPr>
        <w:spacing w:after="0" w:line="120" w:lineRule="exact"/>
        <w:rPr>
          <w:sz w:val="20"/>
          <w:szCs w:val="20"/>
          <w:color w:val="auto"/>
        </w:rPr>
      </w:pPr>
    </w:p>
    <w:p>
      <w:pPr>
        <w:ind w:right="80" w:firstLine="913"/>
        <w:spacing w:after="0" w:line="289" w:lineRule="auto"/>
        <w:rPr>
          <w:sz w:val="20"/>
          <w:szCs w:val="20"/>
          <w:color w:val="auto"/>
        </w:rPr>
      </w:pPr>
      <w:r>
        <w:rPr>
          <w:rFonts w:ascii="Arial" w:cs="Arial" w:eastAsia="Arial" w:hAnsi="Arial"/>
          <w:sz w:val="16"/>
          <w:szCs w:val="16"/>
          <w:color w:val="auto"/>
        </w:rPr>
        <w:t>As shown in the condensed consolidated financial statements, the Company incurred cumulative net losses applicable to common stockholders of $95.4 million for the cumulative period from inception (July 10, 2000) through June 30, 2013. The Company’s net losses have resulted principally from costs associated with (i) research and development expenses, including clinical trial costs, (ii) general and administrative activities and (iii) the Company’s financing transactions including interest, dividend payments, and the costs related to fair value accounting for the Company’s convertible debt instruments. As a result of planned expenditures for future research, discovery, development and commercialization activities and potential legal cost to protect its intellectual property, the Company expects to incur additional losses and use additional cash in its operations for the foreseeable future. Through June 30, 2013, the Company had raised a net total of $68.8 million in capital through sale and issuance of common stock, common stock purchase warrants, convertible preferred stock and debt securities in public and private offerings. From inception (July 10, 2000) through June 30, 2013, the Company used cash of $62.9 million in its operations.</w:t>
      </w:r>
    </w:p>
    <w:p>
      <w:pPr>
        <w:spacing w:after="0" w:line="118" w:lineRule="exact"/>
        <w:rPr>
          <w:sz w:val="20"/>
          <w:szCs w:val="20"/>
          <w:color w:val="auto"/>
        </w:rPr>
      </w:pPr>
    </w:p>
    <w:p>
      <w:pPr>
        <w:jc w:val="both"/>
        <w:ind w:right="60" w:firstLine="913"/>
        <w:spacing w:after="0" w:line="335" w:lineRule="auto"/>
        <w:rPr>
          <w:sz w:val="20"/>
          <w:szCs w:val="20"/>
          <w:color w:val="auto"/>
        </w:rPr>
      </w:pPr>
      <w:r>
        <w:rPr>
          <w:rFonts w:ascii="Arial" w:cs="Arial" w:eastAsia="Arial" w:hAnsi="Arial"/>
          <w:sz w:val="15"/>
          <w:szCs w:val="15"/>
          <w:color w:val="auto"/>
        </w:rPr>
        <w:t>The Company was founded in July 2000, was incorporated in the State of Nevada in January 2001 under the name “Pro-Pharmaceuticals, Inc.,” and changed its name to “Galectin Therapeutics Inc.” on May 26, 2011. On March 23, 2012, the Company began trading on The NASDAQ Capital Market under the symbol GALT. Immediately prior to March 23, 2012, the Company was traded on the Over-the Counter Bulletin Board (“OTCBB”) under the symbol GALT.OB.</w:t>
      </w:r>
    </w:p>
    <w:p>
      <w:pPr>
        <w:spacing w:after="0" w:line="88"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color w:val="auto"/>
        </w:rPr>
        <w:t>The Company is subject to a number of risks similar to those of other development-stage companies, including dependence on key individuals, uncertainty of product development and generation of revenues, dependence on outside sources of capital, risks associated with clinical trials of products, dependence on third-party collaborators for research operations, need for regulatory approval of products, risks associated with protection of intellectual property, and competition with larger, better-capitalized companies. Successful completion of the Company’s development program and, ultimately, the attainment of profitable operations is dependent upon future events, including obtaining adequate financing to fulfill its development activities and achieving a level of revenues adequate to support the Company’s cost structure. There are no assurances that the Company will be able to obtain additional financing on favorable terms, or at all, or successfully market its products.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Accrued expenses consist of the following:</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w w:val="81"/>
              </w:rPr>
              <w:t>June 30,</w:t>
            </w:r>
          </w:p>
        </w:tc>
        <w:tc>
          <w:tcPr>
            <w:tcW w:w="1440" w:type="dxa"/>
            <w:vAlign w:val="bottom"/>
            <w:gridSpan w:val="4"/>
          </w:tcPr>
          <w:p>
            <w:pPr>
              <w:ind w:left="580"/>
              <w:spacing w:after="0"/>
              <w:rPr>
                <w:sz w:val="20"/>
                <w:szCs w:val="20"/>
                <w:color w:val="auto"/>
              </w:rPr>
            </w:pPr>
            <w:r>
              <w:rPr>
                <w:rFonts w:ascii="Arial" w:cs="Arial" w:eastAsia="Arial" w:hAnsi="Arial"/>
                <w:sz w:val="14"/>
                <w:szCs w:val="14"/>
                <w:color w:val="auto"/>
                <w:w w:val="95"/>
              </w:rPr>
              <w:t>December 31,</w:t>
            </w:r>
          </w:p>
        </w:tc>
      </w:tr>
      <w:tr>
        <w:trPr>
          <w:trHeight w:val="159"/>
        </w:trPr>
        <w:tc>
          <w:tcPr>
            <w:tcW w:w="2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56"/>
              <w:spacing w:after="0" w:line="159" w:lineRule="exact"/>
              <w:rPr>
                <w:sz w:val="20"/>
                <w:szCs w:val="20"/>
                <w:color w:val="auto"/>
              </w:rPr>
            </w:pPr>
            <w:r>
              <w:rPr>
                <w:rFonts w:ascii="Arial" w:cs="Arial" w:eastAsia="Arial" w:hAnsi="Arial"/>
                <w:sz w:val="14"/>
                <w:szCs w:val="14"/>
                <w:color w:val="auto"/>
                <w:w w:val="83"/>
              </w:rPr>
              <w:t>2013</w:t>
            </w:r>
          </w:p>
        </w:tc>
        <w:tc>
          <w:tcPr>
            <w:tcW w:w="5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76"/>
              <w:spacing w:after="0" w:line="159" w:lineRule="exact"/>
              <w:rPr>
                <w:sz w:val="20"/>
                <w:szCs w:val="20"/>
                <w:color w:val="auto"/>
              </w:rPr>
            </w:pPr>
            <w:r>
              <w:rPr>
                <w:rFonts w:ascii="Arial" w:cs="Arial" w:eastAsia="Arial" w:hAnsi="Arial"/>
                <w:sz w:val="14"/>
                <w:szCs w:val="14"/>
                <w:color w:val="auto"/>
                <w:w w:val="83"/>
              </w:rPr>
              <w:t>2012</w:t>
            </w:r>
          </w:p>
        </w:tc>
        <w:tc>
          <w:tcPr>
            <w:tcW w:w="10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gridSpan w:val="2"/>
          </w:tcPr>
          <w:p>
            <w:pPr>
              <w:ind w:left="20"/>
              <w:spacing w:after="0" w:line="142" w:lineRule="exact"/>
              <w:rPr>
                <w:sz w:val="20"/>
                <w:szCs w:val="20"/>
                <w:color w:val="auto"/>
              </w:rPr>
            </w:pPr>
            <w:r>
              <w:rPr>
                <w:rFonts w:ascii="Arial" w:cs="Arial" w:eastAsia="Arial" w:hAnsi="Arial"/>
                <w:sz w:val="14"/>
                <w:szCs w:val="14"/>
                <w:color w:val="auto"/>
                <w:w w:val="85"/>
              </w:rPr>
              <w:t>(in thousands)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Legal and accounting fees</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8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Accrued compensation</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36</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Severance agreement (Note 8)</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Other</w:t>
            </w:r>
          </w:p>
        </w:tc>
        <w:tc>
          <w:tcPr>
            <w:tcW w:w="2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5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1,129</w:t>
            </w:r>
          </w:p>
        </w:tc>
        <w:tc>
          <w:tcPr>
            <w:tcW w:w="8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Following is the stock-based compensation expense related to common stock options, common stock, restricted common stock and common stock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warrants:</w:t>
      </w:r>
    </w:p>
    <w:p>
      <w:pPr>
        <w:spacing w:after="0" w:line="19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6"/>
          </w:tcPr>
          <w:p>
            <w:pPr>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4"/>
                <w:szCs w:val="14"/>
                <w:color w:val="auto"/>
              </w:rPr>
            </w:pPr>
          </w:p>
        </w:tc>
        <w:tc>
          <w:tcPr>
            <w:tcW w:w="1380" w:type="dxa"/>
            <w:vAlign w:val="bottom"/>
            <w:gridSpan w:val="6"/>
          </w:tcPr>
          <w:p>
            <w:pPr>
              <w:ind w:left="100"/>
              <w:spacing w:after="0"/>
              <w:rPr>
                <w:sz w:val="20"/>
                <w:szCs w:val="20"/>
                <w:color w:val="auto"/>
              </w:rPr>
            </w:pPr>
            <w:r>
              <w:rPr>
                <w:rFonts w:ascii="Arial" w:cs="Arial" w:eastAsia="Arial" w:hAnsi="Arial"/>
                <w:sz w:val="14"/>
                <w:szCs w:val="14"/>
                <w:color w:val="auto"/>
              </w:rPr>
              <w:t>Six Months Ended</w:t>
            </w:r>
          </w:p>
        </w:tc>
      </w:tr>
      <w:tr>
        <w:trPr>
          <w:trHeight w:val="159"/>
        </w:trPr>
        <w:tc>
          <w:tcPr>
            <w:tcW w:w="53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ind w:left="340"/>
              <w:spacing w:after="0" w:line="159" w:lineRule="exact"/>
              <w:rPr>
                <w:sz w:val="20"/>
                <w:szCs w:val="20"/>
                <w:color w:val="auto"/>
              </w:rPr>
            </w:pPr>
            <w:r>
              <w:rPr>
                <w:rFonts w:ascii="Arial" w:cs="Arial" w:eastAsia="Arial" w:hAnsi="Arial"/>
                <w:sz w:val="14"/>
                <w:szCs w:val="14"/>
                <w:color w:val="auto"/>
                <w:w w:val="85"/>
              </w:rPr>
              <w:t>June</w:t>
            </w:r>
          </w:p>
        </w:tc>
        <w:tc>
          <w:tcPr>
            <w:tcW w:w="240" w:type="dxa"/>
            <w:vAlign w:val="bottom"/>
            <w:tcBorders>
              <w:bottom w:val="single" w:sz="8" w:color="auto"/>
            </w:tcBorders>
            <w:gridSpan w:val="2"/>
          </w:tcPr>
          <w:p>
            <w:pPr>
              <w:jc w:val="right"/>
              <w:ind w:right="40"/>
              <w:spacing w:after="0" w:line="159" w:lineRule="exact"/>
              <w:rPr>
                <w:sz w:val="20"/>
                <w:szCs w:val="20"/>
                <w:color w:val="auto"/>
              </w:rPr>
            </w:pPr>
            <w:r>
              <w:rPr>
                <w:rFonts w:ascii="Arial" w:cs="Arial" w:eastAsia="Arial" w:hAnsi="Arial"/>
                <w:sz w:val="14"/>
                <w:szCs w:val="14"/>
                <w:color w:val="auto"/>
                <w:w w:val="92"/>
              </w:rPr>
              <w:t>30,</w:t>
            </w:r>
          </w:p>
        </w:tc>
        <w:tc>
          <w:tcPr>
            <w:tcW w:w="40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2"/>
          </w:tcPr>
          <w:p>
            <w:pPr>
              <w:ind w:left="360"/>
              <w:spacing w:after="0" w:line="159" w:lineRule="exact"/>
              <w:rPr>
                <w:sz w:val="20"/>
                <w:szCs w:val="20"/>
                <w:color w:val="auto"/>
              </w:rPr>
            </w:pPr>
            <w:r>
              <w:rPr>
                <w:rFonts w:ascii="Arial" w:cs="Arial" w:eastAsia="Arial" w:hAnsi="Arial"/>
                <w:sz w:val="14"/>
                <w:szCs w:val="14"/>
                <w:color w:val="auto"/>
                <w:w w:val="85"/>
              </w:rPr>
              <w:t>June</w:t>
            </w:r>
          </w:p>
        </w:tc>
        <w:tc>
          <w:tcPr>
            <w:tcW w:w="240" w:type="dxa"/>
            <w:vAlign w:val="bottom"/>
            <w:tcBorders>
              <w:bottom w:val="single" w:sz="8" w:color="auto"/>
            </w:tcBorders>
            <w:gridSpan w:val="2"/>
          </w:tcPr>
          <w:p>
            <w:pPr>
              <w:jc w:val="right"/>
              <w:ind w:right="40"/>
              <w:spacing w:after="0" w:line="159" w:lineRule="exact"/>
              <w:rPr>
                <w:sz w:val="20"/>
                <w:szCs w:val="20"/>
                <w:color w:val="auto"/>
              </w:rPr>
            </w:pPr>
            <w:r>
              <w:rPr>
                <w:rFonts w:ascii="Arial" w:cs="Arial" w:eastAsia="Arial" w:hAnsi="Arial"/>
                <w:sz w:val="14"/>
                <w:szCs w:val="14"/>
                <w:color w:val="auto"/>
                <w:w w:val="92"/>
              </w:rPr>
              <w:t>30,</w:t>
            </w:r>
          </w:p>
        </w:tc>
        <w:tc>
          <w:tcPr>
            <w:tcW w:w="4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31"/>
        </w:trPr>
        <w:tc>
          <w:tcPr>
            <w:tcW w:w="53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line="131" w:lineRule="exact"/>
              <w:rPr>
                <w:sz w:val="20"/>
                <w:szCs w:val="20"/>
                <w:color w:val="auto"/>
              </w:rPr>
            </w:pPr>
            <w:r>
              <w:rPr>
                <w:rFonts w:ascii="Arial" w:cs="Arial" w:eastAsia="Arial" w:hAnsi="Arial"/>
                <w:sz w:val="14"/>
                <w:szCs w:val="14"/>
                <w:color w:val="auto"/>
              </w:rPr>
              <w:t>2013</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ind w:right="40"/>
              <w:spacing w:after="0" w:line="131" w:lineRule="exact"/>
              <w:rPr>
                <w:sz w:val="20"/>
                <w:szCs w:val="20"/>
                <w:color w:val="auto"/>
              </w:rPr>
            </w:pPr>
            <w:r>
              <w:rPr>
                <w:rFonts w:ascii="Arial" w:cs="Arial" w:eastAsia="Arial" w:hAnsi="Arial"/>
                <w:sz w:val="14"/>
                <w:szCs w:val="14"/>
                <w:color w:val="auto"/>
                <w:w w:val="83"/>
              </w:rPr>
              <w:t>2012</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ind w:right="22"/>
              <w:spacing w:after="0" w:line="131" w:lineRule="exact"/>
              <w:rPr>
                <w:sz w:val="20"/>
                <w:szCs w:val="20"/>
                <w:color w:val="auto"/>
              </w:rPr>
            </w:pPr>
            <w:r>
              <w:rPr>
                <w:rFonts w:ascii="Arial" w:cs="Arial" w:eastAsia="Arial" w:hAnsi="Arial"/>
                <w:sz w:val="14"/>
                <w:szCs w:val="14"/>
                <w:color w:val="auto"/>
                <w:w w:val="89"/>
              </w:rPr>
              <w:t>2013</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ind w:right="17"/>
              <w:spacing w:after="0" w:line="131" w:lineRule="exact"/>
              <w:rPr>
                <w:sz w:val="20"/>
                <w:szCs w:val="20"/>
                <w:color w:val="auto"/>
              </w:rPr>
            </w:pPr>
            <w:r>
              <w:rPr>
                <w:rFonts w:ascii="Arial" w:cs="Arial" w:eastAsia="Arial" w:hAnsi="Arial"/>
                <w:sz w:val="14"/>
                <w:szCs w:val="14"/>
                <w:color w:val="auto"/>
                <w:w w:val="89"/>
              </w:rPr>
              <w:t>2012</w:t>
            </w:r>
          </w:p>
        </w:tc>
        <w:tc>
          <w:tcPr>
            <w:tcW w:w="100" w:type="dxa"/>
            <w:vAlign w:val="bottom"/>
          </w:tcPr>
          <w:p>
            <w:pPr>
              <w:spacing w:after="0"/>
              <w:rPr>
                <w:sz w:val="11"/>
                <w:szCs w:val="11"/>
                <w:color w:val="auto"/>
              </w:rPr>
            </w:pPr>
          </w:p>
        </w:tc>
      </w:tr>
      <w:tr>
        <w:trPr>
          <w:trHeight w:val="159"/>
        </w:trPr>
        <w:tc>
          <w:tcPr>
            <w:tcW w:w="53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5"/>
          </w:tcPr>
          <w:p>
            <w:pPr>
              <w:ind w:left="200"/>
              <w:spacing w:after="0" w:line="159" w:lineRule="exact"/>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CEEFF"/>
          </w:tcPr>
          <w:p>
            <w:pPr>
              <w:spacing w:after="0"/>
              <w:rPr>
                <w:sz w:val="18"/>
                <w:szCs w:val="18"/>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100" w:type="dxa"/>
            <w:vAlign w:val="bottom"/>
          </w:tcPr>
          <w:p>
            <w:pPr>
              <w:spacing w:after="0"/>
              <w:rPr>
                <w:sz w:val="19"/>
                <w:szCs w:val="19"/>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stock-based compensation expense</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2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879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1,467</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1,352</w:t>
            </w:r>
          </w:p>
        </w:tc>
        <w:tc>
          <w:tcPr>
            <w:tcW w:w="100" w:type="dxa"/>
            <w:vAlign w:val="bottom"/>
            <w:shd w:val="clear" w:color="auto" w:fill="CCEEFF"/>
          </w:tcPr>
          <w:p>
            <w:pPr>
              <w:spacing w:after="0"/>
              <w:rPr>
                <w:sz w:val="18"/>
                <w:szCs w:val="18"/>
                <w:color w:val="auto"/>
              </w:rPr>
            </w:pPr>
          </w:p>
        </w:tc>
      </w:tr>
      <w:tr>
        <w:trPr>
          <w:trHeight w:val="20"/>
        </w:trPr>
        <w:tc>
          <w:tcPr>
            <w:tcW w:w="5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The following table summarizes the stock option activity in the Company’s equity incentive plans, including non-plan grants to Company executives, from December 31, 2012 through June 30, 2013:</w:t>
      </w:r>
    </w:p>
    <w:p>
      <w:pPr>
        <w:spacing w:after="0" w:line="15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gridSpan w:val="4"/>
          </w:tcPr>
          <w:p>
            <w:pPr>
              <w:jc w:val="right"/>
              <w:ind w:right="120"/>
              <w:spacing w:after="0"/>
              <w:rPr>
                <w:sz w:val="20"/>
                <w:szCs w:val="20"/>
                <w:color w:val="auto"/>
              </w:rPr>
            </w:pPr>
            <w:r>
              <w:rPr>
                <w:rFonts w:ascii="Arial" w:cs="Arial" w:eastAsia="Arial" w:hAnsi="Arial"/>
                <w:sz w:val="14"/>
                <w:szCs w:val="14"/>
                <w:color w:val="auto"/>
              </w:rPr>
              <w:t>Weighted Average</w:t>
            </w:r>
          </w:p>
        </w:tc>
      </w:tr>
      <w:tr>
        <w:trPr>
          <w:trHeight w:val="159"/>
        </w:trPr>
        <w:tc>
          <w:tcPr>
            <w:tcW w:w="20" w:type="dxa"/>
            <w:vAlign w:val="bottom"/>
          </w:tcPr>
          <w:p>
            <w:pPr>
              <w:spacing w:after="0"/>
              <w:rPr>
                <w:sz w:val="13"/>
                <w:szCs w:val="13"/>
                <w:color w:val="auto"/>
              </w:rPr>
            </w:pPr>
          </w:p>
        </w:tc>
        <w:tc>
          <w:tcPr>
            <w:tcW w:w="6100" w:type="dxa"/>
            <w:vAlign w:val="bottom"/>
          </w:tcPr>
          <w:p>
            <w:pPr>
              <w:spacing w:after="0"/>
              <w:rPr>
                <w:sz w:val="13"/>
                <w:szCs w:val="13"/>
                <w:color w:val="auto"/>
              </w:rPr>
            </w:pPr>
          </w:p>
        </w:tc>
        <w:tc>
          <w:tcPr>
            <w:tcW w:w="1140" w:type="dxa"/>
            <w:vAlign w:val="bottom"/>
            <w:gridSpan w:val="2"/>
          </w:tcPr>
          <w:p>
            <w:pPr>
              <w:jc w:val="right"/>
              <w:ind w:right="580"/>
              <w:spacing w:after="0" w:line="159" w:lineRule="exact"/>
              <w:rPr>
                <w:sz w:val="20"/>
                <w:szCs w:val="20"/>
                <w:color w:val="auto"/>
              </w:rPr>
            </w:pPr>
            <w:r>
              <w:rPr>
                <w:rFonts w:ascii="Arial" w:cs="Arial" w:eastAsia="Arial" w:hAnsi="Arial"/>
                <w:sz w:val="14"/>
                <w:szCs w:val="14"/>
                <w:color w:val="auto"/>
              </w:rPr>
              <w:t>Shares</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spacing w:after="0" w:line="159" w:lineRule="exact"/>
              <w:rPr>
                <w:sz w:val="20"/>
                <w:szCs w:val="20"/>
                <w:color w:val="auto"/>
              </w:rPr>
            </w:pPr>
            <w:r>
              <w:rPr>
                <w:rFonts w:ascii="Arial" w:cs="Arial" w:eastAsia="Arial" w:hAnsi="Arial"/>
                <w:sz w:val="14"/>
                <w:szCs w:val="14"/>
                <w:color w:val="auto"/>
              </w:rPr>
              <w:t>Exercise Price</w:t>
            </w:r>
          </w:p>
        </w:tc>
      </w:tr>
      <w:tr>
        <w:trPr>
          <w:trHeight w:val="210"/>
        </w:trPr>
        <w:tc>
          <w:tcPr>
            <w:tcW w:w="20" w:type="dxa"/>
            <w:vAlign w:val="bottom"/>
          </w:tcPr>
          <w:p>
            <w:pPr>
              <w:spacing w:after="0"/>
              <w:rPr>
                <w:sz w:val="18"/>
                <w:szCs w:val="18"/>
                <w:color w:val="auto"/>
              </w:rPr>
            </w:pPr>
          </w:p>
        </w:tc>
        <w:tc>
          <w:tcPr>
            <w:tcW w:w="6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December 31, 2012</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3,539,961</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Granted</w:t>
            </w:r>
          </w:p>
        </w:tc>
        <w:tc>
          <w:tcPr>
            <w:tcW w:w="760" w:type="dxa"/>
            <w:vAlign w:val="bottom"/>
          </w:tcPr>
          <w:p>
            <w:pPr>
              <w:jc w:val="right"/>
              <w:spacing w:after="0"/>
              <w:rPr>
                <w:sz w:val="20"/>
                <w:szCs w:val="20"/>
                <w:color w:val="auto"/>
              </w:rPr>
            </w:pPr>
            <w:r>
              <w:rPr>
                <w:rFonts w:ascii="Arial" w:cs="Arial" w:eastAsia="Arial" w:hAnsi="Arial"/>
                <w:sz w:val="18"/>
                <w:szCs w:val="18"/>
                <w:color w:val="auto"/>
              </w:rPr>
              <w:t>225,426</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(102,594)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Options forfeited/cancelled</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(109,953)</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Outstanding, June 30, 2013</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3,552,840</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As of June 30, 2013, there was $4,962,000 of unrecognized compensation related to 1,315,137 unvested options, which is expected to be recognized over a weighted–average period of approximately 4.1 years. The weighted-average grant date fair value for options granted during the three and six months ended June 30, 2013 was $3.64 and $2.83, respectively. The weighted-average grant date fair value for options granted during the three and six months ended June 30, 2012 was $1.72.</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fair value of all other options granted is determined using the Black-Scholes option-pricing model. The following weighted average assumptions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were used:</w:t>
      </w:r>
    </w:p>
    <w:p>
      <w:pPr>
        <w:spacing w:after="0" w:line="19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Cumulative</w:t>
            </w:r>
          </w:p>
        </w:tc>
      </w:tr>
      <w:tr>
        <w:trPr>
          <w:trHeight w:val="149"/>
        </w:trPr>
        <w:tc>
          <w:tcPr>
            <w:tcW w:w="43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8"/>
              </w:rPr>
              <w:t>Period from</w:t>
            </w:r>
          </w:p>
        </w:tc>
      </w:tr>
      <w:tr>
        <w:trPr>
          <w:trHeight w:val="149"/>
        </w:trPr>
        <w:tc>
          <w:tcPr>
            <w:tcW w:w="43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Inception</w:t>
            </w:r>
          </w:p>
        </w:tc>
      </w:tr>
      <w:tr>
        <w:trPr>
          <w:trHeight w:val="149"/>
        </w:trPr>
        <w:tc>
          <w:tcPr>
            <w:tcW w:w="4320" w:type="dxa"/>
            <w:vAlign w:val="bottom"/>
          </w:tcPr>
          <w:p>
            <w:pPr>
              <w:spacing w:after="0"/>
              <w:rPr>
                <w:sz w:val="12"/>
                <w:szCs w:val="12"/>
                <w:color w:val="auto"/>
              </w:rPr>
            </w:pPr>
          </w:p>
        </w:tc>
        <w:tc>
          <w:tcPr>
            <w:tcW w:w="2820" w:type="dxa"/>
            <w:vAlign w:val="bottom"/>
            <w:gridSpan w:val="3"/>
          </w:tcPr>
          <w:p>
            <w:pPr>
              <w:jc w:val="center"/>
              <w:ind w:left="739"/>
              <w:spacing w:after="0" w:line="149" w:lineRule="exact"/>
              <w:rPr>
                <w:sz w:val="20"/>
                <w:szCs w:val="20"/>
                <w:color w:val="auto"/>
              </w:rPr>
            </w:pPr>
            <w:r>
              <w:rPr>
                <w:rFonts w:ascii="Arial" w:cs="Arial" w:eastAsia="Arial" w:hAnsi="Arial"/>
                <w:sz w:val="14"/>
                <w:szCs w:val="14"/>
                <w:color w:val="auto"/>
                <w:w w:val="87"/>
              </w:rPr>
              <w:t>Six Months Ended</w:t>
            </w:r>
          </w:p>
        </w:tc>
        <w:tc>
          <w:tcPr>
            <w:tcW w:w="1540" w:type="dxa"/>
            <w:vAlign w:val="bottom"/>
            <w:gridSpan w:val="3"/>
          </w:tcPr>
          <w:p>
            <w:pPr>
              <w:jc w:val="center"/>
              <w:ind w:left="59"/>
              <w:spacing w:after="0" w:line="149" w:lineRule="exact"/>
              <w:rPr>
                <w:sz w:val="20"/>
                <w:szCs w:val="20"/>
                <w:color w:val="auto"/>
              </w:rPr>
            </w:pPr>
            <w:r>
              <w:rPr>
                <w:rFonts w:ascii="Arial" w:cs="Arial" w:eastAsia="Arial" w:hAnsi="Arial"/>
                <w:sz w:val="14"/>
                <w:szCs w:val="14"/>
                <w:color w:val="auto"/>
                <w:w w:val="88"/>
              </w:rPr>
              <w:t>(July 10, 2000) to</w:t>
            </w:r>
          </w:p>
        </w:tc>
      </w:tr>
      <w:tr>
        <w:trPr>
          <w:trHeight w:val="159"/>
        </w:trPr>
        <w:tc>
          <w:tcPr>
            <w:tcW w:w="4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500" w:type="dxa"/>
            <w:vAlign w:val="bottom"/>
            <w:gridSpan w:val="2"/>
          </w:tcPr>
          <w:p>
            <w:pPr>
              <w:jc w:val="center"/>
              <w:ind w:right="500"/>
              <w:spacing w:after="0" w:line="159" w:lineRule="exact"/>
              <w:rPr>
                <w:sz w:val="20"/>
                <w:szCs w:val="20"/>
                <w:color w:val="auto"/>
              </w:rPr>
            </w:pPr>
            <w:r>
              <w:rPr>
                <w:rFonts w:ascii="Arial" w:cs="Arial" w:eastAsia="Arial" w:hAnsi="Arial"/>
                <w:sz w:val="14"/>
                <w:szCs w:val="14"/>
                <w:color w:val="auto"/>
                <w:w w:val="81"/>
              </w:rPr>
              <w:t>June 30,</w:t>
            </w:r>
          </w:p>
        </w:tc>
        <w:tc>
          <w:tcPr>
            <w:tcW w:w="360" w:type="dxa"/>
            <w:vAlign w:val="bottom"/>
          </w:tcPr>
          <w:p>
            <w:pPr>
              <w:spacing w:after="0"/>
              <w:rPr>
                <w:sz w:val="13"/>
                <w:szCs w:val="13"/>
                <w:color w:val="auto"/>
              </w:rPr>
            </w:pPr>
          </w:p>
        </w:tc>
        <w:tc>
          <w:tcPr>
            <w:tcW w:w="1180" w:type="dxa"/>
            <w:vAlign w:val="bottom"/>
            <w:gridSpan w:val="2"/>
          </w:tcPr>
          <w:p>
            <w:pPr>
              <w:jc w:val="center"/>
              <w:ind w:right="220"/>
              <w:spacing w:after="0" w:line="159" w:lineRule="exact"/>
              <w:rPr>
                <w:sz w:val="20"/>
                <w:szCs w:val="20"/>
                <w:color w:val="auto"/>
              </w:rPr>
            </w:pPr>
            <w:r>
              <w:rPr>
                <w:rFonts w:ascii="Arial" w:cs="Arial" w:eastAsia="Arial" w:hAnsi="Arial"/>
                <w:sz w:val="14"/>
                <w:szCs w:val="14"/>
                <w:color w:val="auto"/>
                <w:w w:val="81"/>
              </w:rPr>
              <w:t>June 30,</w:t>
            </w:r>
          </w:p>
        </w:tc>
      </w:tr>
      <w:tr>
        <w:trPr>
          <w:trHeight w:val="142"/>
        </w:trPr>
        <w:tc>
          <w:tcPr>
            <w:tcW w:w="4320" w:type="dxa"/>
            <w:vAlign w:val="bottom"/>
            <w:tcBorders>
              <w:bottom w:val="single" w:sz="8" w:color="CCEEFF"/>
            </w:tcBorders>
          </w:tcPr>
          <w:p>
            <w:pPr>
              <w:spacing w:after="0"/>
              <w:rPr>
                <w:sz w:val="12"/>
                <w:szCs w:val="12"/>
                <w:color w:val="auto"/>
              </w:rPr>
            </w:pPr>
          </w:p>
        </w:tc>
        <w:tc>
          <w:tcPr>
            <w:tcW w:w="132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2013</w:t>
            </w:r>
          </w:p>
        </w:tc>
        <w:tc>
          <w:tcPr>
            <w:tcW w:w="48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2013</w:t>
            </w:r>
          </w:p>
        </w:tc>
        <w:tc>
          <w:tcPr>
            <w:tcW w:w="200" w:type="dxa"/>
            <w:vAlign w:val="bottom"/>
            <w:tcBorders>
              <w:bottom w:val="single" w:sz="8" w:color="CCEEFF"/>
            </w:tcBorders>
          </w:tcPr>
          <w:p>
            <w:pPr>
              <w:spacing w:after="0"/>
              <w:rPr>
                <w:sz w:val="12"/>
                <w:szCs w:val="12"/>
                <w:color w:val="auto"/>
              </w:rPr>
            </w:pPr>
          </w:p>
        </w:tc>
      </w:tr>
      <w:tr>
        <w:trPr>
          <w:trHeight w:val="210"/>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1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0.97%</w:t>
            </w: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Expected life of the options</w:t>
            </w:r>
          </w:p>
        </w:tc>
        <w:tc>
          <w:tcPr>
            <w:tcW w:w="1320" w:type="dxa"/>
            <w:vAlign w:val="bottom"/>
          </w:tcPr>
          <w:p>
            <w:pPr>
              <w:spacing w:after="0"/>
              <w:rPr>
                <w:sz w:val="18"/>
                <w:szCs w:val="18"/>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rPr>
              <w:t>5.5 years</w:t>
            </w:r>
          </w:p>
        </w:tc>
        <w:tc>
          <w:tcPr>
            <w:tcW w:w="3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5.2 years</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of the underlying stock</w:t>
            </w:r>
          </w:p>
        </w:tc>
        <w:tc>
          <w:tcPr>
            <w:tcW w:w="28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116%</w:t>
            </w:r>
          </w:p>
        </w:tc>
        <w:tc>
          <w:tcPr>
            <w:tcW w:w="1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119%</w:t>
            </w:r>
          </w:p>
        </w:tc>
      </w:tr>
      <w:tr>
        <w:trPr>
          <w:trHeight w:val="222"/>
        </w:trPr>
        <w:tc>
          <w:tcPr>
            <w:tcW w:w="4320" w:type="dxa"/>
            <w:vAlign w:val="bottom"/>
          </w:tcPr>
          <w:p>
            <w:pPr>
              <w:spacing w:after="0"/>
              <w:rPr>
                <w:sz w:val="20"/>
                <w:szCs w:val="20"/>
                <w:color w:val="auto"/>
              </w:rPr>
            </w:pPr>
            <w:r>
              <w:rPr>
                <w:rFonts w:ascii="Arial" w:cs="Arial" w:eastAsia="Arial" w:hAnsi="Arial"/>
                <w:sz w:val="18"/>
                <w:szCs w:val="18"/>
                <w:color w:val="auto"/>
              </w:rPr>
              <w:t>Expected dividend rate</w:t>
            </w:r>
          </w:p>
        </w:tc>
        <w:tc>
          <w:tcPr>
            <w:tcW w:w="2820" w:type="dxa"/>
            <w:vAlign w:val="bottom"/>
            <w:gridSpan w:val="3"/>
          </w:tcPr>
          <w:p>
            <w:pPr>
              <w:jc w:val="right"/>
              <w:ind w:right="360"/>
              <w:spacing w:after="0"/>
              <w:rPr>
                <w:sz w:val="20"/>
                <w:szCs w:val="20"/>
                <w:color w:val="auto"/>
              </w:rPr>
            </w:pPr>
            <w:r>
              <w:rPr>
                <w:rFonts w:ascii="Arial" w:cs="Arial" w:eastAsia="Arial" w:hAnsi="Arial"/>
                <w:sz w:val="18"/>
                <w:szCs w:val="18"/>
                <w:color w:val="auto"/>
              </w:rPr>
              <w:t>0%</w:t>
            </w:r>
          </w:p>
        </w:tc>
        <w:tc>
          <w:tcPr>
            <w:tcW w:w="154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r>
    </w:tbl>
    <w:p>
      <w:pPr>
        <w:spacing w:after="0" w:line="263"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Warrants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summarizes the common stock warrant activity from December 31, 2012 through June 30, 2013:</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gridSpan w:val="4"/>
          </w:tcPr>
          <w:p>
            <w:pPr>
              <w:jc w:val="right"/>
              <w:ind w:right="120"/>
              <w:spacing w:after="0"/>
              <w:rPr>
                <w:sz w:val="20"/>
                <w:szCs w:val="20"/>
                <w:color w:val="auto"/>
              </w:rPr>
            </w:pPr>
            <w:r>
              <w:rPr>
                <w:rFonts w:ascii="Arial" w:cs="Arial" w:eastAsia="Arial" w:hAnsi="Arial"/>
                <w:sz w:val="14"/>
                <w:szCs w:val="14"/>
                <w:color w:val="auto"/>
              </w:rPr>
              <w:t>Weighted Average</w:t>
            </w:r>
          </w:p>
        </w:tc>
      </w:tr>
      <w:tr>
        <w:trPr>
          <w:trHeight w:val="159"/>
        </w:trPr>
        <w:tc>
          <w:tcPr>
            <w:tcW w:w="20" w:type="dxa"/>
            <w:vAlign w:val="bottom"/>
          </w:tcPr>
          <w:p>
            <w:pPr>
              <w:spacing w:after="0"/>
              <w:rPr>
                <w:sz w:val="13"/>
                <w:szCs w:val="13"/>
                <w:color w:val="auto"/>
              </w:rPr>
            </w:pPr>
          </w:p>
        </w:tc>
        <w:tc>
          <w:tcPr>
            <w:tcW w:w="6100" w:type="dxa"/>
            <w:vAlign w:val="bottom"/>
          </w:tcPr>
          <w:p>
            <w:pPr>
              <w:spacing w:after="0"/>
              <w:rPr>
                <w:sz w:val="13"/>
                <w:szCs w:val="13"/>
                <w:color w:val="auto"/>
              </w:rPr>
            </w:pPr>
          </w:p>
        </w:tc>
        <w:tc>
          <w:tcPr>
            <w:tcW w:w="1140" w:type="dxa"/>
            <w:vAlign w:val="bottom"/>
            <w:gridSpan w:val="2"/>
          </w:tcPr>
          <w:p>
            <w:pPr>
              <w:jc w:val="right"/>
              <w:ind w:right="580"/>
              <w:spacing w:after="0" w:line="159" w:lineRule="exact"/>
              <w:rPr>
                <w:sz w:val="20"/>
                <w:szCs w:val="20"/>
                <w:color w:val="auto"/>
              </w:rPr>
            </w:pPr>
            <w:r>
              <w:rPr>
                <w:rFonts w:ascii="Arial" w:cs="Arial" w:eastAsia="Arial" w:hAnsi="Arial"/>
                <w:sz w:val="14"/>
                <w:szCs w:val="14"/>
                <w:color w:val="auto"/>
              </w:rPr>
              <w:t>Shares</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spacing w:after="0" w:line="159" w:lineRule="exact"/>
              <w:rPr>
                <w:sz w:val="20"/>
                <w:szCs w:val="20"/>
                <w:color w:val="auto"/>
              </w:rPr>
            </w:pPr>
            <w:r>
              <w:rPr>
                <w:rFonts w:ascii="Arial" w:cs="Arial" w:eastAsia="Arial" w:hAnsi="Arial"/>
                <w:sz w:val="14"/>
                <w:szCs w:val="14"/>
                <w:color w:val="auto"/>
              </w:rPr>
              <w:t>Exercise Price</w:t>
            </w:r>
          </w:p>
        </w:tc>
      </w:tr>
      <w:tr>
        <w:trPr>
          <w:trHeight w:val="210"/>
        </w:trPr>
        <w:tc>
          <w:tcPr>
            <w:tcW w:w="20" w:type="dxa"/>
            <w:vAlign w:val="bottom"/>
          </w:tcPr>
          <w:p>
            <w:pPr>
              <w:spacing w:after="0"/>
              <w:rPr>
                <w:sz w:val="18"/>
                <w:szCs w:val="18"/>
                <w:color w:val="auto"/>
              </w:rPr>
            </w:pPr>
          </w:p>
        </w:tc>
        <w:tc>
          <w:tcPr>
            <w:tcW w:w="6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December 31, 2012</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7,424,241</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Granted</w:t>
            </w:r>
          </w:p>
        </w:tc>
        <w:tc>
          <w:tcPr>
            <w:tcW w:w="760" w:type="dxa"/>
            <w:vAlign w:val="bottom"/>
          </w:tcPr>
          <w:p>
            <w:pPr>
              <w:jc w:val="right"/>
              <w:spacing w:after="0"/>
              <w:rPr>
                <w:sz w:val="20"/>
                <w:szCs w:val="20"/>
                <w:color w:val="auto"/>
              </w:rPr>
            </w:pPr>
            <w:r>
              <w:rPr>
                <w:rFonts w:ascii="Arial" w:cs="Arial" w:eastAsia="Arial" w:hAnsi="Arial"/>
                <w:sz w:val="18"/>
                <w:szCs w:val="18"/>
                <w:color w:val="auto"/>
              </w:rPr>
              <w:t>5,000</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Forfeited/cancelled</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(33,333)</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Outstanding, June 30, 2013</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7,395,908</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 Modification</w:t>
      </w:r>
    </w:p>
    <w:p>
      <w:pPr>
        <w:spacing w:after="0" w:line="90" w:lineRule="exact"/>
        <w:rPr>
          <w:sz w:val="20"/>
          <w:szCs w:val="20"/>
          <w:color w:val="auto"/>
        </w:rPr>
      </w:pPr>
    </w:p>
    <w:p>
      <w:pPr>
        <w:ind w:right="180" w:firstLine="456"/>
        <w:spacing w:after="0" w:line="283" w:lineRule="auto"/>
        <w:rPr>
          <w:sz w:val="20"/>
          <w:szCs w:val="20"/>
          <w:color w:val="auto"/>
        </w:rPr>
      </w:pPr>
      <w:r>
        <w:rPr>
          <w:rFonts w:ascii="Arial" w:cs="Arial" w:eastAsia="Arial" w:hAnsi="Arial"/>
          <w:sz w:val="16"/>
          <w:szCs w:val="16"/>
          <w:color w:val="auto"/>
        </w:rPr>
        <w:t>On May 6, 2013, the Company modified the terms of the Class A-2 and Class B warrants that were originally issued to the 10X Fund with the Series B Preferred Stock offering. The Class B warrants were modified to allow for the cashless exercise of all 4,000,000 outstanding Class B warrants. Previously, only half of the Class B warrants allowed for cashless exercise. The Class A-2 warrants for the purchase of 1,000,000 shares of common and all of the Class B warrants had their exercisable life extended by an additional five years. In exchange for these modifications, the 10X Fund agreed to a future amendment of the Company’s Series B certificate of designation to remove the redemption provision such that the Series B Preferred Stock will no longer be redeemable, if and when the Company will no longer be required to issue Dr. Platt a promissory note as may currently be required under the separation agreement (see Note</w:t>
      </w:r>
    </w:p>
    <w:p>
      <w:pPr>
        <w:spacing w:after="0" w:line="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8). Should the Company amend their Series B certificate of designation in the future as described above, the Company will be required at that time evaluate whether such amendment is to be accounted for as a modification or an extinguishment of the Company’s Series B Preferred Stock. The Company has accounted for the modified terms of the Class A-2 and Class B warrants pursuant to ASC 718, Stock Compensation, whereby the Company has recognized a charge for the change in fair value of the warrants immediately before and immediately after the modification. For the three and six month period ended June 30, 2013, the Company recognized a charge of $8,763,000 related to the extension of the 5,000,000 warrants. The following assumptions were used to value the extension of the warrants immediately before and immediately after the modification: a) immediately before the modification—an expected life range of 0.77 to 2.01 years, volatility range of 77% to 96%, risk free interest rate range of 0.11% to 0.22% and zero dividends and; b) immediately following the modification—an expected life range of 5.78 to 7.02 years, volatility range of 113% to 122%, risk free interest rate range of 0.74% to 1.19% and zero dividends.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Consultant Warrants</w:t>
      </w:r>
    </w:p>
    <w:p>
      <w:pPr>
        <w:spacing w:after="0" w:line="90"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In January 2013, the Company entered into an agreement with a consultant that provided for the grant of warrants for the purchase of 5,000 shares of common stock at an exercise price of $2.65 per share. The following assumptions were used to value the warrants: an expected life of 3 years, volatility of 87%, risk free interest rate of 0.42% and zero dividends. The Company recognized an expense of $7,000 related to these warrants during the six months ended June 30, 2013.</w:t>
      </w:r>
    </w:p>
    <w:p>
      <w:pPr>
        <w:spacing w:after="0" w:line="259"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96"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The Company has certain financial assets and liabilities recorded at fair value. Fair values determined by Level 1 inputs utilize observable data such as quoted prices in active markets. Fair values determined by Level 2 inputs utilize data points other than quoted prices in active markets that are observable either directly or indirectly. Fair values determined by Level 3 inputs utilize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unobservable data points in which there is little or no market data, which require the reporting entity to develop its own assumptions. The carrying amounts reflected in the consolidated balance sheets for cash equivalents, accounts payable and accrued expenses approximates their carrying value due to their short-term nature. Included in cash and cash equivalents, as of June 30, 2013 and December 31, 2012, the Company had $2,000 and $583,000, respectively invested in money market funds which had calculated net asset values and were therefore classified as Level 2. There were no level 3 assets held at fair value at June 30, 2013 or December 31, 2012.</w:t>
      </w:r>
    </w:p>
    <w:p>
      <w:pPr>
        <w:spacing w:after="0" w:line="258"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96" w:lineRule="exact"/>
        <w:rPr>
          <w:sz w:val="20"/>
          <w:szCs w:val="20"/>
          <w:color w:val="auto"/>
        </w:rPr>
      </w:pPr>
    </w:p>
    <w:p>
      <w:pPr>
        <w:ind w:right="80" w:firstLine="913"/>
        <w:spacing w:after="0" w:line="294" w:lineRule="auto"/>
        <w:rPr>
          <w:sz w:val="20"/>
          <w:szCs w:val="20"/>
          <w:color w:val="auto"/>
        </w:rPr>
      </w:pPr>
      <w:r>
        <w:rPr>
          <w:rFonts w:ascii="Arial" w:cs="Arial" w:eastAsia="Arial" w:hAnsi="Arial"/>
          <w:sz w:val="16"/>
          <w:szCs w:val="16"/>
          <w:color w:val="auto"/>
        </w:rPr>
        <w:t>Basic net loss per common share is computed by dividing the net loss available to common stockholders by the weighted average number of common shares outstanding during the period. Diluted net loss per common share is computed by dividing the net loss available to common stockholders by the weighted average number of common shares and other potential common shares then outstanding. The computation of diluted net loss per share does not assume the issuance of common shares that have an anti-dilutive effect on net loss per share. Dilutive shares which could exist pursuant to the exercise of outstanding stock instruments and which were not included in the calculation because their affect would have been anti-dilutive are as follows:</w:t>
      </w:r>
    </w:p>
    <w:p>
      <w:pPr>
        <w:spacing w:after="0" w:line="14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w w:val="87"/>
              </w:rPr>
              <w:t>June 30, 2013</w:t>
            </w:r>
          </w:p>
        </w:tc>
        <w:tc>
          <w:tcPr>
            <w:tcW w:w="36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June 30, 2012</w:t>
            </w:r>
          </w:p>
        </w:tc>
      </w:tr>
      <w:tr>
        <w:trPr>
          <w:trHeight w:val="159"/>
        </w:trPr>
        <w:tc>
          <w:tcPr>
            <w:tcW w:w="6520" w:type="dxa"/>
            <w:vAlign w:val="bottom"/>
          </w:tcPr>
          <w:p>
            <w:pPr>
              <w:spacing w:after="0"/>
              <w:rPr>
                <w:sz w:val="13"/>
                <w:szCs w:val="13"/>
                <w:color w:val="auto"/>
              </w:rPr>
            </w:pPr>
          </w:p>
        </w:tc>
        <w:tc>
          <w:tcPr>
            <w:tcW w:w="860" w:type="dxa"/>
            <w:vAlign w:val="bottom"/>
          </w:tcPr>
          <w:p>
            <w:pPr>
              <w:jc w:val="right"/>
              <w:ind w:right="139"/>
              <w:spacing w:after="0" w:line="159" w:lineRule="exact"/>
              <w:rPr>
                <w:sz w:val="20"/>
                <w:szCs w:val="20"/>
                <w:color w:val="auto"/>
              </w:rPr>
            </w:pPr>
            <w:r>
              <w:rPr>
                <w:rFonts w:ascii="Arial" w:cs="Arial" w:eastAsia="Arial" w:hAnsi="Arial"/>
                <w:sz w:val="14"/>
                <w:szCs w:val="14"/>
                <w:color w:val="auto"/>
              </w:rPr>
              <w:t>(shares)</w:t>
            </w:r>
          </w:p>
        </w:tc>
        <w:tc>
          <w:tcPr>
            <w:tcW w:w="360" w:type="dxa"/>
            <w:vAlign w:val="bottom"/>
          </w:tcPr>
          <w:p>
            <w:pPr>
              <w:spacing w:after="0"/>
              <w:rPr>
                <w:sz w:val="13"/>
                <w:szCs w:val="13"/>
                <w:color w:val="auto"/>
              </w:rPr>
            </w:pPr>
          </w:p>
        </w:tc>
        <w:tc>
          <w:tcPr>
            <w:tcW w:w="940" w:type="dxa"/>
            <w:vAlign w:val="bottom"/>
            <w:gridSpan w:val="2"/>
          </w:tcPr>
          <w:p>
            <w:pPr>
              <w:jc w:val="center"/>
              <w:ind w:right="120"/>
              <w:spacing w:after="0" w:line="159" w:lineRule="exact"/>
              <w:rPr>
                <w:sz w:val="20"/>
                <w:szCs w:val="20"/>
                <w:color w:val="auto"/>
              </w:rPr>
            </w:pPr>
            <w:r>
              <w:rPr>
                <w:rFonts w:ascii="Arial" w:cs="Arial" w:eastAsia="Arial" w:hAnsi="Arial"/>
                <w:sz w:val="14"/>
                <w:szCs w:val="14"/>
                <w:color w:val="auto"/>
                <w:w w:val="81"/>
              </w:rPr>
              <w:t>(shares)</w:t>
            </w:r>
          </w:p>
        </w:tc>
      </w:tr>
      <w:tr>
        <w:trPr>
          <w:trHeight w:val="210"/>
        </w:trPr>
        <w:tc>
          <w:tcPr>
            <w:tcW w:w="6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Warrants to purchase shares of common stock</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7,395,908</w:t>
            </w:r>
          </w:p>
        </w:tc>
        <w:tc>
          <w:tcPr>
            <w:tcW w:w="3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7,424,241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Options to purchase shares of common stock</w:t>
            </w:r>
          </w:p>
        </w:tc>
        <w:tc>
          <w:tcPr>
            <w:tcW w:w="860" w:type="dxa"/>
            <w:vAlign w:val="bottom"/>
          </w:tcPr>
          <w:p>
            <w:pPr>
              <w:jc w:val="right"/>
              <w:spacing w:after="0"/>
              <w:rPr>
                <w:sz w:val="20"/>
                <w:szCs w:val="20"/>
                <w:color w:val="auto"/>
              </w:rPr>
            </w:pPr>
            <w:r>
              <w:rPr>
                <w:rFonts w:ascii="Arial" w:cs="Arial" w:eastAsia="Arial" w:hAnsi="Arial"/>
                <w:sz w:val="18"/>
                <w:szCs w:val="18"/>
                <w:color w:val="auto"/>
              </w:rPr>
              <w:t>3,552,840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3,291,630</w:t>
            </w: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Shares of common stock issuable upon conversion of preferred stock</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2,618,772</w:t>
            </w:r>
          </w:p>
        </w:tc>
        <w:tc>
          <w:tcPr>
            <w:tcW w:w="3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2,627,110</w:t>
            </w:r>
          </w:p>
        </w:tc>
        <w:tc>
          <w:tcPr>
            <w:tcW w:w="100" w:type="dxa"/>
            <w:vAlign w:val="bottom"/>
            <w:shd w:val="clear" w:color="auto" w:fill="CCEEFF"/>
          </w:tcPr>
          <w:p>
            <w:pPr>
              <w:spacing w:after="0"/>
              <w:rPr>
                <w:sz w:val="18"/>
                <w:szCs w:val="18"/>
                <w:color w:val="auto"/>
              </w:rPr>
            </w:pPr>
          </w:p>
        </w:tc>
      </w:tr>
      <w:tr>
        <w:trPr>
          <w:trHeight w:val="222"/>
        </w:trPr>
        <w:tc>
          <w:tcPr>
            <w:tcW w:w="6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13,567,520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13,342,981</w:t>
            </w:r>
          </w:p>
        </w:tc>
        <w:tc>
          <w:tcPr>
            <w:tcW w:w="100" w:type="dxa"/>
            <w:vAlign w:val="bottom"/>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and Warrant Offering and Reverse Split</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On March 22, 2012, the Company entered into an underwriting agreement relating to the offer and sale of 1,159,445 units (the “Units”) of the Company. Each unit consisted of two shares of Common Stock and one warrant to purchase one share of Common Stock. Pursuant to the underwriting agreement, the Company granted the underwriters a 45-day option to purchase up to an additional 173,916 Units to cover over-allotments, which they exercised on March 26, 2012. The public offering price for each Unit was $9.00. Each warrant has an initial exercise price of $5.63 per share, is exercisable upon separation of the Units and expires on March 28, 2017.</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March 28, 2012, the Company sold and issued 1,333,361 Units (2,666,722 shares of common stock and related $5.63 warrants to purchase 1,333,361 shares of common stock) for gross proceeds of $12.0 million (net cash proceeds of $10,403,000 after the underwriting discount and offering costs). The warrants were valued at $4,445,000 as of the issuance date of March 28, 2012, using the closing price of $4.20, a life of 5 years, a volatility of 119% and a risk free interest rate of 1.05%. Based upon the Company’s analysis of the criteria contained in ASC Topic 815-40, “Derivatives and Hedging—Contracts in Entity’s Own Equity” the Company has determined that warrants issued in connection with this financing transaction were not derivative liabilities and therefore, were recorded as additional paid-in capital.</w:t>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March 28, 2012, in connection with this underwritten financing as per the underwriting agreement, the Company issued a total of 46,378 common stock purchase warrants to the underwriters. These warrants expire May 2, 2016, have an exercise price of $5.63 per share, and are exercisable beginning 1 year from March 22, 2012 (the date of the underwriting agreement). These warrants were valued at $143,000 as of the date of issuance (March 28, 2012), using the closing price of $4.20, life of 4.1 years, volatility of 117% and risk free interest rate of 0.78. Based upon the Company’s analysis of the criteria contained in ASC Topic 815-40, “Derivatives and Hedging—Contracts in Entity’s Own Equity”, the Company has determined that these warrants issued in connection with this financing transaction were not derivative liabilities and therefore, were recorded as additional paid-in capital.</w:t>
      </w:r>
    </w:p>
    <w:p>
      <w:pPr>
        <w:spacing w:after="0" w:line="12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Effective as of March 23, 2012, and in connection with the pricing of the offering of Units, the Company effected a one-for-six reverse split of its Common Stock. Per the terms of the reverse split, all fractional shares were rounded up.</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000" w:firstLine="8"/>
        <w:spacing w:after="0" w:line="391" w:lineRule="auto"/>
        <w:tabs>
          <w:tab w:leader="none" w:pos="446"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Contingencies and Legal Proceedings </w:t>
      </w:r>
      <w:r>
        <w:rPr>
          <w:rFonts w:ascii="Arial" w:cs="Arial" w:eastAsia="Arial" w:hAnsi="Arial"/>
          <w:sz w:val="16"/>
          <w:szCs w:val="16"/>
          <w:i w:val="1"/>
          <w:iCs w:val="1"/>
          <w:color w:val="auto"/>
        </w:rPr>
        <w:t>Agreement with CTI for Phase I Clinical Trial</w:t>
      </w:r>
    </w:p>
    <w:p>
      <w:pPr>
        <w:spacing w:after="0" w:line="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February 1, 2013, the Company entered into an Amended and Restated Master Services Agreement (the “Agreement”) with CTI Clinical Trial Services, Inc. and CTI Clinical Consulting Services, Inc. (individually and collectively, “CTI”), whereby CTI is assisting the Company in the design, development and conduct of one or more clinical research studies from time to time. All work performed by CTI for the Company is being conducted pursuant to the terms of work orders that describe the specific obligations undertaken by CTI with respect to any particular clinical research study sponsored or conducted by the Company. Unless otherwise terminated sooner in accordance with the terms of the Agreement, the Agreement will be effective until January 31, 2018.</w:t>
      </w:r>
    </w:p>
    <w:p>
      <w:pPr>
        <w:spacing w:after="0" w:line="11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On February 1, 2013, the Company entered into a work order (the “Work Order”) with CTI in accordance with the terms of the Agreement. The Work Order provides that CTI will provide services with respect to the Company’s Phase I Clinical Trial to evaluate the safety of the Company’s drug GR-MD-02 in subjects with Non-Alcoholic Steatohepatitis (“NASH”) with advanced hepatic fibrosis. CTI is providing the following services, amongst others, with respect to the Work Order: reviewing and providing notices regarding IND safety reports, selecting investigators and monitors for the study, informing investigators of new observations, monitoring the progress of the study and reviewing ongoing investigations, keeping certain records, inspecting the Company’s records and reports, and disposing of any unused supply of the investigational drug.</w:t>
      </w:r>
    </w:p>
    <w:p>
      <w:pPr>
        <w:spacing w:after="0" w:line="12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Work Order provides for CTI’s anticipated involvement in the study from February 1, 2013 until March 31, 2014. The estimated budget for the Work Order is $2,155,000, which is subject to change as necessary, with payments made throughout the term of the project as the work is performed. During the three and six months ended June 30, 2013, the Company recognized $361,000 and $1,090,000, respectively, of expenses related to this agreement for services performed.</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Agreement or any work order may be terminated for any reason by any party upon ninety (90) days prior written notice to the other party. In addition, the Agreement may be terminated by either party immediately if the other party becomes insolvent, is dissolved or liquidated, makes a general assignment for the benefit of its creditors, files or has filed against it (and does not obtain a dismissal within ninety (90) days) a petition of bankruptcy, or has a receiver appointed for it or a substantial part of its assets, among other reasons. Further, the Agreement or any relevant work order may be terminated immediately by written notice from the Company, in the following circumstances: (1) the FDA withdraws authorization and approval to conduct a study; or (2) the Company reasonably determines that for medical, clinical or patient safety reasons, a study should terminate immediately. In addition, either party may terminate the Agreement or any work order for material breach upon thirty (30) days’ written notice specifying the nature of the breach, if such breach has not been substantially cured within the thirty (30) day period.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Drug Discovery Program with the University of Georgia</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February 2013, the Company established a collaborative drug discovery program at the Complex Carbohydrate Research Center at the University of Georgia. This program is focused on the discovery of new carbohydrate molecules that can be used in the therapy of diseases where galectin proteins play a major role, including cancer and inflammatory and fibrotic disorders. The term of the agreement is effective through December 31, 2013, for which the Company will provide funding of $154,000 during the period as work is performed. The Company has paid $135,000 related to this program through June 30, 2013. This agreement may be terminated by either party upon 90 days notice.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Separation Agreement</w:t>
      </w:r>
    </w:p>
    <w:p>
      <w:pPr>
        <w:spacing w:after="0" w:line="90"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In February 2009, the Company entered into a Separation Agreement in connection with the resignation of David Platt, Ph.D., the Company’s former Chief Executive Officer and Chairman of the Board of Directors. The Separation Agreement provides for the deferral of a $1.0 million separation payment due to Dr. Platt upon the earlier occurrence of any of the following milestone events: (i) the approval by the Food and Drug Administration for a new drug application (“NDA”) for any drug candidate or drug delivery candidate based on the Company’s GM-CT-01 technology (whether or not such technology is patented), in which case Dr. Platt is also entitled to a fully vested 10-year cashless-exercise stock option to purchase at least 83,334 shares of common stock at an exercise price not less than the fair market value of the common stock determined as of the date of grant; (ii) consummation of a transaction with a pharmaceutical company expected to result in at least $10.0 million of equity investment or $50 million of royalty revenue to the Company, in which case Dr. Platt is also entitled to stock options on the same terms to purchase at least 50,000 shares of common stock; or (iii) the renewed listing of the Company’s securities on a national securities exchange and the achievement of a market capitalization of $100 million. Payment upon the events (i) and (iii) may be deferred up to six months, and if the Company has insufficient cash at the time of any of such events, it may issue Dr. Platt a secured promissory note for such amount. If the Company files a voluntary or involuntary petition for bankruptcy, whether or not a milestone event has occurred, such event shall trigger the obligation to pay the $1.0 million with the result that Dr. Platt may assert a claim for such obligation against the bankruptcy estate. During 2011, when it became probable that the Company could be relisted on a national securities exchange and eventually reach a market capitalization of $100 million, the Company recognized the $1.0 million severance payment due to Dr. Platt and it is included in accrued expenses at June 30, 2013 and December 31, 2012.</w:t>
      </w:r>
    </w:p>
    <w:p>
      <w:pPr>
        <w:spacing w:after="0" w:line="128"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On May 2, 2012, Dr. Platt instituted an arbitration with the American Arbitration Association seeking the $1 million payment based on a claim that the milestone event in the Separation Agreement described in clause (iii) above had occurred. Although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Company had listed its common stock on the Nasdaq Capital Markets as of March 22, 2012, the market capitalization since the listing had not reached $100 million when the arbitration was heard in October 2012. On November 1, 2012, the arbitrator denied Dr. Platt’s demand in all respects.</w:t>
      </w:r>
    </w:p>
    <w:p>
      <w:pPr>
        <w:spacing w:after="0" w:line="85"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On October 12, 2012, Dr. Platt commenced a lawsuit under the Massachusetts Wage Act against Dr. Traber and Mr. McGauley who in their capacities as the Company’s Chief Executive Officer and Chief Financial Officer respectively can be held individually liable under the Wage Act for non-payment of wages. The lawsuit is based on the facts and issues raised in the arbitration regarding the payment of the $1.0 million separation payment under the Separation Agreement, and other unspecified “wages”. The statute provides that a successful claimant may be entitled to multiple damages, interest and attorney’s fees. Although the Company is not a party to the lawsuit, it plans to indemnify Dr. Traber and Mr. McGauley consistent with its obligations under the by-laws and applicable law, believes the lawsuit is without merit, and intends a vigorous defense on their behalf. On April 29, 2013, the Court allowed Dr. Traber’s and Mr. McGauley’s motion to dismiss. Dr. Platt filed a Notice of Appeal to appeal the Court’s order allowing the defendants’ motion to dismiss.</w:t>
      </w:r>
    </w:p>
    <w:p>
      <w:pPr>
        <w:spacing w:after="0" w:line="118"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On March 29, 2013, the Company instituted arbitration before the American Arbitration Association, seeking to rescind or reform the Separation Agreement discussed above. The Company claims that Dr. Platt fraudulently induced the Company to enter into the Separation Agreement, breached his fiduciary duty to the Company, and was unduly enriched from his conduct. Along with removal of the $1.0 million milestone payment under the Separation Agreement, the Company is seeking repayment of all separation benefits paid to Dr. Platt to date. Depending on the outcome of the arbitration, the previously accrued $1.0 million could be reversed. The timing and ultimate outcome of this arbitration, though, is uncertain and there is no guarantee that the Company will be successful in this demand.</w:t>
      </w:r>
    </w:p>
    <w:p>
      <w:pPr>
        <w:spacing w:after="0" w:line="144" w:lineRule="exact"/>
        <w:rPr>
          <w:sz w:val="20"/>
          <w:szCs w:val="20"/>
          <w:color w:val="auto"/>
        </w:rPr>
      </w:pPr>
    </w:p>
    <w:p>
      <w:pPr>
        <w:ind w:right="180" w:firstLine="1484"/>
        <w:spacing w:after="0" w:line="259" w:lineRule="auto"/>
        <w:rPr>
          <w:sz w:val="20"/>
          <w:szCs w:val="20"/>
          <w:color w:val="auto"/>
        </w:rPr>
      </w:pPr>
      <w:r>
        <w:rPr>
          <w:rFonts w:ascii="Arial" w:cs="Arial" w:eastAsia="Arial" w:hAnsi="Arial"/>
          <w:sz w:val="18"/>
          <w:szCs w:val="18"/>
          <w:color w:val="auto"/>
        </w:rPr>
        <w:t>On August 1, 2013, the market capitalization of the Company’s common stock exceeded $100 million. As described in the preceding paragraph, the Company had previously instituted an arbitration against Dr. Platt seeking to rescind the Separation Agreement, including the milestone payment provision.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C Post Conversion Dividend Rights</w:t>
      </w:r>
    </w:p>
    <w:p>
      <w:pPr>
        <w:spacing w:after="0" w:line="90" w:lineRule="exact"/>
        <w:rPr>
          <w:sz w:val="20"/>
          <w:szCs w:val="20"/>
          <w:color w:val="auto"/>
        </w:rPr>
      </w:pPr>
    </w:p>
    <w:p>
      <w:pPr>
        <w:ind w:right="100" w:firstLine="913"/>
        <w:spacing w:after="0" w:line="289" w:lineRule="auto"/>
        <w:rPr>
          <w:sz w:val="20"/>
          <w:szCs w:val="20"/>
          <w:color w:val="auto"/>
        </w:rPr>
      </w:pPr>
      <w:r>
        <w:rPr>
          <w:rFonts w:ascii="Arial" w:cs="Arial" w:eastAsia="Arial" w:hAnsi="Arial"/>
          <w:sz w:val="16"/>
          <w:szCs w:val="16"/>
          <w:color w:val="auto"/>
        </w:rPr>
        <w:t>In January 2013, 5 shares of the Company’s Series C Super Dividend Convertible Preferred Stock (“Series C”) were converted into 8,475 shares of common stock (consisting of 8,334 shares of common stock for principal and 141 shares for accrued interest at the time of the conversion) which also resulted in the issuance of 5 Series C post-conversion dividend rights (“Dividend Rights”). Under the terms of the Series C, the Dividend Rights entitle the holder only to dividend payments based on actual sales of GM-CT-01 and will not participate in the 6% dividend payable on outstanding shares of Series C following a conversion to common stock. At June 30, 2013, there are a total of 10 outstanding Dividend Rights which were determined to have a de minimis value, because payment of a dividend for the Dividend Rights is considered improbable at this time and the Company has not recorded a liability related to the Dividend Rights. The Company will continue to evaluate and assess the Dividend Rights for each reporting period. At June 30, 2013, the Dividend Rights had a redemption value of $241,000.</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Legal Proceedings</w:t>
      </w:r>
    </w:p>
    <w:p>
      <w:pPr>
        <w:spacing w:after="0" w:line="90" w:lineRule="exact"/>
        <w:rPr>
          <w:sz w:val="20"/>
          <w:szCs w:val="20"/>
          <w:color w:val="auto"/>
        </w:rPr>
      </w:pPr>
    </w:p>
    <w:p>
      <w:pPr>
        <w:ind w:right="360" w:firstLine="913"/>
        <w:spacing w:after="0" w:line="259" w:lineRule="auto"/>
        <w:rPr>
          <w:sz w:val="20"/>
          <w:szCs w:val="20"/>
          <w:color w:val="auto"/>
        </w:rPr>
      </w:pPr>
      <w:r>
        <w:rPr>
          <w:rFonts w:ascii="Arial" w:cs="Arial" w:eastAsia="Arial" w:hAnsi="Arial"/>
          <w:sz w:val="18"/>
          <w:szCs w:val="18"/>
          <w:color w:val="auto"/>
        </w:rPr>
        <w:t>The Company records accruals for such contingencies to the extent that the Company concludes that their occurrence is probable and the related damages are estimable, except as noted above. There has been no change in the matters reported in our Annual Report on Form 10-K for the year ended December 31, 2012.</w:t>
      </w:r>
    </w:p>
    <w:p>
      <w:pPr>
        <w:spacing w:after="0" w:line="25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In addition to historical information, the following Management’s Discussion and Analysis of Financial Condition and Results of Operations contains forward-looking statements as defined under Section 21E of the Securities Exchange Act of 1934, as amended, and is subject to the safe harbor created therein for forward-looking statements. Such statements include, but are not limited to, statements concerning our anticipated operating results, research and development, clinical trials, regulatory proceedings, and financial resources, and can be identified by use of words such as, for example, “anticipate,” “estimate,” “expect,” “project,” “intend,” “plan,” “believe” and “would,” “should,” “could” or “may.” All statements, other than statements of historical facts, included herein that address activities, events, or developments that the Company expects or anticipates will or may occur in the future, are forward-looking statements, including statements regarding:</w:t>
      </w:r>
    </w:p>
    <w:p>
      <w:pPr>
        <w:spacing w:after="0" w:line="37" w:lineRule="exact"/>
        <w:rPr>
          <w:sz w:val="20"/>
          <w:szCs w:val="20"/>
          <w:color w:val="auto"/>
        </w:rPr>
      </w:pPr>
    </w:p>
    <w:p>
      <w:pPr>
        <w:ind w:left="1480" w:hanging="446"/>
        <w:spacing w:after="0"/>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plans and expectations regarding clinical trials;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plans and expectations regarding regulatory approvals;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plans regarding lawsuits, arbitration, and any related indemnification of Company employees;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hanging="446"/>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strategy and expectations for clinical development and commercialization of our products;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strategic partnerships;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expectations regarding the effectiveness of our products;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plans for research and development and related costs;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statements about accounting assumptions and estimates;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expectations regarding liquidity and the sufficiency of cash to fund operations through the first quarter of 2014;</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commitments and contingencies;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market risk exposure.</w:t>
      </w:r>
    </w:p>
    <w:p>
      <w:pPr>
        <w:spacing w:after="0" w:line="171"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Forward-looking statements are based on current expectations, estimates and projections about the industry and markets in which Galectin Therapeutics operates, and management’s beliefs and assumptions. These statements are not guarantees of future performance and involve certain known and unknown risks and uncertainties that could cause actual results to differ materially from those expressed or implied by such statements. Such risks and uncertainties are related to, without limitation: our early stage of development; our dependence on outside capital; uncertainties related to our technology and clinical trials, intellectual property protection, uncertainties of regulatory approval requirements for our products; competition and stock price volatility in the biotechnology industry, limited trading volume for our stock, concentration of ownership of our stock, and other risks detailed herein and from time to time in our SEC reports, including our Annual Report on Form 10-K filed with the SEC for the fiscal year ended December 31, 2012, and our subsequent SEC filings. The following discussion should be read in conjunction with the accompanying consolidated financial statements and notes thereto of Galectin Therapeutics appearing elsewhere herein.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jc w:val="both"/>
        <w:ind w:right="220" w:firstLine="456"/>
        <w:spacing w:after="0" w:line="294" w:lineRule="auto"/>
        <w:rPr>
          <w:sz w:val="20"/>
          <w:szCs w:val="20"/>
          <w:color w:val="auto"/>
        </w:rPr>
      </w:pPr>
      <w:r>
        <w:rPr>
          <w:rFonts w:ascii="Arial" w:cs="Arial" w:eastAsia="Arial" w:hAnsi="Arial"/>
          <w:sz w:val="16"/>
          <w:szCs w:val="16"/>
          <w:color w:val="auto"/>
        </w:rPr>
        <w:t>We are a development-stage company engaged in drug research and development to create new therapies for fibrotic disease and cancer. Galectins are a class of proteins that are made by many cells in the body. As a group, these proteins are able to bind to sugar molecules that are part of other proteins in and on the cells of our body. Galectin proteins act as a kind of glue, bringing together molecules that have sugars on them. Galectin proteins are known to be markedly increased in a number of important diseases including scaring of organs (e.g. liver, lung, kidney, and heart) and cancers of many kinds. The increase in galectin protein promotes the disease and is detrimental to the patient.</w:t>
      </w:r>
    </w:p>
    <w:p>
      <w:pPr>
        <w:spacing w:after="0" w:line="116" w:lineRule="exact"/>
        <w:rPr>
          <w:sz w:val="20"/>
          <w:szCs w:val="20"/>
          <w:color w:val="auto"/>
        </w:rPr>
      </w:pPr>
    </w:p>
    <w:p>
      <w:pPr>
        <w:ind w:firstLine="913"/>
        <w:spacing w:after="0" w:line="312" w:lineRule="auto"/>
        <w:rPr>
          <w:sz w:val="20"/>
          <w:szCs w:val="20"/>
          <w:color w:val="auto"/>
        </w:rPr>
      </w:pPr>
      <w:r>
        <w:rPr>
          <w:rFonts w:ascii="Arial" w:cs="Arial" w:eastAsia="Arial" w:hAnsi="Arial"/>
          <w:sz w:val="15"/>
          <w:szCs w:val="15"/>
          <w:color w:val="auto"/>
        </w:rPr>
        <w:t>Our drug candidates are based on our method of targeting galectin proteins, which are key mediators of biologic and pathologic functions. We use naturally occurring, readily-available plant materials as starting material in manufacturing processes to create proprietary complex carbohydrates with specific molecular weights and other pharmaceutical properties. These complex carbohydrate molecules are appropriately formulated into acceptable pharmaceutical formulations. Using these unique carbohydrate-based candidate compounds that bind and inhibit galectin proteins, we are undertaking the focused pursuit of therapies for indications where galectins have a demonstrated role in the pathogenesis of a given disease. We focus on diseases with serious, life-threatening consequences to patients and those where current treatment options are limited. Our strategy is to establish and implement clinical development programs that add value to our business in the shortest period of time possible and to seek strategic partners when a program becomes advanced and requires additional resources.</w:t>
      </w:r>
    </w:p>
    <w:p>
      <w:pPr>
        <w:spacing w:after="0" w:line="105"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color w:val="auto"/>
        </w:rPr>
        <w:t>We endeavor to leverage our scientific and product development expertise as well as established relationships with outside sources to achieve cost-effective and efficient development. These outside sources, amongst others, provide us with expertise in preclinical models, pharmaceutical development, toxicology, clinical development, pharmaceutical manufacturing, sophisticated physical and chemical characterization, and commercial development. We also have established a collaborative scientific discovery program with leading experts in carbohydrate chemistry and characterization. This discovery program is aimed at the targeted development of new molecules which bind galectin proteins and offer alternative options to larger market segments in our primary disease targets. We are pursuing a development pathway to clinical enhancement and commercialization for our lead compounds in liver fibrosis and fatty liver disease as well as in immune enhancement for cancer therapy. All of our proposed products are presently in development, including pre-clinical and clinical trials.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Drug Development Programs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have two compounds in development, one intended to be used in the treatment of liver fibrosis and fatty liver disease and the other intended to be used in cancer therapy. These two compounds are produced from completely different, natural, readily available, starting materials, which, following chemical processing, both exhibit the property of binding to and inhibiting galectin proteins.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product pipeline is shown below:</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Indication</w:t>
            </w:r>
          </w:p>
        </w:tc>
        <w:tc>
          <w:tcPr>
            <w:tcW w:w="2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Drug</w:t>
            </w:r>
          </w:p>
        </w:tc>
        <w:tc>
          <w:tcPr>
            <w:tcW w:w="9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Status</w:t>
            </w:r>
          </w:p>
        </w:tc>
        <w:tc>
          <w:tcPr>
            <w:tcW w:w="1140" w:type="dxa"/>
            <w:vAlign w:val="bottom"/>
          </w:tcPr>
          <w:p>
            <w:pPr>
              <w:spacing w:after="0"/>
              <w:rPr>
                <w:sz w:val="14"/>
                <w:szCs w:val="14"/>
                <w:color w:val="auto"/>
              </w:rPr>
            </w:pPr>
          </w:p>
        </w:tc>
      </w:tr>
      <w:tr>
        <w:trPr>
          <w:trHeight w:val="309"/>
        </w:trPr>
        <w:tc>
          <w:tcPr>
            <w:tcW w:w="2780" w:type="dxa"/>
            <w:vAlign w:val="bottom"/>
            <w:gridSpan w:val="2"/>
          </w:tcPr>
          <w:p>
            <w:pPr>
              <w:spacing w:after="0"/>
              <w:rPr>
                <w:sz w:val="20"/>
                <w:szCs w:val="20"/>
                <w:color w:val="auto"/>
              </w:rPr>
            </w:pPr>
            <w:r>
              <w:rPr>
                <w:rFonts w:ascii="Arial" w:cs="Arial" w:eastAsia="Arial" w:hAnsi="Arial"/>
                <w:sz w:val="18"/>
                <w:szCs w:val="18"/>
                <w:b w:val="1"/>
                <w:bCs w:val="1"/>
                <w:color w:val="auto"/>
              </w:rPr>
              <w:t>Fibrosis</w:t>
            </w: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2"/>
        </w:trPr>
        <w:tc>
          <w:tcPr>
            <w:tcW w:w="2780" w:type="dxa"/>
            <w:vAlign w:val="bottom"/>
            <w:gridSpan w:val="2"/>
          </w:tcPr>
          <w:p>
            <w:pPr>
              <w:spacing w:after="0"/>
              <w:rPr>
                <w:sz w:val="20"/>
                <w:szCs w:val="20"/>
                <w:color w:val="auto"/>
              </w:rPr>
            </w:pPr>
            <w:r>
              <w:rPr>
                <w:rFonts w:ascii="Arial" w:cs="Arial" w:eastAsia="Arial" w:hAnsi="Arial"/>
                <w:sz w:val="18"/>
                <w:szCs w:val="18"/>
                <w:color w:val="auto"/>
              </w:rPr>
              <w:t>NASH with Advanced Fibrosis</w:t>
            </w:r>
          </w:p>
        </w:tc>
        <w:tc>
          <w:tcPr>
            <w:tcW w:w="2180" w:type="dxa"/>
            <w:vAlign w:val="bottom"/>
            <w:gridSpan w:val="3"/>
          </w:tcPr>
          <w:p>
            <w:pPr>
              <w:ind w:left="560"/>
              <w:spacing w:after="0"/>
              <w:rPr>
                <w:sz w:val="20"/>
                <w:szCs w:val="20"/>
                <w:color w:val="auto"/>
              </w:rPr>
            </w:pPr>
            <w:r>
              <w:rPr>
                <w:rFonts w:ascii="Arial" w:cs="Arial" w:eastAsia="Arial" w:hAnsi="Arial"/>
                <w:sz w:val="18"/>
                <w:szCs w:val="18"/>
                <w:color w:val="auto"/>
              </w:rPr>
              <w:t>GR-MD-02</w:t>
            </w:r>
          </w:p>
        </w:tc>
        <w:tc>
          <w:tcPr>
            <w:tcW w:w="3460" w:type="dxa"/>
            <w:vAlign w:val="bottom"/>
            <w:gridSpan w:val="3"/>
          </w:tcPr>
          <w:p>
            <w:pPr>
              <w:jc w:val="center"/>
              <w:ind w:left="732"/>
              <w:spacing w:after="0"/>
              <w:rPr>
                <w:sz w:val="20"/>
                <w:szCs w:val="20"/>
                <w:color w:val="auto"/>
              </w:rPr>
            </w:pPr>
            <w:r>
              <w:rPr>
                <w:rFonts w:ascii="Arial" w:cs="Arial" w:eastAsia="Arial" w:hAnsi="Arial"/>
                <w:sz w:val="18"/>
                <w:szCs w:val="18"/>
                <w:color w:val="auto"/>
                <w:w w:val="89"/>
              </w:rPr>
              <w:t>Phase I clinical trial started July 2013</w:t>
            </w:r>
          </w:p>
        </w:tc>
      </w:tr>
      <w:tr>
        <w:trPr>
          <w:trHeight w:val="318"/>
        </w:trPr>
        <w:tc>
          <w:tcPr>
            <w:tcW w:w="2780" w:type="dxa"/>
            <w:vAlign w:val="bottom"/>
            <w:gridSpan w:val="2"/>
          </w:tcPr>
          <w:p>
            <w:pPr>
              <w:spacing w:after="0"/>
              <w:rPr>
                <w:sz w:val="20"/>
                <w:szCs w:val="20"/>
                <w:color w:val="auto"/>
              </w:rPr>
            </w:pPr>
            <w:r>
              <w:rPr>
                <w:rFonts w:ascii="Arial" w:cs="Arial" w:eastAsia="Arial" w:hAnsi="Arial"/>
                <w:sz w:val="18"/>
                <w:szCs w:val="18"/>
                <w:b w:val="1"/>
                <w:bCs w:val="1"/>
                <w:color w:val="auto"/>
              </w:rPr>
              <w:t>Cancer Immunotherapy</w:t>
            </w: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2"/>
        </w:trPr>
        <w:tc>
          <w:tcPr>
            <w:tcW w:w="2780" w:type="dxa"/>
            <w:vAlign w:val="bottom"/>
            <w:gridSpan w:val="2"/>
          </w:tcPr>
          <w:p>
            <w:pPr>
              <w:spacing w:after="0"/>
              <w:rPr>
                <w:sz w:val="20"/>
                <w:szCs w:val="20"/>
                <w:color w:val="auto"/>
              </w:rPr>
            </w:pPr>
            <w:r>
              <w:rPr>
                <w:rFonts w:ascii="Arial" w:cs="Arial" w:eastAsia="Arial" w:hAnsi="Arial"/>
                <w:sz w:val="18"/>
                <w:szCs w:val="18"/>
                <w:color w:val="auto"/>
              </w:rPr>
              <w:t>Melanoma</w:t>
            </w:r>
          </w:p>
        </w:tc>
        <w:tc>
          <w:tcPr>
            <w:tcW w:w="2180" w:type="dxa"/>
            <w:vAlign w:val="bottom"/>
            <w:gridSpan w:val="3"/>
          </w:tcPr>
          <w:p>
            <w:pPr>
              <w:ind w:left="560"/>
              <w:spacing w:after="0"/>
              <w:rPr>
                <w:sz w:val="20"/>
                <w:szCs w:val="20"/>
                <w:color w:val="auto"/>
              </w:rPr>
            </w:pPr>
            <w:r>
              <w:rPr>
                <w:rFonts w:ascii="Arial" w:cs="Arial" w:eastAsia="Arial" w:hAnsi="Arial"/>
                <w:sz w:val="18"/>
                <w:szCs w:val="18"/>
                <w:color w:val="auto"/>
              </w:rPr>
              <w:t>GM-CT-01</w:t>
            </w:r>
          </w:p>
        </w:tc>
        <w:tc>
          <w:tcPr>
            <w:tcW w:w="3460" w:type="dxa"/>
            <w:vAlign w:val="bottom"/>
            <w:gridSpan w:val="3"/>
          </w:tcPr>
          <w:p>
            <w:pPr>
              <w:jc w:val="center"/>
              <w:ind w:left="712"/>
              <w:spacing w:after="0"/>
              <w:rPr>
                <w:sz w:val="20"/>
                <w:szCs w:val="20"/>
                <w:color w:val="auto"/>
              </w:rPr>
            </w:pPr>
            <w:r>
              <w:rPr>
                <w:rFonts w:ascii="Arial" w:cs="Arial" w:eastAsia="Arial" w:hAnsi="Arial"/>
                <w:sz w:val="18"/>
                <w:szCs w:val="18"/>
                <w:color w:val="auto"/>
                <w:w w:val="87"/>
              </w:rPr>
              <w:t>Phase I/II study in process in Europe</w:t>
            </w:r>
          </w:p>
        </w:tc>
      </w:tr>
    </w:tbl>
    <w:p>
      <w:pPr>
        <w:spacing w:after="0" w:line="156" w:lineRule="exact"/>
        <w:rPr>
          <w:sz w:val="20"/>
          <w:szCs w:val="20"/>
          <w:color w:val="auto"/>
        </w:rPr>
      </w:pPr>
    </w:p>
    <w:p>
      <w:pPr>
        <w:jc w:val="both"/>
        <w:ind w:right="280" w:firstLine="913"/>
        <w:spacing w:after="0" w:line="298" w:lineRule="auto"/>
        <w:rPr>
          <w:sz w:val="20"/>
          <w:szCs w:val="20"/>
          <w:color w:val="auto"/>
        </w:rPr>
      </w:pPr>
      <w:r>
        <w:rPr>
          <w:rFonts w:ascii="Arial" w:cs="Arial" w:eastAsia="Arial" w:hAnsi="Arial"/>
          <w:sz w:val="16"/>
          <w:szCs w:val="16"/>
          <w:color w:val="auto"/>
        </w:rPr>
        <w:t>We believe the mechanism of action for GR-MD-02 and GM-CT-01 is based upon interaction with, and inhibition of, galectin proteins, which are expressed at high levels in certain pathological states including inflammation, fibrosis and cancer. While GR-MD-02 and GM-CT-01 are capable of binding to multiple galectin proteins, we believe that they have the greatest affinity for galectin-3, the most prominent galectin implicated in pathological processes. Blocking galectin in cancer and liver fibrosis has specific salutary effects on the disease process.</w:t>
      </w:r>
    </w:p>
    <w:p>
      <w:pPr>
        <w:spacing w:after="0" w:line="113" w:lineRule="exact"/>
        <w:rPr>
          <w:sz w:val="20"/>
          <w:szCs w:val="20"/>
          <w:color w:val="auto"/>
        </w:rPr>
      </w:pPr>
    </w:p>
    <w:p>
      <w:pPr>
        <w:ind w:right="40" w:firstLine="913"/>
        <w:spacing w:after="0" w:line="288" w:lineRule="auto"/>
        <w:rPr>
          <w:sz w:val="20"/>
          <w:szCs w:val="20"/>
          <w:color w:val="auto"/>
        </w:rPr>
      </w:pPr>
      <w:r>
        <w:rPr>
          <w:rFonts w:ascii="Arial" w:cs="Arial" w:eastAsia="Arial" w:hAnsi="Arial"/>
          <w:sz w:val="16"/>
          <w:szCs w:val="16"/>
          <w:i w:val="1"/>
          <w:iCs w:val="1"/>
          <w:color w:val="auto"/>
        </w:rPr>
        <w:t xml:space="preserve">GR-MD-02. </w:t>
      </w:r>
      <w:r>
        <w:rPr>
          <w:rFonts w:ascii="Arial" w:cs="Arial" w:eastAsia="Arial" w:hAnsi="Arial"/>
          <w:sz w:val="16"/>
          <w:szCs w:val="16"/>
          <w:color w:val="auto"/>
        </w:rPr>
        <w:t>The main initiative in our development strategy is the application of galectin inhibition in connection with liver fibrosis, a condition that</w:t>
      </w:r>
      <w:r>
        <w:rPr>
          <w:rFonts w:ascii="Arial" w:cs="Arial" w:eastAsia="Arial" w:hAnsi="Arial"/>
          <w:sz w:val="16"/>
          <w:szCs w:val="16"/>
          <w:i w:val="1"/>
          <w:iCs w:val="1"/>
          <w:color w:val="auto"/>
        </w:rPr>
        <w:t xml:space="preserve"> </w:t>
      </w:r>
      <w:r>
        <w:rPr>
          <w:rFonts w:ascii="Arial" w:cs="Arial" w:eastAsia="Arial" w:hAnsi="Arial"/>
          <w:sz w:val="16"/>
          <w:szCs w:val="16"/>
          <w:color w:val="auto"/>
        </w:rPr>
        <w:t>leads to cirrhosis. We believe that GR-MD-02 has the potential to treat nonalcoholic steatohepatitis (NASH) and other forms of liver fibrosis. The driving factor for our commitment to galectin inhibition for fibrosis is scientific evidence that strongly suggests that galectin-3 is essential for the development of liver fibrosis in animals. Published data show that mice lacking the galectin-3 gene are incapable of developing liver fibrosis in response to toxin insult to the liver and in fatty liver disease. Moreover, mice that do not have the galectin-3 gene are resistant to lung and kidney fibrosis. Our preclinical data show that GR-MD-02 has a powerful therapeutic effect on liver fibrosis as shown in several relevant animal models. Therefore, we chose GR-MD-02 as the lead candidate in a development program targeted initially at fibrotic liver disease associated with non-alcoholic steatohepatitis (NASH, or fatty liver disease). Pre-clinical studies also show promise for the combination of GR-MD-02 with other approved immunotherapies and this additional use will be explored for possible advancement into clinical trials.</w:t>
      </w:r>
    </w:p>
    <w:p>
      <w:pPr>
        <w:spacing w:after="0" w:line="120" w:lineRule="exact"/>
        <w:rPr>
          <w:sz w:val="20"/>
          <w:szCs w:val="20"/>
          <w:color w:val="auto"/>
        </w:rPr>
      </w:pPr>
    </w:p>
    <w:p>
      <w:pPr>
        <w:ind w:right="40" w:firstLine="913"/>
        <w:spacing w:after="0" w:line="286" w:lineRule="auto"/>
        <w:rPr>
          <w:sz w:val="20"/>
          <w:szCs w:val="20"/>
          <w:color w:val="auto"/>
        </w:rPr>
      </w:pPr>
      <w:r>
        <w:rPr>
          <w:rFonts w:ascii="Arial" w:cs="Arial" w:eastAsia="Arial" w:hAnsi="Arial"/>
          <w:sz w:val="16"/>
          <w:szCs w:val="16"/>
          <w:color w:val="auto"/>
        </w:rPr>
        <w:t>In January 2013, an Investigational New Drug (“IND”) was submitted to the FDA with the goal of initiating a Phase I study in patients with NASH and advanced liver fibrosis to primarily evaluate the human safety of GR-MD-02 and pharmacodynamics biomarkers of disease are also included in the trial design. On March 1, 2013, the FDA indicated we could proceed with a U.S. Phase 1 clinical trial for GR-MD-02 with a development program aimed at obtaining support for a proposed indication of GR-MD-02 for treatment of NASH with advanced fibrosis. In February 2013 we entered into an agreement with Clinical Trial Services Inc. (“CTI”) to conduct a Phase I clinical trial of GR-MD-02 to assess safety and preliminary evidence of efficacy in humans. In June 2013, we submitted a Fast Track application to the FDA to help expedite its clinical development program of GR-MD-02 in the treatment of NASH with advanced fibrosis. FDA grants Fast Track designation to help expedite review and approval of drugs in development that treat serious or life threatening diseases and fill an unmet medical need. On August 7, 2013, FDA concluded that the development program for GR-MD-02 meets the criteria for Fast Track designation, and FDA has designated the investigation of GR-MD-02 for non-alcoholic steatohepatitis with hepatic fibrosis as a Fast Track development program. We began enrolling patients in this trial in July 2013 and we expect top line of the first cohort of patients (total of 8 patients) by late 2013 or early 2014. Results of cohort 2 and cohort 3, if needed, will be available by mid-2014. In Q3 of 2014, depending on the results of the Phase I study and available funding, we may initiate a Phase II clinical trial to assess the efficacy of GR-MD-02 in patients with NASH and advanced liver fibrosis and based on that timing we would expect top-line clinical results by late 2015 or early 2016, depending on the final design of the phase 2 study.</w:t>
      </w:r>
    </w:p>
    <w:p>
      <w:pPr>
        <w:spacing w:after="0" w:line="121"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i w:val="1"/>
          <w:iCs w:val="1"/>
          <w:color w:val="auto"/>
        </w:rPr>
        <w:t xml:space="preserve">GM-CT-01. </w:t>
      </w:r>
      <w:r>
        <w:rPr>
          <w:rFonts w:ascii="Arial" w:cs="Arial" w:eastAsia="Arial" w:hAnsi="Arial"/>
          <w:sz w:val="16"/>
          <w:szCs w:val="16"/>
          <w:color w:val="auto"/>
        </w:rPr>
        <w:t>We believe the potential exists for galectin inhibition to play an important role in cancer therapy. Galectin proteins, particularly galectin-1 and galectin-3, have been shown to be highly expressed in the majority of cancers and have multiple roles in promoting cancer progression, including tumor cell invasion, metastasis, angiogenesis, and tumor evasion of the immune system. GM-CT-01 has progressed in development for the therapy of colorectal cancer and is currently in a Phase I/II clinical trial in Europe as a combination therapy with a tumor vaccine in patients with advanced melanoma. The current developmental approach for GM-CT-01 is to enhance the activity of the immune system against the cancer.</w:t>
      </w:r>
    </w:p>
    <w:p>
      <w:pPr>
        <w:spacing w:after="0" w:line="116"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In May 2012, we initiated a Phase I/II clinical trial of GM-CT-01 in Belgium in combination with a tumor vaccine in patients with advanced melanoma, a deadly skin cancer. The Belgian Federal Agency of Medicine and Health Products, or FAMHP, granted approval for this clinical trial, which is being conducted at three centers in Belgium and one in Luxembourg. There are two primary cohorts of patients in this study, one where GM-CT-01 is given intravenously (Cohort 1) and a second cohort where GM-CT-01 is given both intravenously and directly injected into a cutaneous metastasis (Cohort 2). As of now, 6 patients total have been enrolled and two patients have completed treatment in Cohort 1 and one patient has completed treatment in Cohort 2. The three completed patients have tolerated the therapy well with no stage 3/4 adverse events. None of the three patients had a partial or complete response to therapy based on RECIST criteria, but two patients had a mixed response with some tumors receding in size. Enrollment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the study is continuing, but we do not have an estimate of completion of the first stage of the cohorts because enrollment is under the control of the site conducting the trial. For each cohort, 6 patients will be enrolled in stage one of the study, and if at least one out of six patients has a response (PR or CR by RECIST criteria), the remaining patients will be enrolled up to a total of 23 per cohort. Depending on the results of Stage 1, which is defined as a partial or complete response by RECIST criteria in at least one out of six patients, the study could continue enrollment to complete Stage 2 (46 total patients), initiate a new Phase II trial based on positive results or be halted because of lack of efficacy. Stage 1 of the trial is being funded by the Cancer Centre at the Cliniques Universitaires Saint-Luc and Stage 2 may require funding from the Company, beyond the provision of material, however, we have no commitment to fund Stage 2 of the trial. We do not control this Phase I/II clinical trial in Belgium which is being conducted under an EMA-approved IMPD. We are the sponsor of an open IND application under the FDA for GM-CT-01; no trials are currently being conducted in the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Six Months Ended June 30, 2013 Compared to Three and Six Months Ended June 30, 2012</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r>
        <w:rPr>
          <w:rFonts w:ascii="Arial" w:cs="Arial" w:eastAsia="Arial" w:hAnsi="Arial"/>
          <w:sz w:val="18"/>
          <w:szCs w:val="18"/>
          <w:color w:val="auto"/>
        </w:rPr>
        <w: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color w:val="auto"/>
                <w:w w:val="87"/>
              </w:rPr>
              <w:t>Three Months Ended</w:t>
            </w:r>
          </w:p>
        </w:tc>
        <w:tc>
          <w:tcPr>
            <w:tcW w:w="300" w:type="dxa"/>
            <w:vAlign w:val="bottom"/>
          </w:tcPr>
          <w:p>
            <w:pPr>
              <w:spacing w:after="0"/>
              <w:rPr>
                <w:sz w:val="14"/>
                <w:szCs w:val="14"/>
                <w:color w:val="auto"/>
              </w:rPr>
            </w:pPr>
          </w:p>
        </w:tc>
        <w:tc>
          <w:tcPr>
            <w:tcW w:w="1540" w:type="dxa"/>
            <w:vAlign w:val="bottom"/>
            <w:gridSpan w:val="3"/>
          </w:tcPr>
          <w:p>
            <w:pPr>
              <w:jc w:val="center"/>
              <w:ind w:right="300"/>
              <w:spacing w:after="0"/>
              <w:rPr>
                <w:sz w:val="20"/>
                <w:szCs w:val="20"/>
                <w:color w:val="auto"/>
              </w:rPr>
            </w:pPr>
            <w:r>
              <w:rPr>
                <w:rFonts w:ascii="Arial" w:cs="Arial" w:eastAsia="Arial" w:hAnsi="Arial"/>
                <w:sz w:val="14"/>
                <w:szCs w:val="14"/>
                <w:color w:val="auto"/>
                <w:w w:val="87"/>
              </w:rPr>
              <w:t>Six Months Ended</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jc w:val="right"/>
              <w:ind w:right="66"/>
              <w:spacing w:after="0"/>
              <w:rPr>
                <w:sz w:val="20"/>
                <w:szCs w:val="20"/>
                <w:color w:val="auto"/>
              </w:rPr>
            </w:pPr>
            <w:r>
              <w:rPr>
                <w:rFonts w:ascii="Arial" w:cs="Arial" w:eastAsia="Arial" w:hAnsi="Arial"/>
                <w:sz w:val="14"/>
                <w:szCs w:val="14"/>
                <w:color w:val="auto"/>
                <w:w w:val="89"/>
              </w:rPr>
              <w:t>2013 as Compared to 2012</w:t>
            </w: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4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8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85"/>
              </w:rPr>
              <w:t>June 30,</w:t>
            </w:r>
          </w:p>
        </w:tc>
        <w:tc>
          <w:tcPr>
            <w:tcW w:w="300" w:type="dxa"/>
            <w:vAlign w:val="bottom"/>
          </w:tcPr>
          <w:p>
            <w:pPr>
              <w:spacing w:after="0"/>
              <w:rPr>
                <w:sz w:val="12"/>
                <w:szCs w:val="12"/>
                <w:color w:val="auto"/>
              </w:rPr>
            </w:pPr>
          </w:p>
        </w:tc>
        <w:tc>
          <w:tcPr>
            <w:tcW w:w="1540" w:type="dxa"/>
            <w:vAlign w:val="bottom"/>
            <w:gridSpan w:val="3"/>
          </w:tcPr>
          <w:p>
            <w:pPr>
              <w:jc w:val="center"/>
              <w:ind w:right="280"/>
              <w:spacing w:after="0" w:line="142" w:lineRule="exact"/>
              <w:rPr>
                <w:sz w:val="20"/>
                <w:szCs w:val="20"/>
                <w:color w:val="auto"/>
              </w:rPr>
            </w:pPr>
            <w:r>
              <w:rPr>
                <w:rFonts w:ascii="Arial" w:cs="Arial" w:eastAsia="Arial" w:hAnsi="Arial"/>
                <w:sz w:val="14"/>
                <w:szCs w:val="14"/>
                <w:color w:val="auto"/>
                <w:w w:val="85"/>
              </w:rPr>
              <w:t>June 30,</w:t>
            </w:r>
          </w:p>
        </w:tc>
        <w:tc>
          <w:tcPr>
            <w:tcW w:w="100" w:type="dxa"/>
            <w:vAlign w:val="bottom"/>
          </w:tcPr>
          <w:p>
            <w:pPr>
              <w:spacing w:after="0"/>
              <w:rPr>
                <w:sz w:val="12"/>
                <w:szCs w:val="12"/>
                <w:color w:val="auto"/>
              </w:rPr>
            </w:pPr>
          </w:p>
        </w:tc>
        <w:tc>
          <w:tcPr>
            <w:tcW w:w="1540" w:type="dxa"/>
            <w:vAlign w:val="bottom"/>
            <w:gridSpan w:val="3"/>
          </w:tcPr>
          <w:p>
            <w:pPr>
              <w:jc w:val="right"/>
              <w:ind w:right="560"/>
              <w:spacing w:after="0" w:line="142" w:lineRule="exact"/>
              <w:rPr>
                <w:sz w:val="20"/>
                <w:szCs w:val="20"/>
                <w:color w:val="auto"/>
              </w:rPr>
            </w:pPr>
            <w:r>
              <w:rPr>
                <w:rFonts w:ascii="Arial" w:cs="Arial" w:eastAsia="Arial" w:hAnsi="Arial"/>
                <w:sz w:val="14"/>
                <w:szCs w:val="14"/>
                <w:color w:val="auto"/>
              </w:rPr>
              <w:t>Three Months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ind w:left="280"/>
              <w:spacing w:after="0" w:line="142" w:lineRule="exact"/>
              <w:rPr>
                <w:sz w:val="20"/>
                <w:szCs w:val="20"/>
                <w:color w:val="auto"/>
              </w:rPr>
            </w:pPr>
            <w:r>
              <w:rPr>
                <w:rFonts w:ascii="Arial" w:cs="Arial" w:eastAsia="Arial" w:hAnsi="Arial"/>
                <w:sz w:val="14"/>
                <w:szCs w:val="14"/>
                <w:color w:val="auto"/>
              </w:rPr>
              <w:t>Six Months</w:t>
            </w:r>
          </w:p>
        </w:tc>
        <w:tc>
          <w:tcPr>
            <w:tcW w:w="200" w:type="dxa"/>
            <w:vAlign w:val="bottom"/>
          </w:tcPr>
          <w:p>
            <w:pPr>
              <w:spacing w:after="0"/>
              <w:rPr>
                <w:sz w:val="12"/>
                <w:szCs w:val="12"/>
                <w:color w:val="auto"/>
              </w:rPr>
            </w:pPr>
          </w:p>
        </w:tc>
      </w:tr>
      <w:tr>
        <w:trPr>
          <w:trHeight w:val="142"/>
        </w:trPr>
        <w:tc>
          <w:tcPr>
            <w:tcW w:w="34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color w:val="auto"/>
              </w:rPr>
              <w:t>2013</w:t>
            </w:r>
          </w:p>
        </w:tc>
        <w:tc>
          <w:tcPr>
            <w:tcW w:w="64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color w:val="auto"/>
              </w:rPr>
              <w:t>2012</w:t>
            </w:r>
          </w:p>
        </w:tc>
        <w:tc>
          <w:tcPr>
            <w:tcW w:w="300" w:type="dxa"/>
            <w:vAlign w:val="bottom"/>
            <w:tcBorders>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color w:val="auto"/>
              </w:rPr>
              <w:t>2013</w:t>
            </w:r>
          </w:p>
        </w:tc>
        <w:tc>
          <w:tcPr>
            <w:tcW w:w="620" w:type="dxa"/>
            <w:vAlign w:val="bottom"/>
            <w:tcBorders>
              <w:top w:val="single" w:sz="8" w:color="auto"/>
              <w:bottom w:val="single" w:sz="8" w:color="auto"/>
            </w:tcBorders>
          </w:tcPr>
          <w:p>
            <w:pPr>
              <w:jc w:val="right"/>
              <w:ind w:right="26"/>
              <w:spacing w:after="0" w:line="142" w:lineRule="exact"/>
              <w:rPr>
                <w:sz w:val="20"/>
                <w:szCs w:val="20"/>
                <w:color w:val="auto"/>
              </w:rPr>
            </w:pPr>
            <w:r>
              <w:rPr>
                <w:rFonts w:ascii="Arial" w:cs="Arial" w:eastAsia="Arial" w:hAnsi="Arial"/>
                <w:sz w:val="14"/>
                <w:szCs w:val="14"/>
                <w:color w:val="auto"/>
              </w:rPr>
              <w:t>2012</w:t>
            </w:r>
          </w:p>
        </w:tc>
        <w:tc>
          <w:tcPr>
            <w:tcW w:w="28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ind w:right="166"/>
              <w:spacing w:after="0" w:line="142" w:lineRule="exact"/>
              <w:rPr>
                <w:sz w:val="20"/>
                <w:szCs w:val="20"/>
                <w:color w:val="auto"/>
              </w:rPr>
            </w:pPr>
            <w:r>
              <w:rPr>
                <w:rFonts w:ascii="Arial" w:cs="Arial" w:eastAsia="Arial" w:hAnsi="Arial"/>
                <w:sz w:val="14"/>
                <w:szCs w:val="14"/>
                <w:color w:val="auto"/>
                <w:w w:val="81"/>
              </w:rPr>
              <w:t>Change</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1"/>
              </w:rPr>
              <w:t>% Change</w:t>
            </w:r>
          </w:p>
        </w:tc>
        <w:tc>
          <w:tcPr>
            <w:tcW w:w="2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ind w:right="86"/>
              <w:spacing w:after="0" w:line="142" w:lineRule="exact"/>
              <w:rPr>
                <w:sz w:val="20"/>
                <w:szCs w:val="20"/>
                <w:color w:val="auto"/>
              </w:rPr>
            </w:pPr>
            <w:r>
              <w:rPr>
                <w:rFonts w:ascii="Arial" w:cs="Arial" w:eastAsia="Arial" w:hAnsi="Arial"/>
                <w:sz w:val="14"/>
                <w:szCs w:val="14"/>
                <w:color w:val="auto"/>
                <w:w w:val="81"/>
              </w:rPr>
              <w:t>Change</w:t>
            </w:r>
          </w:p>
        </w:tc>
        <w:tc>
          <w:tcPr>
            <w:tcW w:w="70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color w:val="auto"/>
                <w:w w:val="82"/>
              </w:rPr>
              <w:t>% Change</w:t>
            </w:r>
          </w:p>
        </w:tc>
        <w:tc>
          <w:tcPr>
            <w:tcW w:w="200" w:type="dxa"/>
            <w:vAlign w:val="bottom"/>
          </w:tcPr>
          <w:p>
            <w:pPr>
              <w:spacing w:after="0"/>
              <w:rPr>
                <w:sz w:val="12"/>
                <w:szCs w:val="12"/>
                <w:color w:val="auto"/>
              </w:rPr>
            </w:pPr>
          </w:p>
        </w:tc>
      </w:tr>
      <w:tr>
        <w:trPr>
          <w:trHeight w:val="142"/>
        </w:trPr>
        <w:tc>
          <w:tcPr>
            <w:tcW w:w="34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60" w:type="dxa"/>
            <w:vAlign w:val="bottom"/>
            <w:gridSpan w:val="4"/>
          </w:tcPr>
          <w:p>
            <w:pPr>
              <w:jc w:val="right"/>
              <w:ind w:right="6"/>
              <w:spacing w:after="0" w:line="142" w:lineRule="exact"/>
              <w:rPr>
                <w:sz w:val="20"/>
                <w:szCs w:val="20"/>
                <w:color w:val="auto"/>
              </w:rPr>
            </w:pPr>
            <w:r>
              <w:rPr>
                <w:rFonts w:ascii="Arial" w:cs="Arial" w:eastAsia="Arial" w:hAnsi="Arial"/>
                <w:sz w:val="14"/>
                <w:szCs w:val="14"/>
                <w:color w:val="auto"/>
              </w:rPr>
              <w:t>(In thousands, except %)</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1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$1,349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9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$3,101</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$2,116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146"/>
              <w:spacing w:after="0"/>
              <w:rPr>
                <w:sz w:val="20"/>
                <w:szCs w:val="20"/>
                <w:color w:val="auto"/>
              </w:rPr>
            </w:pPr>
            <w:r>
              <w:rPr>
                <w:rFonts w:ascii="Arial" w:cs="Arial" w:eastAsia="Arial" w:hAnsi="Arial"/>
                <w:sz w:val="18"/>
                <w:szCs w:val="18"/>
                <w:color w:val="auto"/>
              </w:rPr>
              <w:t>134</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86"/>
              <w:spacing w:after="0"/>
              <w:rPr>
                <w:sz w:val="20"/>
                <w:szCs w:val="20"/>
                <w:color w:val="auto"/>
              </w:rPr>
            </w:pPr>
            <w:r>
              <w:rPr>
                <w:rFonts w:ascii="Arial" w:cs="Arial" w:eastAsia="Arial" w:hAnsi="Arial"/>
                <w:sz w:val="18"/>
                <w:szCs w:val="18"/>
                <w:color w:val="auto"/>
              </w:rPr>
              <w:t>985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r>
    </w:tbl>
    <w:p>
      <w:pPr>
        <w:spacing w:after="0" w:line="154" w:lineRule="exact"/>
        <w:rPr>
          <w:sz w:val="20"/>
          <w:szCs w:val="20"/>
          <w:color w:val="auto"/>
        </w:rPr>
      </w:pPr>
    </w:p>
    <w:p>
      <w:pPr>
        <w:ind w:right="80" w:firstLine="913"/>
        <w:spacing w:after="0" w:line="289" w:lineRule="auto"/>
        <w:rPr>
          <w:sz w:val="20"/>
          <w:szCs w:val="20"/>
          <w:color w:val="auto"/>
        </w:rPr>
      </w:pPr>
      <w:r>
        <w:rPr>
          <w:rFonts w:ascii="Arial" w:cs="Arial" w:eastAsia="Arial" w:hAnsi="Arial"/>
          <w:sz w:val="16"/>
          <w:szCs w:val="16"/>
          <w:color w:val="auto"/>
        </w:rPr>
        <w:t>We generally categorize research and development expenses as either direct external expenses, comprised of amounts paid to third party vendors for services, or all other research and development expenses, comprised of employee payroll and general overhead allocable to research and development. We consider a clinical program to have begun upon acceptance by the FDA, or similar agency outside of the United States, to commence a clinical trial in humans, at which time we begin tracking expenditures by the product candidate. Clinical program expenses comprise payments to vendors related to preparation for, and conduct of, all phases of the clinical trial, including costs for drug manufacture, patient dosing and monitoring, data collection and management, oversight of the trials and reports of results. Pre-clinical expenses comprise all research and development amounts incurred before human trials begin, including payments to vendors for services related to product experiments and discovery, toxicology, pharmacology, metabolism and efficacy studies, as well as manufacturing process development for a drug candidate.</w:t>
      </w:r>
    </w:p>
    <w:p>
      <w:pPr>
        <w:spacing w:after="0" w:line="118" w:lineRule="exact"/>
        <w:rPr>
          <w:sz w:val="20"/>
          <w:szCs w:val="20"/>
          <w:color w:val="auto"/>
        </w:rPr>
      </w:pPr>
    </w:p>
    <w:p>
      <w:pPr>
        <w:ind w:right="60" w:firstLine="913"/>
        <w:spacing w:after="0" w:line="256" w:lineRule="auto"/>
        <w:rPr>
          <w:sz w:val="20"/>
          <w:szCs w:val="20"/>
          <w:color w:val="auto"/>
        </w:rPr>
      </w:pPr>
      <w:r>
        <w:rPr>
          <w:rFonts w:ascii="Arial" w:cs="Arial" w:eastAsia="Arial" w:hAnsi="Arial"/>
          <w:sz w:val="18"/>
          <w:szCs w:val="18"/>
          <w:color w:val="auto"/>
        </w:rPr>
        <w:t>We have two product candidates, GR-MD-02 and GM-CT-01. We filed for an IND for GR-MD-02 in January 2013 and in February 2013 we entered into an agreement with CTI to conduct a Phase I clinical trial of GR-MD-02 which we began enrolling patients in July 2013. GM-CT-01 is in a Phase I/II clinical trial in Europe at this time, which is being conducted in collaboration with the Cancer Centre at the Cliniques Universitaires Saint-Luc and the Ludwig Institute for Cancer Research in Belgium.</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research and development expenses were as follows: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5"/>
          </w:tcPr>
          <w:p>
            <w:pPr>
              <w:ind w:left="40"/>
              <w:spacing w:after="0"/>
              <w:rPr>
                <w:sz w:val="20"/>
                <w:szCs w:val="20"/>
                <w:color w:val="auto"/>
              </w:rPr>
            </w:pPr>
            <w:r>
              <w:rPr>
                <w:rFonts w:ascii="Arial" w:cs="Arial" w:eastAsia="Arial" w:hAnsi="Arial"/>
                <w:sz w:val="14"/>
                <w:szCs w:val="14"/>
                <w:color w:val="auto"/>
                <w:w w:val="94"/>
              </w:rPr>
              <w:t>Three Months Ended</w:t>
            </w:r>
          </w:p>
        </w:tc>
        <w:tc>
          <w:tcPr>
            <w:tcW w:w="380" w:type="dxa"/>
            <w:vAlign w:val="bottom"/>
          </w:tcPr>
          <w:p>
            <w:pPr>
              <w:spacing w:after="0"/>
              <w:rPr>
                <w:sz w:val="14"/>
                <w:szCs w:val="14"/>
                <w:color w:val="auto"/>
              </w:rPr>
            </w:pPr>
          </w:p>
        </w:tc>
        <w:tc>
          <w:tcPr>
            <w:tcW w:w="1480" w:type="dxa"/>
            <w:vAlign w:val="bottom"/>
            <w:gridSpan w:val="6"/>
          </w:tcPr>
          <w:p>
            <w:pPr>
              <w:ind w:left="200"/>
              <w:spacing w:after="0"/>
              <w:rPr>
                <w:sz w:val="20"/>
                <w:szCs w:val="20"/>
                <w:color w:val="auto"/>
              </w:rPr>
            </w:pPr>
            <w:r>
              <w:rPr>
                <w:rFonts w:ascii="Arial" w:cs="Arial" w:eastAsia="Arial" w:hAnsi="Arial"/>
                <w:sz w:val="14"/>
                <w:szCs w:val="14"/>
                <w:color w:val="auto"/>
              </w:rPr>
              <w:t>Six Months Ended</w:t>
            </w:r>
          </w:p>
        </w:tc>
      </w:tr>
      <w:tr>
        <w:trPr>
          <w:trHeight w:val="159"/>
        </w:trPr>
        <w:tc>
          <w:tcPr>
            <w:tcW w:w="52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2"/>
          </w:tcPr>
          <w:p>
            <w:pPr>
              <w:jc w:val="right"/>
              <w:ind w:right="40"/>
              <w:spacing w:after="0" w:line="159" w:lineRule="exact"/>
              <w:rPr>
                <w:sz w:val="20"/>
                <w:szCs w:val="20"/>
                <w:color w:val="auto"/>
              </w:rPr>
            </w:pPr>
            <w:r>
              <w:rPr>
                <w:rFonts w:ascii="Arial" w:cs="Arial" w:eastAsia="Arial" w:hAnsi="Arial"/>
                <w:sz w:val="14"/>
                <w:szCs w:val="14"/>
                <w:color w:val="auto"/>
              </w:rPr>
              <w:t>June</w:t>
            </w:r>
          </w:p>
        </w:tc>
        <w:tc>
          <w:tcPr>
            <w:tcW w:w="260" w:type="dxa"/>
            <w:vAlign w:val="bottom"/>
            <w:tcBorders>
              <w:bottom w:val="single" w:sz="8" w:color="auto"/>
            </w:tcBorders>
            <w:gridSpan w:val="2"/>
          </w:tcPr>
          <w:p>
            <w:pPr>
              <w:jc w:val="right"/>
              <w:ind w:right="60"/>
              <w:spacing w:after="0" w:line="159" w:lineRule="exact"/>
              <w:rPr>
                <w:sz w:val="20"/>
                <w:szCs w:val="20"/>
                <w:color w:val="auto"/>
              </w:rPr>
            </w:pPr>
            <w:r>
              <w:rPr>
                <w:rFonts w:ascii="Arial" w:cs="Arial" w:eastAsia="Arial" w:hAnsi="Arial"/>
                <w:sz w:val="14"/>
                <w:szCs w:val="14"/>
                <w:color w:val="auto"/>
                <w:w w:val="92"/>
              </w:rPr>
              <w:t>30,</w:t>
            </w:r>
          </w:p>
        </w:tc>
        <w:tc>
          <w:tcPr>
            <w:tcW w:w="40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Borders>
              <w:bottom w:val="single" w:sz="8" w:color="auto"/>
            </w:tcBorders>
            <w:gridSpan w:val="2"/>
          </w:tcPr>
          <w:p>
            <w:pPr>
              <w:ind w:left="460"/>
              <w:spacing w:after="0" w:line="159" w:lineRule="exact"/>
              <w:rPr>
                <w:sz w:val="20"/>
                <w:szCs w:val="20"/>
                <w:color w:val="auto"/>
              </w:rPr>
            </w:pPr>
            <w:r>
              <w:rPr>
                <w:rFonts w:ascii="Arial" w:cs="Arial" w:eastAsia="Arial" w:hAnsi="Arial"/>
                <w:sz w:val="14"/>
                <w:szCs w:val="14"/>
                <w:color w:val="auto"/>
                <w:w w:val="85"/>
              </w:rPr>
              <w:t>June</w:t>
            </w:r>
          </w:p>
        </w:tc>
        <w:tc>
          <w:tcPr>
            <w:tcW w:w="260" w:type="dxa"/>
            <w:vAlign w:val="bottom"/>
            <w:tcBorders>
              <w:bottom w:val="single" w:sz="8" w:color="auto"/>
            </w:tcBorders>
            <w:gridSpan w:val="2"/>
          </w:tcPr>
          <w:p>
            <w:pPr>
              <w:jc w:val="right"/>
              <w:ind w:right="60"/>
              <w:spacing w:after="0" w:line="159" w:lineRule="exact"/>
              <w:rPr>
                <w:sz w:val="20"/>
                <w:szCs w:val="20"/>
                <w:color w:val="auto"/>
              </w:rPr>
            </w:pPr>
            <w:r>
              <w:rPr>
                <w:rFonts w:ascii="Arial" w:cs="Arial" w:eastAsia="Arial" w:hAnsi="Arial"/>
                <w:sz w:val="14"/>
                <w:szCs w:val="14"/>
                <w:color w:val="auto"/>
                <w:w w:val="92"/>
              </w:rPr>
              <w:t>30,</w:t>
            </w:r>
          </w:p>
        </w:tc>
        <w:tc>
          <w:tcPr>
            <w:tcW w:w="3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31"/>
        </w:trPr>
        <w:tc>
          <w:tcPr>
            <w:tcW w:w="52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ind w:left="20"/>
              <w:spacing w:after="0" w:line="131" w:lineRule="exact"/>
              <w:rPr>
                <w:sz w:val="20"/>
                <w:szCs w:val="20"/>
                <w:color w:val="auto"/>
              </w:rPr>
            </w:pPr>
            <w:r>
              <w:rPr>
                <w:rFonts w:ascii="Arial" w:cs="Arial" w:eastAsia="Arial" w:hAnsi="Arial"/>
                <w:sz w:val="14"/>
                <w:szCs w:val="14"/>
                <w:color w:val="auto"/>
              </w:rPr>
              <w:t>2013</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ind w:right="39"/>
              <w:spacing w:after="0" w:line="131" w:lineRule="exact"/>
              <w:rPr>
                <w:sz w:val="20"/>
                <w:szCs w:val="20"/>
                <w:color w:val="auto"/>
              </w:rPr>
            </w:pPr>
            <w:r>
              <w:rPr>
                <w:rFonts w:ascii="Arial" w:cs="Arial" w:eastAsia="Arial" w:hAnsi="Arial"/>
                <w:sz w:val="14"/>
                <w:szCs w:val="14"/>
                <w:color w:val="auto"/>
                <w:w w:val="83"/>
              </w:rPr>
              <w:t>2012</w:t>
            </w:r>
          </w:p>
        </w:tc>
        <w:tc>
          <w:tcPr>
            <w:tcW w:w="380" w:type="dxa"/>
            <w:vAlign w:val="bottom"/>
          </w:tcPr>
          <w:p>
            <w:pPr>
              <w:spacing w:after="0"/>
              <w:rPr>
                <w:sz w:val="11"/>
                <w:szCs w:val="11"/>
                <w:color w:val="auto"/>
              </w:rPr>
            </w:pPr>
          </w:p>
        </w:tc>
        <w:tc>
          <w:tcPr>
            <w:tcW w:w="500" w:type="dxa"/>
            <w:vAlign w:val="bottom"/>
          </w:tcPr>
          <w:p>
            <w:pPr>
              <w:jc w:val="right"/>
              <w:ind w:right="32"/>
              <w:spacing w:after="0" w:line="131" w:lineRule="exact"/>
              <w:rPr>
                <w:sz w:val="20"/>
                <w:szCs w:val="20"/>
                <w:color w:val="auto"/>
              </w:rPr>
            </w:pPr>
            <w:r>
              <w:rPr>
                <w:rFonts w:ascii="Arial" w:cs="Arial" w:eastAsia="Arial" w:hAnsi="Arial"/>
                <w:sz w:val="14"/>
                <w:szCs w:val="14"/>
                <w:color w:val="auto"/>
              </w:rPr>
              <w:t>2013</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ind w:right="16"/>
              <w:spacing w:after="0" w:line="131" w:lineRule="exact"/>
              <w:rPr>
                <w:sz w:val="20"/>
                <w:szCs w:val="20"/>
                <w:color w:val="auto"/>
              </w:rPr>
            </w:pPr>
            <w:r>
              <w:rPr>
                <w:rFonts w:ascii="Arial" w:cs="Arial" w:eastAsia="Arial" w:hAnsi="Arial"/>
                <w:sz w:val="14"/>
                <w:szCs w:val="14"/>
                <w:color w:val="auto"/>
                <w:w w:val="83"/>
              </w:rPr>
              <w:t>2012</w:t>
            </w:r>
          </w:p>
        </w:tc>
        <w:tc>
          <w:tcPr>
            <w:tcW w:w="100" w:type="dxa"/>
            <w:vAlign w:val="bottom"/>
          </w:tcPr>
          <w:p>
            <w:pPr>
              <w:spacing w:after="0"/>
              <w:rPr>
                <w:sz w:val="11"/>
                <w:szCs w:val="11"/>
                <w:color w:val="auto"/>
              </w:rPr>
            </w:pPr>
          </w:p>
        </w:tc>
      </w:tr>
      <w:tr>
        <w:trPr>
          <w:trHeight w:val="159"/>
        </w:trPr>
        <w:tc>
          <w:tcPr>
            <w:tcW w:w="52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4"/>
          </w:tcPr>
          <w:p>
            <w:pPr>
              <w:ind w:left="200"/>
              <w:spacing w:after="0" w:line="159" w:lineRule="exact"/>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Direct external expenses:</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20" w:type="dxa"/>
            <w:vAlign w:val="bottom"/>
          </w:tcPr>
          <w:p>
            <w:pPr>
              <w:ind w:left="440"/>
              <w:spacing w:after="0"/>
              <w:rPr>
                <w:sz w:val="20"/>
                <w:szCs w:val="20"/>
                <w:color w:val="auto"/>
              </w:rPr>
            </w:pPr>
            <w:r>
              <w:rPr>
                <w:rFonts w:ascii="Arial" w:cs="Arial" w:eastAsia="Arial" w:hAnsi="Arial"/>
                <w:sz w:val="18"/>
                <w:szCs w:val="18"/>
                <w:color w:val="auto"/>
              </w:rPr>
              <w:t>Clinical programs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511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275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$1,254</w:t>
            </w:r>
          </w:p>
        </w:tc>
        <w:tc>
          <w:tcPr>
            <w:tcW w:w="24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18"/>
                <w:szCs w:val="18"/>
                <w:color w:val="auto"/>
              </w:rPr>
            </w:pPr>
          </w:p>
        </w:tc>
      </w:tr>
      <w:tr>
        <w:trPr>
          <w:trHeight w:val="216"/>
        </w:trPr>
        <w:tc>
          <w:tcPr>
            <w:tcW w:w="5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Pre-clinical activities</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0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All other research and development expenses</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347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506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803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18"/>
                <w:szCs w:val="18"/>
                <w:color w:val="auto"/>
              </w:rPr>
            </w:pPr>
          </w:p>
        </w:tc>
      </w:tr>
      <w:tr>
        <w:trPr>
          <w:trHeight w:val="27"/>
        </w:trPr>
        <w:tc>
          <w:tcPr>
            <w:tcW w:w="5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2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1,349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1,215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3,101</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2,116</w:t>
            </w:r>
          </w:p>
        </w:tc>
        <w:tc>
          <w:tcPr>
            <w:tcW w:w="100" w:type="dxa"/>
            <w:vAlign w:val="bottom"/>
            <w:shd w:val="clear" w:color="auto" w:fill="CCEEFF"/>
          </w:tcPr>
          <w:p>
            <w:pPr>
              <w:spacing w:after="0"/>
              <w:rPr>
                <w:sz w:val="18"/>
                <w:szCs w:val="18"/>
                <w:color w:val="auto"/>
              </w:rPr>
            </w:pPr>
          </w:p>
        </w:tc>
      </w:tr>
      <w:tr>
        <w:trPr>
          <w:trHeight w:val="20"/>
        </w:trPr>
        <w:tc>
          <w:tcPr>
            <w:tcW w:w="5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Clinical programs expenses increased primarily due to the startup costs related to our Phase I clinical trial agreement with CTI during the three and six months ended June 30, 2013 versus primarily compound manufacturing, toxicology testing and other preparation costs during the three and six months ended June 30, 2012 for GM-CT-01. As we continue enrolling patients in the Phase I trial we expect our clinical activities costs will increase and may fluctuate from quarter to quarter as the trial progresses. Pre-clinical activities increased primarily due to pre-clinical work related to fibrosis prior to the IND approval as well as our agreement with the University of Georgia. Other research and development expenses decreased during the three months ended June 30, 2013 primarily due to decreased stock-based compensation ($148,000). Other research and development expenses decreased during the six months ended June 30, 2013 primarily due to decreased rent and overhead expenses ($57,000), offset by increased stock-based compensation ($22,000).</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Both the time required and costs we may incur in order to commercialize a drug candidate that would result in material net cash inflow are subject to numerous variables, and therefore we are unable at this stage of our development to forecast useful estimates. Variables that make estimates difficult include the number of clinical trials we may undertake, the number of patients needed to participate in the clinical trial, patient recruitment uncertainties, trial results as to the safety and efficacy of our product, and uncertainties as to the regulatory agency response to our trial data prior to receipt of marketing approval. Moreover, the FDA or other regulatory agencies may suspend clinical trials if we or an agency believes patients in the trial are subject to unacceptable risks, or find deficiencies in the conduct of the clinical trial. Delays or rejections may also occur if governmental regulation or policy changes during our clinical trials or in the course of review of our clinical data. Due to these uncertainties, accurate and meaningful estimates of the ultimate cost to bring a product to market, the timing of costs and completion of our program and the period during which material net cash inflows will commence are unavailable at this time.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560" w:type="dxa"/>
            <w:vAlign w:val="bottom"/>
            <w:gridSpan w:val="3"/>
          </w:tcPr>
          <w:p>
            <w:pPr>
              <w:jc w:val="center"/>
              <w:ind w:right="280"/>
              <w:spacing w:after="0"/>
              <w:rPr>
                <w:sz w:val="20"/>
                <w:szCs w:val="20"/>
                <w:color w:val="auto"/>
              </w:rPr>
            </w:pPr>
            <w:r>
              <w:rPr>
                <w:rFonts w:ascii="Arial" w:cs="Arial" w:eastAsia="Arial" w:hAnsi="Arial"/>
                <w:sz w:val="14"/>
                <w:szCs w:val="14"/>
                <w:color w:val="auto"/>
                <w:w w:val="87"/>
              </w:rPr>
              <w:t>Three Months</w:t>
            </w:r>
          </w:p>
        </w:tc>
        <w:tc>
          <w:tcPr>
            <w:tcW w:w="1580" w:type="dxa"/>
            <w:vAlign w:val="bottom"/>
            <w:gridSpan w:val="3"/>
          </w:tcPr>
          <w:p>
            <w:pPr>
              <w:jc w:val="center"/>
              <w:ind w:right="280"/>
              <w:spacing w:after="0"/>
              <w:rPr>
                <w:sz w:val="20"/>
                <w:szCs w:val="20"/>
                <w:color w:val="auto"/>
              </w:rPr>
            </w:pPr>
            <w:r>
              <w:rPr>
                <w:rFonts w:ascii="Arial" w:cs="Arial" w:eastAsia="Arial" w:hAnsi="Arial"/>
                <w:sz w:val="14"/>
                <w:szCs w:val="14"/>
                <w:color w:val="auto"/>
                <w:w w:val="89"/>
              </w:rPr>
              <w:t>Six Months</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740" w:type="dxa"/>
            <w:vAlign w:val="bottom"/>
            <w:gridSpan w:val="5"/>
          </w:tcPr>
          <w:p>
            <w:pPr>
              <w:jc w:val="right"/>
              <w:ind w:right="86"/>
              <w:spacing w:after="0"/>
              <w:rPr>
                <w:sz w:val="20"/>
                <w:szCs w:val="20"/>
                <w:color w:val="auto"/>
              </w:rPr>
            </w:pPr>
            <w:r>
              <w:rPr>
                <w:rFonts w:ascii="Arial" w:cs="Arial" w:eastAsia="Arial" w:hAnsi="Arial"/>
                <w:sz w:val="14"/>
                <w:szCs w:val="14"/>
                <w:color w:val="auto"/>
                <w:w w:val="91"/>
              </w:rPr>
              <w:t>2013 as Compared to 2012</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900" w:type="dxa"/>
            <w:vAlign w:val="bottom"/>
          </w:tcPr>
          <w:p>
            <w:pPr>
              <w:spacing w:after="0"/>
              <w:rPr>
                <w:sz w:val="12"/>
                <w:szCs w:val="12"/>
                <w:color w:val="auto"/>
              </w:rPr>
            </w:pPr>
          </w:p>
        </w:tc>
        <w:tc>
          <w:tcPr>
            <w:tcW w:w="12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color w:val="auto"/>
                <w:w w:val="85"/>
              </w:rPr>
              <w:t>Ended June 30,</w:t>
            </w:r>
          </w:p>
        </w:tc>
        <w:tc>
          <w:tcPr>
            <w:tcW w:w="280" w:type="dxa"/>
            <w:vAlign w:val="bottom"/>
          </w:tcPr>
          <w:p>
            <w:pPr>
              <w:spacing w:after="0"/>
              <w:rPr>
                <w:sz w:val="12"/>
                <w:szCs w:val="12"/>
                <w:color w:val="auto"/>
              </w:rPr>
            </w:pPr>
          </w:p>
        </w:tc>
        <w:tc>
          <w:tcPr>
            <w:tcW w:w="12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color w:val="auto"/>
                <w:w w:val="83"/>
              </w:rPr>
              <w:t>Ended June 30,</w:t>
            </w:r>
          </w:p>
        </w:tc>
        <w:tc>
          <w:tcPr>
            <w:tcW w:w="3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3"/>
          </w:tcPr>
          <w:p>
            <w:pPr>
              <w:jc w:val="right"/>
              <w:ind w:right="620"/>
              <w:spacing w:after="0" w:line="142" w:lineRule="exact"/>
              <w:rPr>
                <w:sz w:val="20"/>
                <w:szCs w:val="20"/>
                <w:color w:val="auto"/>
              </w:rPr>
            </w:pPr>
            <w:r>
              <w:rPr>
                <w:rFonts w:ascii="Arial" w:cs="Arial" w:eastAsia="Arial" w:hAnsi="Arial"/>
                <w:sz w:val="14"/>
                <w:szCs w:val="14"/>
                <w:color w:val="auto"/>
              </w:rPr>
              <w:t>Three Months</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ind w:left="280"/>
              <w:spacing w:after="0" w:line="142" w:lineRule="exact"/>
              <w:rPr>
                <w:sz w:val="20"/>
                <w:szCs w:val="20"/>
                <w:color w:val="auto"/>
              </w:rPr>
            </w:pPr>
            <w:r>
              <w:rPr>
                <w:rFonts w:ascii="Arial" w:cs="Arial" w:eastAsia="Arial" w:hAnsi="Arial"/>
                <w:sz w:val="14"/>
                <w:szCs w:val="14"/>
                <w:color w:val="auto"/>
              </w:rPr>
              <w:t>Six Months</w:t>
            </w:r>
          </w:p>
        </w:tc>
        <w:tc>
          <w:tcPr>
            <w:tcW w:w="200" w:type="dxa"/>
            <w:vAlign w:val="bottom"/>
          </w:tcPr>
          <w:p>
            <w:pPr>
              <w:spacing w:after="0"/>
              <w:rPr>
                <w:sz w:val="12"/>
                <w:szCs w:val="12"/>
                <w:color w:val="auto"/>
              </w:rPr>
            </w:pPr>
          </w:p>
        </w:tc>
      </w:tr>
      <w:tr>
        <w:trPr>
          <w:trHeight w:val="142"/>
        </w:trPr>
        <w:tc>
          <w:tcPr>
            <w:tcW w:w="490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87"/>
              <w:spacing w:after="0" w:line="142" w:lineRule="exact"/>
              <w:rPr>
                <w:sz w:val="20"/>
                <w:szCs w:val="20"/>
                <w:color w:val="auto"/>
              </w:rPr>
            </w:pPr>
            <w:r>
              <w:rPr>
                <w:rFonts w:ascii="Arial" w:cs="Arial" w:eastAsia="Arial" w:hAnsi="Arial"/>
                <w:sz w:val="14"/>
                <w:szCs w:val="14"/>
                <w:color w:val="auto"/>
              </w:rPr>
              <w:t>2013</w:t>
            </w:r>
          </w:p>
        </w:tc>
        <w:tc>
          <w:tcPr>
            <w:tcW w:w="64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color w:val="auto"/>
              </w:rPr>
              <w:t>2012</w:t>
            </w:r>
          </w:p>
        </w:tc>
        <w:tc>
          <w:tcPr>
            <w:tcW w:w="280" w:type="dxa"/>
            <w:vAlign w:val="bottom"/>
            <w:tcBorders>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87"/>
              <w:spacing w:after="0" w:line="142" w:lineRule="exact"/>
              <w:rPr>
                <w:sz w:val="20"/>
                <w:szCs w:val="20"/>
                <w:color w:val="auto"/>
              </w:rPr>
            </w:pPr>
            <w:r>
              <w:rPr>
                <w:rFonts w:ascii="Arial" w:cs="Arial" w:eastAsia="Arial" w:hAnsi="Arial"/>
                <w:sz w:val="14"/>
                <w:szCs w:val="14"/>
                <w:color w:val="auto"/>
              </w:rPr>
              <w:t>2013</w:t>
            </w:r>
          </w:p>
        </w:tc>
        <w:tc>
          <w:tcPr>
            <w:tcW w:w="640" w:type="dxa"/>
            <w:vAlign w:val="bottom"/>
            <w:tcBorders>
              <w:top w:val="single" w:sz="8" w:color="auto"/>
              <w:bottom w:val="single" w:sz="8" w:color="auto"/>
            </w:tcBorders>
          </w:tcPr>
          <w:p>
            <w:pPr>
              <w:jc w:val="right"/>
              <w:ind w:right="26"/>
              <w:spacing w:after="0" w:line="142" w:lineRule="exact"/>
              <w:rPr>
                <w:sz w:val="20"/>
                <w:szCs w:val="20"/>
                <w:color w:val="auto"/>
              </w:rPr>
            </w:pPr>
            <w:r>
              <w:rPr>
                <w:rFonts w:ascii="Arial" w:cs="Arial" w:eastAsia="Arial" w:hAnsi="Arial"/>
                <w:sz w:val="14"/>
                <w:szCs w:val="14"/>
                <w:color w:val="auto"/>
              </w:rPr>
              <w:t>2012</w:t>
            </w:r>
          </w:p>
        </w:tc>
        <w:tc>
          <w:tcPr>
            <w:tcW w:w="30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ind w:right="146"/>
              <w:spacing w:after="0" w:line="142" w:lineRule="exact"/>
              <w:rPr>
                <w:sz w:val="20"/>
                <w:szCs w:val="20"/>
                <w:color w:val="auto"/>
              </w:rPr>
            </w:pPr>
            <w:r>
              <w:rPr>
                <w:rFonts w:ascii="Arial" w:cs="Arial" w:eastAsia="Arial" w:hAnsi="Arial"/>
                <w:sz w:val="14"/>
                <w:szCs w:val="14"/>
                <w:color w:val="auto"/>
                <w:w w:val="85"/>
              </w:rPr>
              <w:t>Change</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1"/>
              </w:rPr>
              <w:t>% Change</w:t>
            </w:r>
          </w:p>
        </w:tc>
        <w:tc>
          <w:tcPr>
            <w:tcW w:w="3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ind w:right="86"/>
              <w:spacing w:after="0" w:line="142" w:lineRule="exact"/>
              <w:rPr>
                <w:sz w:val="20"/>
                <w:szCs w:val="20"/>
                <w:color w:val="auto"/>
              </w:rPr>
            </w:pPr>
            <w:r>
              <w:rPr>
                <w:rFonts w:ascii="Arial" w:cs="Arial" w:eastAsia="Arial" w:hAnsi="Arial"/>
                <w:sz w:val="14"/>
                <w:szCs w:val="14"/>
                <w:color w:val="auto"/>
                <w:w w:val="81"/>
              </w:rPr>
              <w:t>Change</w:t>
            </w:r>
          </w:p>
        </w:tc>
        <w:tc>
          <w:tcPr>
            <w:tcW w:w="70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color w:val="auto"/>
                <w:w w:val="82"/>
              </w:rPr>
              <w:t>% Change</w:t>
            </w:r>
          </w:p>
        </w:tc>
        <w:tc>
          <w:tcPr>
            <w:tcW w:w="200" w:type="dxa"/>
            <w:vAlign w:val="bottom"/>
          </w:tcPr>
          <w:p>
            <w:pPr>
              <w:spacing w:after="0"/>
              <w:rPr>
                <w:sz w:val="12"/>
                <w:szCs w:val="12"/>
                <w:color w:val="auto"/>
              </w:rPr>
            </w:pPr>
          </w:p>
        </w:tc>
      </w:tr>
      <w:tr>
        <w:trPr>
          <w:trHeight w:val="142"/>
        </w:trPr>
        <w:tc>
          <w:tcPr>
            <w:tcW w:w="4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80" w:type="dxa"/>
            <w:vAlign w:val="bottom"/>
            <w:gridSpan w:val="4"/>
          </w:tcPr>
          <w:p>
            <w:pPr>
              <w:jc w:val="right"/>
              <w:spacing w:after="0" w:line="142" w:lineRule="exact"/>
              <w:rPr>
                <w:sz w:val="20"/>
                <w:szCs w:val="20"/>
                <w:color w:val="auto"/>
              </w:rPr>
            </w:pPr>
            <w:r>
              <w:rPr>
                <w:rFonts w:ascii="Arial" w:cs="Arial" w:eastAsia="Arial" w:hAnsi="Arial"/>
                <w:sz w:val="14"/>
                <w:szCs w:val="14"/>
                <w:color w:val="auto"/>
              </w:rPr>
              <w:t>(In thousands, except %)</w:t>
            </w: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640" w:type="dxa"/>
            <w:vAlign w:val="bottom"/>
            <w:shd w:val="clear" w:color="auto" w:fill="CCEEFF"/>
          </w:tcPr>
          <w:p>
            <w:pPr>
              <w:jc w:val="right"/>
              <w:ind w:right="67"/>
              <w:spacing w:after="0"/>
              <w:rPr>
                <w:sz w:val="20"/>
                <w:szCs w:val="20"/>
                <w:color w:val="auto"/>
              </w:rPr>
            </w:pPr>
            <w:r>
              <w:rPr>
                <w:rFonts w:ascii="Arial" w:cs="Arial" w:eastAsia="Arial" w:hAnsi="Arial"/>
                <w:sz w:val="18"/>
                <w:szCs w:val="18"/>
                <w:color w:val="auto"/>
                <w:w w:val="87"/>
              </w:rPr>
              <w:t>$1,198</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$1,453</w:t>
            </w:r>
          </w:p>
        </w:tc>
        <w:tc>
          <w:tcPr>
            <w:tcW w:w="640" w:type="dxa"/>
            <w:vAlign w:val="bottom"/>
            <w:shd w:val="clear" w:color="auto" w:fill="CCEEFF"/>
          </w:tcPr>
          <w:p>
            <w:pPr>
              <w:jc w:val="right"/>
              <w:ind w:right="67"/>
              <w:spacing w:after="0"/>
              <w:rPr>
                <w:sz w:val="20"/>
                <w:szCs w:val="20"/>
                <w:color w:val="auto"/>
              </w:rPr>
            </w:pPr>
            <w:r>
              <w:rPr>
                <w:rFonts w:ascii="Arial" w:cs="Arial" w:eastAsia="Arial" w:hAnsi="Arial"/>
                <w:sz w:val="18"/>
                <w:szCs w:val="18"/>
                <w:color w:val="auto"/>
                <w:w w:val="87"/>
              </w:rPr>
              <w:t>$2,654</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$2,505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ind w:right="86"/>
              <w:spacing w:after="0"/>
              <w:rPr>
                <w:sz w:val="20"/>
                <w:szCs w:val="20"/>
                <w:color w:val="auto"/>
              </w:rPr>
            </w:pPr>
            <w:r>
              <w:rPr>
                <w:rFonts w:ascii="Arial" w:cs="Arial" w:eastAsia="Arial" w:hAnsi="Arial"/>
                <w:sz w:val="18"/>
                <w:szCs w:val="18"/>
                <w:color w:val="auto"/>
              </w:rPr>
              <w:t>(255)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86"/>
              <w:spacing w:after="0"/>
              <w:rPr>
                <w:sz w:val="20"/>
                <w:szCs w:val="20"/>
                <w:color w:val="auto"/>
              </w:rPr>
            </w:pPr>
            <w:r>
              <w:rPr>
                <w:rFonts w:ascii="Arial" w:cs="Arial" w:eastAsia="Arial" w:hAnsi="Arial"/>
                <w:sz w:val="18"/>
                <w:szCs w:val="18"/>
                <w:color w:val="auto"/>
              </w:rPr>
              <w:t>149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r>
    </w:tbl>
    <w:p>
      <w:pPr>
        <w:spacing w:after="0" w:line="15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General and administrative expenses consist primarily of salaries including stock based compensation, legal and accounting fees, insurance, investor relations, business development and other office related expenses. The primary reason for the decrease for the three months ended June 30, 2013 as compared to the same period in 2012 is due to decreased stock-based compensation ($116,000) and decreased rent ($58,000) due to our relocation in October 2012, offset by increased legal expenses ($42,000) related to ongoing litigation with the Company’s former CEO, Dr. Platt. The primary reason for the increase for the six months ended June 30, 2013 as compared to the same period in 2012 is due to increased legal expenses ($166,000) related to our ongoing litigation with Dr. Platt and increased investor relations ($39,000), offset by decreased rent expense ($119,000).</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As described above in the Overview and elsewhere in this Quarterly Report on Form 10-Q, we are in the development stage and have not generated any revenues.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Since our inception on July 10, 2000, we have financed our operations from proceeds of public and private offerings of debt and equity. As of</w:t>
      </w:r>
    </w:p>
    <w:p>
      <w:pPr>
        <w:spacing w:after="0" w:line="3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June 30, 2013, we raised a net total of $68.8 million from these offerings. We have operated at a loss since our inception and have had no significant revenues. We anticipate that losses will continue for the foreseeable future. At June 30, 2013, we had $5.1 million of unrestricted cash and cash equivalents available to fund future operations. Subsequent to June 30, 2013, we received $2,429,923 from the exercise of warrants for 578,553 shares of common stock. We believe that with the cash on hand at June 30, 2013 and the cash received subsequent to year end, there is sufficient cash to fund operations through the first quarter of 2014. Our ability to fund operations after our current cash resources are exhausted depends on our ability to obtain additional financing or achieve profitable operations, as to which no assurances can be given. We have developed several plans, including cost containment efforts and potential strategic alternatives in the event that such financing cannot be realized by us. Accordingly, based on the forecasts and estimates underlying our current operating plan, the financial statements do not currently include any adjustments that might be necessary if we are unable to continue as a going concern.</w:t>
      </w:r>
    </w:p>
    <w:p>
      <w:pPr>
        <w:spacing w:after="0" w:line="124" w:lineRule="exact"/>
        <w:rPr>
          <w:sz w:val="20"/>
          <w:szCs w:val="20"/>
          <w:color w:val="auto"/>
        </w:rPr>
      </w:pPr>
    </w:p>
    <w:p>
      <w:pPr>
        <w:jc w:val="both"/>
        <w:ind w:right="380" w:firstLine="913"/>
        <w:spacing w:after="0" w:line="259" w:lineRule="auto"/>
        <w:rPr>
          <w:sz w:val="20"/>
          <w:szCs w:val="20"/>
          <w:color w:val="auto"/>
        </w:rPr>
      </w:pPr>
      <w:r>
        <w:rPr>
          <w:rFonts w:ascii="Arial" w:cs="Arial" w:eastAsia="Arial" w:hAnsi="Arial"/>
          <w:sz w:val="18"/>
          <w:szCs w:val="18"/>
          <w:color w:val="auto"/>
        </w:rPr>
        <w:t>Net cash used in operations increased by $685,000 to $4,355,000 for the six months ended June 30, 2013, as compared to $3,670,000 for the six months ended June 30, 2012. Cash operating expenses increased principally due to increased research and development activities related to our clinical trial activity with GR-MD-02.</w:t>
      </w:r>
    </w:p>
    <w:p>
      <w:pPr>
        <w:spacing w:after="0" w:line="140" w:lineRule="exact"/>
        <w:rPr>
          <w:sz w:val="20"/>
          <w:szCs w:val="20"/>
          <w:color w:val="auto"/>
        </w:rPr>
      </w:pPr>
    </w:p>
    <w:p>
      <w:pPr>
        <w:ind w:firstLine="913"/>
        <w:spacing w:after="0" w:line="332" w:lineRule="auto"/>
        <w:rPr>
          <w:sz w:val="20"/>
          <w:szCs w:val="20"/>
          <w:color w:val="auto"/>
        </w:rPr>
      </w:pPr>
      <w:r>
        <w:rPr>
          <w:rFonts w:ascii="Arial" w:cs="Arial" w:eastAsia="Arial" w:hAnsi="Arial"/>
          <w:sz w:val="16"/>
          <w:szCs w:val="16"/>
          <w:color w:val="auto"/>
        </w:rPr>
        <w:t>Net cash provided by financing activities was $90,000 during the six months ended June 30, 2013 from cash paid for option exercises as compared to $10,403,000 during the six months ended June 30, 2012, due to a public offering we completed in the first quarter of 2012.</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Due Under Contractual Obligations</w:t>
      </w:r>
    </w:p>
    <w:p>
      <w:pPr>
        <w:spacing w:after="0" w:line="96"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The following table summarizes the payments due under our contractual obligations at June 30, 2013, and the effect such obligations are expected to have on liquidity and cash flow in future periods: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8"/>
          </w:tcPr>
          <w:p>
            <w:pPr>
              <w:ind w:left="180"/>
              <w:spacing w:after="0"/>
              <w:rPr>
                <w:sz w:val="20"/>
                <w:szCs w:val="20"/>
                <w:color w:val="auto"/>
              </w:rPr>
            </w:pPr>
            <w:r>
              <w:rPr>
                <w:rFonts w:ascii="Arial" w:cs="Arial" w:eastAsia="Arial" w:hAnsi="Arial"/>
                <w:sz w:val="14"/>
                <w:szCs w:val="14"/>
                <w:b w:val="1"/>
                <w:bCs w:val="1"/>
                <w:color w:val="auto"/>
                <w:w w:val="93"/>
              </w:rPr>
              <w:t>Payments due by period (in thousands)</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480" w:type="dxa"/>
            <w:vAlign w:val="bottom"/>
            <w:vMerge w:val="restart"/>
          </w:tcPr>
          <w:p>
            <w:pPr>
              <w:spacing w:after="0"/>
              <w:rPr>
                <w:sz w:val="20"/>
                <w:szCs w:val="20"/>
                <w:color w:val="auto"/>
              </w:rPr>
            </w:pPr>
            <w:r>
              <w:rPr>
                <w:rFonts w:ascii="Arial" w:cs="Arial" w:eastAsia="Arial" w:hAnsi="Arial"/>
                <w:sz w:val="14"/>
                <w:szCs w:val="14"/>
                <w:b w:val="1"/>
                <w:bCs w:val="1"/>
                <w:color w:val="auto"/>
                <w:w w:val="91"/>
              </w:rPr>
              <w:t>Contractual Obligations</w:t>
            </w:r>
          </w:p>
        </w:tc>
        <w:tc>
          <w:tcPr>
            <w:tcW w:w="5560" w:type="dxa"/>
            <w:vAlign w:val="bottom"/>
            <w:vMerge w:val="restart"/>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2"/>
              </w:rPr>
              <w:t>Less than</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More than</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480" w:type="dxa"/>
            <w:vAlign w:val="bottom"/>
            <w:tcBorders>
              <w:bottom w:val="single" w:sz="8" w:color="auto"/>
            </w:tcBorders>
            <w:vMerge w:val="continue"/>
          </w:tcPr>
          <w:p>
            <w:pPr>
              <w:spacing w:after="0"/>
              <w:rPr>
                <w:sz w:val="14"/>
                <w:szCs w:val="14"/>
                <w:color w:val="auto"/>
              </w:rPr>
            </w:pPr>
          </w:p>
        </w:tc>
        <w:tc>
          <w:tcPr>
            <w:tcW w:w="55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460" w:type="dxa"/>
            <w:vAlign w:val="bottom"/>
          </w:tcPr>
          <w:p>
            <w:pPr>
              <w:jc w:val="right"/>
              <w:ind w:right="22"/>
              <w:spacing w:after="0" w:line="148" w:lineRule="exact"/>
              <w:rPr>
                <w:sz w:val="20"/>
                <w:szCs w:val="20"/>
                <w:color w:val="auto"/>
              </w:rPr>
            </w:pPr>
            <w:r>
              <w:rPr>
                <w:rFonts w:ascii="Arial" w:cs="Arial" w:eastAsia="Arial" w:hAnsi="Arial"/>
                <w:sz w:val="14"/>
                <w:szCs w:val="14"/>
                <w:b w:val="1"/>
                <w:bCs w:val="1"/>
                <w:color w:val="auto"/>
                <w:w w:val="83"/>
              </w:rPr>
              <w:t>1 year</w:t>
            </w:r>
          </w:p>
        </w:tc>
        <w:tc>
          <w:tcPr>
            <w:tcW w:w="460" w:type="dxa"/>
            <w:vAlign w:val="bottom"/>
          </w:tcPr>
          <w:p>
            <w:pPr>
              <w:spacing w:after="0"/>
              <w:rPr>
                <w:sz w:val="14"/>
                <w:szCs w:val="14"/>
                <w:color w:val="auto"/>
              </w:rPr>
            </w:pPr>
          </w:p>
        </w:tc>
        <w:tc>
          <w:tcPr>
            <w:tcW w:w="9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1-3 years</w:t>
            </w:r>
          </w:p>
        </w:tc>
        <w:tc>
          <w:tcPr>
            <w:tcW w:w="7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3-5 years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03"/>
        </w:trPr>
        <w:tc>
          <w:tcPr>
            <w:tcW w:w="70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Operating leases</w:t>
            </w: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4"/>
              </w:rPr>
              <w:t>$ 59</w:t>
            </w: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43</w:t>
            </w:r>
          </w:p>
        </w:tc>
        <w:tc>
          <w:tcPr>
            <w:tcW w:w="4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w:t>
            </w:r>
          </w:p>
        </w:tc>
        <w:tc>
          <w:tcPr>
            <w:tcW w:w="4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ind w:left="260"/>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040" w:type="dxa"/>
            <w:vAlign w:val="bottom"/>
            <w:gridSpan w:val="2"/>
          </w:tcPr>
          <w:p>
            <w:pPr>
              <w:spacing w:after="0"/>
              <w:rPr>
                <w:sz w:val="20"/>
                <w:szCs w:val="20"/>
                <w:color w:val="auto"/>
              </w:rPr>
            </w:pPr>
            <w:r>
              <w:rPr>
                <w:rFonts w:ascii="Arial" w:cs="Arial" w:eastAsia="Arial" w:hAnsi="Arial"/>
                <w:sz w:val="18"/>
                <w:szCs w:val="18"/>
                <w:color w:val="auto"/>
              </w:rPr>
              <w:t>Total payments due under contractual obligations</w:t>
            </w:r>
          </w:p>
        </w:tc>
        <w:tc>
          <w:tcPr>
            <w:tcW w:w="320" w:type="dxa"/>
            <w:vAlign w:val="bottom"/>
            <w:gridSpan w:val="3"/>
          </w:tcPr>
          <w:p>
            <w:pPr>
              <w:spacing w:after="0"/>
              <w:rPr>
                <w:sz w:val="20"/>
                <w:szCs w:val="20"/>
                <w:color w:val="auto"/>
              </w:rPr>
            </w:pPr>
            <w:r>
              <w:rPr>
                <w:rFonts w:ascii="Arial" w:cs="Arial" w:eastAsia="Arial" w:hAnsi="Arial"/>
                <w:sz w:val="18"/>
                <w:szCs w:val="18"/>
                <w:color w:val="auto"/>
                <w:w w:val="85"/>
              </w:rPr>
              <w:t>$ 59</w:t>
            </w:r>
          </w:p>
        </w:tc>
        <w:tc>
          <w:tcPr>
            <w:tcW w:w="4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43</w:t>
            </w:r>
          </w:p>
        </w:tc>
        <w:tc>
          <w:tcPr>
            <w:tcW w:w="6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6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90" w:lineRule="exact"/>
        <w:rPr>
          <w:sz w:val="20"/>
          <w:szCs w:val="20"/>
          <w:color w:val="auto"/>
        </w:rPr>
      </w:pPr>
    </w:p>
    <w:p>
      <w:pPr>
        <w:ind w:right="60" w:firstLine="913"/>
        <w:spacing w:after="0" w:line="256" w:lineRule="auto"/>
        <w:rPr>
          <w:sz w:val="20"/>
          <w:szCs w:val="20"/>
          <w:color w:val="auto"/>
        </w:rPr>
      </w:pPr>
      <w:r>
        <w:rPr>
          <w:rFonts w:ascii="Arial" w:cs="Arial" w:eastAsia="Arial" w:hAnsi="Arial"/>
          <w:sz w:val="18"/>
          <w:szCs w:val="18"/>
          <w:color w:val="auto"/>
        </w:rPr>
        <w:t>In September 2012, we entered into an operating lease for office space in Norcross, GA for a term of twenty-six months, beginning on October 1, 2012 and ending November 30, 2014 at a rate of $3,000 per month. The lease provided for free rent for the first two months of the lease and required a security deposit of $6,000. In addition to base rental payments included in the contractual obligations table above, we are responsible for our pro-rata share of increases in the operating expenses for the building.</w:t>
      </w:r>
    </w:p>
    <w:p>
      <w:pPr>
        <w:spacing w:after="0" w:line="143" w:lineRule="exact"/>
        <w:rPr>
          <w:sz w:val="20"/>
          <w:szCs w:val="20"/>
          <w:color w:val="auto"/>
        </w:rPr>
      </w:pPr>
    </w:p>
    <w:p>
      <w:pPr>
        <w:ind w:right="200" w:firstLine="913"/>
        <w:spacing w:after="0" w:line="332" w:lineRule="auto"/>
        <w:rPr>
          <w:sz w:val="20"/>
          <w:szCs w:val="20"/>
          <w:color w:val="auto"/>
        </w:rPr>
      </w:pPr>
      <w:r>
        <w:rPr>
          <w:rFonts w:ascii="Arial" w:cs="Arial" w:eastAsia="Arial" w:hAnsi="Arial"/>
          <w:sz w:val="16"/>
          <w:szCs w:val="16"/>
          <w:color w:val="auto"/>
        </w:rPr>
        <w:t>In October 2012, we entered into an operating lease for office space collocated with lab space for research and development activities. The lease is for a period of one year, beginning on October 1, 2012, for a rate of $15,000 for the term, payable in monthly increments.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 with CTI for Phase I Clinical Trial</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February 1, 2013, the Company entered into an Amended and Restated Master Services Agreement (the “Agreement”) with CTI Clinical Trial Services, Inc. and CTI Clinical Consulting Services, Inc. (individually and collectively, “CTI”), whereby CTI will assist the Company in the design, development and conduct of one or more clinical research studies from time to time. All work performed by CTI for the Company will be conducted pursuant to the terms of work orders that describe the specific obligations undertaken by CTI with respect to any particular clinical research study sponsored or conducted by the Company. Unless otherwise terminated sooner in accordance with the terms of the Agreement, the Agreement will be effective until January 31, 2018.</w:t>
      </w:r>
    </w:p>
    <w:p>
      <w:pPr>
        <w:spacing w:after="0" w:line="11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On February 1, 2013, the Company entered into a work order (the “Work Order”) with CTI in accordance with the terms of the Agreement. The Work Order provides that CTI will provide services with respect to the Company’s Phase I Clinical Trial to evaluate the safety of the Company’s drug GR-MD-02 in subjects with Non-Alcoholic Steatohepatitis (“NASH”) with advanced hepatic fibrosis. CTI will provide the following services, amongst others, with respect to the Work Order: reviewing and providing notices regarding IND safety reports, selecting investigators and monitors for the study, informing investigators of new observations, monitoring the progress of the study and reviewing ongoing investigations, keeping certain records, inspecting the Company’s records and reports, and disposing of any unused supply of the investigational drug.</w:t>
      </w:r>
    </w:p>
    <w:p>
      <w:pPr>
        <w:spacing w:after="0" w:line="120"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The Work Order provides for CTI’s anticipated involvement in the study from February 1, 2013 until March 31, 2014. The estimated budget for the Work Order is $2,155,000, which is subject to change as necessary, with payments made throughout the term of the project as the work is performed. During the three and six months ended June 30, 2013, the Company recognized $361,000 and $1,090,000 of expenses related to this agreement for services performed.</w:t>
      </w:r>
    </w:p>
    <w:p>
      <w:pPr>
        <w:spacing w:after="0" w:line="10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Agreement or any work order may be terminated for any reason by any party upon ninety (90) days prior written notice to the other party. In addition, the Agreement may be terminated by either party immediately if the other party becomes insolvent, is dissolved or liquidated, makes a general assignment for the benefit of its creditors, files or has filed against it (and does not obtain a dismissal within ninety (90) days) a petition of bankruptcy, or has a receiver appointed for it or a substantial part of its assets, among other reasons. Further, the Agreement or any relevant work order may be terminated immediately by written notice from the Company, in the following circumstances: (1) the FDA withdraws authorization and approval to conduct a study; or (2) the Company reasonably determines that for medical, clinical or patient safety reasons, a study should terminate immediately. In addition, either party may terminate the Agreement or any work order for material breach upon thirty (30) days’ written notice specifying the nature of the breach, if such breach has not been substantially cured within the thirty (30) day period.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Drug Discovery Program with the University of Georgia</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February 2013, the Company established a collaborative drug discovery program at the Complex Carbohydrate Research Center at the University of Georgia. This program is focused on the discovery of new carbohydrate molecules that can be used in the therapy of diseases where galectin proteins play a major role, including cancer and inflammatory and fibrotic disorders. The term of the agreement is effective through December 31, 2013, for which the Company will provide funding of $154,000 during the period as work is performed. The Company has paid $135,000 related to this program through June 30, 2013. This agreement may be terminated by either party upon 90 days notice.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Separation agreement.</w:t>
      </w:r>
    </w:p>
    <w:p>
      <w:pPr>
        <w:spacing w:after="0" w:line="90" w:lineRule="exact"/>
        <w:rPr>
          <w:sz w:val="20"/>
          <w:szCs w:val="20"/>
          <w:color w:val="auto"/>
        </w:rPr>
      </w:pPr>
    </w:p>
    <w:p>
      <w:pPr>
        <w:ind w:right="20" w:firstLine="913"/>
        <w:spacing w:after="0" w:line="285" w:lineRule="auto"/>
        <w:rPr>
          <w:sz w:val="20"/>
          <w:szCs w:val="20"/>
          <w:color w:val="auto"/>
        </w:rPr>
      </w:pPr>
      <w:r>
        <w:rPr>
          <w:rFonts w:ascii="Arial" w:cs="Arial" w:eastAsia="Arial" w:hAnsi="Arial"/>
          <w:sz w:val="16"/>
          <w:szCs w:val="16"/>
          <w:color w:val="auto"/>
        </w:rPr>
        <w:t>In February 2009, we entered into a Separation Agreement in connection with the resignation of David Platt, Ph.D., the Company’s former Chief Executive Officer and Chairman of the Board of Directors. The Separation Agreement provides for the deferral of a $1.0 million separation payment due to Dr. Platt upon the earlier occurrence of any of the following milestone events: (i) the approval by the Food and Drug Administration for a new drug application (“NDA”) for any drug candidate or drug delivery candidate based on the GM-CT-01 technology (whether or not such technology is patented), in which case Dr. Platt is also entitled to a fully vested 10-year cashless-exercise stock option to purchase at least 83,334 shares of common stock at an exercise price not less than the fair market value of the common stock determined as of the date of grant; (ii) consummation of a transaction with a pharmaceutical company expected to result in at least $10.0 million of equity investment or $50 million of royalty revenue to the Company, in which case Dr. Platt is also entitled to stock options on the same terms to purchase at least 50,000 shares of common stock; or (iii) the renewed listing of our securities on a national securities exchange and the achievement of a market capitalization of $100 million. Payment upon the events (i) and (iii) may be deferred up to six months, and if we have insufficient cash at the time of any of such events, we may issue Dr. Platt a secured promissory note for such amount. If we file a voluntary or involuntary petition for bankruptcy, whether or not a milestone event has occurred, such event shall trigger our obligation to pay the $1.0 million with the result that Dr. Platt may assert a claim for such obligation against the bankruptcy estate. During 2011, when it became probable that our common stock could be relisted on a national securities exchange and eventually reach a market capitalization of $100 million, we recognized the $1.0 million severance payment due to Dr. Platt and it is included in accrued expenses at June 30, 2013 and December 31, 2012.</w:t>
      </w:r>
    </w:p>
    <w:p>
      <w:pPr>
        <w:spacing w:after="0" w:line="128" w:lineRule="exact"/>
        <w:rPr>
          <w:sz w:val="20"/>
          <w:szCs w:val="20"/>
          <w:color w:val="auto"/>
        </w:rPr>
      </w:pPr>
    </w:p>
    <w:p>
      <w:pPr>
        <w:ind w:right="100" w:firstLine="913"/>
        <w:spacing w:after="0" w:line="256" w:lineRule="auto"/>
        <w:rPr>
          <w:sz w:val="20"/>
          <w:szCs w:val="20"/>
          <w:color w:val="auto"/>
        </w:rPr>
      </w:pPr>
      <w:r>
        <w:rPr>
          <w:rFonts w:ascii="Arial" w:cs="Arial" w:eastAsia="Arial" w:hAnsi="Arial"/>
          <w:sz w:val="18"/>
          <w:szCs w:val="18"/>
          <w:color w:val="auto"/>
        </w:rPr>
        <w:t>On May 2, 2012, Dr. Platt instituted an arbitration with the American Arbitration Association seeking the $1 million payment based on a claim that the milestone event in the Separation Agreement described in clause (iii) above had occurred. Although the Company had listed its common stock on the Nasdaq Capital Markets as of March 22, 2012, the market capitalization since the listing had not reached $100 million when the arbitration was heard in October 2012. On November 1, 2012, the arbitrator denied Dr. Platt’s demand in all respects.</w:t>
      </w:r>
    </w:p>
    <w:p>
      <w:pPr>
        <w:spacing w:after="0" w:line="143"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On October 12, 2012, Dr. Platt commenced a lawsuit under the Massachusetts Wage Act against Dr. Traber and Mr. McGauley who in their capacities as the Company’s Chief Executive Officer and Chief Financial Officer respectively can be held individually liable under the Wage Act for non-payment of wages. The lawsuit is based on the facts and issues raised in the arbitration regarding the payment of the $1.0 million separation payment under the Separation Agreement, and other unspecified “wages”. The statute provides that a successful claimant may be entitled to multiple damages, interest and attorney’s fees. Although the Company is not a party to the lawsuit, it plans to indemnify Dr. Traber and Mr. McGauley consistent with its obligations under the by-laws and applicable law, believes the lawsuit is without merit, and intends a vigorous defense on their behalf. On April 29, 2013, the Court allowed Dr. Traber’s and Mr. McGauley’s motion to dismiss. Dr. Platt filed a Notice of Appeal to appeal the Court’s order allowing the defendants’ motion to dismiss.</w:t>
      </w:r>
    </w:p>
    <w:p>
      <w:pPr>
        <w:spacing w:after="0" w:line="118"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On March 29, 2013, the Company instituted arbitration before the American Arbitration Association, seeking to rescind or reform the Separation Agreement discussed above. The Company claims that Dr. Platt fraudulently induced the Company to enter into the Separation Agreement, breached his fiduciary duty to the Company, and was unduly enriched from his conduct. Along with removal of the $1.0 million milestone payment under the Separation Agreement, the Company is seeking repayment of all separation benefits paid to Dr. Platt to date. Depending on the outcome of the arbitration, the previously accrued $1.0 million could be reversed. The timing and ultimate outcome of this arbitration, though, is uncertain and there is no guarantee that the Company will be successful in this demand.</w:t>
      </w:r>
    </w:p>
    <w:p>
      <w:pPr>
        <w:spacing w:after="0" w:line="144" w:lineRule="exact"/>
        <w:rPr>
          <w:sz w:val="20"/>
          <w:szCs w:val="20"/>
          <w:color w:val="auto"/>
        </w:rPr>
      </w:pPr>
    </w:p>
    <w:p>
      <w:pPr>
        <w:ind w:right="180" w:firstLine="1484"/>
        <w:spacing w:after="0" w:line="259" w:lineRule="auto"/>
        <w:rPr>
          <w:sz w:val="20"/>
          <w:szCs w:val="20"/>
          <w:color w:val="auto"/>
        </w:rPr>
      </w:pPr>
      <w:r>
        <w:rPr>
          <w:rFonts w:ascii="Arial" w:cs="Arial" w:eastAsia="Arial" w:hAnsi="Arial"/>
          <w:sz w:val="18"/>
          <w:szCs w:val="18"/>
          <w:color w:val="auto"/>
        </w:rPr>
        <w:t>On August 1, 2013, the market capitalization of the Company’s common stock exceeded $100 million. As described in the preceding paragraph, the Company had previously instituted an arbitration against Dr. Platt seeking to rescind the Separation Agreement, including the milestone payment provision.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90" w:lineRule="exact"/>
        <w:rPr>
          <w:sz w:val="20"/>
          <w:szCs w:val="20"/>
          <w:color w:val="auto"/>
        </w:rPr>
      </w:pPr>
    </w:p>
    <w:p>
      <w:pPr>
        <w:ind w:right="700" w:firstLine="913"/>
        <w:spacing w:after="0" w:line="268" w:lineRule="auto"/>
        <w:rPr>
          <w:sz w:val="20"/>
          <w:szCs w:val="20"/>
          <w:color w:val="auto"/>
        </w:rPr>
      </w:pPr>
      <w:r>
        <w:rPr>
          <w:rFonts w:ascii="Arial" w:cs="Arial" w:eastAsia="Arial" w:hAnsi="Arial"/>
          <w:sz w:val="18"/>
          <w:szCs w:val="18"/>
          <w:color w:val="auto"/>
        </w:rPr>
        <w:t>We have engaged outside vendors for certain services associated with our clinical trials. These services are generally available from several providers and, accordingly, our arrangements are typically cancellable on 30 days notice.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ind w:right="120" w:firstLine="913"/>
        <w:spacing w:after="0" w:line="306" w:lineRule="auto"/>
        <w:rPr>
          <w:sz w:val="20"/>
          <w:szCs w:val="20"/>
          <w:color w:val="auto"/>
        </w:rPr>
      </w:pPr>
      <w:r>
        <w:rPr>
          <w:rFonts w:ascii="Arial" w:cs="Arial" w:eastAsia="Arial" w:hAnsi="Arial"/>
          <w:sz w:val="16"/>
          <w:szCs w:val="16"/>
          <w:color w:val="auto"/>
        </w:rPr>
        <w:t>We have not created, and are not a party to, any special-purpose or off-balance sheet entities for the purpose of raising capital, incurring debt or operating parts of our business that are not consolidated into our financial statements. We do not have any arrangements or relationships with entities that are not consolidated into our financial statements that are reasonably likely to materially affect our liquidity or the availability of capital resources.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Critical Accounting Policies and Estimates</w:t>
      </w:r>
    </w:p>
    <w:p>
      <w:pPr>
        <w:spacing w:after="0" w:line="96" w:lineRule="exact"/>
        <w:rPr>
          <w:sz w:val="20"/>
          <w:szCs w:val="20"/>
          <w:color w:val="auto"/>
        </w:rPr>
      </w:pPr>
    </w:p>
    <w:p>
      <w:pPr>
        <w:ind w:right="60" w:firstLine="913"/>
        <w:spacing w:after="0" w:line="294" w:lineRule="auto"/>
        <w:rPr>
          <w:sz w:val="20"/>
          <w:szCs w:val="20"/>
          <w:color w:val="auto"/>
        </w:rPr>
      </w:pPr>
      <w:r>
        <w:rPr>
          <w:rFonts w:ascii="Arial" w:cs="Arial" w:eastAsia="Arial" w:hAnsi="Arial"/>
          <w:sz w:val="16"/>
          <w:szCs w:val="16"/>
          <w:color w:val="auto"/>
        </w:rPr>
        <w:t>The preparation of condensed consolidated financial statements requires us to make estimates and judgments that affect the reported amounts of assets, liabilities, expenses, and related disclosure of contingent assets and liabilities. On an ongoing basis, we evaluate our estimates, including those related to intangible assets, accrued expenses, stock-based compensation, contingencies and litigation. We base our estimates on historical experience, terms of existing contracts, our observance of trends in the industry, information available from other outside sources and on various other factors that we believe to be appropriate under the circumstances. Actual results may differ from these estimates under different assumptions or conditions.</w:t>
      </w:r>
    </w:p>
    <w:p>
      <w:pPr>
        <w:spacing w:after="0" w:line="116" w:lineRule="exact"/>
        <w:rPr>
          <w:sz w:val="20"/>
          <w:szCs w:val="20"/>
          <w:color w:val="auto"/>
        </w:rPr>
      </w:pPr>
    </w:p>
    <w:p>
      <w:pPr>
        <w:ind w:right="280" w:firstLine="913"/>
        <w:spacing w:after="0" w:line="306" w:lineRule="auto"/>
        <w:rPr>
          <w:sz w:val="20"/>
          <w:szCs w:val="20"/>
          <w:color w:val="auto"/>
        </w:rPr>
      </w:pPr>
      <w:r>
        <w:rPr>
          <w:rFonts w:ascii="Arial" w:cs="Arial" w:eastAsia="Arial" w:hAnsi="Arial"/>
          <w:sz w:val="16"/>
          <w:szCs w:val="16"/>
          <w:color w:val="auto"/>
        </w:rPr>
        <w:t>Critical accounting policies are those policies that affect our more significant judgments and estimates used in preparation of our consolidated financial statements. We believe our critical accounting policies include our policies regarding stock-based compensation, accrued expenses and income taxes. For a more detailed discussion of our critical accounting policies, please refer to our 2012 Annual Report on Form 10-K.</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Market risk represents the risk of loss that may impact our financial position, operating results or cash flows due to changes in the U.S. interest rates. The primary objective of our investment activities is to preserve cash until it is required to fund operations. To minimize risk, we maintain our portfolio of cash and cash equivalents in operating bank accounts and money market funds. Since our investments are short-term in duration, we believe that we are not subject to any material market risk exposure.</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right="120" w:firstLine="913"/>
        <w:spacing w:after="0" w:line="298" w:lineRule="auto"/>
        <w:rPr>
          <w:sz w:val="20"/>
          <w:szCs w:val="20"/>
          <w:color w:val="auto"/>
        </w:rPr>
      </w:pPr>
      <w:r>
        <w:rPr>
          <w:rFonts w:ascii="Arial" w:cs="Arial" w:eastAsia="Arial" w:hAnsi="Arial"/>
          <w:sz w:val="16"/>
          <w:szCs w:val="16"/>
          <w:color w:val="auto"/>
        </w:rPr>
        <w:t>Our management, with the participation of the Chief Executive Officer and Chief Financial Officer, evaluated the effectiveness of our disclosure controls and procedures (as defined in Rule 13a-15(e) promulgated under the Securities Exchange Act of 1934) and concluded that, as of June 30, 2013, our disclosure controls and procedures were effective at a reasonable assurance level. During the quarter ended June 30, 2013, no change in our internal control over financial reporting has materially affected, or is reasonably likely to materially affect, our internal control over financial reporting.</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260" w:firstLine="913"/>
        <w:spacing w:after="0" w:line="256" w:lineRule="auto"/>
        <w:rPr>
          <w:sz w:val="20"/>
          <w:szCs w:val="20"/>
          <w:color w:val="auto"/>
        </w:rPr>
      </w:pPr>
      <w:r>
        <w:rPr>
          <w:rFonts w:ascii="Arial" w:cs="Arial" w:eastAsia="Arial" w:hAnsi="Arial"/>
          <w:sz w:val="18"/>
          <w:szCs w:val="18"/>
          <w:color w:val="auto"/>
        </w:rPr>
        <w:t>As previously disclosed in the Company’s Form 10-K for the year ended December 31, 2012, David Platt, Ph.D., the Company’s former Chief Executive Officer and Chairman of the Board of Directors, commenced a lawsuit on October 12, 2012, under the Massachusetts Wage Act against Peter G. Traber, M.D. and Mr. Thomas A. McGauley, who in their capacities as the Company’s Chief Executive Officer and Chief Financial Officer respectively can be held individually liable under the Wage Act for non-payment of wages.</w:t>
      </w:r>
    </w:p>
    <w:p>
      <w:pPr>
        <w:spacing w:after="0" w:line="143"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On April 29, 2013, the Court allowed Dr. Traber’s and Mr. McGauley’s motion to dismiss. Dr. Platt filed a Notice of Appeal dated May, 28, 2013 to appeal the Court’s order allowing the defendants’ motion to dismiss.</w:t>
      </w:r>
    </w:p>
    <w:p>
      <w:pPr>
        <w:spacing w:after="0" w:line="132"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On March 29, 2013, the Company instituted arbitration before the American Arbitration Association, seeking to rescind or reform Dr. Platt’s Separation Agreement with the Company. The Company claims that Dr. Platt fraudulently induced the Company to enter into the Separation Agreement, breached his fiduciary duty to the Company, and was unduly enriched from his conduct. Along with removal of the $1.0 million milestone payment provided for under the Separation Agreement, the Company is seeking repayment of all separation benefits paid to Dr. Platt to date.</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540" w:firstLine="913"/>
        <w:spacing w:after="0" w:line="332" w:lineRule="auto"/>
        <w:rPr>
          <w:sz w:val="20"/>
          <w:szCs w:val="20"/>
          <w:color w:val="auto"/>
        </w:rPr>
      </w:pPr>
      <w:r>
        <w:rPr>
          <w:rFonts w:ascii="Arial" w:cs="Arial" w:eastAsia="Arial" w:hAnsi="Arial"/>
          <w:sz w:val="16"/>
          <w:szCs w:val="16"/>
          <w:color w:val="auto"/>
        </w:rPr>
        <w:t>The information set forth in this report should be read in conjunction with the risk factors set forth in Item 1A, “Risk Factors,” of Part I of our Annual Report on Form 10-K for the year ended December 31, 2012, which could materially impact our business, financial condition or future results.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219"/>
          </w:cols>
          <w:pgMar w:left="240" w:top="459" w:right="1440"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9420" w:type="dxa"/>
            <w:vAlign w:val="bottom"/>
            <w:gridSpan w:val="3"/>
          </w:tcPr>
          <w:p>
            <w:pPr>
              <w:ind w:left="180"/>
              <w:spacing w:after="0"/>
              <w:rPr>
                <w:sz w:val="20"/>
                <w:szCs w:val="20"/>
                <w:color w:val="auto"/>
              </w:rPr>
            </w:pPr>
            <w:r>
              <w:rPr>
                <w:rFonts w:ascii="Arial" w:cs="Arial" w:eastAsia="Arial" w:hAnsi="Arial"/>
                <w:sz w:val="18"/>
                <w:szCs w:val="18"/>
                <w:b w:val="1"/>
                <w:bCs w:val="1"/>
                <w:color w:val="auto"/>
              </w:rPr>
              <w:t>Exhibits</w:t>
            </w:r>
          </w:p>
        </w:tc>
        <w:tc>
          <w:tcPr>
            <w:tcW w:w="1040" w:type="dxa"/>
            <w:vAlign w:val="bottom"/>
          </w:tcPr>
          <w:p>
            <w:pPr>
              <w:spacing w:after="0"/>
              <w:rPr>
                <w:sz w:val="19"/>
                <w:szCs w:val="19"/>
                <w:color w:val="auto"/>
              </w:rPr>
            </w:pPr>
          </w:p>
        </w:tc>
      </w:tr>
      <w:tr>
        <w:trPr>
          <w:trHeight w:val="340"/>
        </w:trPr>
        <w:tc>
          <w:tcPr>
            <w:tcW w:w="80" w:type="dxa"/>
            <w:vAlign w:val="bottom"/>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40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040" w:type="dxa"/>
            <w:vAlign w:val="bottom"/>
          </w:tcPr>
          <w:p>
            <w:pPr>
              <w:jc w:val="right"/>
              <w:ind w:right="62"/>
              <w:spacing w:after="0"/>
              <w:rPr>
                <w:sz w:val="20"/>
                <w:szCs w:val="20"/>
                <w:color w:val="auto"/>
              </w:rPr>
            </w:pPr>
            <w:r>
              <w:rPr>
                <w:rFonts w:ascii="Arial" w:cs="Arial" w:eastAsia="Arial" w:hAnsi="Arial"/>
                <w:sz w:val="14"/>
                <w:szCs w:val="14"/>
                <w:b w:val="1"/>
                <w:bCs w:val="1"/>
                <w:color w:val="auto"/>
              </w:rPr>
              <w:t>Note</w:t>
            </w:r>
          </w:p>
        </w:tc>
      </w:tr>
      <w:tr>
        <w:trPr>
          <w:trHeight w:val="161"/>
        </w:trPr>
        <w:tc>
          <w:tcPr>
            <w:tcW w:w="8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2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7"/>
              </w:rPr>
              <w:t>Description of Document</w:t>
            </w:r>
          </w:p>
        </w:tc>
        <w:tc>
          <w:tcPr>
            <w:tcW w:w="38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Reference</w:t>
            </w:r>
          </w:p>
        </w:tc>
      </w:tr>
      <w:tr>
        <w:trPr>
          <w:trHeight w:val="316"/>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4"/>
                <w:szCs w:val="24"/>
                <w:color w:val="auto"/>
              </w:rPr>
            </w:pPr>
          </w:p>
        </w:tc>
        <w:tc>
          <w:tcPr>
            <w:tcW w:w="9420" w:type="dxa"/>
            <w:vAlign w:val="bottom"/>
            <w:gridSpan w:val="3"/>
          </w:tcPr>
          <w:p>
            <w:pPr>
              <w:ind w:left="440"/>
              <w:spacing w:after="0"/>
              <w:rPr>
                <w:sz w:val="20"/>
                <w:szCs w:val="20"/>
                <w:color w:val="auto"/>
              </w:rPr>
            </w:pPr>
            <w:r>
              <w:rPr>
                <w:rFonts w:ascii="Arial" w:cs="Arial" w:eastAsia="Arial" w:hAnsi="Arial"/>
                <w:sz w:val="18"/>
                <w:szCs w:val="18"/>
                <w:color w:val="auto"/>
              </w:rPr>
              <w:t>Amended and Restated Bylaws of Galectin Therapeutics Inc.</w:t>
            </w: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4"/>
                <w:szCs w:val="24"/>
                <w:color w:val="auto"/>
              </w:rPr>
            </w:pPr>
          </w:p>
        </w:tc>
        <w:tc>
          <w:tcPr>
            <w:tcW w:w="9420" w:type="dxa"/>
            <w:vAlign w:val="bottom"/>
            <w:gridSpan w:val="3"/>
          </w:tcPr>
          <w:p>
            <w:pPr>
              <w:ind w:left="440"/>
              <w:spacing w:after="0"/>
              <w:rPr>
                <w:sz w:val="20"/>
                <w:szCs w:val="20"/>
                <w:color w:val="auto"/>
              </w:rPr>
            </w:pPr>
            <w:r>
              <w:rPr>
                <w:rFonts w:ascii="Arial" w:cs="Arial" w:eastAsia="Arial" w:hAnsi="Arial"/>
                <w:sz w:val="18"/>
                <w:szCs w:val="18"/>
                <w:color w:val="auto"/>
              </w:rPr>
              <w:t>Restated Articles of Incorporation of Galectin Therapeutics Inc.</w:t>
            </w: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24"/>
                <w:szCs w:val="24"/>
                <w:color w:val="auto"/>
              </w:rPr>
            </w:pPr>
          </w:p>
        </w:tc>
        <w:tc>
          <w:tcPr>
            <w:tcW w:w="9420" w:type="dxa"/>
            <w:vAlign w:val="bottom"/>
            <w:gridSpan w:val="3"/>
          </w:tcPr>
          <w:p>
            <w:pPr>
              <w:ind w:left="440"/>
              <w:spacing w:after="0"/>
              <w:rPr>
                <w:sz w:val="20"/>
                <w:szCs w:val="20"/>
                <w:color w:val="auto"/>
              </w:rPr>
            </w:pPr>
            <w:r>
              <w:rPr>
                <w:rFonts w:ascii="Arial" w:cs="Arial" w:eastAsia="Arial" w:hAnsi="Arial"/>
                <w:sz w:val="18"/>
                <w:szCs w:val="18"/>
                <w:color w:val="auto"/>
              </w:rPr>
              <w:t>Amended Form of Class A-2 Common Stock Purchase Warrant</w:t>
            </w:r>
          </w:p>
        </w:tc>
        <w:tc>
          <w:tcPr>
            <w:tcW w:w="1040" w:type="dxa"/>
            <w:vAlign w:val="bottom"/>
          </w:tcPr>
          <w:p>
            <w:pPr>
              <w:spacing w:after="0"/>
              <w:rPr>
                <w:sz w:val="24"/>
                <w:szCs w:val="24"/>
                <w:color w:val="auto"/>
              </w:rPr>
            </w:pP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24"/>
                <w:szCs w:val="24"/>
                <w:color w:val="auto"/>
              </w:rPr>
            </w:pPr>
          </w:p>
        </w:tc>
        <w:tc>
          <w:tcPr>
            <w:tcW w:w="9420" w:type="dxa"/>
            <w:vAlign w:val="bottom"/>
            <w:gridSpan w:val="3"/>
          </w:tcPr>
          <w:p>
            <w:pPr>
              <w:ind w:left="440"/>
              <w:spacing w:after="0"/>
              <w:rPr>
                <w:sz w:val="20"/>
                <w:szCs w:val="20"/>
                <w:color w:val="auto"/>
              </w:rPr>
            </w:pPr>
            <w:r>
              <w:rPr>
                <w:rFonts w:ascii="Arial" w:cs="Arial" w:eastAsia="Arial" w:hAnsi="Arial"/>
                <w:sz w:val="18"/>
                <w:szCs w:val="18"/>
                <w:color w:val="auto"/>
              </w:rPr>
              <w:t>Amended Form of Class B Common Stock Purchase Warrant</w:t>
            </w:r>
          </w:p>
        </w:tc>
        <w:tc>
          <w:tcPr>
            <w:tcW w:w="1040" w:type="dxa"/>
            <w:vAlign w:val="bottom"/>
          </w:tcPr>
          <w:p>
            <w:pPr>
              <w:spacing w:after="0"/>
              <w:rPr>
                <w:sz w:val="24"/>
                <w:szCs w:val="24"/>
                <w:color w:val="auto"/>
              </w:rPr>
            </w:pP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rPr>
              <w:t>10.3*</w:t>
            </w:r>
          </w:p>
        </w:tc>
        <w:tc>
          <w:tcPr>
            <w:tcW w:w="280" w:type="dxa"/>
            <w:vAlign w:val="bottom"/>
          </w:tcPr>
          <w:p>
            <w:pPr>
              <w:spacing w:after="0"/>
              <w:rPr>
                <w:sz w:val="24"/>
                <w:szCs w:val="24"/>
                <w:color w:val="auto"/>
              </w:rPr>
            </w:pPr>
          </w:p>
        </w:tc>
        <w:tc>
          <w:tcPr>
            <w:tcW w:w="9420" w:type="dxa"/>
            <w:vAlign w:val="bottom"/>
            <w:gridSpan w:val="3"/>
          </w:tcPr>
          <w:p>
            <w:pPr>
              <w:ind w:left="440"/>
              <w:spacing w:after="0"/>
              <w:rPr>
                <w:sz w:val="20"/>
                <w:szCs w:val="20"/>
                <w:color w:val="auto"/>
              </w:rPr>
            </w:pPr>
            <w:r>
              <w:rPr>
                <w:rFonts w:ascii="Arial" w:cs="Arial" w:eastAsia="Arial" w:hAnsi="Arial"/>
                <w:sz w:val="18"/>
                <w:szCs w:val="18"/>
                <w:color w:val="auto"/>
              </w:rPr>
              <w:t>Employment Agreement dated June 20, 2013 between Jack W. Callicutt and Galectin Therapeutics Inc.</w:t>
            </w:r>
          </w:p>
        </w:tc>
        <w:tc>
          <w:tcPr>
            <w:tcW w:w="1040" w:type="dxa"/>
            <w:vAlign w:val="bottom"/>
          </w:tcPr>
          <w:p>
            <w:pPr>
              <w:spacing w:after="0"/>
              <w:rPr>
                <w:sz w:val="24"/>
                <w:szCs w:val="24"/>
                <w:color w:val="auto"/>
              </w:rPr>
            </w:pPr>
          </w:p>
        </w:tc>
      </w:tr>
      <w:tr>
        <w:trPr>
          <w:trHeight w:val="318"/>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24"/>
                <w:szCs w:val="24"/>
                <w:color w:val="auto"/>
              </w:rPr>
            </w:pPr>
          </w:p>
        </w:tc>
        <w:tc>
          <w:tcPr>
            <w:tcW w:w="9420" w:type="dxa"/>
            <w:vAlign w:val="bottom"/>
            <w:gridSpan w:val="3"/>
          </w:tcPr>
          <w:p>
            <w:pPr>
              <w:ind w:left="440"/>
              <w:spacing w:after="0"/>
              <w:rPr>
                <w:sz w:val="20"/>
                <w:szCs w:val="20"/>
                <w:color w:val="auto"/>
              </w:rPr>
            </w:pPr>
            <w:r>
              <w:rPr>
                <w:rFonts w:ascii="Arial" w:cs="Arial" w:eastAsia="Arial" w:hAnsi="Arial"/>
                <w:sz w:val="18"/>
                <w:szCs w:val="18"/>
                <w:color w:val="auto"/>
                <w:w w:val="96"/>
              </w:rPr>
              <w:t>Amendment to Independent Consulting Agreement dated June 19, 2013 between Thomas A. McGauley and Galectin</w:t>
            </w:r>
          </w:p>
        </w:tc>
        <w:tc>
          <w:tcPr>
            <w:tcW w:w="1040" w:type="dxa"/>
            <w:vAlign w:val="bottom"/>
          </w:tcPr>
          <w:p>
            <w:pPr>
              <w:spacing w:after="0"/>
              <w:rPr>
                <w:sz w:val="24"/>
                <w:szCs w:val="24"/>
                <w:color w:val="auto"/>
              </w:rPr>
            </w:pPr>
          </w:p>
        </w:tc>
      </w:tr>
      <w:tr>
        <w:trPr>
          <w:trHeight w:val="222"/>
        </w:trPr>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20" w:type="dxa"/>
            <w:vAlign w:val="bottom"/>
            <w:gridSpan w:val="3"/>
          </w:tcPr>
          <w:p>
            <w:pPr>
              <w:ind w:left="440"/>
              <w:spacing w:after="0"/>
              <w:rPr>
                <w:sz w:val="20"/>
                <w:szCs w:val="20"/>
                <w:color w:val="auto"/>
              </w:rPr>
            </w:pPr>
            <w:r>
              <w:rPr>
                <w:rFonts w:ascii="Arial" w:cs="Arial" w:eastAsia="Arial" w:hAnsi="Arial"/>
                <w:sz w:val="18"/>
                <w:szCs w:val="18"/>
                <w:color w:val="auto"/>
              </w:rPr>
              <w:t>Therapeutics Inc.</w:t>
            </w:r>
          </w:p>
        </w:tc>
        <w:tc>
          <w:tcPr>
            <w:tcW w:w="1040" w:type="dxa"/>
            <w:vAlign w:val="bottom"/>
          </w:tcPr>
          <w:p>
            <w:pPr>
              <w:spacing w:after="0"/>
              <w:rPr>
                <w:sz w:val="19"/>
                <w:szCs w:val="19"/>
                <w:color w:val="auto"/>
              </w:rPr>
            </w:pP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rPr>
              <w:t>10.5*</w:t>
            </w:r>
          </w:p>
        </w:tc>
        <w:tc>
          <w:tcPr>
            <w:tcW w:w="280" w:type="dxa"/>
            <w:vAlign w:val="bottom"/>
          </w:tcPr>
          <w:p>
            <w:pPr>
              <w:spacing w:after="0"/>
              <w:rPr>
                <w:sz w:val="24"/>
                <w:szCs w:val="24"/>
                <w:color w:val="auto"/>
              </w:rPr>
            </w:pPr>
          </w:p>
        </w:tc>
        <w:tc>
          <w:tcPr>
            <w:tcW w:w="9420" w:type="dxa"/>
            <w:vAlign w:val="bottom"/>
            <w:gridSpan w:val="3"/>
          </w:tcPr>
          <w:p>
            <w:pPr>
              <w:ind w:left="440"/>
              <w:spacing w:after="0"/>
              <w:rPr>
                <w:sz w:val="20"/>
                <w:szCs w:val="20"/>
                <w:color w:val="auto"/>
              </w:rPr>
            </w:pPr>
            <w:r>
              <w:rPr>
                <w:rFonts w:ascii="Arial" w:cs="Arial" w:eastAsia="Arial" w:hAnsi="Arial"/>
                <w:sz w:val="18"/>
                <w:szCs w:val="18"/>
                <w:color w:val="auto"/>
              </w:rPr>
              <w:t>Stock Option Agreement with Thomas A. McGauley dated June 19, 2013</w:t>
            </w:r>
          </w:p>
        </w:tc>
        <w:tc>
          <w:tcPr>
            <w:tcW w:w="1040" w:type="dxa"/>
            <w:vAlign w:val="bottom"/>
          </w:tcPr>
          <w:p>
            <w:pPr>
              <w:spacing w:after="0"/>
              <w:rPr>
                <w:sz w:val="24"/>
                <w:szCs w:val="24"/>
                <w:color w:val="auto"/>
              </w:rPr>
            </w:pP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rPr>
              <w:t>23.1*</w:t>
            </w:r>
          </w:p>
        </w:tc>
        <w:tc>
          <w:tcPr>
            <w:tcW w:w="280" w:type="dxa"/>
            <w:vAlign w:val="bottom"/>
          </w:tcPr>
          <w:p>
            <w:pPr>
              <w:spacing w:after="0"/>
              <w:rPr>
                <w:sz w:val="24"/>
                <w:szCs w:val="24"/>
                <w:color w:val="auto"/>
              </w:rPr>
            </w:pPr>
          </w:p>
        </w:tc>
        <w:tc>
          <w:tcPr>
            <w:tcW w:w="9420" w:type="dxa"/>
            <w:vAlign w:val="bottom"/>
            <w:gridSpan w:val="3"/>
          </w:tcPr>
          <w:p>
            <w:pPr>
              <w:ind w:left="440"/>
              <w:spacing w:after="0"/>
              <w:rPr>
                <w:sz w:val="20"/>
                <w:szCs w:val="20"/>
                <w:color w:val="auto"/>
              </w:rPr>
            </w:pPr>
            <w:r>
              <w:rPr>
                <w:rFonts w:ascii="Arial" w:cs="Arial" w:eastAsia="Arial" w:hAnsi="Arial"/>
                <w:sz w:val="18"/>
                <w:szCs w:val="18"/>
                <w:color w:val="auto"/>
              </w:rPr>
              <w:t>Consent of McGladrey LLP, an independent registered public accounting firm.</w:t>
            </w:r>
          </w:p>
        </w:tc>
        <w:tc>
          <w:tcPr>
            <w:tcW w:w="1040" w:type="dxa"/>
            <w:vAlign w:val="bottom"/>
          </w:tcPr>
          <w:p>
            <w:pPr>
              <w:spacing w:after="0"/>
              <w:rPr>
                <w:sz w:val="24"/>
                <w:szCs w:val="24"/>
                <w:color w:val="auto"/>
              </w:rPr>
            </w:pP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24"/>
                <w:szCs w:val="24"/>
                <w:color w:val="auto"/>
              </w:rPr>
            </w:pPr>
          </w:p>
        </w:tc>
        <w:tc>
          <w:tcPr>
            <w:tcW w:w="9420" w:type="dxa"/>
            <w:vAlign w:val="bottom"/>
            <w:gridSpan w:val="3"/>
          </w:tcPr>
          <w:p>
            <w:pPr>
              <w:ind w:left="440"/>
              <w:spacing w:after="0"/>
              <w:rPr>
                <w:sz w:val="20"/>
                <w:szCs w:val="20"/>
                <w:color w:val="auto"/>
              </w:rPr>
            </w:pPr>
            <w:r>
              <w:rPr>
                <w:rFonts w:ascii="Arial" w:cs="Arial" w:eastAsia="Arial" w:hAnsi="Arial"/>
                <w:sz w:val="18"/>
                <w:szCs w:val="18"/>
                <w:color w:val="auto"/>
              </w:rPr>
              <w:t>Certification Pursuant to Rule 13a-14(a) of the Securities Exchange Act of 1934</w:t>
            </w:r>
          </w:p>
        </w:tc>
        <w:tc>
          <w:tcPr>
            <w:tcW w:w="1040" w:type="dxa"/>
            <w:vAlign w:val="bottom"/>
          </w:tcPr>
          <w:p>
            <w:pPr>
              <w:spacing w:after="0"/>
              <w:rPr>
                <w:sz w:val="24"/>
                <w:szCs w:val="24"/>
                <w:color w:val="auto"/>
              </w:rPr>
            </w:pP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24"/>
                <w:szCs w:val="24"/>
                <w:color w:val="auto"/>
              </w:rPr>
            </w:pPr>
          </w:p>
        </w:tc>
        <w:tc>
          <w:tcPr>
            <w:tcW w:w="9420" w:type="dxa"/>
            <w:vAlign w:val="bottom"/>
            <w:gridSpan w:val="3"/>
          </w:tcPr>
          <w:p>
            <w:pPr>
              <w:ind w:left="440"/>
              <w:spacing w:after="0"/>
              <w:rPr>
                <w:sz w:val="20"/>
                <w:szCs w:val="20"/>
                <w:color w:val="auto"/>
              </w:rPr>
            </w:pPr>
            <w:r>
              <w:rPr>
                <w:rFonts w:ascii="Arial" w:cs="Arial" w:eastAsia="Arial" w:hAnsi="Arial"/>
                <w:sz w:val="18"/>
                <w:szCs w:val="18"/>
                <w:color w:val="auto"/>
              </w:rPr>
              <w:t>Certification Pursuant to Rule 13a-14(a) of the Securities Exchange Act of 1934</w:t>
            </w:r>
          </w:p>
        </w:tc>
        <w:tc>
          <w:tcPr>
            <w:tcW w:w="1040" w:type="dxa"/>
            <w:vAlign w:val="bottom"/>
          </w:tcPr>
          <w:p>
            <w:pPr>
              <w:spacing w:after="0"/>
              <w:rPr>
                <w:sz w:val="24"/>
                <w:szCs w:val="24"/>
                <w:color w:val="auto"/>
              </w:rPr>
            </w:pPr>
          </w:p>
        </w:tc>
      </w:tr>
      <w:tr>
        <w:trPr>
          <w:trHeight w:val="324"/>
        </w:trPr>
        <w:tc>
          <w:tcPr>
            <w:tcW w:w="58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24"/>
                <w:szCs w:val="24"/>
                <w:color w:val="auto"/>
              </w:rPr>
            </w:pPr>
          </w:p>
        </w:tc>
        <w:tc>
          <w:tcPr>
            <w:tcW w:w="9420" w:type="dxa"/>
            <w:vAlign w:val="bottom"/>
            <w:gridSpan w:val="3"/>
          </w:tcPr>
          <w:p>
            <w:pPr>
              <w:ind w:left="440"/>
              <w:spacing w:after="0"/>
              <w:rPr>
                <w:sz w:val="20"/>
                <w:szCs w:val="20"/>
                <w:color w:val="auto"/>
              </w:rPr>
            </w:pPr>
            <w:r>
              <w:rPr>
                <w:rFonts w:ascii="Arial" w:cs="Arial" w:eastAsia="Arial" w:hAnsi="Arial"/>
                <w:sz w:val="18"/>
                <w:szCs w:val="18"/>
                <w:color w:val="auto"/>
                <w:w w:val="92"/>
              </w:rPr>
              <w:t>Certification Pursuant to 18 U.S.C. Section 1350, as Adopted Pursuant to Section 906 of the Sarbanes-Oxley Act of 2002</w:t>
            </w:r>
          </w:p>
        </w:tc>
        <w:tc>
          <w:tcPr>
            <w:tcW w:w="1040" w:type="dxa"/>
            <w:vAlign w:val="bottom"/>
          </w:tcPr>
          <w:p>
            <w:pPr>
              <w:spacing w:after="0"/>
              <w:rPr>
                <w:sz w:val="24"/>
                <w:szCs w:val="24"/>
                <w:color w:val="auto"/>
              </w:rPr>
            </w:pPr>
          </w:p>
        </w:tc>
      </w:tr>
      <w:tr>
        <w:trPr>
          <w:trHeight w:val="324"/>
        </w:trPr>
        <w:tc>
          <w:tcPr>
            <w:tcW w:w="58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280" w:type="dxa"/>
            <w:vAlign w:val="bottom"/>
          </w:tcPr>
          <w:p>
            <w:pPr>
              <w:spacing w:after="0"/>
              <w:rPr>
                <w:sz w:val="24"/>
                <w:szCs w:val="24"/>
                <w:color w:val="auto"/>
              </w:rPr>
            </w:pPr>
          </w:p>
        </w:tc>
        <w:tc>
          <w:tcPr>
            <w:tcW w:w="9420" w:type="dxa"/>
            <w:vAlign w:val="bottom"/>
            <w:gridSpan w:val="3"/>
          </w:tcPr>
          <w:p>
            <w:pPr>
              <w:ind w:left="440"/>
              <w:spacing w:after="0"/>
              <w:rPr>
                <w:sz w:val="20"/>
                <w:szCs w:val="20"/>
                <w:color w:val="auto"/>
              </w:rPr>
            </w:pPr>
            <w:r>
              <w:rPr>
                <w:rFonts w:ascii="Arial" w:cs="Arial" w:eastAsia="Arial" w:hAnsi="Arial"/>
                <w:sz w:val="18"/>
                <w:szCs w:val="18"/>
                <w:color w:val="auto"/>
                <w:w w:val="92"/>
              </w:rPr>
              <w:t>Certification Pursuant to 18 U.S.C. Section 1350, as Adopted Pursuant to Section 906 of the Sarbanes-Oxley Act of 2002</w:t>
            </w:r>
          </w:p>
        </w:tc>
        <w:tc>
          <w:tcPr>
            <w:tcW w:w="1040" w:type="dxa"/>
            <w:vAlign w:val="bottom"/>
          </w:tcPr>
          <w:p>
            <w:pPr>
              <w:spacing w:after="0"/>
              <w:rPr>
                <w:sz w:val="24"/>
                <w:szCs w:val="24"/>
                <w:color w:val="auto"/>
              </w:rPr>
            </w:pP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101.INS</w:t>
            </w:r>
          </w:p>
        </w:tc>
        <w:tc>
          <w:tcPr>
            <w:tcW w:w="9420" w:type="dxa"/>
            <w:vAlign w:val="bottom"/>
            <w:gridSpan w:val="3"/>
          </w:tcPr>
          <w:p>
            <w:pPr>
              <w:ind w:left="440"/>
              <w:spacing w:after="0"/>
              <w:rPr>
                <w:sz w:val="20"/>
                <w:szCs w:val="20"/>
                <w:color w:val="auto"/>
              </w:rPr>
            </w:pPr>
            <w:r>
              <w:rPr>
                <w:rFonts w:ascii="Arial" w:cs="Arial" w:eastAsia="Arial" w:hAnsi="Arial"/>
                <w:sz w:val="18"/>
                <w:szCs w:val="18"/>
                <w:color w:val="auto"/>
              </w:rPr>
              <w:t>XBRL Instance Document*</w:t>
            </w:r>
          </w:p>
        </w:tc>
        <w:tc>
          <w:tcPr>
            <w:tcW w:w="1040" w:type="dxa"/>
            <w:vAlign w:val="bottom"/>
          </w:tcPr>
          <w:p>
            <w:pPr>
              <w:spacing w:after="0"/>
              <w:rPr>
                <w:sz w:val="24"/>
                <w:szCs w:val="24"/>
                <w:color w:val="auto"/>
              </w:rPr>
            </w:pP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101.SCH</w:t>
            </w:r>
          </w:p>
        </w:tc>
        <w:tc>
          <w:tcPr>
            <w:tcW w:w="9420" w:type="dxa"/>
            <w:vAlign w:val="bottom"/>
            <w:gridSpan w:val="3"/>
          </w:tcPr>
          <w:p>
            <w:pPr>
              <w:ind w:left="440"/>
              <w:spacing w:after="0"/>
              <w:rPr>
                <w:sz w:val="20"/>
                <w:szCs w:val="20"/>
                <w:color w:val="auto"/>
              </w:rPr>
            </w:pPr>
            <w:r>
              <w:rPr>
                <w:rFonts w:ascii="Arial" w:cs="Arial" w:eastAsia="Arial" w:hAnsi="Arial"/>
                <w:sz w:val="18"/>
                <w:szCs w:val="18"/>
                <w:color w:val="auto"/>
              </w:rPr>
              <w:t>XBRL Taxonomy Extension Schema Document*</w:t>
            </w:r>
          </w:p>
        </w:tc>
        <w:tc>
          <w:tcPr>
            <w:tcW w:w="1040" w:type="dxa"/>
            <w:vAlign w:val="bottom"/>
          </w:tcPr>
          <w:p>
            <w:pPr>
              <w:spacing w:after="0"/>
              <w:rPr>
                <w:sz w:val="24"/>
                <w:szCs w:val="24"/>
                <w:color w:val="auto"/>
              </w:rPr>
            </w:pP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101.CAL</w:t>
            </w:r>
          </w:p>
        </w:tc>
        <w:tc>
          <w:tcPr>
            <w:tcW w:w="9420" w:type="dxa"/>
            <w:vAlign w:val="bottom"/>
            <w:gridSpan w:val="3"/>
          </w:tcPr>
          <w:p>
            <w:pPr>
              <w:ind w:left="440"/>
              <w:spacing w:after="0"/>
              <w:rPr>
                <w:sz w:val="20"/>
                <w:szCs w:val="20"/>
                <w:color w:val="auto"/>
              </w:rPr>
            </w:pPr>
            <w:r>
              <w:rPr>
                <w:rFonts w:ascii="Arial" w:cs="Arial" w:eastAsia="Arial" w:hAnsi="Arial"/>
                <w:sz w:val="18"/>
                <w:szCs w:val="18"/>
                <w:color w:val="auto"/>
              </w:rPr>
              <w:t>XBRL Taxonomy Calculation Linkbase Document*</w:t>
            </w:r>
          </w:p>
        </w:tc>
        <w:tc>
          <w:tcPr>
            <w:tcW w:w="1040" w:type="dxa"/>
            <w:vAlign w:val="bottom"/>
          </w:tcPr>
          <w:p>
            <w:pPr>
              <w:spacing w:after="0"/>
              <w:rPr>
                <w:sz w:val="24"/>
                <w:szCs w:val="24"/>
                <w:color w:val="auto"/>
              </w:rPr>
            </w:pP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101.DEF</w:t>
            </w:r>
          </w:p>
        </w:tc>
        <w:tc>
          <w:tcPr>
            <w:tcW w:w="9420" w:type="dxa"/>
            <w:vAlign w:val="bottom"/>
            <w:gridSpan w:val="3"/>
          </w:tcPr>
          <w:p>
            <w:pPr>
              <w:ind w:left="440"/>
              <w:spacing w:after="0"/>
              <w:rPr>
                <w:sz w:val="20"/>
                <w:szCs w:val="20"/>
                <w:color w:val="auto"/>
              </w:rPr>
            </w:pPr>
            <w:r>
              <w:rPr>
                <w:rFonts w:ascii="Arial" w:cs="Arial" w:eastAsia="Arial" w:hAnsi="Arial"/>
                <w:sz w:val="18"/>
                <w:szCs w:val="18"/>
                <w:color w:val="auto"/>
              </w:rPr>
              <w:t>XBRL Taxonomy Extension Definition Linkbase Document*</w:t>
            </w:r>
          </w:p>
        </w:tc>
        <w:tc>
          <w:tcPr>
            <w:tcW w:w="1040" w:type="dxa"/>
            <w:vAlign w:val="bottom"/>
          </w:tcPr>
          <w:p>
            <w:pPr>
              <w:spacing w:after="0"/>
              <w:rPr>
                <w:sz w:val="24"/>
                <w:szCs w:val="24"/>
                <w:color w:val="auto"/>
              </w:rPr>
            </w:pP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101.LAB</w:t>
            </w:r>
          </w:p>
        </w:tc>
        <w:tc>
          <w:tcPr>
            <w:tcW w:w="9420" w:type="dxa"/>
            <w:vAlign w:val="bottom"/>
            <w:gridSpan w:val="3"/>
          </w:tcPr>
          <w:p>
            <w:pPr>
              <w:ind w:left="440"/>
              <w:spacing w:after="0"/>
              <w:rPr>
                <w:sz w:val="20"/>
                <w:szCs w:val="20"/>
                <w:color w:val="auto"/>
              </w:rPr>
            </w:pPr>
            <w:r>
              <w:rPr>
                <w:rFonts w:ascii="Arial" w:cs="Arial" w:eastAsia="Arial" w:hAnsi="Arial"/>
                <w:sz w:val="18"/>
                <w:szCs w:val="18"/>
                <w:color w:val="auto"/>
              </w:rPr>
              <w:t>XBRL Taxonomy Label Linkbase Document*</w:t>
            </w:r>
          </w:p>
        </w:tc>
        <w:tc>
          <w:tcPr>
            <w:tcW w:w="1040" w:type="dxa"/>
            <w:vAlign w:val="bottom"/>
          </w:tcPr>
          <w:p>
            <w:pPr>
              <w:spacing w:after="0"/>
              <w:rPr>
                <w:sz w:val="24"/>
                <w:szCs w:val="24"/>
                <w:color w:val="auto"/>
              </w:rPr>
            </w:pP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101.PRE</w:t>
            </w:r>
          </w:p>
        </w:tc>
        <w:tc>
          <w:tcPr>
            <w:tcW w:w="9420" w:type="dxa"/>
            <w:vAlign w:val="bottom"/>
            <w:gridSpan w:val="3"/>
          </w:tcPr>
          <w:p>
            <w:pPr>
              <w:ind w:left="440"/>
              <w:spacing w:after="0"/>
              <w:rPr>
                <w:sz w:val="20"/>
                <w:szCs w:val="20"/>
                <w:color w:val="auto"/>
              </w:rPr>
            </w:pPr>
            <w:r>
              <w:rPr>
                <w:rFonts w:ascii="Arial" w:cs="Arial" w:eastAsia="Arial" w:hAnsi="Arial"/>
                <w:sz w:val="18"/>
                <w:szCs w:val="18"/>
                <w:color w:val="auto"/>
              </w:rPr>
              <w:t>XBRL Taxonomy Presentation Linkbase Document*</w:t>
            </w:r>
          </w:p>
        </w:tc>
        <w:tc>
          <w:tcPr>
            <w:tcW w:w="10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Furnished herewith and not “filed” for purposes of Section 18 of the Securities Exchange Act of 1934, as amended.</w:t>
      </w:r>
    </w:p>
    <w:p>
      <w:pPr>
        <w:spacing w:after="0" w:line="9" w:lineRule="exact"/>
        <w:rPr>
          <w:sz w:val="20"/>
          <w:szCs w:val="20"/>
          <w:color w:val="auto"/>
        </w:rPr>
      </w:pPr>
    </w:p>
    <w:p>
      <w:pPr>
        <w:ind w:left="5620" w:right="2500" w:hanging="5612"/>
        <w:spacing w:after="0" w:line="433" w:lineRule="auto"/>
        <w:tabs>
          <w:tab w:leader="none" w:pos="448"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filed with the Commission on May 30, 2012. 21</w:t>
      </w:r>
    </w:p>
    <w:p>
      <w:pPr>
        <w:sectPr>
          <w:pgSz w:w="11900" w:h="16838" w:orient="portrait"/>
          <w:cols w:equalWidth="0" w:num="1">
            <w:col w:w="11320"/>
          </w:cols>
          <w:pgMar w:left="240" w:top="459"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80" w:firstLine="913"/>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August 14, 2013.</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GALECTIN THERAPEUTICS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G. Traber</w:t>
            </w:r>
          </w:p>
        </w:tc>
      </w:tr>
      <w:tr>
        <w:trPr>
          <w:trHeight w:val="217"/>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Peter G. Traber, M.D.</w:t>
            </w:r>
          </w:p>
        </w:tc>
      </w:t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r>
        <w:trPr>
          <w:trHeight w:val="432"/>
        </w:trPr>
        <w:tc>
          <w:tcPr>
            <w:tcW w:w="640" w:type="dxa"/>
            <w:vAlign w:val="bottom"/>
          </w:tcPr>
          <w:p>
            <w:pPr>
              <w:spacing w:after="0"/>
              <w:rPr>
                <w:sz w:val="24"/>
                <w:szCs w:val="24"/>
                <w:color w:val="auto"/>
              </w:rPr>
            </w:pP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W. Callicutt</w:t>
            </w:r>
          </w:p>
        </w:tc>
      </w:tr>
      <w:tr>
        <w:trPr>
          <w:trHeight w:val="217"/>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Jack W. Callicutt</w:t>
            </w:r>
          </w:p>
        </w:tc>
      </w:t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ind w:left="10520"/>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NEITHER THIS WARRANT CERTIFICATE NOR THE WARRANTS REPRESENTED HEREBY NOR ANY SHARES OF COMMON STOCK ISSUABLE UPON THE EXERCISE OF SUCH WARRANTS, NOR ANY INTEREST IN OR RIGHTS UNDER SAME, HAVE BEEN REGISTERED UNDER THE SECURITIES ACT OF 1933 OR THE LAWS OF ANY STATE, AND NEITHER THIS WARRANT CERTIFICATE NOR THE WARRANTS REPRESENTED HEREBY NOR ANY SHARES OF COMMON STOCK ISSUABLE UPON THE EXERCISE OF SUCH WARRANTS, NOR ANY INTEREST IN OR RIGHTS UNDER SAME, MAY BE SOLD OR OTHERWISE TRANSFERRED UNLESS REGISTERED UNDER SUCH ACT AND APPLICABLE STATE SECURITIES LAWS OR AN EXEMPTION FROM REGISTRATION IS AVAILABLE.</w:t>
      </w:r>
    </w:p>
    <w:p>
      <w:pPr>
        <w:spacing w:after="0" w:line="120" w:lineRule="exact"/>
        <w:rPr>
          <w:sz w:val="20"/>
          <w:szCs w:val="20"/>
          <w:color w:val="auto"/>
        </w:rPr>
      </w:pPr>
    </w:p>
    <w:p>
      <w:pPr>
        <w:ind w:left="10000"/>
        <w:spacing w:after="0"/>
        <w:rPr>
          <w:sz w:val="20"/>
          <w:szCs w:val="20"/>
          <w:color w:val="auto"/>
        </w:rPr>
      </w:pPr>
      <w:r>
        <w:rPr>
          <w:rFonts w:ascii="Arial" w:cs="Arial" w:eastAsia="Arial" w:hAnsi="Arial"/>
          <w:sz w:val="18"/>
          <w:szCs w:val="18"/>
          <w:color w:val="auto"/>
        </w:rPr>
        <w:t>W-2009-A2-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GALECTIN THERAPEUTICS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STOCK PURCHASE WARRANT – CLASS A-2</w:t>
      </w:r>
    </w:p>
    <w:p>
      <w:pPr>
        <w:spacing w:after="0" w:line="171"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Galectin Therapeutics Inc., a Nevada corporation (the “Company”), for value received and subject to the terms set forth below hereby grants to 10X Fund, L.P., a Delaware limited partnership, or its registered successors and assigns (the “Holder”), the right to purchase from the Company at any time or from time to</w:t>
      </w:r>
    </w:p>
    <w:p>
      <w:pPr>
        <w:ind w:right="140"/>
        <w:spacing w:after="0" w:line="255" w:lineRule="auto"/>
        <w:rPr>
          <w:sz w:val="20"/>
          <w:szCs w:val="20"/>
          <w:color w:val="auto"/>
        </w:rPr>
      </w:pPr>
      <w:r>
        <w:rPr>
          <w:rFonts w:ascii="Arial" w:cs="Arial" w:eastAsia="Arial" w:hAnsi="Arial"/>
          <w:sz w:val="18"/>
          <w:szCs w:val="18"/>
          <w:color w:val="auto"/>
        </w:rPr>
        <w:t>time until the date and time permitted under Section 2.1 below, fully paid and nonassessable shares of the Common Stock, par value $0.001 per share, at the purchase price of three dollars ($3.00) per share (the “Exercise Price”). The Exercise Price and the number and character of such shares of Common Stock purchasable pursuant to the rights granted under this Warrant are subject to adjustment as provided herein.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1. Definitions. As used herein the following terms, unless the context otherwise requires, have the following respective meanings:</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 xml:space="preserve">“Common Stock” </w:t>
      </w:r>
      <w:r>
        <w:rPr>
          <w:rFonts w:ascii="Arial" w:cs="Arial" w:eastAsia="Arial" w:hAnsi="Arial"/>
          <w:sz w:val="18"/>
          <w:szCs w:val="18"/>
          <w:color w:val="auto"/>
        </w:rPr>
        <w:t>means the Company’s common stock, par value $0.001 per share, and stock of any other class of securities into which such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may hereafter have been reclassified or changed into, including any stock (other than Common Stock) and other securities of the Company or any other Person (corporate or other) which the Holder of this Warrant at any time shall be entitled to receive, or shall have received, upon the exercise of this Warrant, in lieu of or in addition to Common Stock, or which at any time shall be issuable or shall have been issued in exchange for or in replacement of Common Stock pursuant to Section 3.2 hereof or otherwise.</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1720" w:type="dxa"/>
            <w:vAlign w:val="bottom"/>
          </w:tcPr>
          <w:p>
            <w:pPr>
              <w:spacing w:after="0"/>
              <w:rPr>
                <w:sz w:val="20"/>
                <w:szCs w:val="20"/>
                <w:color w:val="auto"/>
              </w:rPr>
            </w:pPr>
            <w:r>
              <w:rPr>
                <w:rFonts w:ascii="Arial" w:cs="Arial" w:eastAsia="Arial" w:hAnsi="Arial"/>
                <w:sz w:val="18"/>
                <w:szCs w:val="18"/>
                <w:i w:val="1"/>
                <w:iCs w:val="1"/>
                <w:color w:val="auto"/>
              </w:rPr>
              <w:t xml:space="preserve">“Issue Date” </w:t>
            </w:r>
            <w:r>
              <w:rPr>
                <w:rFonts w:ascii="Arial" w:cs="Arial" w:eastAsia="Arial" w:hAnsi="Arial"/>
                <w:sz w:val="18"/>
                <w:szCs w:val="18"/>
                <w:color w:val="auto"/>
              </w:rPr>
              <w:t>means</w:t>
            </w:r>
          </w:p>
        </w:tc>
        <w:tc>
          <w:tcPr>
            <w:tcW w:w="780" w:type="dxa"/>
            <w:vAlign w:val="bottom"/>
          </w:tcPr>
          <w:p>
            <w:pPr>
              <w:jc w:val="right"/>
              <w:spacing w:after="0"/>
              <w:rPr>
                <w:sz w:val="20"/>
                <w:szCs w:val="20"/>
                <w:color w:val="auto"/>
              </w:rPr>
            </w:pPr>
            <w:r>
              <w:rPr>
                <w:rFonts w:ascii="Arial" w:cs="Arial" w:eastAsia="Arial" w:hAnsi="Arial"/>
                <w:sz w:val="18"/>
                <w:szCs w:val="18"/>
                <w:color w:val="auto"/>
              </w:rPr>
              <w:t>, 2009.</w:t>
            </w:r>
          </w:p>
        </w:tc>
      </w:tr>
    </w:tbl>
    <w:p>
      <w:pPr>
        <w:spacing w:after="0" w:line="15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“Mandatory Exercise Condition” </w:t>
      </w:r>
      <w:r>
        <w:rPr>
          <w:rFonts w:ascii="Arial" w:cs="Arial" w:eastAsia="Arial" w:hAnsi="Arial"/>
          <w:sz w:val="18"/>
          <w:szCs w:val="18"/>
          <w:color w:val="auto"/>
        </w:rPr>
        <w:t>shall mean any Trading Day on which the Common Stock is trading on a Trading Market and on which the Market Value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Common Stock for each of the fifteen (15) previous Trading Days exceeded $1.75 per share (as adjusted for stock splits, stock dividends, combinations and similar transactions), and (ii) a Warrant Shares Registration Statement covering the resale of the shares of Common Stock issuable upon exercise of this Warrant is effective.</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Market Value</w:t>
      </w:r>
      <w:r>
        <w:rPr>
          <w:rFonts w:ascii="Arial" w:cs="Arial" w:eastAsia="Arial" w:hAnsi="Arial"/>
          <w:sz w:val="16"/>
          <w:szCs w:val="16"/>
          <w:color w:val="auto"/>
        </w:rPr>
        <w:t>” means, for any date, the price determined by the first of the following clauses that applies: (a) if the Common Stock is then listed or quoted on a Trading Market (other than the OTC Bulletin Board), the daily volume weighted average price of the Common Stock for such date (or the nearest preceding date) on the Trading Market on which the Common Stock is then listed or quoted as reported by Bloomberg Financial L.P. (based on a Trading Day from 9:30 a.m. Eastern Time to 4:00 p.m. Eastern Time); (b) if the Common Stock is then listed or quoted on the OTC Bulletin Board, the average of the high and low price of the Common Stock for such date (or the nearest preceding date) on the OTC Bulletin Board; or (c) if the Common Stock is not then listed or quoted on a Trading Market and if prices for the Common Stock are then reported in the “Pink Sheets” published by the Pink Sheets, LLC (or a similar organization or agency succeeding to its functions of reporting prices), the most recent bid price per share of the Common Stock so reported.</w:t>
      </w:r>
    </w:p>
    <w:p>
      <w:pPr>
        <w:spacing w:after="0" w:line="11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Registration Rights Agreement</w:t>
      </w:r>
      <w:r>
        <w:rPr>
          <w:rFonts w:ascii="Arial" w:cs="Arial" w:eastAsia="Arial" w:hAnsi="Arial"/>
          <w:sz w:val="18"/>
          <w:szCs w:val="18"/>
          <w:color w:val="auto"/>
        </w:rPr>
        <w:t>” means the Registration Rights Agreement, dated as of the Issue Date, to which the Corporation and the original Holder are parties, as amended, modified or supplemented from time to time in accordance with its terms.</w:t>
      </w:r>
    </w:p>
    <w:p>
      <w:pPr>
        <w:sectPr>
          <w:pgSz w:w="11900" w:h="16838" w:orient="portrait"/>
          <w:cols w:equalWidth="0" w:num="1">
            <w:col w:w="11420"/>
          </w:cols>
          <w:pgMar w:left="240" w:top="125" w:right="239" w:bottom="1440" w:gutter="0" w:footer="0" w:header="0"/>
        </w:sectPr>
      </w:pPr>
    </w:p>
    <w:bookmarkStart w:id="23" w:name="page24"/>
    <w:bookmarkEnd w:id="23"/>
    <w:p>
      <w:pPr>
        <w:ind w:left="46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“This Warrant” </w:t>
      </w:r>
      <w:r>
        <w:rPr>
          <w:rFonts w:ascii="Arial" w:cs="Arial" w:eastAsia="Arial" w:hAnsi="Arial"/>
          <w:sz w:val="16"/>
          <w:szCs w:val="16"/>
          <w:color w:val="auto"/>
        </w:rPr>
        <w:t>means, collectively, this Warrant and all other stock purchase warrants issued in exchange therefor or replacement thereof.</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Trading Day</w:t>
      </w:r>
      <w:r>
        <w:rPr>
          <w:rFonts w:ascii="Arial" w:cs="Arial" w:eastAsia="Arial" w:hAnsi="Arial"/>
          <w:sz w:val="18"/>
          <w:szCs w:val="18"/>
          <w:color w:val="auto"/>
        </w:rPr>
        <w:t>” means a day on which the Common Stock is traded on a Trading Market.</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“Trading Market” means any one of the following markets or exchanges on which the Common Stock is listed or quoted for trading on the date in question: the Nasdaq SmallCap Market, the NYSE Alternext US, the New York Stock Exchange, the Nasdaq National Market, the OTC Bulletin Board or the “Pink Sheets.”</w:t>
      </w:r>
    </w:p>
    <w:p>
      <w:pPr>
        <w:spacing w:after="0" w:line="14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Warrant Shares Registration Statement</w:t>
      </w:r>
      <w:r>
        <w:rPr>
          <w:rFonts w:ascii="Arial" w:cs="Arial" w:eastAsia="Arial" w:hAnsi="Arial"/>
          <w:sz w:val="18"/>
          <w:szCs w:val="18"/>
          <w:color w:val="auto"/>
        </w:rPr>
        <w:t>” means a registration statement that meets the requirements of the Registration Rights Agreement and registers the resale of all Common Stock into which this Warrant may be exercised by the Holder, who shall be named as a “selling stockholder” thereunder, all as provided in the Registration Rights Agreement.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2. Exercise.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2.1 Exercise Period. The Holder may exercise this Warrant at any time after the Issue Date and before the close of business in Atlanta, Georgia on the tenth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w:t>
      </w:r>
      <w:r>
        <w:rPr>
          <w:rFonts w:ascii="Arial" w:cs="Arial" w:eastAsia="Arial" w:hAnsi="Arial"/>
          <w:sz w:val="11"/>
          <w:szCs w:val="11"/>
          <w:color w:val="auto"/>
        </w:rPr>
        <w:t>th</w:t>
      </w:r>
      <w:r>
        <w:rPr>
          <w:rFonts w:ascii="Arial" w:cs="Arial" w:eastAsia="Arial" w:hAnsi="Arial"/>
          <w:sz w:val="18"/>
          <w:szCs w:val="18"/>
          <w:color w:val="auto"/>
        </w:rPr>
        <w:t>) anniversary of the Issue Date (the “Exercise Period”), unless earlier terminated pursuant to Section 2.6 herein.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 Exercise Procedure.</w:t>
      </w:r>
    </w:p>
    <w:p>
      <w:pPr>
        <w:spacing w:after="0" w:line="171" w:lineRule="exact"/>
        <w:rPr>
          <w:sz w:val="20"/>
          <w:szCs w:val="20"/>
          <w:color w:val="auto"/>
        </w:rPr>
      </w:pPr>
    </w:p>
    <w:p>
      <w:pPr>
        <w:ind w:left="700" w:hanging="236"/>
        <w:spacing w:after="0"/>
        <w:tabs>
          <w:tab w:leader="none" w:pos="7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This Warrant will be deemed to have been exercised at such time as the Company has received all of the following items (the “Exercise Date”):</w:t>
      </w:r>
    </w:p>
    <w:p>
      <w:pPr>
        <w:spacing w:after="0" w:line="113" w:lineRule="exact"/>
        <w:rPr>
          <w:rFonts w:ascii="Arial" w:cs="Arial" w:eastAsia="Arial" w:hAnsi="Arial"/>
          <w:sz w:val="16"/>
          <w:szCs w:val="16"/>
          <w:color w:val="auto"/>
        </w:rPr>
      </w:pPr>
    </w:p>
    <w:p>
      <w:pPr>
        <w:ind w:left="460" w:right="520" w:firstLine="443"/>
        <w:spacing w:after="0" w:line="268" w:lineRule="auto"/>
        <w:tabs>
          <w:tab w:leader="none" w:pos="1108" w:val="left"/>
        </w:tabs>
        <w:numPr>
          <w:ilvl w:val="2"/>
          <w:numId w:val="16"/>
        </w:numPr>
        <w:rPr>
          <w:rFonts w:ascii="Arial" w:cs="Arial" w:eastAsia="Arial" w:hAnsi="Arial"/>
          <w:sz w:val="18"/>
          <w:szCs w:val="18"/>
          <w:color w:val="auto"/>
        </w:rPr>
      </w:pPr>
      <w:r>
        <w:rPr>
          <w:rFonts w:ascii="Arial" w:cs="Arial" w:eastAsia="Arial" w:hAnsi="Arial"/>
          <w:sz w:val="18"/>
          <w:szCs w:val="18"/>
          <w:color w:val="auto"/>
        </w:rPr>
        <w:t>a completed Subscription Agreement as described in Section 2.4 hereof, executed by the Person exercising all or part of the purchase rights represented by this Warrant (the “Purchaser”);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2"/>
          <w:numId w:val="16"/>
        </w:numPr>
        <w:rPr>
          <w:rFonts w:ascii="Arial" w:cs="Arial" w:eastAsia="Arial" w:hAnsi="Arial"/>
          <w:sz w:val="18"/>
          <w:szCs w:val="18"/>
          <w:color w:val="auto"/>
        </w:rPr>
      </w:pPr>
      <w:r>
        <w:rPr>
          <w:rFonts w:ascii="Arial" w:cs="Arial" w:eastAsia="Arial" w:hAnsi="Arial"/>
          <w:sz w:val="18"/>
          <w:szCs w:val="18"/>
          <w:color w:val="auto"/>
        </w:rPr>
        <w:t>this Warrant;</w:t>
      </w:r>
    </w:p>
    <w:p>
      <w:pPr>
        <w:spacing w:after="0" w:line="90" w:lineRule="exact"/>
        <w:rPr>
          <w:rFonts w:ascii="Arial" w:cs="Arial" w:eastAsia="Arial" w:hAnsi="Arial"/>
          <w:sz w:val="18"/>
          <w:szCs w:val="18"/>
          <w:color w:val="auto"/>
        </w:rPr>
      </w:pPr>
    </w:p>
    <w:p>
      <w:pPr>
        <w:ind w:left="460" w:right="20" w:firstLine="443"/>
        <w:spacing w:after="0" w:line="332" w:lineRule="auto"/>
        <w:tabs>
          <w:tab w:leader="none" w:pos="1205" w:val="left"/>
        </w:tabs>
        <w:numPr>
          <w:ilvl w:val="2"/>
          <w:numId w:val="16"/>
        </w:numPr>
        <w:rPr>
          <w:rFonts w:ascii="Arial" w:cs="Arial" w:eastAsia="Arial" w:hAnsi="Arial"/>
          <w:sz w:val="16"/>
          <w:szCs w:val="16"/>
          <w:color w:val="auto"/>
        </w:rPr>
      </w:pPr>
      <w:r>
        <w:rPr>
          <w:rFonts w:ascii="Arial" w:cs="Arial" w:eastAsia="Arial" w:hAnsi="Arial"/>
          <w:sz w:val="16"/>
          <w:szCs w:val="16"/>
          <w:color w:val="auto"/>
        </w:rPr>
        <w:t>if this Warrant is not registered in the name of the Purchaser, an Assignment or Assignments in the form set forth in Exhibit B hereto, evidencing the assignment of this Warrant to the Purchaser together with any documentation required pursuant to Section 8(a) hereof; and</w:t>
      </w:r>
    </w:p>
    <w:p>
      <w:pPr>
        <w:spacing w:after="0" w:line="4" w:lineRule="exact"/>
        <w:rPr>
          <w:rFonts w:ascii="Arial" w:cs="Arial" w:eastAsia="Arial" w:hAnsi="Arial"/>
          <w:sz w:val="16"/>
          <w:szCs w:val="16"/>
          <w:color w:val="auto"/>
        </w:rPr>
      </w:pPr>
    </w:p>
    <w:p>
      <w:pPr>
        <w:ind w:left="460" w:right="480" w:firstLine="443"/>
        <w:spacing w:after="0" w:line="268" w:lineRule="auto"/>
        <w:tabs>
          <w:tab w:leader="none" w:pos="1196" w:val="left"/>
        </w:tabs>
        <w:numPr>
          <w:ilvl w:val="2"/>
          <w:numId w:val="16"/>
        </w:numPr>
        <w:rPr>
          <w:rFonts w:ascii="Arial" w:cs="Arial" w:eastAsia="Arial" w:hAnsi="Arial"/>
          <w:sz w:val="18"/>
          <w:szCs w:val="18"/>
          <w:color w:val="auto"/>
        </w:rPr>
      </w:pPr>
      <w:r>
        <w:rPr>
          <w:rFonts w:ascii="Arial" w:cs="Arial" w:eastAsia="Arial" w:hAnsi="Arial"/>
          <w:sz w:val="18"/>
          <w:szCs w:val="18"/>
          <w:color w:val="auto"/>
        </w:rPr>
        <w:t>a check payable to the order of the Company in an amount equal to the product of the Exercise Price multiplied by the number of shares of Common Stock being purchased upon such exercise.</w:t>
      </w:r>
    </w:p>
    <w:p>
      <w:pPr>
        <w:spacing w:after="0" w:line="131" w:lineRule="exact"/>
        <w:rPr>
          <w:rFonts w:ascii="Arial" w:cs="Arial" w:eastAsia="Arial" w:hAnsi="Arial"/>
          <w:sz w:val="18"/>
          <w:szCs w:val="18"/>
          <w:color w:val="auto"/>
        </w:rPr>
      </w:pPr>
    </w:p>
    <w:p>
      <w:pPr>
        <w:ind w:right="100" w:firstLine="464"/>
        <w:spacing w:after="0" w:line="255" w:lineRule="auto"/>
        <w:tabs>
          <w:tab w:leader="none" w:pos="705" w:val="left"/>
        </w:tabs>
        <w:numPr>
          <w:ilvl w:val="1"/>
          <w:numId w:val="16"/>
        </w:numPr>
        <w:rPr>
          <w:rFonts w:ascii="Arial" w:cs="Arial" w:eastAsia="Arial" w:hAnsi="Arial"/>
          <w:sz w:val="18"/>
          <w:szCs w:val="18"/>
          <w:color w:val="auto"/>
        </w:rPr>
      </w:pPr>
      <w:r>
        <w:rPr>
          <w:rFonts w:ascii="Arial" w:cs="Arial" w:eastAsia="Arial" w:hAnsi="Arial"/>
          <w:sz w:val="18"/>
          <w:szCs w:val="18"/>
          <w:color w:val="auto"/>
        </w:rPr>
        <w:t>As soon as practicable after the exercise of this Warrant in full or in part, and in any event within ten (10) days after the Exercise Date, the Company at its expense will cause to be issued in the name of and delivered to the Purchaser, or as the Purchaser (upon payment by the Purchaser of any applicable transfer taxes) may direct, a certificate or certificates for the number of fully paid and non-assessable shares of Common Stock to which the Purchaser shall be entitled upon such exercise, together with any other stock or other securities and property (including cash, where applicable) to which the Purchaser is entitled upon exercise.</w:t>
      </w:r>
    </w:p>
    <w:p>
      <w:pPr>
        <w:spacing w:after="0" w:line="142" w:lineRule="exact"/>
        <w:rPr>
          <w:rFonts w:ascii="Arial" w:cs="Arial" w:eastAsia="Arial" w:hAnsi="Arial"/>
          <w:sz w:val="18"/>
          <w:szCs w:val="18"/>
          <w:color w:val="auto"/>
        </w:rPr>
      </w:pPr>
    </w:p>
    <w:p>
      <w:pPr>
        <w:ind w:left="700" w:hanging="236"/>
        <w:spacing w:after="0"/>
        <w:tabs>
          <w:tab w:leader="none" w:pos="7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Unless this Warrant has expired or all of the purchase rights represented hereby have been exercised, the Company at its expense will, within ten</w:t>
      </w:r>
    </w:p>
    <w:p>
      <w:pPr>
        <w:spacing w:after="0" w:line="38" w:lineRule="exact"/>
        <w:rPr>
          <w:rFonts w:ascii="Arial" w:cs="Arial" w:eastAsia="Arial" w:hAnsi="Arial"/>
          <w:sz w:val="16"/>
          <w:szCs w:val="16"/>
          <w:color w:val="auto"/>
        </w:rPr>
      </w:pPr>
    </w:p>
    <w:p>
      <w:pPr>
        <w:ind w:right="120" w:firstLine="8"/>
        <w:spacing w:after="0" w:line="255" w:lineRule="auto"/>
        <w:tabs>
          <w:tab w:leader="none" w:pos="336" w:val="left"/>
        </w:tabs>
        <w:numPr>
          <w:ilvl w:val="0"/>
          <w:numId w:val="17"/>
        </w:numPr>
        <w:rPr>
          <w:rFonts w:ascii="Arial" w:cs="Arial" w:eastAsia="Arial" w:hAnsi="Arial"/>
          <w:sz w:val="18"/>
          <w:szCs w:val="18"/>
          <w:color w:val="auto"/>
        </w:rPr>
      </w:pPr>
      <w:r>
        <w:rPr>
          <w:rFonts w:ascii="Arial" w:cs="Arial" w:eastAsia="Arial" w:hAnsi="Arial"/>
          <w:sz w:val="18"/>
          <w:szCs w:val="18"/>
          <w:color w:val="auto"/>
        </w:rPr>
        <w:t>days after the Exercise Date, issue and deliver to or upon the order of the Purchaser a new Warrant or Warrants of like tenor, in the name of the Purchaser or as the Purchaser (upon payment by the Purchaser of any applicable transfer taxes) may request, calling in the aggregate on the face or faces thereof for the number of shares of Common Stock remaining issuable under this Warrant.</w:t>
      </w:r>
    </w:p>
    <w:p>
      <w:pPr>
        <w:spacing w:after="0" w:line="144" w:lineRule="exact"/>
        <w:rPr>
          <w:rFonts w:ascii="Arial" w:cs="Arial" w:eastAsia="Arial" w:hAnsi="Arial"/>
          <w:sz w:val="18"/>
          <w:szCs w:val="18"/>
          <w:color w:val="auto"/>
        </w:rPr>
      </w:pPr>
    </w:p>
    <w:p>
      <w:pPr>
        <w:ind w:right="520" w:firstLine="464"/>
        <w:spacing w:after="0" w:line="332" w:lineRule="auto"/>
        <w:tabs>
          <w:tab w:leader="none" w:pos="705"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The Common Stock issuable upon the exercise of this Warrant will be deemed to have been issued to the Purchaser on the Exercise Date, and the Purchaser will be deemed for all purposes to have become the record holder of such Common Stock on the Exercise Date.</w:t>
      </w:r>
    </w:p>
    <w:p>
      <w:pPr>
        <w:spacing w:after="0" w:line="85" w:lineRule="exact"/>
        <w:rPr>
          <w:rFonts w:ascii="Arial" w:cs="Arial" w:eastAsia="Arial" w:hAnsi="Arial"/>
          <w:sz w:val="16"/>
          <w:szCs w:val="16"/>
          <w:color w:val="auto"/>
        </w:rPr>
      </w:pPr>
    </w:p>
    <w:p>
      <w:pPr>
        <w:ind w:right="180" w:firstLine="464"/>
        <w:spacing w:after="0" w:line="259" w:lineRule="auto"/>
        <w:tabs>
          <w:tab w:leader="none" w:pos="695"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issuance of certificates for shares of Common Stock upon exercise of this Warrant will be made without charge to the Holder or the Purchaser for any issuance tax in respect thereof or any other cost incurred by the Company in connection with such exercise and the related issuance of shares of Common Stock.</w:t>
      </w:r>
    </w:p>
    <w:p>
      <w:pPr>
        <w:spacing w:after="0" w:line="140" w:lineRule="exact"/>
        <w:rPr>
          <w:rFonts w:ascii="Arial" w:cs="Arial" w:eastAsia="Arial" w:hAnsi="Arial"/>
          <w:sz w:val="18"/>
          <w:szCs w:val="18"/>
          <w:color w:val="auto"/>
        </w:rPr>
      </w:pPr>
    </w:p>
    <w:p>
      <w:pPr>
        <w:ind w:right="100" w:firstLine="464"/>
        <w:spacing w:after="0" w:line="268" w:lineRule="auto"/>
        <w:tabs>
          <w:tab w:leader="none" w:pos="676"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holder represents and warrants that at the time of any exercise of this warrant the holder is an “accredited investor,” as such term is defined in Rule 501 promulgated under the Securities Act and acknowledges</w:t>
      </w:r>
    </w:p>
    <w:p>
      <w:pPr>
        <w:sectPr>
          <w:pgSz w:w="11900" w:h="16838" w:orient="portrait"/>
          <w:cols w:equalWidth="0" w:num="1">
            <w:col w:w="11420"/>
          </w:cols>
          <w:pgMar w:left="240" w:top="280" w:right="239" w:bottom="1440" w:gutter="0" w:footer="0" w:header="0"/>
        </w:sectPr>
      </w:pPr>
    </w:p>
    <w:bookmarkStart w:id="24" w:name="page25"/>
    <w:bookmarkEnd w:id="24"/>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agrees that the Company may, in its sole discretion, (i) require, as a condition to the exercise of this Warrant, that the holder provide such written evidence that such holder is an accredited investor as the time of exercise, and (ii) decline to issue the shares of Common Stock issuable upon such exercise if the Company is not satisfied that this warrant may be exercised by the holder pursuant to a valid registration exemption from the Securities Act and any applicable state securities law.</w:t>
      </w:r>
    </w:p>
    <w:p>
      <w:pPr>
        <w:spacing w:after="0" w:line="143"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2.3 Acknowledgement of Continuing Obligations. The Company will, at the time of the exercise of this Warrant, upon the request of the Purchaser, acknowledge in writing its continuing obligation to afford to the Purchaser any rights to which the Purchaser shall continue to be entitled after such exercise in accordance with the provisions of this Warrant, provided that if the Purchaser shall fail to make any such request, such failure shall not affect the continuing obligation of the Company to afford to the Purchaser any such rights.</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2.4 Subscription Agreement. The Subscription Agreement will be substantially in the form set forth in Exhibit A hereto, except that if the shares of Common Stock issuable upon exercise of this Warrant are not to be issued in the name of the Purchaser, the Subscription Agreement will also state the name of the Person to whom the certificates for the shares of Common Stock are to be issued, and if the number of shares of Common Stock to be issued does not include all the shares of Common Stock issuable hereunder, it will also state the name of the Person to whom a new Warrant for the unexercised portion of the rights hereunder is to be delivered.</w:t>
      </w:r>
    </w:p>
    <w:p>
      <w:pPr>
        <w:spacing w:after="0" w:line="143"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2.5 Fractional Shares. If a fractional share of Common Stock would, but for the provisions of Section 2.1 hereof, be issuable upon exercise of the rights represented by this Warrant, the Company will, within ten (10) days after the Exercise Date, deliver to the Purchaser a check payable to the Purchaser in lieu of such fractional share, in an amount equal to the Market Value of such fractional share as of the close of business on the Exercise Date.</w:t>
      </w:r>
    </w:p>
    <w:p>
      <w:pPr>
        <w:spacing w:after="0" w:line="107" w:lineRule="exact"/>
        <w:rPr>
          <w:sz w:val="20"/>
          <w:szCs w:val="20"/>
          <w:color w:val="auto"/>
        </w:rPr>
      </w:pPr>
    </w:p>
    <w:p>
      <w:pPr>
        <w:ind w:right="260" w:firstLine="456"/>
        <w:spacing w:after="0" w:line="286" w:lineRule="auto"/>
        <w:rPr>
          <w:sz w:val="20"/>
          <w:szCs w:val="20"/>
          <w:color w:val="auto"/>
        </w:rPr>
      </w:pPr>
      <w:r>
        <w:rPr>
          <w:rFonts w:ascii="Arial" w:cs="Arial" w:eastAsia="Arial" w:hAnsi="Arial"/>
          <w:sz w:val="16"/>
          <w:szCs w:val="16"/>
          <w:color w:val="auto"/>
        </w:rPr>
        <w:t>2.6 Mandatory Exercise. The Company may in its sole discretion, on any Trading Day as to which the Mandatory Exercise Condition is true, send the Holder a notice of termination (a “Termination Notice”) of this Warrant, which shall provide that this Warrant shall terminate as of the close of business ninety</w:t>
      </w:r>
    </w:p>
    <w:p>
      <w:pPr>
        <w:jc w:val="both"/>
        <w:ind w:right="140" w:firstLine="8"/>
        <w:spacing w:after="0" w:line="302" w:lineRule="auto"/>
        <w:tabs>
          <w:tab w:leader="none" w:pos="336" w:val="left"/>
        </w:tabs>
        <w:numPr>
          <w:ilvl w:val="0"/>
          <w:numId w:val="18"/>
        </w:numPr>
        <w:rPr>
          <w:rFonts w:ascii="Arial" w:cs="Arial" w:eastAsia="Arial" w:hAnsi="Arial"/>
          <w:sz w:val="16"/>
          <w:szCs w:val="16"/>
          <w:color w:val="auto"/>
        </w:rPr>
      </w:pPr>
      <w:r>
        <w:rPr>
          <w:rFonts w:ascii="Arial" w:cs="Arial" w:eastAsia="Arial" w:hAnsi="Arial"/>
          <w:sz w:val="16"/>
          <w:szCs w:val="16"/>
          <w:color w:val="auto"/>
        </w:rPr>
        <w:t>days after the date of the Termination Notice (the “Termination Date”), and this Warrant shall terminate and be no longer exercisable to the extent it has not been exercised on or before the Termination Date; provided that any Termination Notice shall be null, void and of no legal effect in the event the Warrant Shares Registration Statement is no longer effective as of the Termination Date for the Termination Notice.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3. Adjustments.</w:t>
      </w:r>
    </w:p>
    <w:p>
      <w:pPr>
        <w:spacing w:after="0" w:line="17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3.1 Adjustments for Stock Splits, Etc. If the Company shall at any time after the Issue Date subdivide its outstanding Common Stock, by split-up or otherwise, or combine its outstanding Common Stock, or issue additional shares of its capital stock in payment of a stock dividend in respect of its Common Stock, the number of shares issuable on the exercise of the unexercised portion of this Warrant shall forthwith be proportionately increased in the case of a subdivision or stock dividend, or proportionately decreased in the case of a combination, and the Exercise Price then applicable to shares covered by the unexercised portion of this Warrant shall forthwith be proportionately decreased in the case of a subdivision or stock dividend, or proportionately increased in the case of combination.</w:t>
      </w:r>
    </w:p>
    <w:p>
      <w:pPr>
        <w:spacing w:after="0" w:line="144"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3.2 Adjustment for Reclassification, Reorganization, Etc. In case of any reclassification, capital reorganization, or change of the outstanding Common Stock (other than as a result of a subdivision, combination or stock dividend), or in the case of any consolidation of the Company with, or merger of the Company into, another Person (other than a consolidation or merger in which the Company is the continuing corporation and which does not result in any reclassification or change of the outstanding Common Stock of the Company), or in case of any sale or conveyance to one or more Persons of the property of the Company as an entirety or substantially as an entirety at any time prior to the expiration of this Warrant, then, as a condition of such reclassification, reorganization, change, consolidation, merger, sale or conveyance, lawful provision shall be made, and duly executed documents evidencing the same from the Company or its successor shall be delivered to the Holder of this Warrant, so that the Holder of this Warrant shall have the right at any time prior to the expiration of this Warrant to purchase, at a total price not to exceed that payable upon the exercise of the unexercised portion of this Warrant, the kind and amount of shares of stock and other securities and property receivable upon such reclassification, reorganization, change, consolidation, merger, sale or conveyance by a holder of the number of shares of Common Stock of the Company as to which this Warrant was exercisable immediately prior to such reclassification, reorganization, change, consolidation, merger, sale or conveyance, and in any such case appropriate provision shall</w:t>
      </w:r>
    </w:p>
    <w:p>
      <w:pPr>
        <w:sectPr>
          <w:pgSz w:w="11900" w:h="16838" w:orient="portrait"/>
          <w:cols w:equalWidth="0" w:num="1">
            <w:col w:w="11420"/>
          </w:cols>
          <w:pgMar w:left="240" w:top="280" w:right="239" w:bottom="1440" w:gutter="0" w:footer="0" w:header="0"/>
        </w:sectPr>
      </w:pPr>
    </w:p>
    <w:bookmarkStart w:id="25" w:name="page26"/>
    <w:bookmarkEnd w:id="25"/>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 made with respect to the rights and interests of the Holder of this Warrant to the end that the provisions hereof (including, without limitation, provisions for the adjustment of the Exercise Price and of the number of shares purchasable upon exercise of this Warrant) shall thereafter be applicable in relation to any shares of stock, and other securities and property, thereafter deliverable upon exercise hereof. If, as a consequence of any such transaction, solely cash, and no securities or other property of any kind, is deliverable upon exercise of this Warrant, then, in such event, the Company may terminate this Warrant by giving the Holder hereof written notice thereof. Such notice shall specify the date (at least thirty (30) days subsequent to the date on which notice is given) on which, at 3:00 P.M., Boston, Massachusetts time, this Warrant shall terminate. Notwithstanding any such notice, this Warrant shall remain exercisable, and otherwise in full force and effect, until such time of termination.</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3.3 Certificate of Adjustment. Whenever the Exercise Price or the number of shares issuable hereunder is adjusted, as herein provided, the Company shall promptly deliver to the registered Holder of this Warrant a certificate of the Treasurer of the Company, which certificate shall state (i) the Exercise Price and the number of shares of Common Stock issuable hereunder after such adjustment, (ii) the facts requiring such adjustment, and (iii) the method of calculation for such adjustment and increase or decrease.</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3.4 Small Adjustments</w:t>
      </w:r>
      <w:r>
        <w:rPr>
          <w:rFonts w:ascii="Arial" w:cs="Arial" w:eastAsia="Arial" w:hAnsi="Arial"/>
          <w:sz w:val="16"/>
          <w:szCs w:val="16"/>
          <w:i w:val="1"/>
          <w:iCs w:val="1"/>
          <w:color w:val="auto"/>
        </w:rPr>
        <w:t>.</w:t>
      </w:r>
      <w:r>
        <w:rPr>
          <w:rFonts w:ascii="Arial" w:cs="Arial" w:eastAsia="Arial" w:hAnsi="Arial"/>
          <w:sz w:val="16"/>
          <w:szCs w:val="16"/>
          <w:color w:val="auto"/>
        </w:rPr>
        <w:t xml:space="preserve"> No adjustment in the Exercise Price shall be required unless such adjustment would require an increase or decrease in the Exercise Price of at least one percent; provided, however, that any adjustments which by reason of this Section 3.5 are not required to be made immediately shall be carried forward and taken into account at the time of exercise of this Warrant or any subsequent adjustment in the Exercise Price which, singly or in combination with any adjustment carried forward, is required to be made under Sections 3.1 or 3.2</w:t>
      </w:r>
      <w:r>
        <w:rPr>
          <w:rFonts w:ascii="Arial" w:cs="Arial" w:eastAsia="Arial" w:hAnsi="Arial"/>
          <w:sz w:val="16"/>
          <w:szCs w:val="16"/>
          <w:i w:val="1"/>
          <w:iCs w:val="1"/>
          <w:color w:val="auto"/>
        </w:rPr>
        <w:t>.</w:t>
      </w:r>
    </w:p>
    <w:p>
      <w:pPr>
        <w:spacing w:after="0" w:line="113" w:lineRule="exact"/>
        <w:rPr>
          <w:sz w:val="20"/>
          <w:szCs w:val="20"/>
          <w:color w:val="auto"/>
        </w:rPr>
      </w:pPr>
    </w:p>
    <w:p>
      <w:pPr>
        <w:ind w:right="20" w:firstLine="8"/>
        <w:spacing w:after="0" w:line="268" w:lineRule="auto"/>
        <w:tabs>
          <w:tab w:leader="none" w:pos="176"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Reservation of Stock, etc., Issuable on Exercise of Warrant</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will at all times reserve and keep available, solely for issuance and delivery upon the exercise of this Warrant, all shares of Common Stock from time to time issuable upon the exercise of this Warrant.</w:t>
      </w:r>
    </w:p>
    <w:p>
      <w:pPr>
        <w:spacing w:after="0" w:line="131" w:lineRule="exact"/>
        <w:rPr>
          <w:rFonts w:ascii="Arial" w:cs="Arial" w:eastAsia="Arial" w:hAnsi="Arial"/>
          <w:sz w:val="18"/>
          <w:szCs w:val="18"/>
          <w:color w:val="auto"/>
        </w:rPr>
      </w:pPr>
    </w:p>
    <w:p>
      <w:pPr>
        <w:ind w:left="180" w:hanging="172"/>
        <w:spacing w:after="0"/>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Disposition of This Warrant, Common Stock, Etc.</w:t>
      </w:r>
    </w:p>
    <w:p>
      <w:pPr>
        <w:spacing w:after="0" w:line="171" w:lineRule="exact"/>
        <w:rPr>
          <w:rFonts w:ascii="Arial" w:cs="Arial" w:eastAsia="Arial" w:hAnsi="Arial"/>
          <w:sz w:val="18"/>
          <w:szCs w:val="18"/>
          <w:color w:val="auto"/>
        </w:rPr>
      </w:pPr>
    </w:p>
    <w:p>
      <w:pPr>
        <w:ind w:right="20" w:firstLine="464"/>
        <w:spacing w:after="0" w:line="289" w:lineRule="auto"/>
        <w:tabs>
          <w:tab w:leader="none" w:pos="695" w:val="left"/>
        </w:tabs>
        <w:numPr>
          <w:ilvl w:val="1"/>
          <w:numId w:val="19"/>
        </w:numPr>
        <w:rPr>
          <w:rFonts w:ascii="Arial" w:cs="Arial" w:eastAsia="Arial" w:hAnsi="Arial"/>
          <w:sz w:val="16"/>
          <w:szCs w:val="16"/>
          <w:color w:val="auto"/>
        </w:rPr>
      </w:pPr>
      <w:r>
        <w:rPr>
          <w:rFonts w:ascii="Arial" w:cs="Arial" w:eastAsia="Arial" w:hAnsi="Arial"/>
          <w:sz w:val="16"/>
          <w:szCs w:val="16"/>
          <w:color w:val="auto"/>
        </w:rPr>
        <w:t>The Holder of this Warrant and any transferee hereof or of the Common Stock with respect to which this Warrant may be exercisable, by their acceptance hereof, hereby understand and agree that this Warrant and the Common Stock with respect to which this Warrant may be exercisable have not been registered under the Securities Act, and may not be sold, pledged, hypothecated, donated, or otherwise transferred (whether or not for consideration) without an effective registration statement under the Act or an opinion of counsel satisfactory to the Company and/or submission to the Company of such other evidence as may be satisfactory to counsel to the Company, in each such case, to the effect that any such transfer shall not be in violation of the Act. It shall be a condition to the transfer of this Warrant that any transferee thereof deliver to the Company its written agreement to accept and be bound by all of the terms and conditions of this Warrant. The foregoing notwithstanding, the Company acknowledges its obligations as set forth in the Registration Rights Agreement to register the shares of Common Stock issuable upon exercise hereof.</w:t>
      </w:r>
    </w:p>
    <w:p>
      <w:pPr>
        <w:spacing w:after="0" w:line="118" w:lineRule="exact"/>
        <w:rPr>
          <w:rFonts w:ascii="Arial" w:cs="Arial" w:eastAsia="Arial" w:hAnsi="Arial"/>
          <w:sz w:val="16"/>
          <w:szCs w:val="16"/>
          <w:color w:val="auto"/>
        </w:rPr>
      </w:pPr>
    </w:p>
    <w:p>
      <w:pPr>
        <w:ind w:right="300" w:firstLine="464"/>
        <w:spacing w:after="0" w:line="306" w:lineRule="auto"/>
        <w:tabs>
          <w:tab w:leader="none" w:pos="705" w:val="left"/>
        </w:tabs>
        <w:numPr>
          <w:ilvl w:val="1"/>
          <w:numId w:val="19"/>
        </w:numPr>
        <w:rPr>
          <w:rFonts w:ascii="Arial" w:cs="Arial" w:eastAsia="Arial" w:hAnsi="Arial"/>
          <w:sz w:val="16"/>
          <w:szCs w:val="16"/>
          <w:color w:val="auto"/>
        </w:rPr>
      </w:pPr>
      <w:r>
        <w:rPr>
          <w:rFonts w:ascii="Arial" w:cs="Arial" w:eastAsia="Arial" w:hAnsi="Arial"/>
          <w:sz w:val="16"/>
          <w:szCs w:val="16"/>
          <w:color w:val="auto"/>
        </w:rPr>
        <w:t>Except to the extent the resale of the shares of Common Stock issuable upon exercise hereof are registered for resale, or may be sold to the public pursuant to Rule 144(b)(1) under the Securities Act, the certificates of the Company that will evidence the shares of Common Stock with respect to which this Warrant may be exercisable will be imprinted with a conspicuous legend in substantially the following form:</w:t>
      </w:r>
    </w:p>
    <w:p>
      <w:pPr>
        <w:spacing w:after="0" w:line="26" w:lineRule="exact"/>
        <w:rPr>
          <w:sz w:val="20"/>
          <w:szCs w:val="20"/>
          <w:color w:val="auto"/>
        </w:rPr>
      </w:pPr>
    </w:p>
    <w:p>
      <w:pPr>
        <w:ind w:left="460" w:right="80"/>
        <w:spacing w:after="0" w:line="254" w:lineRule="auto"/>
        <w:rPr>
          <w:sz w:val="20"/>
          <w:szCs w:val="20"/>
          <w:color w:val="auto"/>
        </w:rPr>
      </w:pPr>
      <w:r>
        <w:rPr>
          <w:rFonts w:ascii="Arial" w:cs="Arial" w:eastAsia="Arial" w:hAnsi="Arial"/>
          <w:sz w:val="18"/>
          <w:szCs w:val="18"/>
          <w:color w:val="auto"/>
        </w:rPr>
        <w:t>“THE SECURITIES REPRESENTED BY THIS CERTIFICATE HAVE NOT BEEN REGISTERED UNDER THE SECURITIES ACT OF 1933, AS AMENDED (THE “ACT”), AND MAY NOT BE SOLD, PLEDGED, HYPOTHECATED, DONATED OR OTHERWISE TRANSFERRED (WHETHER OR NOT FOR CONSIDERATION) BY THE HOLDER WITHOUT AN EFFECTIVE REGISTRATION STATEMENT UNDER THE ACT OR AN OPINION OF COUNSEL SATISFACTORY TO THE COMPANY AND/OR SUBMISSION TO THE COMPANY OF SUCH OTHER EVIDENCE AS MAY BE SATISFACTORY TO COUNSEL TO THE COMPANY, IN EACH SUCH CASE, TO THE EFFECT THAT ANY SUCH TRANSFER SHALL NOT BE IN VIOLATION OF THE ACT.”</w:t>
      </w:r>
    </w:p>
    <w:p>
      <w:pPr>
        <w:spacing w:after="0" w:line="144"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Except as set forth in the Registration Rights Agreement, the Company has not agreed to register any of the Holder’s shares of Common Stock of the Company with respect to which this Warrant may be exercisable for distribution in accordance with the provisions of the Securities Act, and the Company has not agreed to comply with any exemption from registration under the Act for the resale of the Holder’s shares of Common Stock with respect</w:t>
      </w:r>
    </w:p>
    <w:p>
      <w:pPr>
        <w:sectPr>
          <w:pgSz w:w="11900" w:h="16838" w:orient="portrait"/>
          <w:cols w:equalWidth="0" w:num="1">
            <w:col w:w="11420"/>
          </w:cols>
          <w:pgMar w:left="240" w:top="280" w:right="239" w:bottom="1440" w:gutter="0" w:footer="0" w:header="0"/>
        </w:sectPr>
      </w:pPr>
    </w:p>
    <w:bookmarkStart w:id="26" w:name="page27"/>
    <w:bookmarkEnd w:id="26"/>
    <w:p>
      <w:pPr>
        <w:ind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which this Warrant may be exercised. Hence, it is the understanding of the Holder of this Warrant that by virtue of the provisions of certain rules respecting “restricted securities” promulgated by the SEC, the shares of Common Stock of the Company with respect to which this Warrant may be exercisable may be required to be held indefinitely, unless and until registered under the Securities Act (as contemplated by the Registration Rights Agreement), unless an exemption from such registration is available, in which case the Holder may still be limited as to the number of shares of Common Stock of the Company with respect to which this Warrant may be exercised that may be sold from time to time.</w:t>
      </w:r>
    </w:p>
    <w:p>
      <w:pPr>
        <w:spacing w:after="0" w:line="116" w:lineRule="exact"/>
        <w:rPr>
          <w:sz w:val="20"/>
          <w:szCs w:val="20"/>
          <w:color w:val="auto"/>
        </w:rPr>
      </w:pPr>
    </w:p>
    <w:p>
      <w:pPr>
        <w:ind w:firstLine="8"/>
        <w:spacing w:after="0" w:line="256" w:lineRule="auto"/>
        <w:tabs>
          <w:tab w:leader="none" w:pos="176" w:val="left"/>
        </w:tabs>
        <w:numPr>
          <w:ilvl w:val="0"/>
          <w:numId w:val="20"/>
        </w:numPr>
        <w:rPr>
          <w:rFonts w:ascii="Arial" w:cs="Arial" w:eastAsia="Arial" w:hAnsi="Arial"/>
          <w:sz w:val="18"/>
          <w:szCs w:val="18"/>
          <w:color w:val="auto"/>
        </w:rPr>
      </w:pPr>
      <w:r>
        <w:rPr>
          <w:rFonts w:ascii="Arial" w:cs="Arial" w:eastAsia="Arial" w:hAnsi="Arial"/>
          <w:sz w:val="18"/>
          <w:szCs w:val="18"/>
          <w:color w:val="auto"/>
        </w:rPr>
        <w:t>Rights and Obligations of Warrant Holder</w:t>
      </w:r>
      <w:r>
        <w:rPr>
          <w:rFonts w:ascii="Arial" w:cs="Arial" w:eastAsia="Arial" w:hAnsi="Arial"/>
          <w:sz w:val="18"/>
          <w:szCs w:val="18"/>
          <w:i w:val="1"/>
          <w:iCs w:val="1"/>
          <w:color w:val="auto"/>
        </w:rPr>
        <w:t>.</w:t>
      </w:r>
      <w:r>
        <w:rPr>
          <w:rFonts w:ascii="Arial" w:cs="Arial" w:eastAsia="Arial" w:hAnsi="Arial"/>
          <w:sz w:val="18"/>
          <w:szCs w:val="18"/>
          <w:color w:val="auto"/>
        </w:rPr>
        <w:t xml:space="preserve"> The Holder of this Warrant shall not, by virtue hereof, be entitled to any voting rights or other rights as a stockholder of the Company. No provision of this Warrant, in the absence of affirmative actions by the Holder to purchase Common Stock of the Company by exercising this Warrant, and no enumeration in this Warrant of the rights or privileges of the Holder, will give rise to any liability of such Holder for the Exercise Price of Common Stock acquirable by exercise hereof or as a stockholder of the Company.</w:t>
      </w:r>
    </w:p>
    <w:p>
      <w:pPr>
        <w:spacing w:after="0" w:line="143" w:lineRule="exact"/>
        <w:rPr>
          <w:rFonts w:ascii="Arial" w:cs="Arial" w:eastAsia="Arial" w:hAnsi="Arial"/>
          <w:sz w:val="18"/>
          <w:szCs w:val="18"/>
          <w:color w:val="auto"/>
        </w:rPr>
      </w:pPr>
    </w:p>
    <w:p>
      <w:pPr>
        <w:ind w:right="20" w:firstLine="8"/>
        <w:spacing w:after="0" w:line="255" w:lineRule="auto"/>
        <w:tabs>
          <w:tab w:leader="none" w:pos="176"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Transfer of Warrants</w:t>
      </w:r>
      <w:r>
        <w:rPr>
          <w:rFonts w:ascii="Arial" w:cs="Arial" w:eastAsia="Arial" w:hAnsi="Arial"/>
          <w:sz w:val="18"/>
          <w:szCs w:val="18"/>
          <w:i w:val="1"/>
          <w:iCs w:val="1"/>
          <w:color w:val="auto"/>
        </w:rPr>
        <w:t>.</w:t>
      </w:r>
      <w:r>
        <w:rPr>
          <w:rFonts w:ascii="Arial" w:cs="Arial" w:eastAsia="Arial" w:hAnsi="Arial"/>
          <w:sz w:val="18"/>
          <w:szCs w:val="18"/>
          <w:color w:val="auto"/>
        </w:rPr>
        <w:t xml:space="preserve"> Subject to compliance with the restrictions on transfer applicable to this Warrant referred to in Section 5 hereof, this Warrant and all rights hereunder are transferable, in whole or in part, without charge to the registered Holder, upon surrender of this Warrant with a properly executed Assignment (in substantially the form attached hereto as Exhibit B), to the Company, and the Company at its expense will issue and deliver to or upon the order of the Holder hereof a new Warrant or Warrants in such denomination or denominations as may be requested, but otherwise of like tenor, in the name of the Holder or as the Holder (upon payment of any applicable transfer taxes) may direct.</w:t>
      </w:r>
    </w:p>
    <w:p>
      <w:pPr>
        <w:spacing w:after="0" w:line="142" w:lineRule="exact"/>
        <w:rPr>
          <w:rFonts w:ascii="Arial" w:cs="Arial" w:eastAsia="Arial" w:hAnsi="Arial"/>
          <w:sz w:val="18"/>
          <w:szCs w:val="18"/>
          <w:color w:val="auto"/>
        </w:rPr>
      </w:pPr>
    </w:p>
    <w:p>
      <w:pPr>
        <w:ind w:firstLine="8"/>
        <w:spacing w:after="0" w:line="256" w:lineRule="auto"/>
        <w:tabs>
          <w:tab w:leader="none" w:pos="176"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Replacement of Warrants</w:t>
      </w:r>
      <w:r>
        <w:rPr>
          <w:rFonts w:ascii="Arial" w:cs="Arial" w:eastAsia="Arial" w:hAnsi="Arial"/>
          <w:sz w:val="18"/>
          <w:szCs w:val="18"/>
          <w:i w:val="1"/>
          <w:iCs w:val="1"/>
          <w:color w:val="auto"/>
        </w:rPr>
        <w:t>.</w:t>
      </w:r>
      <w:r>
        <w:rPr>
          <w:rFonts w:ascii="Arial" w:cs="Arial" w:eastAsia="Arial" w:hAnsi="Arial"/>
          <w:sz w:val="18"/>
          <w:szCs w:val="18"/>
          <w:color w:val="auto"/>
        </w:rPr>
        <w:t xml:space="preserve"> Upon receipt of evidence reasonably satisfactory to the Company of the loss, theft, destruction or mutilation of any Warrant and, in the case of any such loss, theft or destruction, upon delivery of an indemnity agreement reasonably satisfactory in form and amount to the Company or, in the case of any such mutilation, upon surrender and cancellation of such Warrant, the Company at its expense will execute and deliver, in lieu thereof, a new Warrant of like tenor.</w:t>
      </w:r>
    </w:p>
    <w:p>
      <w:pPr>
        <w:spacing w:after="0" w:line="143" w:lineRule="exact"/>
        <w:rPr>
          <w:rFonts w:ascii="Arial" w:cs="Arial" w:eastAsia="Arial" w:hAnsi="Arial"/>
          <w:sz w:val="18"/>
          <w:szCs w:val="18"/>
          <w:color w:val="auto"/>
        </w:rPr>
      </w:pPr>
    </w:p>
    <w:p>
      <w:pPr>
        <w:ind w:right="200" w:firstLine="8"/>
        <w:spacing w:after="0" w:line="268" w:lineRule="auto"/>
        <w:tabs>
          <w:tab w:leader="none" w:pos="176"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Company Records</w:t>
      </w:r>
      <w:r>
        <w:rPr>
          <w:rFonts w:ascii="Arial" w:cs="Arial" w:eastAsia="Arial" w:hAnsi="Arial"/>
          <w:sz w:val="18"/>
          <w:szCs w:val="18"/>
          <w:i w:val="1"/>
          <w:iCs w:val="1"/>
          <w:color w:val="auto"/>
        </w:rPr>
        <w:t>.</w:t>
      </w:r>
      <w:r>
        <w:rPr>
          <w:rFonts w:ascii="Arial" w:cs="Arial" w:eastAsia="Arial" w:hAnsi="Arial"/>
          <w:sz w:val="18"/>
          <w:szCs w:val="18"/>
          <w:color w:val="auto"/>
        </w:rPr>
        <w:t xml:space="preserve"> Until this Warrant is transferred on the books of the Company, the Company may treat the registered Holder hereof as the absolute owner hereof for all purposes, notwithstanding any notice to the contrary.</w:t>
      </w:r>
    </w:p>
    <w:p>
      <w:pPr>
        <w:spacing w:after="0" w:line="131" w:lineRule="exact"/>
        <w:rPr>
          <w:rFonts w:ascii="Arial" w:cs="Arial" w:eastAsia="Arial" w:hAnsi="Arial"/>
          <w:sz w:val="18"/>
          <w:szCs w:val="18"/>
          <w:color w:val="auto"/>
        </w:rPr>
      </w:pPr>
    </w:p>
    <w:p>
      <w:pPr>
        <w:ind w:left="280" w:hanging="272"/>
        <w:spacing w:after="0"/>
        <w:tabs>
          <w:tab w:leader="none" w:pos="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17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10.1 Notices. All notices and other communications from the Company to the Holder of this Warrant shall be mailed by first class mail, postage prepaid, to such address as may have been furnished to the Company in writing by such Holder, or, until an address is so furnished, to and at the address of the last Holder of this Warrant who has so furnished an address to the Company. All communications from the Holder of this Warrant to the Company shall be mailed by first class mail, postage prepaid, to Galectin Therapeutics Inc., 4960 Peachtree Industrial Boulevard, Suite 240, Norcross, GA 30071 Attn: Chief Financial Officer, or such other address as may have been furnished to the Holder in writing by the Company.</w:t>
      </w:r>
    </w:p>
    <w:p>
      <w:pPr>
        <w:spacing w:after="0" w:line="11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10.2 Amendment and Waiver. Except as otherwise provided herein, this Warrant and any term hereof may be amended, waived, discharged or terminated only by an instrument in writing signed by the party against which enforcement of such amendment, waiver, discharge or termination is sought.</w:t>
      </w:r>
    </w:p>
    <w:p>
      <w:pPr>
        <w:spacing w:after="0" w:line="85"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10.3 Governing Law; Descriptive Headings. This Warrant shall be construed and enforced in accordance with and governed by the laws of the State of Delaware. The headings in this Warrant are for purposes of reference only, and shall not limit or otherwise affect any of the terms hereof.</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ON FOLLOWING PAGE]</w:t>
      </w:r>
    </w:p>
    <w:p>
      <w:pPr>
        <w:sectPr>
          <w:pgSz w:w="11900" w:h="16838" w:orient="portrait"/>
          <w:cols w:equalWidth="0" w:num="1">
            <w:col w:w="11420"/>
          </w:cols>
          <w:pgMar w:left="240" w:top="280" w:right="239" w:bottom="1440" w:gutter="0" w:footer="0" w:header="0"/>
        </w:sectPr>
      </w:pPr>
    </w:p>
    <w:bookmarkStart w:id="27" w:name="page28"/>
    <w:bookmarkEnd w:id="27"/>
    <w:p>
      <w:pPr>
        <w:spacing w:after="0"/>
        <w:tabs>
          <w:tab w:leader="none" w:pos="1020" w:val="left"/>
          <w:tab w:leader="none" w:pos="14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Dated:</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4"/>
          <w:szCs w:val="14"/>
          <w:color w:val="auto"/>
        </w:rPr>
        <w:t>.</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GALECTIN THERAPEUTICS INC.</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5167630</wp:posOffset>
            </wp:positionH>
            <wp:positionV relativeFrom="paragraph">
              <wp:posOffset>10795</wp:posOffset>
            </wp:positionV>
            <wp:extent cx="20840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219"/>
          </w:cols>
          <w:pgMar w:left="240" w:top="280" w:right="1440" w:bottom="1440" w:gutter="0" w:footer="0" w:header="0"/>
        </w:sectPr>
      </w:pPr>
    </w:p>
    <w:bookmarkStart w:id="28" w:name="page29"/>
    <w:bookmarkEnd w:id="28"/>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SUBSCRIPTION AGREEMENT</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[To be signed only upon exercise of Warrant]</w:t>
      </w:r>
    </w:p>
    <w:p>
      <w:pPr>
        <w:sectPr>
          <w:pgSz w:w="11900" w:h="16838" w:orient="portrait"/>
          <w:cols w:equalWidth="0" w:num="1">
            <w:col w:w="11340"/>
          </w:cols>
          <w:pgMar w:left="240" w:top="280" w:right="319" w:bottom="1440" w:gutter="0" w:footer="0" w:header="0"/>
        </w:sect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color w:val="auto"/>
        </w:rPr>
        <w:t>Date:</w:t>
      </w:r>
    </w:p>
    <w:p>
      <w:pPr>
        <w:spacing w:after="0" w:line="205" w:lineRule="exact"/>
        <w:rPr>
          <w:sz w:val="20"/>
          <w:szCs w:val="20"/>
          <w:color w:val="auto"/>
        </w:rPr>
      </w:pPr>
    </w:p>
    <w:p>
      <w:pPr>
        <w:sectPr>
          <w:pgSz w:w="11900" w:h="16838" w:orient="portrait"/>
          <w:cols w:equalWidth="0" w:num="2">
            <w:col w:w="5160" w:space="720"/>
            <w:col w:w="5460"/>
          </w:cols>
          <w:pgMar w:left="240" w:top="280" w:right="31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The undersigned, the Holder of the within Warrant, pursuant to the provisions set forth in the within Warrant, hereby irrevocably elects to exercise the</w:t>
      </w:r>
    </w:p>
    <w:p>
      <w:pPr>
        <w:spacing w:after="0" w:line="38" w:lineRule="exact"/>
        <w:rPr>
          <w:sz w:val="20"/>
          <w:szCs w:val="20"/>
          <w:color w:val="auto"/>
        </w:rPr>
      </w:pPr>
    </w:p>
    <w:p>
      <w:pPr>
        <w:spacing w:after="0"/>
        <w:tabs>
          <w:tab w:leader="none" w:pos="7900" w:val="left"/>
        </w:tabs>
        <w:rPr>
          <w:sz w:val="20"/>
          <w:szCs w:val="20"/>
          <w:color w:val="auto"/>
        </w:rPr>
      </w:pPr>
      <w:r>
        <w:rPr>
          <w:rFonts w:ascii="Arial" w:cs="Arial" w:eastAsia="Arial" w:hAnsi="Arial"/>
          <w:sz w:val="18"/>
          <w:szCs w:val="18"/>
          <w:color w:val="auto"/>
        </w:rPr>
        <w:t>purchase rights represented by such Warrant for, and agrees to subscribe for and purchase thereunder,</w:t>
      </w:r>
      <w:r>
        <w:rPr>
          <w:sz w:val="20"/>
          <w:szCs w:val="20"/>
          <w:color w:val="auto"/>
        </w:rPr>
        <w:tab/>
      </w:r>
      <w:r>
        <w:rPr>
          <w:rFonts w:ascii="Arial" w:cs="Arial" w:eastAsia="Arial" w:hAnsi="Arial"/>
          <w:sz w:val="15"/>
          <w:szCs w:val="15"/>
          <w:color w:val="auto"/>
        </w:rPr>
        <w:t>shares of the Common Stock covered by such</w:t>
      </w:r>
    </w:p>
    <w:p>
      <w:pPr>
        <w:spacing w:after="0" w:line="9" w:lineRule="exact"/>
        <w:rPr>
          <w:sz w:val="20"/>
          <w:szCs w:val="20"/>
          <w:color w:val="auto"/>
        </w:rPr>
      </w:pPr>
    </w:p>
    <w:p>
      <w:pPr>
        <w:spacing w:after="0"/>
        <w:tabs>
          <w:tab w:leader="none" w:pos="3540" w:val="left"/>
        </w:tabs>
        <w:rPr>
          <w:sz w:val="20"/>
          <w:szCs w:val="20"/>
          <w:color w:val="auto"/>
        </w:rPr>
      </w:pPr>
      <w:r>
        <w:rPr>
          <w:rFonts w:ascii="Arial" w:cs="Arial" w:eastAsia="Arial" w:hAnsi="Arial"/>
          <w:sz w:val="18"/>
          <w:szCs w:val="18"/>
          <w:color w:val="auto"/>
        </w:rPr>
        <w:t>Warrant and herewith makes payment of $</w:t>
      </w:r>
      <w:r>
        <w:rPr>
          <w:sz w:val="20"/>
          <w:szCs w:val="20"/>
          <w:color w:val="auto"/>
        </w:rPr>
        <w:tab/>
      </w:r>
      <w:r>
        <w:rPr>
          <w:rFonts w:ascii="Arial" w:cs="Arial" w:eastAsia="Arial" w:hAnsi="Arial"/>
          <w:sz w:val="15"/>
          <w:szCs w:val="15"/>
          <w:color w:val="auto"/>
        </w:rPr>
        <w:t>therefor, and requests that the certificates for such shares be issued in the name of, and delivered to,</w:t>
      </w:r>
    </w:p>
    <w:p>
      <w:pPr>
        <w:spacing w:after="0" w:line="9" w:lineRule="exact"/>
        <w:rPr>
          <w:sz w:val="20"/>
          <w:szCs w:val="20"/>
          <w:color w:val="auto"/>
        </w:rPr>
      </w:pPr>
    </w:p>
    <w:p>
      <w:pPr>
        <w:ind w:left="880"/>
        <w:spacing w:after="0"/>
        <w:tabs>
          <w:tab w:leader="none" w:pos="3100" w:val="left"/>
        </w:tabs>
        <w:rPr>
          <w:sz w:val="20"/>
          <w:szCs w:val="20"/>
          <w:color w:val="auto"/>
        </w:rPr>
      </w:pPr>
      <w:r>
        <w:rPr>
          <w:rFonts w:ascii="Arial" w:cs="Arial" w:eastAsia="Arial" w:hAnsi="Arial"/>
          <w:sz w:val="18"/>
          <w:szCs w:val="18"/>
          <w:color w:val="auto"/>
        </w:rPr>
        <w:t>, whose address is:</w:t>
      </w:r>
      <w:r>
        <w:rPr>
          <w:sz w:val="20"/>
          <w:szCs w:val="20"/>
          <w:color w:val="auto"/>
        </w:rPr>
        <w:tab/>
      </w:r>
      <w:r>
        <w:rPr>
          <w:rFonts w:ascii="Arial" w:cs="Arial" w:eastAsia="Arial" w:hAnsi="Arial"/>
          <w:sz w:val="15"/>
          <w:szCs w:val="15"/>
          <w:color w:val="auto"/>
        </w:rPr>
        <w:t>. If said number of shares is less than all the shares covered by such Warrant, a new Warrant shall be registered in the</w:t>
      </w:r>
    </w:p>
    <w:p>
      <w:pPr>
        <w:sectPr>
          <w:pgSz w:w="11900" w:h="16838" w:orient="portrait"/>
          <w:cols w:equalWidth="0" w:num="1">
            <w:col w:w="11340"/>
          </w:cols>
          <w:pgMar w:left="240" w:top="280" w:right="319"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 of the undersigned and delivered to the address stated below.</w:t>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4876165</wp:posOffset>
            </wp:positionH>
            <wp:positionV relativeFrom="paragraph">
              <wp:posOffset>10795</wp:posOffset>
            </wp:positionV>
            <wp:extent cx="23755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124"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(Signature must conform in all respects to name of</w:t>
      </w:r>
    </w:p>
    <w:p>
      <w:pPr>
        <w:spacing w:after="0" w:line="38" w:lineRule="exact"/>
        <w:rPr>
          <w:sz w:val="20"/>
          <w:szCs w:val="20"/>
          <w:color w:val="auto"/>
        </w:rPr>
      </w:pPr>
    </w:p>
    <w:p>
      <w:pPr>
        <w:ind w:left="7680"/>
        <w:spacing w:after="0"/>
        <w:rPr>
          <w:sz w:val="20"/>
          <w:szCs w:val="20"/>
          <w:color w:val="auto"/>
        </w:rPr>
      </w:pPr>
      <w:r>
        <w:rPr>
          <w:rFonts w:ascii="Arial" w:cs="Arial" w:eastAsia="Arial" w:hAnsi="Arial"/>
          <w:sz w:val="15"/>
          <w:szCs w:val="15"/>
          <w:color w:val="auto"/>
        </w:rPr>
        <w:t>Holder as specified on the face of the Warrant or on</w:t>
      </w:r>
    </w:p>
    <w:p>
      <w:pPr>
        <w:spacing w:after="0" w:line="44"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the form of Assignment attached as Exhibit B</w:t>
      </w:r>
    </w:p>
    <w:p>
      <w:pPr>
        <w:spacing w:after="0" w:line="9"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thereto.)</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4876165</wp:posOffset>
            </wp:positionH>
            <wp:positionV relativeFrom="paragraph">
              <wp:posOffset>10795</wp:posOffset>
            </wp:positionV>
            <wp:extent cx="23755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375535" cy="8890"/>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234315</wp:posOffset>
            </wp:positionV>
            <wp:extent cx="23755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 Guarantee]</w:t>
      </w:r>
    </w:p>
    <w:p>
      <w:pPr>
        <w:sectPr>
          <w:pgSz w:w="11900" w:h="16838" w:orient="portrait"/>
          <w:cols w:equalWidth="0" w:num="1">
            <w:col w:w="11340"/>
          </w:cols>
          <w:pgMar w:left="240" w:top="280" w:right="319" w:bottom="1440" w:gutter="0" w:footer="0" w:header="0"/>
          <w:type w:val="continuous"/>
        </w:sectPr>
      </w:pPr>
    </w:p>
    <w:bookmarkStart w:id="29" w:name="page30"/>
    <w:bookmarkEnd w:id="2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signed only upon transfer of Warrant]</w:t>
      </w:r>
    </w:p>
    <w:p>
      <w:pPr>
        <w:spacing w:after="0" w:line="17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For value received, the undersigned hereby sells, assigns and transfers all of the rights of the undersigned under the within Warrant with respect to the number of shares of the Common Stock covered thereby set forth below, unto:</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640" w:type="dxa"/>
            <w:vAlign w:val="bottom"/>
          </w:tcPr>
          <w:p>
            <w:pPr>
              <w:spacing w:after="0"/>
              <w:rPr>
                <w:sz w:val="20"/>
                <w:szCs w:val="20"/>
                <w:color w:val="auto"/>
              </w:rPr>
            </w:pPr>
            <w:r>
              <w:rPr>
                <w:rFonts w:ascii="Arial" w:cs="Arial" w:eastAsia="Arial" w:hAnsi="Arial"/>
                <w:sz w:val="18"/>
                <w:szCs w:val="18"/>
                <w:i w:val="1"/>
                <w:iCs w:val="1"/>
                <w:color w:val="auto"/>
              </w:rPr>
              <w:t>Name of Assignee</w:t>
            </w:r>
          </w:p>
        </w:tc>
        <w:tc>
          <w:tcPr>
            <w:tcW w:w="2200" w:type="dxa"/>
            <w:vAlign w:val="bottom"/>
          </w:tcPr>
          <w:p>
            <w:pPr>
              <w:ind w:left="1380"/>
              <w:spacing w:after="0"/>
              <w:rPr>
                <w:sz w:val="20"/>
                <w:szCs w:val="20"/>
                <w:color w:val="auto"/>
              </w:rPr>
            </w:pPr>
            <w:r>
              <w:rPr>
                <w:rFonts w:ascii="Arial" w:cs="Arial" w:eastAsia="Arial" w:hAnsi="Arial"/>
                <w:sz w:val="18"/>
                <w:szCs w:val="18"/>
                <w:i w:val="1"/>
                <w:iCs w:val="1"/>
                <w:color w:val="auto"/>
              </w:rPr>
              <w:t>Address</w:t>
            </w:r>
          </w:p>
        </w:tc>
        <w:tc>
          <w:tcPr>
            <w:tcW w:w="1280" w:type="dxa"/>
            <w:vAlign w:val="bottom"/>
          </w:tcPr>
          <w:p>
            <w:pPr>
              <w:spacing w:after="0"/>
              <w:rPr>
                <w:sz w:val="19"/>
                <w:szCs w:val="19"/>
                <w:color w:val="auto"/>
              </w:rPr>
            </w:pPr>
          </w:p>
        </w:tc>
        <w:tc>
          <w:tcPr>
            <w:tcW w:w="5300" w:type="dxa"/>
            <w:vAlign w:val="bottom"/>
          </w:tcPr>
          <w:p>
            <w:pPr>
              <w:ind w:left="1660"/>
              <w:spacing w:after="0"/>
              <w:rPr>
                <w:sz w:val="20"/>
                <w:szCs w:val="20"/>
                <w:color w:val="auto"/>
              </w:rPr>
            </w:pPr>
            <w:r>
              <w:rPr>
                <w:rFonts w:ascii="Arial" w:cs="Arial" w:eastAsia="Arial" w:hAnsi="Arial"/>
                <w:sz w:val="18"/>
                <w:szCs w:val="18"/>
                <w:i w:val="1"/>
                <w:iCs w:val="1"/>
                <w:color w:val="auto"/>
              </w:rPr>
              <w:t>No. of Shares</w:t>
            </w:r>
          </w:p>
        </w:tc>
      </w:tr>
      <w:tr>
        <w:trPr>
          <w:trHeight w:val="421"/>
        </w:trPr>
        <w:tc>
          <w:tcPr>
            <w:tcW w:w="2640" w:type="dxa"/>
            <w:vAlign w:val="bottom"/>
          </w:tcPr>
          <w:p>
            <w:pPr>
              <w:spacing w:after="0"/>
              <w:rPr>
                <w:sz w:val="20"/>
                <w:szCs w:val="20"/>
                <w:color w:val="auto"/>
              </w:rPr>
            </w:pPr>
            <w:r>
              <w:rPr>
                <w:rFonts w:ascii="Arial" w:cs="Arial" w:eastAsia="Arial" w:hAnsi="Arial"/>
                <w:sz w:val="18"/>
                <w:szCs w:val="18"/>
                <w:color w:val="auto"/>
              </w:rPr>
              <w:t>Dated:</w:t>
            </w:r>
          </w:p>
        </w:tc>
        <w:tc>
          <w:tcPr>
            <w:tcW w:w="2200" w:type="dxa"/>
            <w:vAlign w:val="bottom"/>
          </w:tcPr>
          <w:p>
            <w:pPr>
              <w:spacing w:after="0"/>
              <w:rPr>
                <w:sz w:val="24"/>
                <w:szCs w:val="24"/>
                <w:color w:val="auto"/>
              </w:rPr>
            </w:pPr>
          </w:p>
        </w:tc>
        <w:tc>
          <w:tcPr>
            <w:tcW w:w="1280" w:type="dxa"/>
            <w:vAlign w:val="bottom"/>
          </w:tcPr>
          <w:p>
            <w:pPr>
              <w:ind w:left="560"/>
              <w:spacing w:after="0"/>
              <w:rPr>
                <w:sz w:val="20"/>
                <w:szCs w:val="20"/>
                <w:color w:val="auto"/>
              </w:rPr>
            </w:pPr>
            <w:r>
              <w:rPr>
                <w:rFonts w:ascii="Arial" w:cs="Arial" w:eastAsia="Arial" w:hAnsi="Arial"/>
                <w:sz w:val="18"/>
                <w:szCs w:val="18"/>
                <w:color w:val="auto"/>
                <w:w w:val="90"/>
              </w:rPr>
              <w:t>Signature</w:t>
            </w:r>
          </w:p>
        </w:tc>
        <w:tc>
          <w:tcPr>
            <w:tcW w:w="5300" w:type="dxa"/>
            <w:vAlign w:val="bottom"/>
            <w:tcBorders>
              <w:bottom w:val="single" w:sz="8" w:color="auto"/>
            </w:tcBorders>
          </w:tcPr>
          <w:p>
            <w:pPr>
              <w:spacing w:after="0"/>
              <w:rPr>
                <w:sz w:val="24"/>
                <w:szCs w:val="24"/>
                <w:color w:val="auto"/>
              </w:rPr>
            </w:pPr>
          </w:p>
        </w:tc>
      </w:tr>
      <w:tr>
        <w:trPr>
          <w:trHeight w:val="323"/>
        </w:trPr>
        <w:tc>
          <w:tcPr>
            <w:tcW w:w="26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580" w:type="dxa"/>
            <w:vAlign w:val="bottom"/>
            <w:gridSpan w:val="2"/>
          </w:tcPr>
          <w:p>
            <w:pPr>
              <w:ind w:left="1280"/>
              <w:spacing w:after="0"/>
              <w:rPr>
                <w:sz w:val="20"/>
                <w:szCs w:val="20"/>
                <w:color w:val="auto"/>
              </w:rPr>
            </w:pPr>
            <w:r>
              <w:rPr>
                <w:rFonts w:ascii="Arial" w:cs="Arial" w:eastAsia="Arial" w:hAnsi="Arial"/>
                <w:sz w:val="18"/>
                <w:szCs w:val="18"/>
                <w:color w:val="auto"/>
                <w:w w:val="90"/>
              </w:rPr>
              <w:t>(Signature must conform in all respects to name of Holder as specified on</w:t>
            </w:r>
          </w:p>
        </w:tc>
      </w:tr>
      <w:tr>
        <w:trPr>
          <w:trHeight w:val="222"/>
        </w:trPr>
        <w:tc>
          <w:tcPr>
            <w:tcW w:w="26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6580" w:type="dxa"/>
            <w:vAlign w:val="bottom"/>
            <w:gridSpan w:val="2"/>
          </w:tcPr>
          <w:p>
            <w:pPr>
              <w:ind w:left="1280"/>
              <w:spacing w:after="0"/>
              <w:rPr>
                <w:sz w:val="20"/>
                <w:szCs w:val="20"/>
                <w:color w:val="auto"/>
              </w:rPr>
            </w:pPr>
            <w:r>
              <w:rPr>
                <w:rFonts w:ascii="Arial" w:cs="Arial" w:eastAsia="Arial" w:hAnsi="Arial"/>
                <w:sz w:val="18"/>
                <w:szCs w:val="18"/>
                <w:color w:val="auto"/>
              </w:rPr>
              <w:t>the face of the Warrant.)</w:t>
            </w:r>
          </w:p>
        </w:tc>
      </w:tr>
      <w:tr>
        <w:trPr>
          <w:trHeight w:val="434"/>
        </w:trPr>
        <w:tc>
          <w:tcPr>
            <w:tcW w:w="26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80" w:type="dxa"/>
            <w:vAlign w:val="bottom"/>
          </w:tcPr>
          <w:p>
            <w:pPr>
              <w:ind w:left="560"/>
              <w:spacing w:after="0"/>
              <w:rPr>
                <w:sz w:val="20"/>
                <w:szCs w:val="20"/>
                <w:color w:val="auto"/>
              </w:rPr>
            </w:pPr>
            <w:r>
              <w:rPr>
                <w:rFonts w:ascii="Arial" w:cs="Arial" w:eastAsia="Arial" w:hAnsi="Arial"/>
                <w:sz w:val="18"/>
                <w:szCs w:val="18"/>
                <w:color w:val="auto"/>
              </w:rPr>
              <w:t>Address</w:t>
            </w:r>
          </w:p>
        </w:tc>
        <w:tc>
          <w:tcPr>
            <w:tcW w:w="5300" w:type="dxa"/>
            <w:vAlign w:val="bottom"/>
            <w:tcBorders>
              <w:bottom w:val="single" w:sz="8" w:color="auto"/>
            </w:tcBorders>
          </w:tcPr>
          <w:p>
            <w:pPr>
              <w:spacing w:after="0"/>
              <w:rPr>
                <w:sz w:val="24"/>
                <w:szCs w:val="24"/>
                <w:color w:val="auto"/>
              </w:rPr>
            </w:pPr>
          </w:p>
        </w:tc>
      </w:tr>
      <w:tr>
        <w:trPr>
          <w:trHeight w:val="331"/>
        </w:trPr>
        <w:tc>
          <w:tcPr>
            <w:tcW w:w="26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r>
      <w:tr>
        <w:trPr>
          <w:trHeight w:val="329"/>
        </w:trPr>
        <w:tc>
          <w:tcPr>
            <w:tcW w:w="26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580" w:type="dxa"/>
            <w:vAlign w:val="bottom"/>
            <w:gridSpan w:val="2"/>
          </w:tcPr>
          <w:p>
            <w:pPr>
              <w:ind w:left="240"/>
              <w:spacing w:after="0"/>
              <w:rPr>
                <w:sz w:val="20"/>
                <w:szCs w:val="20"/>
                <w:color w:val="auto"/>
              </w:rPr>
            </w:pPr>
            <w:r>
              <w:rPr>
                <w:rFonts w:ascii="Arial" w:cs="Arial" w:eastAsia="Arial" w:hAnsi="Arial"/>
                <w:sz w:val="18"/>
                <w:szCs w:val="18"/>
                <w:color w:val="auto"/>
              </w:rPr>
              <w:t>[Signature Guarantee]</w:t>
            </w:r>
          </w:p>
        </w:tc>
      </w:tr>
    </w:tbl>
    <w:p>
      <w:pPr>
        <w:sectPr>
          <w:pgSz w:w="11900" w:h="16838" w:orient="portrait"/>
          <w:cols w:equalWidth="0" w:num="1">
            <w:col w:w="11420"/>
          </w:cols>
          <w:pgMar w:left="240" w:top="280" w:right="239" w:bottom="1440" w:gutter="0" w:footer="0" w:header="0"/>
        </w:sectPr>
      </w:pPr>
    </w:p>
    <w:bookmarkStart w:id="30" w:name="page31"/>
    <w:bookmarkEnd w:id="30"/>
    <w:p>
      <w:pPr>
        <w:ind w:left="10520"/>
        <w:spacing w:after="0"/>
        <w:rPr>
          <w:sz w:val="20"/>
          <w:szCs w:val="20"/>
          <w:color w:val="auto"/>
        </w:rPr>
      </w:pPr>
      <w:r>
        <w:rPr>
          <w:rFonts w:ascii="Arial" w:cs="Arial" w:eastAsia="Arial" w:hAnsi="Arial"/>
          <w:sz w:val="16"/>
          <w:szCs w:val="16"/>
          <w:b w:val="1"/>
          <w:bCs w:val="1"/>
          <w:color w:val="auto"/>
        </w:rPr>
        <w:t>Exhibit 10.2</w:t>
      </w:r>
    </w:p>
    <w:p>
      <w:pPr>
        <w:spacing w:after="0" w:line="20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NEITHER THIS WARRANT CERTIFICATE NOR THE WARRANTS REPRESENTED HEREBY NOR ANY SHARES OF COMMON STOCK ISSUABLE UPON THE EXERCISE OF SUCH WARRANTS, NOR ANY INTEREST IN OR RIGHTS UNDER SAME, HAVE BEEN REGISTERED UNDER THE SECURITIES ACT OF 1933 OR THE LAWS OF ANY STATE, AND NEITHER THIS WARRANT CERTIFICATE NOR THE WARRANTS REPRESENTED HEREBY NOR ANY SHARES OF COMMON STOCK ISSUABLE UPON THE EXERCISE OF SUCH WARRANTS, NOR ANY INTEREST IN OR RIGHTS UNDER SAME, MAY BE SOLD OR OTHERWISE TRANSFERRED UNLESS REGISTERED UNDER SUCH ACT AND APPLICABLE STATE SECURITIES LAWS OR AN EXEMPTION FROM REGISTRATION IS AVAILABLE.</w:t>
      </w:r>
    </w:p>
    <w:p>
      <w:pPr>
        <w:spacing w:after="0" w:line="120" w:lineRule="exact"/>
        <w:rPr>
          <w:sz w:val="20"/>
          <w:szCs w:val="20"/>
          <w:color w:val="auto"/>
        </w:rPr>
      </w:pPr>
    </w:p>
    <w:p>
      <w:pPr>
        <w:ind w:left="10100"/>
        <w:spacing w:after="0"/>
        <w:rPr>
          <w:sz w:val="20"/>
          <w:szCs w:val="20"/>
          <w:color w:val="auto"/>
        </w:rPr>
      </w:pPr>
      <w:r>
        <w:rPr>
          <w:rFonts w:ascii="Arial" w:cs="Arial" w:eastAsia="Arial" w:hAnsi="Arial"/>
          <w:sz w:val="18"/>
          <w:szCs w:val="18"/>
          <w:color w:val="auto"/>
        </w:rPr>
        <w:t>W-2009-B-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GALECTIN THERAPEUTICS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STOCK PURCHASE WARRANT – CLASS B</w:t>
      </w:r>
    </w:p>
    <w:p>
      <w:pPr>
        <w:spacing w:after="0" w:line="171"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Galectin Therapeutics Inc., a Nevada corporation (the “Company”), for value received and subject to the terms set forth below hereby grants to 10X Fund, L.P., a Delaware limited partnership, or its registered successors and assigns (the “Holder”), the right to purchase from the Company at any time or from time to</w:t>
      </w:r>
    </w:p>
    <w:p>
      <w:pPr>
        <w:ind w:right="120"/>
        <w:spacing w:after="0" w:line="255" w:lineRule="auto"/>
        <w:rPr>
          <w:sz w:val="20"/>
          <w:szCs w:val="20"/>
          <w:color w:val="auto"/>
        </w:rPr>
      </w:pPr>
      <w:r>
        <w:rPr>
          <w:rFonts w:ascii="Arial" w:cs="Arial" w:eastAsia="Arial" w:hAnsi="Arial"/>
          <w:sz w:val="18"/>
          <w:szCs w:val="18"/>
          <w:color w:val="auto"/>
        </w:rPr>
        <w:t>time until the date and time permitted under Section 2.1 below, fully paid and nonassessable shares of the Common Stock, par value $0.001 per share, at the purchase price of three dollars ($3.00) per share (the “Exercise Price”). The Exercise Price and the number and character of such shares of Common Stock purchasable pursuant to the rights granted under this Warrant are subject to adjustment as provided herein.</w:t>
      </w:r>
    </w:p>
    <w:p>
      <w:pPr>
        <w:spacing w:after="0" w:line="144"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Definitions. As used herein the following terms, unless the context otherwise requires, have the following respective meanings:</w:t>
      </w:r>
    </w:p>
    <w:p>
      <w:pPr>
        <w:spacing w:after="0" w:line="171" w:lineRule="exact"/>
        <w:rPr>
          <w:rFonts w:ascii="Arial" w:cs="Arial" w:eastAsia="Arial" w:hAnsi="Arial"/>
          <w:sz w:val="18"/>
          <w:szCs w:val="18"/>
          <w:color w:val="auto"/>
        </w:rPr>
      </w:pPr>
    </w:p>
    <w:p>
      <w:pPr>
        <w:ind w:right="20" w:firstLine="464"/>
        <w:spacing w:after="0" w:line="255" w:lineRule="auto"/>
        <w:tabs>
          <w:tab w:leader="none" w:pos="705" w:val="left"/>
        </w:tabs>
        <w:numPr>
          <w:ilvl w:val="1"/>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“Common Stock” </w:t>
      </w:r>
      <w:r>
        <w:rPr>
          <w:rFonts w:ascii="Arial" w:cs="Arial" w:eastAsia="Arial" w:hAnsi="Arial"/>
          <w:sz w:val="18"/>
          <w:szCs w:val="18"/>
          <w:color w:val="auto"/>
        </w:rPr>
        <w:t>means the Company’s common stock, par value $0.001 per share, and stock of any other class of securities into which such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may hereafter have been reclassified or changed into, including any stock (other than Common Stock) and other securities of the Company or any other Person (corporate or other) which the Holder of this Warrant at any time shall be entitled to receive, or shall have received, upon the exercise of this Warrant, in lieu of or in addition to Common Stock, or which at any time shall be issuable or shall have been issued in exchange for or in replacement of Common Stock pursuant to Section 3.2 hereof or otherwise.</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1980" w:type="dxa"/>
            <w:vAlign w:val="bottom"/>
          </w:tcPr>
          <w:p>
            <w:pPr>
              <w:spacing w:after="0"/>
              <w:rPr>
                <w:sz w:val="20"/>
                <w:szCs w:val="20"/>
                <w:color w:val="auto"/>
              </w:rPr>
            </w:pPr>
            <w:r>
              <w:rPr>
                <w:rFonts w:ascii="Arial" w:cs="Arial" w:eastAsia="Arial" w:hAnsi="Arial"/>
                <w:sz w:val="18"/>
                <w:szCs w:val="18"/>
                <w:i w:val="1"/>
                <w:iCs w:val="1"/>
                <w:color w:val="auto"/>
              </w:rPr>
              <w:t xml:space="preserve">(b) “Issue Date” </w:t>
            </w:r>
            <w:r>
              <w:rPr>
                <w:rFonts w:ascii="Arial" w:cs="Arial" w:eastAsia="Arial" w:hAnsi="Arial"/>
                <w:sz w:val="18"/>
                <w:szCs w:val="18"/>
                <w:color w:val="auto"/>
              </w:rPr>
              <w:t>means</w:t>
            </w:r>
          </w:p>
        </w:tc>
        <w:tc>
          <w:tcPr>
            <w:tcW w:w="760" w:type="dxa"/>
            <w:vAlign w:val="bottom"/>
          </w:tcPr>
          <w:p>
            <w:pPr>
              <w:jc w:val="right"/>
              <w:spacing w:after="0"/>
              <w:rPr>
                <w:sz w:val="20"/>
                <w:szCs w:val="20"/>
                <w:color w:val="auto"/>
              </w:rPr>
            </w:pPr>
            <w:r>
              <w:rPr>
                <w:rFonts w:ascii="Arial" w:cs="Arial" w:eastAsia="Arial" w:hAnsi="Arial"/>
                <w:sz w:val="18"/>
                <w:szCs w:val="18"/>
                <w:color w:val="auto"/>
              </w:rPr>
              <w:t>, 20  .</w:t>
            </w:r>
          </w:p>
        </w:tc>
      </w:tr>
    </w:tbl>
    <w:p>
      <w:pPr>
        <w:spacing w:after="0" w:line="156" w:lineRule="exact"/>
        <w:rPr>
          <w:sz w:val="20"/>
          <w:szCs w:val="20"/>
          <w:color w:val="auto"/>
        </w:rPr>
      </w:pPr>
    </w:p>
    <w:p>
      <w:pPr>
        <w:ind w:right="20" w:firstLine="464"/>
        <w:spacing w:after="0" w:line="290" w:lineRule="auto"/>
        <w:tabs>
          <w:tab w:leader="none" w:pos="695" w:val="left"/>
        </w:tabs>
        <w:numPr>
          <w:ilvl w:val="0"/>
          <w:numId w:val="2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“Market Value” </w:t>
      </w:r>
      <w:r>
        <w:rPr>
          <w:rFonts w:ascii="Arial" w:cs="Arial" w:eastAsia="Arial" w:hAnsi="Arial"/>
          <w:sz w:val="16"/>
          <w:szCs w:val="16"/>
          <w:color w:val="auto"/>
        </w:rPr>
        <w:t>means, for any date, the price determined by the first of the following clauses that applies: (a) if the Common Stock is then listed or</w:t>
      </w:r>
      <w:r>
        <w:rPr>
          <w:rFonts w:ascii="Arial" w:cs="Arial" w:eastAsia="Arial" w:hAnsi="Arial"/>
          <w:sz w:val="16"/>
          <w:szCs w:val="16"/>
          <w:i w:val="1"/>
          <w:iCs w:val="1"/>
          <w:color w:val="auto"/>
        </w:rPr>
        <w:t xml:space="preserve"> </w:t>
      </w:r>
      <w:r>
        <w:rPr>
          <w:rFonts w:ascii="Arial" w:cs="Arial" w:eastAsia="Arial" w:hAnsi="Arial"/>
          <w:sz w:val="16"/>
          <w:szCs w:val="16"/>
          <w:color w:val="auto"/>
        </w:rPr>
        <w:t>quoted on a Trading Market (other than the OTC Bulletin Board), the daily volume weighted average price of the Common Stock for such date (or the nearest preceding date) on the Trading Market on which the Common Stock is then listed or quoted as reported by Bloomberg Financial L.P. (based on a Trading Day from 9:30 a.m. Eastern Time to 4:00 p.m. Eastern Time); (b) if the Common Stock is then listed or quoted on the OTC Bulletin Board, the average of the high and low price of the Common Stock for such date (or the nearest preceding date) on the OTC Bulletin Board; or (c) if the Common Stock is not then listed or quoted on a Trading Market and if prices for the Common Stock are then reported in the “Pink Sheets” published by the Pink Sheets, LLC (or a similar organization or agency succeeding to its functions of reporting prices), the most recent bid price per share of the Common Stock so reported.</w:t>
      </w:r>
    </w:p>
    <w:p>
      <w:pPr>
        <w:spacing w:after="0" w:line="118" w:lineRule="exact"/>
        <w:rPr>
          <w:sz w:val="20"/>
          <w:szCs w:val="20"/>
          <w:color w:val="auto"/>
        </w:rPr>
      </w:pPr>
    </w:p>
    <w:p>
      <w:pPr>
        <w:ind w:right="520" w:firstLine="464"/>
        <w:spacing w:after="0" w:line="268" w:lineRule="auto"/>
        <w:tabs>
          <w:tab w:leader="none" w:pos="695"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“Registration Rights Agreement</w:t>
      </w:r>
      <w:r>
        <w:rPr>
          <w:rFonts w:ascii="Arial" w:cs="Arial" w:eastAsia="Arial" w:hAnsi="Arial"/>
          <w:sz w:val="18"/>
          <w:szCs w:val="18"/>
          <w:color w:val="auto"/>
        </w:rPr>
        <w:t>” means the Registration Rights Agreement, dated as of the Issue Date, to which the Corporation and the original</w:t>
      </w:r>
      <w:r>
        <w:rPr>
          <w:rFonts w:ascii="Arial" w:cs="Arial" w:eastAsia="Arial" w:hAnsi="Arial"/>
          <w:sz w:val="18"/>
          <w:szCs w:val="18"/>
          <w:i w:val="1"/>
          <w:iCs w:val="1"/>
          <w:color w:val="auto"/>
        </w:rPr>
        <w:t xml:space="preserve"> </w:t>
      </w:r>
      <w:r>
        <w:rPr>
          <w:rFonts w:ascii="Arial" w:cs="Arial" w:eastAsia="Arial" w:hAnsi="Arial"/>
          <w:sz w:val="18"/>
          <w:szCs w:val="18"/>
          <w:color w:val="auto"/>
        </w:rPr>
        <w:t>Holder are parties, as amended, modified or supplemented from time to time in accordance with its terms.</w:t>
      </w:r>
    </w:p>
    <w:p>
      <w:pPr>
        <w:spacing w:after="0" w:line="131" w:lineRule="exact"/>
        <w:rPr>
          <w:rFonts w:ascii="Arial" w:cs="Arial" w:eastAsia="Arial" w:hAnsi="Arial"/>
          <w:sz w:val="18"/>
          <w:szCs w:val="18"/>
          <w:i w:val="1"/>
          <w:iCs w:val="1"/>
          <w:color w:val="auto"/>
        </w:rPr>
      </w:pPr>
    </w:p>
    <w:p>
      <w:pPr>
        <w:ind w:left="680" w:hanging="216"/>
        <w:spacing w:after="0"/>
        <w:tabs>
          <w:tab w:leader="none" w:pos="680" w:val="left"/>
        </w:tabs>
        <w:numPr>
          <w:ilvl w:val="0"/>
          <w:numId w:val="2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“This Warrant” </w:t>
      </w:r>
      <w:r>
        <w:rPr>
          <w:rFonts w:ascii="Arial" w:cs="Arial" w:eastAsia="Arial" w:hAnsi="Arial"/>
          <w:sz w:val="16"/>
          <w:szCs w:val="16"/>
          <w:color w:val="auto"/>
        </w:rPr>
        <w:t>means, collectively, this Warrant and all other stock purchase warrants issued in exchange therefor or replacement thereof.</w:t>
      </w:r>
    </w:p>
    <w:p>
      <w:pPr>
        <w:spacing w:after="0" w:line="194" w:lineRule="exact"/>
        <w:rPr>
          <w:rFonts w:ascii="Arial" w:cs="Arial" w:eastAsia="Arial" w:hAnsi="Arial"/>
          <w:sz w:val="16"/>
          <w:szCs w:val="16"/>
          <w:i w:val="1"/>
          <w:iCs w:val="1"/>
          <w:color w:val="auto"/>
        </w:rPr>
      </w:pPr>
    </w:p>
    <w:p>
      <w:pPr>
        <w:ind w:left="720" w:hanging="256"/>
        <w:spacing w:after="0"/>
        <w:tabs>
          <w:tab w:leader="none" w:pos="72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“Trading Day</w:t>
      </w:r>
      <w:r>
        <w:rPr>
          <w:rFonts w:ascii="Arial" w:cs="Arial" w:eastAsia="Arial" w:hAnsi="Arial"/>
          <w:sz w:val="18"/>
          <w:szCs w:val="18"/>
          <w:color w:val="auto"/>
        </w:rPr>
        <w:t>” means a day on which the Common Stock is traded on a Trading Market.</w:t>
      </w:r>
    </w:p>
    <w:p>
      <w:pPr>
        <w:sectPr>
          <w:pgSz w:w="11900" w:h="16838" w:orient="portrait"/>
          <w:cols w:equalWidth="0" w:num="1">
            <w:col w:w="11420"/>
          </w:cols>
          <w:pgMar w:left="240" w:top="125" w:right="239" w:bottom="1440" w:gutter="0" w:footer="0" w:header="0"/>
        </w:sectPr>
      </w:pPr>
    </w:p>
    <w:bookmarkStart w:id="31" w:name="page32"/>
    <w:bookmarkEnd w:id="31"/>
    <w:p>
      <w:pPr>
        <w:ind w:right="300" w:firstLine="464"/>
        <w:spacing w:after="0" w:line="259" w:lineRule="auto"/>
        <w:tabs>
          <w:tab w:leader="none" w:pos="705" w:val="left"/>
        </w:tabs>
        <w:numPr>
          <w:ilvl w:val="1"/>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“Trading Market” </w:t>
      </w:r>
      <w:r>
        <w:rPr>
          <w:rFonts w:ascii="Arial" w:cs="Arial" w:eastAsia="Arial" w:hAnsi="Arial"/>
          <w:sz w:val="18"/>
          <w:szCs w:val="18"/>
          <w:color w:val="auto"/>
        </w:rPr>
        <w:t>means any one of the following markets or exchanges on which the Common Stock is listed or quoted for trading on the date in</w:t>
      </w:r>
      <w:r>
        <w:rPr>
          <w:rFonts w:ascii="Arial" w:cs="Arial" w:eastAsia="Arial" w:hAnsi="Arial"/>
          <w:sz w:val="18"/>
          <w:szCs w:val="18"/>
          <w:i w:val="1"/>
          <w:iCs w:val="1"/>
          <w:color w:val="auto"/>
        </w:rPr>
        <w:t xml:space="preserve"> </w:t>
      </w:r>
      <w:r>
        <w:rPr>
          <w:rFonts w:ascii="Arial" w:cs="Arial" w:eastAsia="Arial" w:hAnsi="Arial"/>
          <w:sz w:val="18"/>
          <w:szCs w:val="18"/>
          <w:color w:val="auto"/>
        </w:rPr>
        <w:t>question: the Nasdaq SmallCap Market, the NYSE Alternext US, the New York Stock Exchange, the Nasdaq National Market, the OTC Bulletin Board or the “Pink Sheets.”</w:t>
      </w:r>
    </w:p>
    <w:p>
      <w:pPr>
        <w:spacing w:after="0" w:line="140" w:lineRule="exact"/>
        <w:rPr>
          <w:rFonts w:ascii="Arial" w:cs="Arial" w:eastAsia="Arial" w:hAnsi="Arial"/>
          <w:sz w:val="18"/>
          <w:szCs w:val="18"/>
          <w:i w:val="1"/>
          <w:iCs w:val="1"/>
          <w:color w:val="auto"/>
        </w:rPr>
      </w:pPr>
    </w:p>
    <w:p>
      <w:pPr>
        <w:ind w:left="180" w:hanging="172"/>
        <w:spacing w:after="0"/>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Exercise.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2.1 Exercise Period. The Holder may exercise this Warrant at any time after the Issue Date and before the close of business in Atlanta, Georgia on the tenth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w:t>
      </w:r>
      <w:r>
        <w:rPr>
          <w:rFonts w:ascii="Arial" w:cs="Arial" w:eastAsia="Arial" w:hAnsi="Arial"/>
          <w:sz w:val="11"/>
          <w:szCs w:val="11"/>
          <w:color w:val="auto"/>
        </w:rPr>
        <w:t>th</w:t>
      </w:r>
      <w:r>
        <w:rPr>
          <w:rFonts w:ascii="Arial" w:cs="Arial" w:eastAsia="Arial" w:hAnsi="Arial"/>
          <w:sz w:val="18"/>
          <w:szCs w:val="18"/>
          <w:color w:val="auto"/>
        </w:rPr>
        <w:t>) anniversary of the Issue Date (the “Exercise Period”).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 Exercise Procedure.</w:t>
      </w:r>
    </w:p>
    <w:p>
      <w:pPr>
        <w:spacing w:after="0" w:line="171" w:lineRule="exact"/>
        <w:rPr>
          <w:sz w:val="20"/>
          <w:szCs w:val="20"/>
          <w:color w:val="auto"/>
        </w:rPr>
      </w:pPr>
    </w:p>
    <w:p>
      <w:pPr>
        <w:ind w:left="700" w:hanging="236"/>
        <w:spacing w:after="0"/>
        <w:tabs>
          <w:tab w:leader="none" w:pos="7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This Warrant will be deemed to have been exercised at such time as the Company has received all of the following items (the “Exercise Date”):</w:t>
      </w:r>
    </w:p>
    <w:p>
      <w:pPr>
        <w:spacing w:after="0" w:line="113" w:lineRule="exact"/>
        <w:rPr>
          <w:rFonts w:ascii="Arial" w:cs="Arial" w:eastAsia="Arial" w:hAnsi="Arial"/>
          <w:sz w:val="16"/>
          <w:szCs w:val="16"/>
          <w:color w:val="auto"/>
        </w:rPr>
      </w:pPr>
    </w:p>
    <w:p>
      <w:pPr>
        <w:ind w:left="460" w:right="500" w:firstLine="443"/>
        <w:spacing w:after="0" w:line="268" w:lineRule="auto"/>
        <w:tabs>
          <w:tab w:leader="none" w:pos="1108" w:val="left"/>
        </w:tabs>
        <w:numPr>
          <w:ilvl w:val="1"/>
          <w:numId w:val="26"/>
        </w:numPr>
        <w:rPr>
          <w:rFonts w:ascii="Arial" w:cs="Arial" w:eastAsia="Arial" w:hAnsi="Arial"/>
          <w:sz w:val="18"/>
          <w:szCs w:val="18"/>
          <w:color w:val="auto"/>
        </w:rPr>
      </w:pPr>
      <w:r>
        <w:rPr>
          <w:rFonts w:ascii="Arial" w:cs="Arial" w:eastAsia="Arial" w:hAnsi="Arial"/>
          <w:sz w:val="18"/>
          <w:szCs w:val="18"/>
          <w:color w:val="auto"/>
        </w:rPr>
        <w:t>a completed Subscription Agreement as described in Section 2.4 hereof, executed by the Person exercising all or part of the purchase rights represented by this Warrant (the “Purchaser”);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this Warrant;</w:t>
      </w:r>
    </w:p>
    <w:p>
      <w:pPr>
        <w:spacing w:after="0" w:line="90" w:lineRule="exact"/>
        <w:rPr>
          <w:rFonts w:ascii="Arial" w:cs="Arial" w:eastAsia="Arial" w:hAnsi="Arial"/>
          <w:sz w:val="18"/>
          <w:szCs w:val="18"/>
          <w:color w:val="auto"/>
        </w:rPr>
      </w:pPr>
    </w:p>
    <w:p>
      <w:pPr>
        <w:ind w:left="460" w:firstLine="443"/>
        <w:spacing w:after="0" w:line="332" w:lineRule="auto"/>
        <w:tabs>
          <w:tab w:leader="none" w:pos="1205" w:val="left"/>
        </w:tabs>
        <w:numPr>
          <w:ilvl w:val="1"/>
          <w:numId w:val="26"/>
        </w:numPr>
        <w:rPr>
          <w:rFonts w:ascii="Arial" w:cs="Arial" w:eastAsia="Arial" w:hAnsi="Arial"/>
          <w:sz w:val="16"/>
          <w:szCs w:val="16"/>
          <w:color w:val="auto"/>
        </w:rPr>
      </w:pPr>
      <w:r>
        <w:rPr>
          <w:rFonts w:ascii="Arial" w:cs="Arial" w:eastAsia="Arial" w:hAnsi="Arial"/>
          <w:sz w:val="16"/>
          <w:szCs w:val="16"/>
          <w:color w:val="auto"/>
        </w:rPr>
        <w:t>if this Warrant is not registered in the name of the Purchaser, an Assignment or Assignments in the form set forth in Exhibit B hereto, evidencing the assignment of this Warrant to the Purchaser together with any documentation required pursuant to Section 8(a) hereof; and</w:t>
      </w:r>
    </w:p>
    <w:p>
      <w:pPr>
        <w:spacing w:after="0" w:line="4" w:lineRule="exact"/>
        <w:rPr>
          <w:rFonts w:ascii="Arial" w:cs="Arial" w:eastAsia="Arial" w:hAnsi="Arial"/>
          <w:sz w:val="16"/>
          <w:szCs w:val="16"/>
          <w:color w:val="auto"/>
        </w:rPr>
      </w:pPr>
    </w:p>
    <w:p>
      <w:pPr>
        <w:ind w:left="460" w:right="200" w:firstLine="443"/>
        <w:spacing w:after="0" w:line="306" w:lineRule="auto"/>
        <w:tabs>
          <w:tab w:leader="none" w:pos="1196" w:val="left"/>
        </w:tabs>
        <w:numPr>
          <w:ilvl w:val="1"/>
          <w:numId w:val="26"/>
        </w:numPr>
        <w:rPr>
          <w:rFonts w:ascii="Arial" w:cs="Arial" w:eastAsia="Arial" w:hAnsi="Arial"/>
          <w:sz w:val="16"/>
          <w:szCs w:val="16"/>
          <w:color w:val="auto"/>
        </w:rPr>
      </w:pPr>
      <w:r>
        <w:rPr>
          <w:rFonts w:ascii="Arial" w:cs="Arial" w:eastAsia="Arial" w:hAnsi="Arial"/>
          <w:sz w:val="16"/>
          <w:szCs w:val="16"/>
          <w:color w:val="auto"/>
        </w:rPr>
        <w:t>a check payable to the order of the Company in an amount equal to the product of the Exercise Price multiplied by the number of shares of Common Stock being purchased upon such exercise. Alternatively, this Warrant may be exercised by means of a “cashless exercise” in which the Holder shall be entitled to receive a certificate for the number of shares equal to the quotient obtained by dividing [(A-B) (X)] by (A), where:</w:t>
      </w:r>
    </w:p>
    <w:p>
      <w:pPr>
        <w:spacing w:after="0" w:line="25" w:lineRule="exact"/>
        <w:rPr>
          <w:rFonts w:ascii="Arial" w:cs="Arial" w:eastAsia="Arial" w:hAnsi="Arial"/>
          <w:sz w:val="16"/>
          <w:szCs w:val="16"/>
          <w:color w:val="auto"/>
        </w:rPr>
      </w:pPr>
    </w:p>
    <w:p>
      <w:pPr>
        <w:ind w:left="1780" w:hanging="288"/>
        <w:spacing w:after="0"/>
        <w:tabs>
          <w:tab w:leader="none" w:pos="1780" w:val="left"/>
        </w:tabs>
        <w:numPr>
          <w:ilvl w:val="2"/>
          <w:numId w:val="26"/>
        </w:numPr>
        <w:rPr>
          <w:rFonts w:ascii="Arial" w:cs="Arial" w:eastAsia="Arial" w:hAnsi="Arial"/>
          <w:sz w:val="16"/>
          <w:szCs w:val="16"/>
          <w:color w:val="auto"/>
        </w:rPr>
      </w:pPr>
      <w:r>
        <w:rPr>
          <w:rFonts w:ascii="Arial" w:cs="Arial" w:eastAsia="Arial" w:hAnsi="Arial"/>
          <w:sz w:val="16"/>
          <w:szCs w:val="16"/>
          <w:color w:val="auto"/>
        </w:rPr>
        <w:t>= the average of the high and low trading prices per share of Common Stock on the Trading Day preceding the date of such election;</w:t>
      </w:r>
    </w:p>
    <w:p>
      <w:pPr>
        <w:spacing w:after="0" w:line="113" w:lineRule="exact"/>
        <w:rPr>
          <w:rFonts w:ascii="Arial" w:cs="Arial" w:eastAsia="Arial" w:hAnsi="Arial"/>
          <w:sz w:val="16"/>
          <w:szCs w:val="16"/>
          <w:color w:val="auto"/>
        </w:rPr>
      </w:pPr>
    </w:p>
    <w:p>
      <w:pPr>
        <w:ind w:left="1760" w:hanging="268"/>
        <w:spacing w:after="0"/>
        <w:tabs>
          <w:tab w:leader="none" w:pos="1760" w:val="left"/>
        </w:tabs>
        <w:numPr>
          <w:ilvl w:val="2"/>
          <w:numId w:val="26"/>
        </w:numPr>
        <w:rPr>
          <w:rFonts w:ascii="Arial" w:cs="Arial" w:eastAsia="Arial" w:hAnsi="Arial"/>
          <w:sz w:val="18"/>
          <w:szCs w:val="18"/>
          <w:color w:val="auto"/>
        </w:rPr>
      </w:pPr>
      <w:r>
        <w:rPr>
          <w:rFonts w:ascii="Arial" w:cs="Arial" w:eastAsia="Arial" w:hAnsi="Arial"/>
          <w:sz w:val="18"/>
          <w:szCs w:val="18"/>
          <w:color w:val="auto"/>
        </w:rPr>
        <w:t>= the Exercise Price of the Warrants; and</w:t>
      </w:r>
    </w:p>
    <w:p>
      <w:pPr>
        <w:spacing w:after="0" w:line="90" w:lineRule="exact"/>
        <w:rPr>
          <w:sz w:val="20"/>
          <w:szCs w:val="20"/>
          <w:color w:val="auto"/>
        </w:rPr>
      </w:pPr>
    </w:p>
    <w:p>
      <w:pPr>
        <w:ind w:left="1780" w:hanging="288"/>
        <w:spacing w:after="0"/>
        <w:tabs>
          <w:tab w:leader="none" w:pos="1780" w:val="left"/>
        </w:tabs>
        <w:numPr>
          <w:ilvl w:val="2"/>
          <w:numId w:val="27"/>
        </w:numPr>
        <w:rPr>
          <w:rFonts w:ascii="Arial" w:cs="Arial" w:eastAsia="Arial" w:hAnsi="Arial"/>
          <w:sz w:val="18"/>
          <w:szCs w:val="18"/>
          <w:color w:val="auto"/>
        </w:rPr>
      </w:pPr>
      <w:r>
        <w:rPr>
          <w:rFonts w:ascii="Arial" w:cs="Arial" w:eastAsia="Arial" w:hAnsi="Arial"/>
          <w:sz w:val="18"/>
          <w:szCs w:val="18"/>
          <w:color w:val="auto"/>
        </w:rPr>
        <w:t>= the number of shares issuable upon exercise of the Warrants in accordance with the terms of this Warrant.</w:t>
      </w:r>
    </w:p>
    <w:p>
      <w:pPr>
        <w:spacing w:after="0" w:line="171" w:lineRule="exact"/>
        <w:rPr>
          <w:rFonts w:ascii="Arial" w:cs="Arial" w:eastAsia="Arial" w:hAnsi="Arial"/>
          <w:sz w:val="18"/>
          <w:szCs w:val="18"/>
          <w:color w:val="auto"/>
        </w:rPr>
      </w:pPr>
    </w:p>
    <w:p>
      <w:pPr>
        <w:ind w:right="80" w:firstLine="464"/>
        <w:spacing w:after="0" w:line="255" w:lineRule="auto"/>
        <w:tabs>
          <w:tab w:leader="none" w:pos="705" w:val="left"/>
        </w:tabs>
        <w:numPr>
          <w:ilvl w:val="1"/>
          <w:numId w:val="28"/>
        </w:numPr>
        <w:rPr>
          <w:rFonts w:ascii="Arial" w:cs="Arial" w:eastAsia="Arial" w:hAnsi="Arial"/>
          <w:sz w:val="18"/>
          <w:szCs w:val="18"/>
          <w:color w:val="auto"/>
        </w:rPr>
      </w:pPr>
      <w:r>
        <w:rPr>
          <w:rFonts w:ascii="Arial" w:cs="Arial" w:eastAsia="Arial" w:hAnsi="Arial"/>
          <w:sz w:val="18"/>
          <w:szCs w:val="18"/>
          <w:color w:val="auto"/>
        </w:rPr>
        <w:t>As soon as practicable after the exercise of this Warrant in full or in part, and in any event within ten (10) days after the Exercise Date, the Company at its expense will cause to be issued in the name of and delivered to the Purchaser, or as the Purchaser (upon payment by the Purchaser of any applicable transfer taxes) may direct, a certificate or certificates for the number of fully paid and non-assessable shares of Common Stock to which the Purchaser shall be entitled upon such exercise, together with any other stock or other securities and property (including cash, where applicable) to which the Purchaser is entitled upon exercise.</w:t>
      </w:r>
    </w:p>
    <w:p>
      <w:pPr>
        <w:spacing w:after="0" w:line="142" w:lineRule="exact"/>
        <w:rPr>
          <w:rFonts w:ascii="Arial" w:cs="Arial" w:eastAsia="Arial" w:hAnsi="Arial"/>
          <w:sz w:val="18"/>
          <w:szCs w:val="18"/>
          <w:color w:val="auto"/>
        </w:rPr>
      </w:pPr>
    </w:p>
    <w:p>
      <w:pPr>
        <w:ind w:left="700" w:hanging="236"/>
        <w:spacing w:after="0"/>
        <w:tabs>
          <w:tab w:leader="none" w:pos="7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Unless this Warrant has expired or all of the purchase rights represented hereby have been exercised, the Company at its expense will, within ten</w:t>
      </w:r>
    </w:p>
    <w:p>
      <w:pPr>
        <w:spacing w:after="0" w:line="38" w:lineRule="exact"/>
        <w:rPr>
          <w:rFonts w:ascii="Arial" w:cs="Arial" w:eastAsia="Arial" w:hAnsi="Arial"/>
          <w:sz w:val="16"/>
          <w:szCs w:val="16"/>
          <w:color w:val="auto"/>
        </w:rPr>
      </w:pPr>
    </w:p>
    <w:p>
      <w:pPr>
        <w:ind w:right="100" w:firstLine="8"/>
        <w:spacing w:after="0" w:line="255" w:lineRule="auto"/>
        <w:tabs>
          <w:tab w:leader="none" w:pos="336" w:val="left"/>
        </w:tabs>
        <w:numPr>
          <w:ilvl w:val="0"/>
          <w:numId w:val="29"/>
        </w:numPr>
        <w:rPr>
          <w:rFonts w:ascii="Arial" w:cs="Arial" w:eastAsia="Arial" w:hAnsi="Arial"/>
          <w:sz w:val="18"/>
          <w:szCs w:val="18"/>
          <w:color w:val="auto"/>
        </w:rPr>
      </w:pPr>
      <w:r>
        <w:rPr>
          <w:rFonts w:ascii="Arial" w:cs="Arial" w:eastAsia="Arial" w:hAnsi="Arial"/>
          <w:sz w:val="18"/>
          <w:szCs w:val="18"/>
          <w:color w:val="auto"/>
        </w:rPr>
        <w:t>days after the Exercise Date, issue and deliver to or upon the order of the Purchaser a new Warrant or Warrants of like tenor, in the name of the Purchaser or as the Purchaser (upon payment by the Purchaser of any applicable transfer taxes) may request, calling in the aggregate on the face or faces thereof for the number of shares of Common Stock remaining issuable under this Warrant.</w:t>
      </w:r>
    </w:p>
    <w:p>
      <w:pPr>
        <w:spacing w:after="0" w:line="144" w:lineRule="exact"/>
        <w:rPr>
          <w:rFonts w:ascii="Arial" w:cs="Arial" w:eastAsia="Arial" w:hAnsi="Arial"/>
          <w:sz w:val="18"/>
          <w:szCs w:val="18"/>
          <w:color w:val="auto"/>
        </w:rPr>
      </w:pPr>
    </w:p>
    <w:p>
      <w:pPr>
        <w:ind w:right="500" w:firstLine="464"/>
        <w:spacing w:after="0" w:line="332" w:lineRule="auto"/>
        <w:tabs>
          <w:tab w:leader="none" w:pos="705" w:val="left"/>
        </w:tabs>
        <w:numPr>
          <w:ilvl w:val="1"/>
          <w:numId w:val="29"/>
        </w:numPr>
        <w:rPr>
          <w:rFonts w:ascii="Arial" w:cs="Arial" w:eastAsia="Arial" w:hAnsi="Arial"/>
          <w:sz w:val="16"/>
          <w:szCs w:val="16"/>
          <w:color w:val="auto"/>
        </w:rPr>
      </w:pPr>
      <w:r>
        <w:rPr>
          <w:rFonts w:ascii="Arial" w:cs="Arial" w:eastAsia="Arial" w:hAnsi="Arial"/>
          <w:sz w:val="16"/>
          <w:szCs w:val="16"/>
          <w:color w:val="auto"/>
        </w:rPr>
        <w:t>The Common Stock issuable upon the exercise of this Warrant will be deemed to have been issued to the Purchaser on the Exercise Date, and the Purchaser will be deemed for all purposes to have become the record holder of such Common Stock on the Exercise Date.</w:t>
      </w:r>
    </w:p>
    <w:p>
      <w:pPr>
        <w:spacing w:after="0" w:line="85" w:lineRule="exact"/>
        <w:rPr>
          <w:rFonts w:ascii="Arial" w:cs="Arial" w:eastAsia="Arial" w:hAnsi="Arial"/>
          <w:sz w:val="16"/>
          <w:szCs w:val="16"/>
          <w:color w:val="auto"/>
        </w:rPr>
      </w:pPr>
    </w:p>
    <w:p>
      <w:pPr>
        <w:ind w:right="160" w:firstLine="464"/>
        <w:spacing w:after="0" w:line="259" w:lineRule="auto"/>
        <w:tabs>
          <w:tab w:leader="none" w:pos="695"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issuance of certificates for shares of Common Stock upon exercise of this Warrant will be made without charge to the Holder or the Purchaser for any issuance tax in respect thereof or any other cost incurred by the Company in connection with such exercise and the related issuance of shares of Common Stock.</w:t>
      </w:r>
    </w:p>
    <w:p>
      <w:pPr>
        <w:spacing w:after="0" w:line="140" w:lineRule="exact"/>
        <w:rPr>
          <w:rFonts w:ascii="Arial" w:cs="Arial" w:eastAsia="Arial" w:hAnsi="Arial"/>
          <w:sz w:val="18"/>
          <w:szCs w:val="18"/>
          <w:color w:val="auto"/>
        </w:rPr>
      </w:pPr>
    </w:p>
    <w:p>
      <w:pPr>
        <w:jc w:val="both"/>
        <w:ind w:right="80" w:firstLine="464"/>
        <w:spacing w:after="0" w:line="306" w:lineRule="auto"/>
        <w:tabs>
          <w:tab w:leader="none" w:pos="676" w:val="left"/>
        </w:tabs>
        <w:numPr>
          <w:ilvl w:val="1"/>
          <w:numId w:val="29"/>
        </w:numPr>
        <w:rPr>
          <w:rFonts w:ascii="Arial" w:cs="Arial" w:eastAsia="Arial" w:hAnsi="Arial"/>
          <w:sz w:val="16"/>
          <w:szCs w:val="16"/>
          <w:color w:val="auto"/>
        </w:rPr>
      </w:pPr>
      <w:r>
        <w:rPr>
          <w:rFonts w:ascii="Arial" w:cs="Arial" w:eastAsia="Arial" w:hAnsi="Arial"/>
          <w:sz w:val="16"/>
          <w:szCs w:val="16"/>
          <w:color w:val="auto"/>
        </w:rPr>
        <w:t>The holder represents and warrants that at the time of any exercise of this warrant the holder is an “accredited investor,” as such term is defined in Rule 501 promulgated under the Securities Act and acknowledges and agrees that the Company may, in its sole discretion, (i) require, as a condition to the exercise of this Warrant, that the holder provide such written evidence that such holder is an accredited investor as the time of exercise, and</w:t>
      </w:r>
    </w:p>
    <w:p>
      <w:pPr>
        <w:sectPr>
          <w:pgSz w:w="11900" w:h="16838" w:orient="portrait"/>
          <w:cols w:equalWidth="0" w:num="1">
            <w:col w:w="11400"/>
          </w:cols>
          <w:pgMar w:left="240" w:top="280" w:right="259" w:bottom="1440" w:gutter="0" w:footer="0" w:header="0"/>
        </w:sectPr>
      </w:pPr>
    </w:p>
    <w:bookmarkStart w:id="32" w:name="page33"/>
    <w:bookmarkEnd w:id="32"/>
    <w:p>
      <w:pPr>
        <w:ind w:right="380" w:firstLine="8"/>
        <w:spacing w:after="0" w:line="268" w:lineRule="auto"/>
        <w:tabs>
          <w:tab w:leader="none" w:pos="258" w:val="left"/>
        </w:tabs>
        <w:numPr>
          <w:ilvl w:val="0"/>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decline to issue the shares of Common Stock issuable upon such exercise if the Company is not satisfied that this warrant may be exercised by the holder pursuant to a valid registration exemption from the Securities Act and any applicable state securities law.</w:t>
      </w:r>
    </w:p>
    <w:p>
      <w:pPr>
        <w:spacing w:after="0" w:line="132"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2.3 Acknowledgement of Continuing Obligations. The Company will, at the time of the exercise of this Warrant, upon the request of the Purchaser, acknowledge in writing its continuing obligation to afford to the Purchaser any rights to which the Purchaser shall continue to be entitled after such exercise in accordance with the provisions of this Warrant, provided that if the Purchaser shall fail to make any such request, such failure shall not affect the continuing obligation of the Company to afford to the Purchaser any such rights.</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2.4 Subscription Agreement. The Subscription Agreement will be substantially in the form set forth in Exhibit A hereto, except that if the shares of Common Stock issuable upon exercise of this Warrant are not to be issued in the name of the Purchaser, the Subscription Agreement will also state the name of the Person to whom the certificates for the shares of Common Stock are to be issued, and if the number of shares of Common Stock to be issued does not include all the shares of Common Stock issuable hereunder, it will also state the name of the Person to whom a new Warrant for the unexercised portion of the rights hereunder is to be delivered.</w:t>
      </w:r>
    </w:p>
    <w:p>
      <w:pPr>
        <w:spacing w:after="0" w:line="14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2.5 Fractional Shares. If a fractional share of Common Stock would, but for the provisions of Section 2.1 hereof, be issuable upon exercise of the rights represented by this Warrant, the Company will, within ten (10) days after the Exercise Date, deliver to the Purchaser a check payable to the Purchaser in lieu of such fractional share, in an amount equal to the Market Value of such fractional share as of the close of business on the Exercise Date.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3. Adjustments.</w:t>
      </w:r>
    </w:p>
    <w:p>
      <w:pPr>
        <w:spacing w:after="0" w:line="17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3.1 Adjustments for Stock Splits, Etc. If the Company shall at any time after the Issue Date subdivide its outstanding Common Stock, by split-up or otherwise, or combine its outstanding Common Stock, or issue additional shares of its capital stock in payment of a stock dividend in respect of its Common Stock, the number of shares issuable on the exercise of the unexercised portion of this Warrant shall forthwith be proportionately increased in the case of a subdivision or stock dividend, or proportionately decreased in the case of a combination, and the Exercise Price then applicable to shares covered by the unexercised portion of this Warrant shall forthwith be proportionately decreased in the case of a subdivision or stock dividend, or proportionately increased in the case of combination.</w:t>
      </w:r>
    </w:p>
    <w:p>
      <w:pPr>
        <w:spacing w:after="0" w:line="14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3.2 Adjustment for Reclassification, Reorganization, Etc. In case of any reclassification, capital reorganization, or change of the outstanding Common Stock (other than as a result of a subdivision, combination or stock dividend), or in the case of any consolidation of the Company with, or merger of the Company into, another Person (other than a consolidation or merger in which the Company is the continuing corporation and which does not result in any reclassification or change of the outstanding Common Stock of the Company), or in case of any sale or conveyance to one or more Persons of the property of the Company as an entirety or substantially as an entirety at any time prior to the expiration of this Warrant, then, as a condition of such reclassification, reorganization, change, consolidation, merger, sale or conveyance, lawful provision shall be made, and duly executed documents evidencing the same from the Company or its successor shall be delivered to the Holder of this Warrant, so that the Holder of this Warrant shall have the right at any time prior to the expiration of this Warrant to purchase, at a total price not to exceed that payable upon the exercise of the unexercised portion of this Warrant, the kind and amount of shares of stock and other securities and property receivable upon such reclassification, reorganization, change, consolidation, merger, sale or conveyance by a holder of the number of shares of Common Stock of the Company as to which this Warrant was exercisable immediately prior to such reclassification, reorganization, change, consolidation, merger, sale or conveyance, and in any such case appropriate provision shall be made with respect to the rights and interests of the Holder of this Warrant to the end that the provisions hereof (including, without limitation, provisions for the adjustment of the Exercise Price and of the number of shares purchasable upon exercise of this Warrant) shall thereafter be applicable in relation to any shares of stock, and other securities and property, thereafter deliverable upon exercise hereof. If, as a consequence of any such transaction, solely cash, and no securities or other property of any kind, is deliverable upon exercise of this Warrant, then, in such event, the Company may terminate this Warrant by giving the Holder hereof written notice thereof. Such notice shall specify the date (at least thirty (30) days subsequent to the date on which notice is given) on which, at 3:00 P.M., Boston, Massachusetts time, this Warrant shall terminate. Notwithstanding any such notice, this Warrant shall remain exercisable, and otherwise in full force and effect, until such time of termination.</w:t>
      </w:r>
    </w:p>
    <w:p>
      <w:pPr>
        <w:sectPr>
          <w:pgSz w:w="11900" w:h="16838" w:orient="portrait"/>
          <w:cols w:equalWidth="0" w:num="1">
            <w:col w:w="11400"/>
          </w:cols>
          <w:pgMar w:left="240" w:top="280" w:right="259" w:bottom="1440" w:gutter="0" w:footer="0" w:header="0"/>
        </w:sectPr>
      </w:pPr>
    </w:p>
    <w:bookmarkStart w:id="33" w:name="page34"/>
    <w:bookmarkEnd w:id="33"/>
    <w:p>
      <w:pPr>
        <w:ind w:right="6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3.3 Certificate of Adjustment. Whenever the Exercise Price or the number of shares issuable hereunder is adjusted, as herein provided, the Company shall promptly deliver to the registered Holder of this Warrant a certificate of the Treasurer of the Company, which certificate shall state (i) the Exercise Price and the number of shares of Common Stock issuable hereunder after such adjustment, (ii) the facts requiring such adjustment, and (iii) the method of calculation for such adjustment and increase or decrease.</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3.4 Small Adjustments</w:t>
      </w:r>
      <w:r>
        <w:rPr>
          <w:rFonts w:ascii="Arial" w:cs="Arial" w:eastAsia="Arial" w:hAnsi="Arial"/>
          <w:sz w:val="16"/>
          <w:szCs w:val="16"/>
          <w:i w:val="1"/>
          <w:iCs w:val="1"/>
          <w:color w:val="auto"/>
        </w:rPr>
        <w:t>.</w:t>
      </w:r>
      <w:r>
        <w:rPr>
          <w:rFonts w:ascii="Arial" w:cs="Arial" w:eastAsia="Arial" w:hAnsi="Arial"/>
          <w:sz w:val="16"/>
          <w:szCs w:val="16"/>
          <w:color w:val="auto"/>
        </w:rPr>
        <w:t xml:space="preserve"> No adjustment in the Exercise Price shall be required unless such adjustment would require an increase or decrease in the Exercise Price of at least one percent; provided, however, that any adjustments which by reason of this Section 3.5 are not required to be made immediately shall be carried forward and taken into account at the time of exercise of this Warrant or any subsequent adjustment in the Exercise Price which, singly or in combination with any adjustment carried forward, is required to be made under Sections 3.1 or 3.2</w:t>
      </w:r>
      <w:r>
        <w:rPr>
          <w:rFonts w:ascii="Arial" w:cs="Arial" w:eastAsia="Arial" w:hAnsi="Arial"/>
          <w:sz w:val="16"/>
          <w:szCs w:val="16"/>
          <w:i w:val="1"/>
          <w:iCs w:val="1"/>
          <w:color w:val="auto"/>
        </w:rPr>
        <w:t>.</w:t>
      </w:r>
    </w:p>
    <w:p>
      <w:pPr>
        <w:spacing w:after="0" w:line="113" w:lineRule="exact"/>
        <w:rPr>
          <w:sz w:val="20"/>
          <w:szCs w:val="20"/>
          <w:color w:val="auto"/>
        </w:rPr>
      </w:pPr>
    </w:p>
    <w:p>
      <w:pPr>
        <w:ind w:right="20" w:firstLine="8"/>
        <w:spacing w:after="0" w:line="268" w:lineRule="auto"/>
        <w:tabs>
          <w:tab w:leader="none" w:pos="176"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Reservation of Stock, etc., Issuable on Exercise of Warrant</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will at all times reserve and keep available, solely for issuance and delivery upon the exercise of this Warrant, all shares of Common Stock from time to time issuable upon the exercise of this Warrant.</w:t>
      </w:r>
    </w:p>
    <w:p>
      <w:pPr>
        <w:spacing w:after="0" w:line="131" w:lineRule="exact"/>
        <w:rPr>
          <w:rFonts w:ascii="Arial" w:cs="Arial" w:eastAsia="Arial" w:hAnsi="Arial"/>
          <w:sz w:val="18"/>
          <w:szCs w:val="18"/>
          <w:color w:val="auto"/>
        </w:rPr>
      </w:pPr>
    </w:p>
    <w:p>
      <w:pPr>
        <w:ind w:left="180" w:hanging="172"/>
        <w:spacing w:after="0"/>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Disposition of This Warrant, Common Stock, Etc.</w:t>
      </w:r>
    </w:p>
    <w:p>
      <w:pPr>
        <w:spacing w:after="0" w:line="171" w:lineRule="exact"/>
        <w:rPr>
          <w:rFonts w:ascii="Arial" w:cs="Arial" w:eastAsia="Arial" w:hAnsi="Arial"/>
          <w:sz w:val="18"/>
          <w:szCs w:val="18"/>
          <w:color w:val="auto"/>
        </w:rPr>
      </w:pPr>
    </w:p>
    <w:p>
      <w:pPr>
        <w:ind w:right="20" w:firstLine="464"/>
        <w:spacing w:after="0" w:line="289" w:lineRule="auto"/>
        <w:tabs>
          <w:tab w:leader="none" w:pos="695" w:val="left"/>
        </w:tabs>
        <w:numPr>
          <w:ilvl w:val="1"/>
          <w:numId w:val="31"/>
        </w:numPr>
        <w:rPr>
          <w:rFonts w:ascii="Arial" w:cs="Arial" w:eastAsia="Arial" w:hAnsi="Arial"/>
          <w:sz w:val="16"/>
          <w:szCs w:val="16"/>
          <w:color w:val="auto"/>
        </w:rPr>
      </w:pPr>
      <w:r>
        <w:rPr>
          <w:rFonts w:ascii="Arial" w:cs="Arial" w:eastAsia="Arial" w:hAnsi="Arial"/>
          <w:sz w:val="16"/>
          <w:szCs w:val="16"/>
          <w:color w:val="auto"/>
        </w:rPr>
        <w:t>The Holder of this Warrant and any transferee hereof or of the Common Stock with respect to which this Warrant may be exercisable, by their acceptance hereof, hereby understand and agree that this Warrant and the Common Stock with respect to which this Warrant may be exercisable have not been registered under the Securities Act, and may not be sold, pledged, hypothecated, donated, or otherwise transferred (whether or not for consideration) without an effective registration statement under the Act or an opinion of counsel satisfactory to the Company and/or submission to the Company of such other evidence as may be satisfactory to counsel to the Company, in each such case, to the effect that any such transfer shall not be in violation of the Act. It shall be a condition to the transfer of this Warrant that any transferee thereof deliver to the Company its written agreement to accept and be bound by all of the terms and conditions of this Warrant. The foregoing notwithstanding, the Company acknowledges its obligations as set forth in the Registration Rights Agreement to register the shares of Common Stock issuable upon exercise hereof.</w:t>
      </w:r>
    </w:p>
    <w:p>
      <w:pPr>
        <w:spacing w:after="0" w:line="118" w:lineRule="exact"/>
        <w:rPr>
          <w:rFonts w:ascii="Arial" w:cs="Arial" w:eastAsia="Arial" w:hAnsi="Arial"/>
          <w:sz w:val="16"/>
          <w:szCs w:val="16"/>
          <w:color w:val="auto"/>
        </w:rPr>
      </w:pPr>
    </w:p>
    <w:p>
      <w:pPr>
        <w:ind w:right="300" w:firstLine="464"/>
        <w:spacing w:after="0" w:line="306" w:lineRule="auto"/>
        <w:tabs>
          <w:tab w:leader="none" w:pos="705" w:val="left"/>
        </w:tabs>
        <w:numPr>
          <w:ilvl w:val="1"/>
          <w:numId w:val="31"/>
        </w:numPr>
        <w:rPr>
          <w:rFonts w:ascii="Arial" w:cs="Arial" w:eastAsia="Arial" w:hAnsi="Arial"/>
          <w:sz w:val="16"/>
          <w:szCs w:val="16"/>
          <w:color w:val="auto"/>
        </w:rPr>
      </w:pPr>
      <w:r>
        <w:rPr>
          <w:rFonts w:ascii="Arial" w:cs="Arial" w:eastAsia="Arial" w:hAnsi="Arial"/>
          <w:sz w:val="16"/>
          <w:szCs w:val="16"/>
          <w:color w:val="auto"/>
        </w:rPr>
        <w:t>Except to the extent the resale of the shares of Common Stock issuable upon exercise hereof are registered for resale, or may be sold to the public pursuant to Rule 144(b)(1) under the Securities Act, the certificates of the Company that will evidence the shares of Common Stock with respect to which this Warrant may be exercisable will be imprinted with a conspicuous legend in substantially the following form:</w:t>
      </w:r>
    </w:p>
    <w:p>
      <w:pPr>
        <w:spacing w:after="0" w:line="26" w:lineRule="exact"/>
        <w:rPr>
          <w:sz w:val="20"/>
          <w:szCs w:val="20"/>
          <w:color w:val="auto"/>
        </w:rPr>
      </w:pPr>
    </w:p>
    <w:p>
      <w:pPr>
        <w:ind w:left="460" w:right="80"/>
        <w:spacing w:after="0" w:line="254" w:lineRule="auto"/>
        <w:rPr>
          <w:sz w:val="20"/>
          <w:szCs w:val="20"/>
          <w:color w:val="auto"/>
        </w:rPr>
      </w:pPr>
      <w:r>
        <w:rPr>
          <w:rFonts w:ascii="Arial" w:cs="Arial" w:eastAsia="Arial" w:hAnsi="Arial"/>
          <w:sz w:val="18"/>
          <w:szCs w:val="18"/>
          <w:color w:val="auto"/>
        </w:rPr>
        <w:t>“THE SECURITIES REPRESENTED BY THIS CERTIFICATE HAVE NOT BEEN REGISTERED UNDER THE SECURITIES ACT OF 1933, AS AMENDED (THE “ACT”), AND MAY NOT BE SOLD, PLEDGED, HYPOTHECATED, DONATED OR OTHERWISE TRANSFERRED (WHETHER OR NOT FOR CONSIDERATION) BY THE HOLDER WITHOUT AN EFFECTIVE REGISTRATION STATEMENT UNDER THE ACT OR AN OPINION OF COUNSEL SATISFACTORY TO THE COMPANY AND/OR SUBMISSION TO THE COMPANY OF SUCH OTHER EVIDENCE AS MAY BE SATISFACTORY TO COUNSEL TO THE COMPANY, IN EACH SUCH CASE, TO THE EFFECT THAT ANY SUCH TRANSFER SHALL NOT BE IN VIOLATION OF THE ACT.”</w:t>
      </w:r>
    </w:p>
    <w:p>
      <w:pPr>
        <w:spacing w:after="0" w:line="144"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Except as set forth in the Registration Rights Agreement, the Company has not agreed to register any of the Holder’s shares of Common Stock of the Company with respect to which this Warrant may be exercisable for distribution in accordance with the provisions of the Securities Act, and the Company has not agreed to comply with any exemption from registration under the Act for the resale of the Holder’s shares of Common Stock with respect to which this Warrant may be exercised. Hence, it is the understanding of the Holder of this Warrant that by virtue of the provisions of certain rules respecting “restricted securities” promulgated by the SEC, the shares of Common Stock of the Company with respect to which this Warrant may be exercisable may be required to be held indefinitely, unless and until registered under the Securities Act (as contemplated by the Registration Rights Agreement), unless an exemption from such registration is available, in which case the Holder may still be limited as to the number of shares of Common Stock of the Company with respect to which this Warrant may be exercised that may be sold from time to time.</w:t>
      </w:r>
    </w:p>
    <w:p>
      <w:pPr>
        <w:spacing w:after="0" w:line="118" w:lineRule="exact"/>
        <w:rPr>
          <w:sz w:val="20"/>
          <w:szCs w:val="20"/>
          <w:color w:val="auto"/>
        </w:rPr>
      </w:pPr>
    </w:p>
    <w:p>
      <w:pPr>
        <w:ind w:firstLine="8"/>
        <w:spacing w:after="0" w:line="268" w:lineRule="auto"/>
        <w:tabs>
          <w:tab w:leader="none" w:pos="176" w:val="left"/>
        </w:tabs>
        <w:numPr>
          <w:ilvl w:val="0"/>
          <w:numId w:val="32"/>
        </w:numPr>
        <w:rPr>
          <w:rFonts w:ascii="Arial" w:cs="Arial" w:eastAsia="Arial" w:hAnsi="Arial"/>
          <w:sz w:val="18"/>
          <w:szCs w:val="18"/>
          <w:color w:val="auto"/>
        </w:rPr>
      </w:pPr>
      <w:r>
        <w:rPr>
          <w:rFonts w:ascii="Arial" w:cs="Arial" w:eastAsia="Arial" w:hAnsi="Arial"/>
          <w:sz w:val="18"/>
          <w:szCs w:val="18"/>
          <w:color w:val="auto"/>
        </w:rPr>
        <w:t>Rights and Obligations of Warrant Holder</w:t>
      </w:r>
      <w:r>
        <w:rPr>
          <w:rFonts w:ascii="Arial" w:cs="Arial" w:eastAsia="Arial" w:hAnsi="Arial"/>
          <w:sz w:val="18"/>
          <w:szCs w:val="18"/>
          <w:i w:val="1"/>
          <w:iCs w:val="1"/>
          <w:color w:val="auto"/>
        </w:rPr>
        <w:t>.</w:t>
      </w:r>
      <w:r>
        <w:rPr>
          <w:rFonts w:ascii="Arial" w:cs="Arial" w:eastAsia="Arial" w:hAnsi="Arial"/>
          <w:sz w:val="18"/>
          <w:szCs w:val="18"/>
          <w:color w:val="auto"/>
        </w:rPr>
        <w:t xml:space="preserve"> The Holder of this Warrant shall not, by virtue hereof, be entitled to any voting rights or other rights as a stockholder of the Company. No provision of this Warrant, in the absence of</w:t>
      </w:r>
    </w:p>
    <w:p>
      <w:pPr>
        <w:sectPr>
          <w:pgSz w:w="11900" w:h="16838" w:orient="portrait"/>
          <w:cols w:equalWidth="0" w:num="1">
            <w:col w:w="11420"/>
          </w:cols>
          <w:pgMar w:left="240" w:top="280" w:right="239" w:bottom="1440" w:gutter="0" w:footer="0" w:header="0"/>
        </w:sectPr>
      </w:pPr>
    </w:p>
    <w:bookmarkStart w:id="34" w:name="page35"/>
    <w:bookmarkEnd w:id="34"/>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affirmative actions by the Holder to purchase Common Stock of the Company by exercising this Warrant, and no enumeration in this Warrant of the rights or privileges of the Holder, will give rise to any liability of such Holder for the Exercise Price of Common Stock acquirable by exercise hereof or as a stockholder of the Company.</w:t>
      </w:r>
    </w:p>
    <w:p>
      <w:pPr>
        <w:spacing w:after="0" w:line="140" w:lineRule="exact"/>
        <w:rPr>
          <w:sz w:val="20"/>
          <w:szCs w:val="20"/>
          <w:color w:val="auto"/>
        </w:rPr>
      </w:pPr>
    </w:p>
    <w:p>
      <w:pPr>
        <w:ind w:right="20" w:firstLine="8"/>
        <w:spacing w:after="0" w:line="255" w:lineRule="auto"/>
        <w:tabs>
          <w:tab w:leader="none" w:pos="17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Transfer of Warrants</w:t>
      </w:r>
      <w:r>
        <w:rPr>
          <w:rFonts w:ascii="Arial" w:cs="Arial" w:eastAsia="Arial" w:hAnsi="Arial"/>
          <w:sz w:val="18"/>
          <w:szCs w:val="18"/>
          <w:i w:val="1"/>
          <w:iCs w:val="1"/>
          <w:color w:val="auto"/>
        </w:rPr>
        <w:t>.</w:t>
      </w:r>
      <w:r>
        <w:rPr>
          <w:rFonts w:ascii="Arial" w:cs="Arial" w:eastAsia="Arial" w:hAnsi="Arial"/>
          <w:sz w:val="18"/>
          <w:szCs w:val="18"/>
          <w:color w:val="auto"/>
        </w:rPr>
        <w:t xml:space="preserve"> Subject to compliance with the restrictions on transfer applicable to this Warrant referred to in Section 5 hereof, this Warrant and all rights hereunder are transferable, in whole or in part, without charge to the registered Holder, upon surrender of this Warrant with a properly executed Assignment (in substantially the form attached hereto as Exhibit B), to the Company, and the Company at its expense will issue and deliver to or upon the order of the Holder hereof a new Warrant or Warrants in such denomination or denominations as may be requested, but otherwise of like tenor, in the name of the Holder or as the Holder (upon payment of any applicable transfer taxes) may direct.</w:t>
      </w:r>
    </w:p>
    <w:p>
      <w:pPr>
        <w:spacing w:after="0" w:line="142" w:lineRule="exact"/>
        <w:rPr>
          <w:rFonts w:ascii="Arial" w:cs="Arial" w:eastAsia="Arial" w:hAnsi="Arial"/>
          <w:sz w:val="18"/>
          <w:szCs w:val="18"/>
          <w:color w:val="auto"/>
        </w:rPr>
      </w:pPr>
    </w:p>
    <w:p>
      <w:pPr>
        <w:ind w:firstLine="8"/>
        <w:spacing w:after="0" w:line="256" w:lineRule="auto"/>
        <w:tabs>
          <w:tab w:leader="none" w:pos="176"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Replacement of Warrants</w:t>
      </w:r>
      <w:r>
        <w:rPr>
          <w:rFonts w:ascii="Arial" w:cs="Arial" w:eastAsia="Arial" w:hAnsi="Arial"/>
          <w:sz w:val="18"/>
          <w:szCs w:val="18"/>
          <w:i w:val="1"/>
          <w:iCs w:val="1"/>
          <w:color w:val="auto"/>
        </w:rPr>
        <w:t>.</w:t>
      </w:r>
      <w:r>
        <w:rPr>
          <w:rFonts w:ascii="Arial" w:cs="Arial" w:eastAsia="Arial" w:hAnsi="Arial"/>
          <w:sz w:val="18"/>
          <w:szCs w:val="18"/>
          <w:color w:val="auto"/>
        </w:rPr>
        <w:t xml:space="preserve"> Upon receipt of evidence reasonably satisfactory to the Company of the loss, theft, destruction or mutilation of any Warrant and, in the case of any such loss, theft or destruction, upon delivery of an indemnity agreement reasonably satisfactory in form and amount to the Company or, in the case of any such mutilation, upon surrender and cancellation of such Warrant, the Company at its expense will execute and deliver, in lieu thereof, a new Warrant of like tenor.</w:t>
      </w:r>
    </w:p>
    <w:p>
      <w:pPr>
        <w:spacing w:after="0" w:line="143" w:lineRule="exact"/>
        <w:rPr>
          <w:rFonts w:ascii="Arial" w:cs="Arial" w:eastAsia="Arial" w:hAnsi="Arial"/>
          <w:sz w:val="18"/>
          <w:szCs w:val="18"/>
          <w:color w:val="auto"/>
        </w:rPr>
      </w:pPr>
    </w:p>
    <w:p>
      <w:pPr>
        <w:ind w:right="200" w:firstLine="8"/>
        <w:spacing w:after="0" w:line="268" w:lineRule="auto"/>
        <w:tabs>
          <w:tab w:leader="none" w:pos="176"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Company Records</w:t>
      </w:r>
      <w:r>
        <w:rPr>
          <w:rFonts w:ascii="Arial" w:cs="Arial" w:eastAsia="Arial" w:hAnsi="Arial"/>
          <w:sz w:val="18"/>
          <w:szCs w:val="18"/>
          <w:i w:val="1"/>
          <w:iCs w:val="1"/>
          <w:color w:val="auto"/>
        </w:rPr>
        <w:t>.</w:t>
      </w:r>
      <w:r>
        <w:rPr>
          <w:rFonts w:ascii="Arial" w:cs="Arial" w:eastAsia="Arial" w:hAnsi="Arial"/>
          <w:sz w:val="18"/>
          <w:szCs w:val="18"/>
          <w:color w:val="auto"/>
        </w:rPr>
        <w:t xml:space="preserve"> Until this Warrant is transferred on the books of the Company, the Company may treat the registered Holder hereof as the absolute owner hereof for all purposes, notwithstanding any notice to the contrary.</w:t>
      </w:r>
    </w:p>
    <w:p>
      <w:pPr>
        <w:spacing w:after="0" w:line="131" w:lineRule="exact"/>
        <w:rPr>
          <w:rFonts w:ascii="Arial" w:cs="Arial" w:eastAsia="Arial" w:hAnsi="Arial"/>
          <w:sz w:val="18"/>
          <w:szCs w:val="18"/>
          <w:color w:val="auto"/>
        </w:rPr>
      </w:pPr>
    </w:p>
    <w:p>
      <w:pPr>
        <w:ind w:left="280" w:hanging="272"/>
        <w:spacing w:after="0"/>
        <w:tabs>
          <w:tab w:leader="none" w:pos="2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17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10.1 Notices. All notices and other communications from the Company to the Holder of this Warrant shall be mailed by first class mail, postage prepaid, to such address as may have been furnished to the Company in writing by such Holder, or, until an address is so furnished, to and at the address of the last Holder of this Warrant who has so furnished an address to the Company. All communications from the Holder of this Warrant to the Company shall be mailed by first class mail, postage prepaid, to Galectin Therapeutics Inc., 4960 Peachtree Industrial Boulevard, Suite 240, Norcross, GA 30071 Attn: Chief Financial Officer, or such other address as may have been furnished to the Holder in writing by the Company.</w:t>
      </w:r>
    </w:p>
    <w:p>
      <w:pPr>
        <w:spacing w:after="0" w:line="11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10.2 Amendment and Waiver. Except as otherwise provided herein, this Warrant and any term hereof may be amended, waived, discharged or terminated only by an instrument in writing signed by the party against which enforcement of such amendment, waiver, discharge or termination is sought.</w:t>
      </w:r>
    </w:p>
    <w:p>
      <w:pPr>
        <w:spacing w:after="0" w:line="85"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10.3 Governing Law; Descriptive Headings. This Warrant shall be construed and enforced in accordance with and governed by the laws of the State of Delaware. The headings in this Warrant are for purposes of reference only, and shall not limit or otherwise affect any of the terms hereof.</w:t>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760" w:type="dxa"/>
            <w:vAlign w:val="bottom"/>
          </w:tcPr>
          <w:p>
            <w:pPr>
              <w:spacing w:after="0"/>
              <w:rPr>
                <w:sz w:val="20"/>
                <w:szCs w:val="20"/>
                <w:color w:val="auto"/>
              </w:rPr>
            </w:pPr>
            <w:r>
              <w:rPr>
                <w:rFonts w:ascii="Arial" w:cs="Arial" w:eastAsia="Arial" w:hAnsi="Arial"/>
                <w:sz w:val="18"/>
                <w:szCs w:val="18"/>
                <w:color w:val="auto"/>
              </w:rPr>
              <w:t>Dated:</w:t>
            </w:r>
          </w:p>
        </w:tc>
        <w:tc>
          <w:tcPr>
            <w:tcW w:w="680" w:type="dxa"/>
            <w:vAlign w:val="bottom"/>
          </w:tcPr>
          <w:p>
            <w:pPr>
              <w:jc w:val="right"/>
              <w:spacing w:after="0"/>
              <w:rPr>
                <w:sz w:val="20"/>
                <w:szCs w:val="20"/>
                <w:color w:val="auto"/>
              </w:rPr>
            </w:pPr>
            <w:r>
              <w:rPr>
                <w:rFonts w:ascii="Arial" w:cs="Arial" w:eastAsia="Arial" w:hAnsi="Arial"/>
                <w:sz w:val="18"/>
                <w:szCs w:val="18"/>
                <w:color w:val="auto"/>
              </w:rPr>
              <w:t>, 20 .</w:t>
            </w:r>
          </w:p>
        </w:tc>
      </w:tr>
    </w:tbl>
    <w:p>
      <w:pPr>
        <w:spacing w:after="0" w:line="19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GALECTIN THERAPEUTICS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5099050</wp:posOffset>
            </wp:positionH>
            <wp:positionV relativeFrom="paragraph">
              <wp:posOffset>10795</wp:posOffset>
            </wp:positionV>
            <wp:extent cx="21526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20"/>
          </w:cols>
          <w:pgMar w:left="240" w:top="280" w:right="239" w:bottom="1440" w:gutter="0" w:footer="0" w:header="0"/>
        </w:sectPr>
      </w:pPr>
    </w:p>
    <w:bookmarkStart w:id="35" w:name="page36"/>
    <w:bookmarkEnd w:id="35"/>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SUBSCRIPTION AGREEMENT</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[To be signed only upon exercise of Warrant]</w:t>
      </w:r>
    </w:p>
    <w:p>
      <w:pPr>
        <w:sectPr>
          <w:pgSz w:w="11900" w:h="16838" w:orient="portrait"/>
          <w:cols w:equalWidth="0" w:num="1">
            <w:col w:w="11340"/>
          </w:cols>
          <w:pgMar w:left="240" w:top="280" w:right="319" w:bottom="1440" w:gutter="0" w:footer="0" w:header="0"/>
        </w:sect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jc w:val="center"/>
        <w:ind w:right="5080"/>
        <w:spacing w:after="0"/>
        <w:rPr>
          <w:sz w:val="20"/>
          <w:szCs w:val="20"/>
          <w:color w:val="auto"/>
        </w:rPr>
      </w:pPr>
      <w:r>
        <w:rPr>
          <w:rFonts w:ascii="Arial" w:cs="Arial" w:eastAsia="Arial" w:hAnsi="Arial"/>
          <w:sz w:val="15"/>
          <w:szCs w:val="15"/>
          <w:color w:val="auto"/>
        </w:rPr>
        <w:t>Date:</w:t>
      </w:r>
    </w:p>
    <w:p>
      <w:pPr>
        <w:spacing w:after="0" w:line="205" w:lineRule="exact"/>
        <w:rPr>
          <w:sz w:val="20"/>
          <w:szCs w:val="20"/>
          <w:color w:val="auto"/>
        </w:rPr>
      </w:pPr>
    </w:p>
    <w:p>
      <w:pPr>
        <w:sectPr>
          <w:pgSz w:w="11900" w:h="16838" w:orient="portrait"/>
          <w:cols w:equalWidth="0" w:num="2">
            <w:col w:w="5160" w:space="720"/>
            <w:col w:w="5460"/>
          </w:cols>
          <w:pgMar w:left="240" w:top="280" w:right="31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The undersigned, the Holder of the within Warrant, pursuant to the provisions set forth in the within Warrant, hereby irrevocably elects to exercise the</w:t>
      </w:r>
    </w:p>
    <w:p>
      <w:pPr>
        <w:spacing w:after="0" w:line="38" w:lineRule="exact"/>
        <w:rPr>
          <w:sz w:val="20"/>
          <w:szCs w:val="20"/>
          <w:color w:val="auto"/>
        </w:rPr>
      </w:pPr>
    </w:p>
    <w:p>
      <w:pPr>
        <w:spacing w:after="0"/>
        <w:tabs>
          <w:tab w:leader="none" w:pos="7900" w:val="left"/>
        </w:tabs>
        <w:rPr>
          <w:sz w:val="20"/>
          <w:szCs w:val="20"/>
          <w:color w:val="auto"/>
        </w:rPr>
      </w:pPr>
      <w:r>
        <w:rPr>
          <w:rFonts w:ascii="Arial" w:cs="Arial" w:eastAsia="Arial" w:hAnsi="Arial"/>
          <w:sz w:val="18"/>
          <w:szCs w:val="18"/>
          <w:color w:val="auto"/>
        </w:rPr>
        <w:t>purchase rights represented by such Warrant for, and agrees to subscribe for and purchase thereunder,</w:t>
      </w:r>
      <w:r>
        <w:rPr>
          <w:sz w:val="20"/>
          <w:szCs w:val="20"/>
          <w:color w:val="auto"/>
        </w:rPr>
        <w:tab/>
      </w:r>
      <w:r>
        <w:rPr>
          <w:rFonts w:ascii="Arial" w:cs="Arial" w:eastAsia="Arial" w:hAnsi="Arial"/>
          <w:sz w:val="15"/>
          <w:szCs w:val="15"/>
          <w:color w:val="auto"/>
        </w:rPr>
        <w:t>shares of the Common Stock covered by such</w:t>
      </w:r>
    </w:p>
    <w:p>
      <w:pPr>
        <w:spacing w:after="0" w:line="9" w:lineRule="exact"/>
        <w:rPr>
          <w:sz w:val="20"/>
          <w:szCs w:val="20"/>
          <w:color w:val="auto"/>
        </w:rPr>
      </w:pPr>
    </w:p>
    <w:p>
      <w:pPr>
        <w:spacing w:after="0"/>
        <w:tabs>
          <w:tab w:leader="none" w:pos="3360" w:val="left"/>
        </w:tabs>
        <w:rPr>
          <w:sz w:val="20"/>
          <w:szCs w:val="20"/>
          <w:color w:val="auto"/>
        </w:rPr>
      </w:pPr>
      <w:r>
        <w:rPr>
          <w:rFonts w:ascii="Arial" w:cs="Arial" w:eastAsia="Arial" w:hAnsi="Arial"/>
          <w:sz w:val="18"/>
          <w:szCs w:val="18"/>
          <w:color w:val="auto"/>
        </w:rPr>
        <w:t>Warrant and herewith makes payment of $</w:t>
      </w:r>
      <w:r>
        <w:rPr>
          <w:sz w:val="20"/>
          <w:szCs w:val="20"/>
          <w:color w:val="auto"/>
        </w:rPr>
        <w:tab/>
      </w:r>
      <w:r>
        <w:rPr>
          <w:rFonts w:ascii="Arial" w:cs="Arial" w:eastAsia="Arial" w:hAnsi="Arial"/>
          <w:sz w:val="15"/>
          <w:szCs w:val="15"/>
          <w:color w:val="auto"/>
        </w:rPr>
        <w:t>therefor, and requests that the certificates for such shares be issued in the name of, and delivered to,</w:t>
      </w:r>
    </w:p>
    <w:p>
      <w:pPr>
        <w:spacing w:after="0" w:line="9" w:lineRule="exact"/>
        <w:rPr>
          <w:sz w:val="20"/>
          <w:szCs w:val="20"/>
          <w:color w:val="auto"/>
        </w:rPr>
      </w:pPr>
    </w:p>
    <w:p>
      <w:pPr>
        <w:spacing w:after="0"/>
        <w:tabs>
          <w:tab w:leader="none" w:pos="2140" w:val="left"/>
        </w:tabs>
        <w:rPr>
          <w:sz w:val="20"/>
          <w:szCs w:val="20"/>
          <w:color w:val="auto"/>
        </w:rPr>
      </w:pPr>
      <w:r>
        <w:rPr>
          <w:rFonts w:ascii="Arial" w:cs="Arial" w:eastAsia="Arial" w:hAnsi="Arial"/>
          <w:sz w:val="18"/>
          <w:szCs w:val="18"/>
          <w:color w:val="auto"/>
        </w:rPr>
        <w:t>whose address is:</w:t>
      </w:r>
      <w:r>
        <w:rPr>
          <w:sz w:val="20"/>
          <w:szCs w:val="20"/>
          <w:color w:val="auto"/>
        </w:rPr>
        <w:tab/>
      </w:r>
      <w:r>
        <w:rPr>
          <w:rFonts w:ascii="Arial" w:cs="Arial" w:eastAsia="Arial" w:hAnsi="Arial"/>
          <w:sz w:val="15"/>
          <w:szCs w:val="15"/>
          <w:color w:val="auto"/>
        </w:rPr>
        <w:t>. If said number of shares is less than all the shares covered by such Warrant, a new Warrant shall be registered in the name of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77" w:lineRule="exact"/>
        <w:rPr>
          <w:sz w:val="20"/>
          <w:szCs w:val="20"/>
          <w:color w:val="auto"/>
        </w:rPr>
      </w:pPr>
    </w:p>
    <w:p>
      <w:pPr>
        <w:sectPr>
          <w:pgSz w:w="11900" w:h="16838" w:orient="portrait"/>
          <w:cols w:equalWidth="0" w:num="2">
            <w:col w:w="11240" w:space="60"/>
            <w:col w:w="40"/>
          </w:cols>
          <w:pgMar w:left="240" w:top="280" w:right="319" w:bottom="1440" w:gutter="0" w:footer="0" w:header="0"/>
          <w:type w:val="continuous"/>
        </w:sectPr>
      </w:pPr>
    </w:p>
    <w:p>
      <w:pPr>
        <w:spacing w:after="0"/>
        <w:rPr>
          <w:sz w:val="20"/>
          <w:szCs w:val="20"/>
          <w:color w:val="auto"/>
        </w:rPr>
      </w:pPr>
      <w:r>
        <w:rPr>
          <w:rFonts w:ascii="Arial" w:cs="Arial" w:eastAsia="Arial" w:hAnsi="Arial"/>
          <w:sz w:val="18"/>
          <w:szCs w:val="18"/>
          <w:color w:val="auto"/>
        </w:rPr>
        <w:t>undersigned and delivered to the address stated below.</w:t>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4876165</wp:posOffset>
            </wp:positionH>
            <wp:positionV relativeFrom="paragraph">
              <wp:posOffset>10795</wp:posOffset>
            </wp:positionV>
            <wp:extent cx="23755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124"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(Signature must conform in all respects to name of</w:t>
      </w:r>
    </w:p>
    <w:p>
      <w:pPr>
        <w:spacing w:after="0" w:line="38" w:lineRule="exact"/>
        <w:rPr>
          <w:sz w:val="20"/>
          <w:szCs w:val="20"/>
          <w:color w:val="auto"/>
        </w:rPr>
      </w:pPr>
    </w:p>
    <w:p>
      <w:pPr>
        <w:ind w:left="7680"/>
        <w:spacing w:after="0"/>
        <w:rPr>
          <w:sz w:val="20"/>
          <w:szCs w:val="20"/>
          <w:color w:val="auto"/>
        </w:rPr>
      </w:pPr>
      <w:r>
        <w:rPr>
          <w:rFonts w:ascii="Arial" w:cs="Arial" w:eastAsia="Arial" w:hAnsi="Arial"/>
          <w:sz w:val="15"/>
          <w:szCs w:val="15"/>
          <w:color w:val="auto"/>
        </w:rPr>
        <w:t>Holder as specified on the face of the Warrant or on</w:t>
      </w:r>
    </w:p>
    <w:p>
      <w:pPr>
        <w:spacing w:after="0" w:line="44"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the form of Assignment attached as Exhibit B</w:t>
      </w:r>
    </w:p>
    <w:p>
      <w:pPr>
        <w:spacing w:after="0" w:line="9"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thereto.)</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4876165</wp:posOffset>
            </wp:positionH>
            <wp:positionV relativeFrom="paragraph">
              <wp:posOffset>10795</wp:posOffset>
            </wp:positionV>
            <wp:extent cx="23755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375535" cy="8890"/>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234315</wp:posOffset>
            </wp:positionV>
            <wp:extent cx="23755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 Guarantee]</w:t>
      </w:r>
    </w:p>
    <w:p>
      <w:pPr>
        <w:sectPr>
          <w:pgSz w:w="11900" w:h="16838" w:orient="portrait"/>
          <w:cols w:equalWidth="0" w:num="1">
            <w:col w:w="11340"/>
          </w:cols>
          <w:pgMar w:left="240" w:top="280" w:right="319" w:bottom="1440" w:gutter="0" w:footer="0" w:header="0"/>
          <w:type w:val="continuous"/>
        </w:sectPr>
      </w:pPr>
    </w:p>
    <w:bookmarkStart w:id="36" w:name="page37"/>
    <w:bookmarkEnd w:id="3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signed only upon transfer of Warrant]</w:t>
      </w:r>
    </w:p>
    <w:p>
      <w:pPr>
        <w:spacing w:after="0" w:line="17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For value received, the undersigned hereby sells, assigns and transfers all of the rights of the undersigned under the within Warrant with respect to the number of shares of the Common Stock covered thereby set forth below, unto:</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640" w:type="dxa"/>
            <w:vAlign w:val="bottom"/>
          </w:tcPr>
          <w:p>
            <w:pPr>
              <w:spacing w:after="0"/>
              <w:rPr>
                <w:sz w:val="20"/>
                <w:szCs w:val="20"/>
                <w:color w:val="auto"/>
              </w:rPr>
            </w:pPr>
            <w:r>
              <w:rPr>
                <w:rFonts w:ascii="Arial" w:cs="Arial" w:eastAsia="Arial" w:hAnsi="Arial"/>
                <w:sz w:val="18"/>
                <w:szCs w:val="18"/>
                <w:i w:val="1"/>
                <w:iCs w:val="1"/>
                <w:color w:val="auto"/>
              </w:rPr>
              <w:t>Name of Assignee</w:t>
            </w:r>
          </w:p>
        </w:tc>
        <w:tc>
          <w:tcPr>
            <w:tcW w:w="2320" w:type="dxa"/>
            <w:vAlign w:val="bottom"/>
          </w:tcPr>
          <w:p>
            <w:pPr>
              <w:ind w:left="1380"/>
              <w:spacing w:after="0"/>
              <w:rPr>
                <w:sz w:val="20"/>
                <w:szCs w:val="20"/>
                <w:color w:val="auto"/>
              </w:rPr>
            </w:pPr>
            <w:r>
              <w:rPr>
                <w:rFonts w:ascii="Arial" w:cs="Arial" w:eastAsia="Arial" w:hAnsi="Arial"/>
                <w:sz w:val="18"/>
                <w:szCs w:val="18"/>
                <w:i w:val="1"/>
                <w:iCs w:val="1"/>
                <w:color w:val="auto"/>
              </w:rPr>
              <w:t>Address</w:t>
            </w:r>
          </w:p>
        </w:tc>
        <w:tc>
          <w:tcPr>
            <w:tcW w:w="1320" w:type="dxa"/>
            <w:vAlign w:val="bottom"/>
          </w:tcPr>
          <w:p>
            <w:pPr>
              <w:spacing w:after="0"/>
              <w:rPr>
                <w:sz w:val="19"/>
                <w:szCs w:val="19"/>
                <w:color w:val="auto"/>
              </w:rPr>
            </w:pPr>
          </w:p>
        </w:tc>
        <w:tc>
          <w:tcPr>
            <w:tcW w:w="5140" w:type="dxa"/>
            <w:vAlign w:val="bottom"/>
          </w:tcPr>
          <w:p>
            <w:pPr>
              <w:ind w:left="1500"/>
              <w:spacing w:after="0"/>
              <w:rPr>
                <w:sz w:val="20"/>
                <w:szCs w:val="20"/>
                <w:color w:val="auto"/>
              </w:rPr>
            </w:pPr>
            <w:r>
              <w:rPr>
                <w:rFonts w:ascii="Arial" w:cs="Arial" w:eastAsia="Arial" w:hAnsi="Arial"/>
                <w:sz w:val="18"/>
                <w:szCs w:val="18"/>
                <w:i w:val="1"/>
                <w:iCs w:val="1"/>
                <w:color w:val="auto"/>
              </w:rPr>
              <w:t>No. of Shares</w:t>
            </w:r>
          </w:p>
        </w:tc>
      </w:tr>
      <w:tr>
        <w:trPr>
          <w:trHeight w:val="421"/>
        </w:trPr>
        <w:tc>
          <w:tcPr>
            <w:tcW w:w="2640" w:type="dxa"/>
            <w:vAlign w:val="bottom"/>
          </w:tcPr>
          <w:p>
            <w:pPr>
              <w:spacing w:after="0"/>
              <w:rPr>
                <w:sz w:val="20"/>
                <w:szCs w:val="20"/>
                <w:color w:val="auto"/>
              </w:rPr>
            </w:pPr>
            <w:r>
              <w:rPr>
                <w:rFonts w:ascii="Arial" w:cs="Arial" w:eastAsia="Arial" w:hAnsi="Arial"/>
                <w:sz w:val="18"/>
                <w:szCs w:val="18"/>
                <w:color w:val="auto"/>
              </w:rPr>
              <w:t>Dated:</w:t>
            </w:r>
          </w:p>
        </w:tc>
        <w:tc>
          <w:tcPr>
            <w:tcW w:w="2320" w:type="dxa"/>
            <w:vAlign w:val="bottom"/>
          </w:tcPr>
          <w:p>
            <w:pPr>
              <w:spacing w:after="0"/>
              <w:rPr>
                <w:sz w:val="24"/>
                <w:szCs w:val="24"/>
                <w:color w:val="auto"/>
              </w:rPr>
            </w:pPr>
          </w:p>
        </w:tc>
        <w:tc>
          <w:tcPr>
            <w:tcW w:w="6460" w:type="dxa"/>
            <w:vAlign w:val="bottom"/>
            <w:gridSpan w:val="2"/>
          </w:tcPr>
          <w:p>
            <w:pPr>
              <w:ind w:left="400"/>
              <w:spacing w:after="0"/>
              <w:rPr>
                <w:sz w:val="20"/>
                <w:szCs w:val="20"/>
                <w:color w:val="auto"/>
              </w:rPr>
            </w:pPr>
            <w:r>
              <w:rPr>
                <w:rFonts w:ascii="Arial" w:cs="Arial" w:eastAsia="Arial" w:hAnsi="Arial"/>
                <w:sz w:val="18"/>
                <w:szCs w:val="18"/>
                <w:color w:val="auto"/>
              </w:rPr>
              <w:t>Signature</w:t>
            </w:r>
          </w:p>
        </w:tc>
      </w:tr>
      <w:tr>
        <w:trPr>
          <w:trHeight w:val="323"/>
        </w:trPr>
        <w:tc>
          <w:tcPr>
            <w:tcW w:w="26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1"/>
              </w:rPr>
              <w:t>(Signature must conform in all respects to name of Holder as specified</w:t>
            </w:r>
          </w:p>
        </w:tc>
      </w:tr>
      <w:tr>
        <w:trPr>
          <w:trHeight w:val="222"/>
        </w:trPr>
        <w:tc>
          <w:tcPr>
            <w:tcW w:w="26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on the face of the Warrant.)</w:t>
            </w:r>
          </w:p>
        </w:tc>
      </w:tr>
      <w:tr>
        <w:trPr>
          <w:trHeight w:val="434"/>
        </w:trPr>
        <w:tc>
          <w:tcPr>
            <w:tcW w:w="26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320" w:type="dxa"/>
            <w:vAlign w:val="bottom"/>
          </w:tcPr>
          <w:p>
            <w:pPr>
              <w:ind w:left="400"/>
              <w:spacing w:after="0"/>
              <w:rPr>
                <w:sz w:val="20"/>
                <w:szCs w:val="20"/>
                <w:color w:val="auto"/>
              </w:rPr>
            </w:pPr>
            <w:r>
              <w:rPr>
                <w:rFonts w:ascii="Arial" w:cs="Arial" w:eastAsia="Arial" w:hAnsi="Arial"/>
                <w:sz w:val="18"/>
                <w:szCs w:val="18"/>
                <w:color w:val="auto"/>
              </w:rPr>
              <w:t>Address</w:t>
            </w:r>
          </w:p>
        </w:tc>
        <w:tc>
          <w:tcPr>
            <w:tcW w:w="5140" w:type="dxa"/>
            <w:vAlign w:val="bottom"/>
            <w:tcBorders>
              <w:bottom w:val="single" w:sz="8" w:color="auto"/>
            </w:tcBorders>
          </w:tcPr>
          <w:p>
            <w:pPr>
              <w:spacing w:after="0"/>
              <w:rPr>
                <w:sz w:val="24"/>
                <w:szCs w:val="24"/>
                <w:color w:val="auto"/>
              </w:rPr>
            </w:pPr>
          </w:p>
        </w:tc>
      </w:tr>
      <w:tr>
        <w:trPr>
          <w:trHeight w:val="331"/>
        </w:trPr>
        <w:tc>
          <w:tcPr>
            <w:tcW w:w="26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r>
        <w:trPr>
          <w:trHeight w:val="329"/>
        </w:trPr>
        <w:tc>
          <w:tcPr>
            <w:tcW w:w="26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460" w:type="dxa"/>
            <w:vAlign w:val="bottom"/>
            <w:gridSpan w:val="2"/>
          </w:tcPr>
          <w:p>
            <w:pPr>
              <w:ind w:left="400"/>
              <w:spacing w:after="0"/>
              <w:rPr>
                <w:sz w:val="20"/>
                <w:szCs w:val="20"/>
                <w:color w:val="auto"/>
              </w:rPr>
            </w:pPr>
            <w:r>
              <w:rPr>
                <w:rFonts w:ascii="Arial" w:cs="Arial" w:eastAsia="Arial" w:hAnsi="Arial"/>
                <w:sz w:val="18"/>
                <w:szCs w:val="18"/>
                <w:color w:val="auto"/>
              </w:rPr>
              <w:t>[Signature Guarantee]</w:t>
            </w:r>
          </w:p>
        </w:tc>
      </w:tr>
    </w:tbl>
    <w:p>
      <w:pPr>
        <w:sectPr>
          <w:pgSz w:w="11900" w:h="16838" w:orient="portrait"/>
          <w:cols w:equalWidth="0" w:num="1">
            <w:col w:w="11420"/>
          </w:cols>
          <w:pgMar w:left="240" w:top="280"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10.3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17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THIS EMPLOYMENT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this 20th day of June, 2013, by and between Galectin Therapeutics Inc., a Nevada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Jack Callicutt, an individual residing in the State of Georgia (“</w:t>
      </w:r>
      <w:r>
        <w:rPr>
          <w:rFonts w:ascii="Arial" w:cs="Arial" w:eastAsia="Arial" w:hAnsi="Arial"/>
          <w:sz w:val="18"/>
          <w:szCs w:val="18"/>
          <w:u w:val="single" w:color="auto"/>
          <w:color w:val="auto"/>
        </w:rPr>
        <w:t>Executive</w:t>
      </w:r>
      <w:r>
        <w:rPr>
          <w:rFonts w:ascii="Arial" w:cs="Arial" w:eastAsia="Arial" w:hAnsi="Arial"/>
          <w:sz w:val="18"/>
          <w:szCs w:val="18"/>
          <w:color w:val="auto"/>
        </w:rPr>
        <w:t>”).</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 I T N E S S E T H</w:t>
      </w:r>
      <w:r>
        <w:rPr>
          <w:rFonts w:ascii="Arial" w:cs="Arial" w:eastAsia="Arial" w:hAnsi="Arial"/>
          <w:sz w:val="18"/>
          <w:szCs w:val="18"/>
          <w:b w:val="1"/>
          <w:bCs w:val="1"/>
          <w:color w:val="auto"/>
        </w:rPr>
        <w: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the Company desires to employ Executive and Executive desires to be employed by the Company, all in accordance with the terms hereof.</w:t>
      </w:r>
    </w:p>
    <w:p>
      <w:pPr>
        <w:spacing w:after="0" w:line="19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NOW, THEREFORE, in consideration of the terms, conditions, and mutual covenants hereinafter contained, and other good and valuable consideration, the receipt and sufficiency of which is hereby acknowledged, the parties hereto do hereby agree as follows:</w:t>
      </w:r>
    </w:p>
    <w:p>
      <w:pPr>
        <w:spacing w:after="0" w:line="132" w:lineRule="exact"/>
        <w:rPr>
          <w:sz w:val="20"/>
          <w:szCs w:val="20"/>
          <w:color w:val="auto"/>
        </w:rPr>
      </w:pPr>
    </w:p>
    <w:p>
      <w:pPr>
        <w:ind w:right="460" w:firstLine="464"/>
        <w:spacing w:after="0" w:line="268" w:lineRule="auto"/>
        <w:tabs>
          <w:tab w:leader="none" w:pos="632"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 The Company hereby employs Executive and Executive hereby accepts employment by the Company upon the terms and conditions hereinafter stated.</w:t>
      </w:r>
    </w:p>
    <w:p>
      <w:pPr>
        <w:spacing w:after="0" w:line="131" w:lineRule="exact"/>
        <w:rPr>
          <w:rFonts w:ascii="Arial" w:cs="Arial" w:eastAsia="Arial" w:hAnsi="Arial"/>
          <w:sz w:val="18"/>
          <w:szCs w:val="18"/>
          <w:color w:val="auto"/>
        </w:rPr>
      </w:pPr>
    </w:p>
    <w:p>
      <w:pPr>
        <w:ind w:right="20" w:firstLine="464"/>
        <w:spacing w:after="0" w:line="255" w:lineRule="auto"/>
        <w:tabs>
          <w:tab w:leader="none" w:pos="632"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Unless sooner terminated as provided herein, Executive’s term of employment hereunder shall commence on July 1, 2013 (the “</w:t>
      </w:r>
      <w:r>
        <w:rPr>
          <w:rFonts w:ascii="Arial" w:cs="Arial" w:eastAsia="Arial" w:hAnsi="Arial"/>
          <w:sz w:val="18"/>
          <w:szCs w:val="18"/>
          <w:u w:val="single" w:color="auto"/>
          <w:color w:val="auto"/>
        </w:rPr>
        <w:t>Commencement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and continue until December 31, 2016 (the “</w:t>
      </w:r>
      <w:r>
        <w:rPr>
          <w:rFonts w:ascii="Arial" w:cs="Arial" w:eastAsia="Arial" w:hAnsi="Arial"/>
          <w:sz w:val="18"/>
          <w:szCs w:val="18"/>
          <w:u w:val="single" w:color="auto"/>
          <w:color w:val="auto"/>
        </w:rPr>
        <w:t>Initial Term</w:t>
      </w:r>
      <w:r>
        <w:rPr>
          <w:rFonts w:ascii="Arial" w:cs="Arial" w:eastAsia="Arial" w:hAnsi="Arial"/>
          <w:sz w:val="18"/>
          <w:szCs w:val="18"/>
          <w:color w:val="auto"/>
        </w:rPr>
        <w:t>”). Unless either party provides written notice of non-renewal at least sixty (60) days prior to the expiration of the Initial Term or any Renewal Term, as defined below, this Agreement shall automatically renew for a period of twelve (12) months and shall automatically be renewed thereafter for subsequent terms of twelve (12) months (each, a “</w:t>
      </w:r>
      <w:r>
        <w:rPr>
          <w:rFonts w:ascii="Arial" w:cs="Arial" w:eastAsia="Arial" w:hAnsi="Arial"/>
          <w:sz w:val="18"/>
          <w:szCs w:val="18"/>
          <w:u w:val="single" w:color="auto"/>
          <w:color w:val="auto"/>
        </w:rPr>
        <w:t>Renewal Term</w:t>
      </w:r>
      <w:r>
        <w:rPr>
          <w:rFonts w:ascii="Arial" w:cs="Arial" w:eastAsia="Arial" w:hAnsi="Arial"/>
          <w:sz w:val="18"/>
          <w:szCs w:val="18"/>
          <w:color w:val="auto"/>
        </w:rPr>
        <w:t>”; the Initial Term and any Renewal Terms are referred to herein collectively as the “</w:t>
      </w: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142" w:lineRule="exact"/>
        <w:rPr>
          <w:rFonts w:ascii="Arial" w:cs="Arial" w:eastAsia="Arial" w:hAnsi="Arial"/>
          <w:sz w:val="18"/>
          <w:szCs w:val="18"/>
          <w:color w:val="auto"/>
        </w:rPr>
      </w:pPr>
    </w:p>
    <w:p>
      <w:pPr>
        <w:ind w:right="40" w:firstLine="464"/>
        <w:spacing w:after="0" w:line="253" w:lineRule="auto"/>
        <w:tabs>
          <w:tab w:leader="none" w:pos="632"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Duties</w:t>
      </w:r>
      <w:r>
        <w:rPr>
          <w:rFonts w:ascii="Arial" w:cs="Arial" w:eastAsia="Arial" w:hAnsi="Arial"/>
          <w:sz w:val="18"/>
          <w:szCs w:val="18"/>
          <w:color w:val="auto"/>
        </w:rPr>
        <w:t>. During the Term, Executive agrees to serve as, and the Company hereby employs Executive as, the Chief Financial Officer of the Company. Executive will report to the Chief Executive Officer of the Company (the “</w:t>
      </w:r>
      <w:r>
        <w:rPr>
          <w:rFonts w:ascii="Arial" w:cs="Arial" w:eastAsia="Arial" w:hAnsi="Arial"/>
          <w:sz w:val="18"/>
          <w:szCs w:val="18"/>
          <w:u w:val="single" w:color="auto"/>
          <w:color w:val="auto"/>
        </w:rPr>
        <w:t>Reporting Officer</w:t>
      </w:r>
      <w:r>
        <w:rPr>
          <w:rFonts w:ascii="Arial" w:cs="Arial" w:eastAsia="Arial" w:hAnsi="Arial"/>
          <w:sz w:val="18"/>
          <w:szCs w:val="18"/>
          <w:color w:val="auto"/>
        </w:rPr>
        <w:t>”). Executive agrees to perform such duties, subject to the reasonable direction of the Reporting Officer, as are customarily performed by chief financial officers in companies of similar size and scope in industries similar to the industry in which the Company operates, including, but not limited to, administrative, financial, and risk management operations of the Company, to include the development of a financial and operational strategy, metrics tied to that strategy, and the ongoing development and monitoring of control systems designed to preserve Company assets and report accurate financial results, as well as compliance with all Securities and Exchange Commission financial requirements applicable to the Company.</w:t>
      </w:r>
    </w:p>
    <w:p>
      <w:pPr>
        <w:spacing w:after="0" w:line="147" w:lineRule="exact"/>
        <w:rPr>
          <w:rFonts w:ascii="Arial" w:cs="Arial" w:eastAsia="Arial" w:hAnsi="Arial"/>
          <w:sz w:val="18"/>
          <w:szCs w:val="18"/>
          <w:color w:val="auto"/>
        </w:rPr>
      </w:pPr>
    </w:p>
    <w:p>
      <w:pPr>
        <w:ind w:right="120" w:firstLine="464"/>
        <w:spacing w:after="0" w:line="268" w:lineRule="auto"/>
        <w:tabs>
          <w:tab w:leader="none" w:pos="632"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 As compensation for services rendered by Executive pursuant to this Agreement, the Company agrees to pay Executive the following as compensation:</w:t>
      </w:r>
    </w:p>
    <w:p>
      <w:pPr>
        <w:spacing w:after="0" w:line="131" w:lineRule="exact"/>
        <w:rPr>
          <w:rFonts w:ascii="Arial" w:cs="Arial" w:eastAsia="Arial" w:hAnsi="Arial"/>
          <w:sz w:val="18"/>
          <w:szCs w:val="18"/>
          <w:color w:val="auto"/>
        </w:rPr>
      </w:pPr>
    </w:p>
    <w:p>
      <w:pPr>
        <w:ind w:right="20" w:firstLine="921"/>
        <w:spacing w:after="0" w:line="291" w:lineRule="auto"/>
        <w:tabs>
          <w:tab w:leader="none" w:pos="1152" w:val="left"/>
        </w:tabs>
        <w:numPr>
          <w:ilvl w:val="1"/>
          <w:numId w:val="34"/>
        </w:numPr>
        <w:rPr>
          <w:rFonts w:ascii="Arial" w:cs="Arial" w:eastAsia="Arial" w:hAnsi="Arial"/>
          <w:sz w:val="16"/>
          <w:szCs w:val="16"/>
          <w:color w:val="auto"/>
        </w:rPr>
      </w:pPr>
      <w:r>
        <w:rPr>
          <w:rFonts w:ascii="Arial" w:cs="Arial" w:eastAsia="Arial" w:hAnsi="Arial"/>
          <w:sz w:val="16"/>
          <w:szCs w:val="16"/>
          <w:u w:val="single" w:color="auto"/>
          <w:color w:val="auto"/>
        </w:rPr>
        <w:t>Base Salary</w:t>
      </w:r>
      <w:r>
        <w:rPr>
          <w:rFonts w:ascii="Arial" w:cs="Arial" w:eastAsia="Arial" w:hAnsi="Arial"/>
          <w:sz w:val="16"/>
          <w:szCs w:val="16"/>
          <w:color w:val="auto"/>
        </w:rPr>
        <w:t>. An initial base salary of One Hundred Seventy-Five Thousand and No/100 Dollars ($175,000.00) per year from the Commencement Date through through the end of the Initial Term (“</w:t>
      </w:r>
      <w:r>
        <w:rPr>
          <w:rFonts w:ascii="Arial" w:cs="Arial" w:eastAsia="Arial" w:hAnsi="Arial"/>
          <w:sz w:val="16"/>
          <w:szCs w:val="16"/>
          <w:u w:val="single" w:color="auto"/>
          <w:color w:val="auto"/>
        </w:rPr>
        <w:t>Base Salary</w:t>
      </w:r>
      <w:r>
        <w:rPr>
          <w:rFonts w:ascii="Arial" w:cs="Arial" w:eastAsia="Arial" w:hAnsi="Arial"/>
          <w:sz w:val="16"/>
          <w:szCs w:val="16"/>
          <w:color w:val="auto"/>
        </w:rPr>
        <w:t>”). The Compensation Committee of the Board of Directors of the Company (“</w:t>
      </w:r>
      <w:r>
        <w:rPr>
          <w:rFonts w:ascii="Arial" w:cs="Arial" w:eastAsia="Arial" w:hAnsi="Arial"/>
          <w:sz w:val="16"/>
          <w:szCs w:val="16"/>
          <w:u w:val="single" w:color="auto"/>
          <w:color w:val="auto"/>
        </w:rPr>
        <w:t>Compensation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Committee</w:t>
      </w:r>
      <w:r>
        <w:rPr>
          <w:rFonts w:ascii="Arial" w:cs="Arial" w:eastAsia="Arial" w:hAnsi="Arial"/>
          <w:sz w:val="16"/>
          <w:szCs w:val="16"/>
          <w:color w:val="auto"/>
        </w:rPr>
        <w:t xml:space="preserve">”) shall review the Base Salary at least annually during the Term for the purpose of determining whether the Base Salary should be adjusted based on a review of market conditions applicable to base compensation for executives of comparable companies and positions comparable to Executive;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Base Salary shall in no event be less than One Hundred Seventy-Five Thousand and No/100 Dollars ($175,000.00) per year. The Compensation Committee shall make a recommendation to the Board of Directors for any adjustment to Base Salary; and</w:t>
      </w:r>
    </w:p>
    <w:p>
      <w:pPr>
        <w:sectPr>
          <w:pgSz w:w="11900" w:h="16838" w:orient="portrait"/>
          <w:cols w:equalWidth="0" w:num="1">
            <w:col w:w="11420"/>
          </w:cols>
          <w:pgMar w:left="240" w:top="125" w:right="239" w:bottom="1440" w:gutter="0" w:footer="0" w:header="0"/>
        </w:sectPr>
      </w:pPr>
    </w:p>
    <w:bookmarkStart w:id="38" w:name="page39"/>
    <w:bookmarkEnd w:id="38"/>
    <w:p>
      <w:pPr>
        <w:ind w:right="60" w:firstLine="921"/>
        <w:spacing w:after="0" w:line="294" w:lineRule="auto"/>
        <w:tabs>
          <w:tab w:leader="none" w:pos="1161"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Annual Performance Bonus</w:t>
      </w:r>
      <w:r>
        <w:rPr>
          <w:rFonts w:ascii="Arial" w:cs="Arial" w:eastAsia="Arial" w:hAnsi="Arial"/>
          <w:sz w:val="16"/>
          <w:szCs w:val="16"/>
          <w:color w:val="auto"/>
        </w:rPr>
        <w:t xml:space="preserve">. An annual bonus, based on Executive achieving the performance objectives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equal to twenty percent (20%) of Base Salary (“</w:t>
      </w:r>
      <w:r>
        <w:rPr>
          <w:rFonts w:ascii="Arial" w:cs="Arial" w:eastAsia="Arial" w:hAnsi="Arial"/>
          <w:sz w:val="16"/>
          <w:szCs w:val="16"/>
          <w:u w:val="single" w:color="auto"/>
          <w:color w:val="auto"/>
        </w:rPr>
        <w:t>Performance Bonus</w:t>
      </w:r>
      <w:r>
        <w:rPr>
          <w:rFonts w:ascii="Arial" w:cs="Arial" w:eastAsia="Arial" w:hAnsi="Arial"/>
          <w:sz w:val="16"/>
          <w:szCs w:val="16"/>
          <w:color w:val="auto"/>
        </w:rPr>
        <w:t>”). Notwithstanding anything contained herein to the contrary, the Company shall not be obligated to make any payment of the Performance Bonus in the event that Executive is terminated for Cause (as defined below) by the later of: (i) the end of the applicable calendar year or (ii) the date after the end of the calendar year that it is determined that Cause for such termination did exist, so long as the process for termination for Cause was initiated in accordance with Section 6(b) below prior to the end of the applicable calendar year; and</w:t>
      </w:r>
    </w:p>
    <w:p>
      <w:pPr>
        <w:spacing w:after="0" w:line="115" w:lineRule="exact"/>
        <w:rPr>
          <w:rFonts w:ascii="Arial" w:cs="Arial" w:eastAsia="Arial" w:hAnsi="Arial"/>
          <w:sz w:val="16"/>
          <w:szCs w:val="16"/>
          <w:color w:val="auto"/>
        </w:rPr>
      </w:pPr>
    </w:p>
    <w:p>
      <w:pPr>
        <w:ind w:right="300" w:firstLine="921"/>
        <w:spacing w:after="0" w:line="268" w:lineRule="auto"/>
        <w:tabs>
          <w:tab w:leader="none" w:pos="1152"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Signing Bonus</w:t>
      </w:r>
      <w:r>
        <w:rPr>
          <w:rFonts w:ascii="Arial" w:cs="Arial" w:eastAsia="Arial" w:hAnsi="Arial"/>
          <w:sz w:val="18"/>
          <w:szCs w:val="18"/>
          <w:color w:val="auto"/>
        </w:rPr>
        <w:t>. A one-time signing bonus in the amount of Ten Thousand and No/100 Dollars ($10,000.00) (“</w:t>
      </w:r>
      <w:r>
        <w:rPr>
          <w:rFonts w:ascii="Arial" w:cs="Arial" w:eastAsia="Arial" w:hAnsi="Arial"/>
          <w:sz w:val="18"/>
          <w:szCs w:val="18"/>
          <w:u w:val="single" w:color="auto"/>
          <w:color w:val="auto"/>
        </w:rPr>
        <w:t>Signing Bonus</w:t>
      </w:r>
      <w:r>
        <w:rPr>
          <w:rFonts w:ascii="Arial" w:cs="Arial" w:eastAsia="Arial" w:hAnsi="Arial"/>
          <w:sz w:val="18"/>
          <w:szCs w:val="18"/>
          <w:color w:val="auto"/>
        </w:rPr>
        <w:t>”), such Signing Bonus to be due and payable by the Company to Executive within thirty (30) days of the Commencement Date.</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Base Salary shall be payable in accordance with the Company’s customary payroll practices and each of Base Salary, Signing Bonus and any Performance Bonus shall be subject to normal withholding and payroll deductions. Base Salary and any Performance Bonus shall be subject to periodic review by the Compensation Committee. Any Performance Bonus payable pursuant to this Agreement shall be paid by the Company to Executive no later than January 31 of the calendar year after the year in which the Performance Bonus was earned by the Executive.</w:t>
      </w:r>
    </w:p>
    <w:p>
      <w:pPr>
        <w:spacing w:after="0" w:line="143" w:lineRule="exact"/>
        <w:rPr>
          <w:sz w:val="20"/>
          <w:szCs w:val="20"/>
          <w:color w:val="auto"/>
        </w:rPr>
      </w:pPr>
    </w:p>
    <w:p>
      <w:pPr>
        <w:ind w:right="300" w:firstLine="464"/>
        <w:spacing w:after="0" w:line="259" w:lineRule="auto"/>
        <w:tabs>
          <w:tab w:leader="none" w:pos="632"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Other Compensation</w:t>
      </w:r>
      <w:r>
        <w:rPr>
          <w:rFonts w:ascii="Arial" w:cs="Arial" w:eastAsia="Arial" w:hAnsi="Arial"/>
          <w:sz w:val="18"/>
          <w:szCs w:val="18"/>
          <w:color w:val="auto"/>
        </w:rPr>
        <w:t>. In addition to his Base Salary and Performance Bonus, the Company shall provide to Executive such other benefits as are customarily provided to other similarly situated employees at the Company, subject to eligibility as provided in each such benefit plan or program. By way of example, Executive shall:</w:t>
      </w:r>
    </w:p>
    <w:p>
      <w:pPr>
        <w:spacing w:after="0" w:line="59" w:lineRule="exact"/>
        <w:rPr>
          <w:rFonts w:ascii="Arial" w:cs="Arial" w:eastAsia="Arial" w:hAnsi="Arial"/>
          <w:sz w:val="18"/>
          <w:szCs w:val="18"/>
          <w:color w:val="auto"/>
        </w:rPr>
      </w:pPr>
    </w:p>
    <w:p>
      <w:pPr>
        <w:ind w:left="460" w:right="180" w:firstLine="443"/>
        <w:spacing w:after="0" w:line="294" w:lineRule="auto"/>
        <w:tabs>
          <w:tab w:leader="none" w:pos="1137" w:val="left"/>
        </w:tabs>
        <w:numPr>
          <w:ilvl w:val="1"/>
          <w:numId w:val="36"/>
        </w:numPr>
        <w:rPr>
          <w:rFonts w:ascii="Arial" w:cs="Arial" w:eastAsia="Arial" w:hAnsi="Arial"/>
          <w:sz w:val="16"/>
          <w:szCs w:val="16"/>
          <w:color w:val="auto"/>
        </w:rPr>
      </w:pPr>
      <w:r>
        <w:rPr>
          <w:rFonts w:ascii="Arial" w:cs="Arial" w:eastAsia="Arial" w:hAnsi="Arial"/>
          <w:sz w:val="16"/>
          <w:szCs w:val="16"/>
          <w:color w:val="auto"/>
        </w:rPr>
        <w:t>be eligible to participate in employee fringe benefits and pension and/or profit-sharing plans that may be provided by the Company to its employees in accordance with the provisions of any such benefit plans, as the same may be in effect from time to time, including without limitation, the Company’s 401(k) profit-sharing plan and matching of Executive’s contributions thereunder by the Company; the Company and Executive acknowledge and agree that (i) as of the date hereof, the Company will match four percent (4%) of the amount that Executive contributes to the 401(k) profit-sharing plan, and (ii) such level of matching may be revised as mutually agreed upon by the Company and Executive from time to time;</w:t>
      </w:r>
    </w:p>
    <w:p>
      <w:pPr>
        <w:spacing w:after="0" w:line="34" w:lineRule="exact"/>
        <w:rPr>
          <w:rFonts w:ascii="Arial" w:cs="Arial" w:eastAsia="Arial" w:hAnsi="Arial"/>
          <w:sz w:val="16"/>
          <w:szCs w:val="16"/>
          <w:color w:val="auto"/>
        </w:rPr>
      </w:pPr>
    </w:p>
    <w:p>
      <w:pPr>
        <w:ind w:left="460" w:firstLine="443"/>
        <w:spacing w:after="0" w:line="255" w:lineRule="auto"/>
        <w:tabs>
          <w:tab w:leader="none" w:pos="1147" w:val="left"/>
        </w:tabs>
        <w:numPr>
          <w:ilvl w:val="1"/>
          <w:numId w:val="36"/>
        </w:numPr>
        <w:rPr>
          <w:rFonts w:ascii="Arial" w:cs="Arial" w:eastAsia="Arial" w:hAnsi="Arial"/>
          <w:sz w:val="18"/>
          <w:szCs w:val="18"/>
          <w:color w:val="auto"/>
        </w:rPr>
      </w:pPr>
      <w:r>
        <w:rPr>
          <w:rFonts w:ascii="Arial" w:cs="Arial" w:eastAsia="Arial" w:hAnsi="Arial"/>
          <w:sz w:val="18"/>
          <w:szCs w:val="18"/>
          <w:color w:val="auto"/>
        </w:rPr>
        <w:t>be eligible to receive term life insurance benefits paid by the Company equal to Executive’s Base Salary, as adjusted from time to time and, at the election of Executive within thirty (30) days of the Commencement Date, elect to purchase additional life insurance and/or accidental death and dismemberment insurance at Executive’s sole cost and expense. Executive acknowledges and agrees that if Executive does not make the election to purchase such additional life insurance and/or accidental death and dismemberment insurance within the time specified, Executive shall have no right to purchase such insurance though the Company’s plan;</w:t>
      </w:r>
    </w:p>
    <w:p>
      <w:pPr>
        <w:spacing w:after="0" w:line="61" w:lineRule="exact"/>
        <w:rPr>
          <w:rFonts w:ascii="Arial" w:cs="Arial" w:eastAsia="Arial" w:hAnsi="Arial"/>
          <w:sz w:val="18"/>
          <w:szCs w:val="18"/>
          <w:color w:val="auto"/>
        </w:rPr>
      </w:pPr>
    </w:p>
    <w:p>
      <w:pPr>
        <w:ind w:left="460" w:right="100" w:firstLine="443"/>
        <w:spacing w:after="0" w:line="291" w:lineRule="auto"/>
        <w:tabs>
          <w:tab w:leader="none" w:pos="1137" w:val="left"/>
        </w:tabs>
        <w:numPr>
          <w:ilvl w:val="1"/>
          <w:numId w:val="36"/>
        </w:numPr>
        <w:rPr>
          <w:rFonts w:ascii="Arial" w:cs="Arial" w:eastAsia="Arial" w:hAnsi="Arial"/>
          <w:sz w:val="16"/>
          <w:szCs w:val="16"/>
          <w:color w:val="auto"/>
        </w:rPr>
      </w:pPr>
      <w:r>
        <w:rPr>
          <w:rFonts w:ascii="Arial" w:cs="Arial" w:eastAsia="Arial" w:hAnsi="Arial"/>
          <w:sz w:val="16"/>
          <w:szCs w:val="16"/>
          <w:color w:val="auto"/>
        </w:rPr>
        <w:t>be granted options to purchase 200,000 shares (the “</w:t>
      </w:r>
      <w:r>
        <w:rPr>
          <w:rFonts w:ascii="Arial" w:cs="Arial" w:eastAsia="Arial" w:hAnsi="Arial"/>
          <w:sz w:val="16"/>
          <w:szCs w:val="16"/>
          <w:u w:val="single" w:color="auto"/>
          <w:color w:val="auto"/>
        </w:rPr>
        <w:t>Options</w:t>
      </w:r>
      <w:r>
        <w:rPr>
          <w:rFonts w:ascii="Arial" w:cs="Arial" w:eastAsia="Arial" w:hAnsi="Arial"/>
          <w:sz w:val="16"/>
          <w:szCs w:val="16"/>
          <w:color w:val="auto"/>
        </w:rPr>
        <w:t xml:space="preserve">”) of the Company’s common stock under the terms and conditions of the Stock Option Agreement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w:t>
      </w:r>
      <w:r>
        <w:rPr>
          <w:rFonts w:ascii="Arial" w:cs="Arial" w:eastAsia="Arial" w:hAnsi="Arial"/>
          <w:sz w:val="16"/>
          <w:szCs w:val="16"/>
          <w:u w:val="single" w:color="auto"/>
          <w:color w:val="auto"/>
        </w:rPr>
        <w:t>Stock Option Agreement</w:t>
      </w:r>
      <w:r>
        <w:rPr>
          <w:rFonts w:ascii="Arial" w:cs="Arial" w:eastAsia="Arial" w:hAnsi="Arial"/>
          <w:sz w:val="16"/>
          <w:szCs w:val="16"/>
          <w:color w:val="auto"/>
        </w:rPr>
        <w:t>”) and Pro-Pharmaceuticals, Inc. Amended and Restated 2009 Incentive Compensation Plan (“</w:t>
      </w:r>
      <w:r>
        <w:rPr>
          <w:rFonts w:ascii="Arial" w:cs="Arial" w:eastAsia="Arial" w:hAnsi="Arial"/>
          <w:sz w:val="16"/>
          <w:szCs w:val="16"/>
          <w:u w:val="single" w:color="auto"/>
          <w:color w:val="auto"/>
        </w:rPr>
        <w:t>Stock Option Plan</w:t>
      </w:r>
      <w:r>
        <w:rPr>
          <w:rFonts w:ascii="Arial" w:cs="Arial" w:eastAsia="Arial" w:hAnsi="Arial"/>
          <w:sz w:val="16"/>
          <w:szCs w:val="16"/>
          <w:color w:val="auto"/>
        </w:rPr>
        <w:t>”). The Stock Option Agreement shall provide for the Options to vest as follows: 25,000 shares on December 31, 2013, 50,000 shares on December 31, 2014, 50,000 shares on December 31, 2015 and 75,000 shares on December 31, 2016. In addition, the Stock Option Agreement shall provide that all of the Options not already vested shall vest one hundred percent (100%) upon the occurrence of a Change of Control (as defined below) and for Executive to have the right to a cashless exercise of the Options, in whole or in part;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39" w:name="page40"/>
    <w:bookmarkEnd w:id="39"/>
    <w:p>
      <w:pPr>
        <w:ind w:left="460" w:right="100" w:firstLine="443"/>
        <w:spacing w:after="0" w:line="268" w:lineRule="auto"/>
        <w:tabs>
          <w:tab w:leader="none" w:pos="1147" w:val="left"/>
        </w:tabs>
        <w:numPr>
          <w:ilvl w:val="0"/>
          <w:numId w:val="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 eligible to participate in employee incentive stock option plans that may be provided by the Company to its employees in accordance with the provisions of the Stock Option Plan and any other such plans, as the same may be in effect from time to time;</w:t>
      </w:r>
    </w:p>
    <w:p>
      <w:pPr>
        <w:spacing w:after="0" w:line="50" w:lineRule="exact"/>
        <w:rPr>
          <w:rFonts w:ascii="Arial" w:cs="Arial" w:eastAsia="Arial" w:hAnsi="Arial"/>
          <w:sz w:val="18"/>
          <w:szCs w:val="18"/>
          <w:color w:val="auto"/>
        </w:rPr>
      </w:pPr>
    </w:p>
    <w:p>
      <w:pPr>
        <w:ind w:left="460" w:right="120" w:firstLine="443"/>
        <w:spacing w:after="0" w:line="255" w:lineRule="auto"/>
        <w:tabs>
          <w:tab w:leader="none" w:pos="1137" w:val="left"/>
        </w:tabs>
        <w:numPr>
          <w:ilvl w:val="0"/>
          <w:numId w:val="37"/>
        </w:numPr>
        <w:rPr>
          <w:rFonts w:ascii="Arial" w:cs="Arial" w:eastAsia="Arial" w:hAnsi="Arial"/>
          <w:sz w:val="18"/>
          <w:szCs w:val="18"/>
          <w:color w:val="auto"/>
        </w:rPr>
      </w:pPr>
      <w:r>
        <w:rPr>
          <w:rFonts w:ascii="Arial" w:cs="Arial" w:eastAsia="Arial" w:hAnsi="Arial"/>
          <w:sz w:val="18"/>
          <w:szCs w:val="18"/>
          <w:color w:val="auto"/>
        </w:rPr>
        <w:t>be eligible to participate in any medical, pharmacy benefit and other health plans (the policies covering both Executive, his spouse and his children that are eligible for coverage being the “</w:t>
      </w:r>
      <w:r>
        <w:rPr>
          <w:rFonts w:ascii="Arial" w:cs="Arial" w:eastAsia="Arial" w:hAnsi="Arial"/>
          <w:sz w:val="18"/>
          <w:szCs w:val="18"/>
          <w:u w:val="single" w:color="auto"/>
          <w:color w:val="auto"/>
        </w:rPr>
        <w:t>Health Insurance</w:t>
      </w:r>
      <w:r>
        <w:rPr>
          <w:rFonts w:ascii="Arial" w:cs="Arial" w:eastAsia="Arial" w:hAnsi="Arial"/>
          <w:sz w:val="18"/>
          <w:szCs w:val="18"/>
          <w:color w:val="auto"/>
        </w:rPr>
        <w:t xml:space="preserve">”) or other employee welfare benefit plans that may be provided by the Company to its employees in accordance with the provisions of any such plans, as the same may be in effect from time to time (and the Company covenants to provide Health Insurance at all times);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fifteen percent (15%) of the cost of participating in any such medical and health plans shall be paid by Executive;</w:t>
      </w:r>
    </w:p>
    <w:p>
      <w:pPr>
        <w:spacing w:after="0" w:line="61" w:lineRule="exact"/>
        <w:rPr>
          <w:rFonts w:ascii="Arial" w:cs="Arial" w:eastAsia="Arial" w:hAnsi="Arial"/>
          <w:sz w:val="18"/>
          <w:szCs w:val="18"/>
          <w:color w:val="auto"/>
        </w:rPr>
      </w:pPr>
    </w:p>
    <w:p>
      <w:pPr>
        <w:ind w:left="460" w:firstLine="443"/>
        <w:spacing w:after="0" w:line="298" w:lineRule="auto"/>
        <w:tabs>
          <w:tab w:leader="none" w:pos="1117" w:val="left"/>
        </w:tabs>
        <w:numPr>
          <w:ilvl w:val="0"/>
          <w:numId w:val="37"/>
        </w:numPr>
        <w:rPr>
          <w:rFonts w:ascii="Arial" w:cs="Arial" w:eastAsia="Arial" w:hAnsi="Arial"/>
          <w:sz w:val="16"/>
          <w:szCs w:val="16"/>
          <w:color w:val="auto"/>
        </w:rPr>
      </w:pPr>
      <w:r>
        <w:rPr>
          <w:rFonts w:ascii="Arial" w:cs="Arial" w:eastAsia="Arial" w:hAnsi="Arial"/>
          <w:sz w:val="16"/>
          <w:szCs w:val="16"/>
          <w:color w:val="auto"/>
        </w:rPr>
        <w:t>during each calendar year, be entitled to twenty (20) business days as paid vacation days (all of which accrue on the first day of each calendar year and shall be pro rated for 2013), in addition to all paid holidays given by the Company to its employees. All vacation days must be used used during the applicable calendar year or shall be deemed forfeited, except that Executive may carryover up to a maximum of ten (10) business days from one calendar year to the next, but may not at any time have more than ten (10) business days available as such a carryover during the Term;</w:t>
      </w:r>
    </w:p>
    <w:p>
      <w:pPr>
        <w:spacing w:after="0" w:line="31" w:lineRule="exact"/>
        <w:rPr>
          <w:rFonts w:ascii="Arial" w:cs="Arial" w:eastAsia="Arial" w:hAnsi="Arial"/>
          <w:sz w:val="16"/>
          <w:szCs w:val="16"/>
          <w:color w:val="auto"/>
        </w:rPr>
      </w:pPr>
    </w:p>
    <w:p>
      <w:pPr>
        <w:ind w:left="460" w:right="400" w:firstLine="443"/>
        <w:spacing w:after="0" w:line="268" w:lineRule="auto"/>
        <w:tabs>
          <w:tab w:leader="none" w:pos="1147" w:val="left"/>
        </w:tabs>
        <w:numPr>
          <w:ilvl w:val="0"/>
          <w:numId w:val="37"/>
        </w:numPr>
        <w:rPr>
          <w:rFonts w:ascii="Arial" w:cs="Arial" w:eastAsia="Arial" w:hAnsi="Arial"/>
          <w:sz w:val="18"/>
          <w:szCs w:val="18"/>
          <w:color w:val="auto"/>
        </w:rPr>
      </w:pPr>
      <w:r>
        <w:rPr>
          <w:rFonts w:ascii="Arial" w:cs="Arial" w:eastAsia="Arial" w:hAnsi="Arial"/>
          <w:sz w:val="18"/>
          <w:szCs w:val="18"/>
          <w:color w:val="auto"/>
        </w:rPr>
        <w:t>be entitled to sick leave, sick pay and disability benefits in accordance with any Company policy that may be applicable to similarly situated employees from time to time; and</w:t>
      </w:r>
    </w:p>
    <w:p>
      <w:pPr>
        <w:spacing w:after="0" w:line="50" w:lineRule="exact"/>
        <w:rPr>
          <w:rFonts w:ascii="Arial" w:cs="Arial" w:eastAsia="Arial" w:hAnsi="Arial"/>
          <w:sz w:val="18"/>
          <w:szCs w:val="18"/>
          <w:color w:val="auto"/>
        </w:rPr>
      </w:pPr>
    </w:p>
    <w:p>
      <w:pPr>
        <w:ind w:left="460" w:right="240" w:firstLine="443"/>
        <w:spacing w:after="0" w:line="268" w:lineRule="auto"/>
        <w:tabs>
          <w:tab w:leader="none" w:pos="1147" w:val="left"/>
        </w:tabs>
        <w:numPr>
          <w:ilvl w:val="0"/>
          <w:numId w:val="37"/>
        </w:numPr>
        <w:rPr>
          <w:rFonts w:ascii="Arial" w:cs="Arial" w:eastAsia="Arial" w:hAnsi="Arial"/>
          <w:sz w:val="18"/>
          <w:szCs w:val="18"/>
          <w:color w:val="auto"/>
        </w:rPr>
      </w:pPr>
      <w:r>
        <w:rPr>
          <w:rFonts w:ascii="Arial" w:cs="Arial" w:eastAsia="Arial" w:hAnsi="Arial"/>
          <w:sz w:val="18"/>
          <w:szCs w:val="18"/>
          <w:color w:val="auto"/>
        </w:rPr>
        <w:t>be entitled to reimbursement for all reasonable and necessary out-of-pocket business expenses incurred by Executive in the performance of his duties hereunder, in accordance with the Company’s normal policies in effect from time to time.</w:t>
      </w:r>
    </w:p>
    <w:p>
      <w:pPr>
        <w:spacing w:after="0" w:line="132"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 xml:space="preserve">Executive shall not be entitled to receive any additional benefits or compensation other than as set forth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above and this </w:t>
      </w:r>
      <w:r>
        <w:rPr>
          <w:rFonts w:ascii="Arial" w:cs="Arial" w:eastAsia="Arial" w:hAnsi="Arial"/>
          <w:sz w:val="16"/>
          <w:szCs w:val="16"/>
          <w:u w:val="single" w:color="auto"/>
          <w:color w:val="auto"/>
        </w:rPr>
        <w:t>Section 5</w:t>
      </w:r>
      <w:r>
        <w:rPr>
          <w:rFonts w:ascii="Arial" w:cs="Arial" w:eastAsia="Arial" w:hAnsi="Arial"/>
          <w:sz w:val="16"/>
          <w:szCs w:val="16"/>
          <w:color w:val="auto"/>
        </w:rPr>
        <w:t>. For purposes of this Agreement, a “</w:t>
      </w:r>
      <w:r>
        <w:rPr>
          <w:rFonts w:ascii="Arial" w:cs="Arial" w:eastAsia="Arial" w:hAnsi="Arial"/>
          <w:sz w:val="16"/>
          <w:szCs w:val="16"/>
          <w:u w:val="single" w:color="auto"/>
          <w:color w:val="auto"/>
        </w:rPr>
        <w:t>business day</w:t>
      </w:r>
      <w:r>
        <w:rPr>
          <w:rFonts w:ascii="Arial" w:cs="Arial" w:eastAsia="Arial" w:hAnsi="Arial"/>
          <w:sz w:val="16"/>
          <w:szCs w:val="16"/>
          <w:color w:val="auto"/>
        </w:rPr>
        <w:t>” is a day on which the Company is open for business and shall not include a Saturday, Sunday or legal holiday.</w:t>
      </w:r>
    </w:p>
    <w:p>
      <w:pPr>
        <w:spacing w:after="0" w:line="85" w:lineRule="exact"/>
        <w:rPr>
          <w:sz w:val="20"/>
          <w:szCs w:val="20"/>
          <w:color w:val="auto"/>
        </w:rPr>
      </w:pPr>
    </w:p>
    <w:p>
      <w:pPr>
        <w:ind w:left="640" w:hanging="176"/>
        <w:spacing w:after="0"/>
        <w:tabs>
          <w:tab w:leader="none" w:pos="640"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2"/>
          <w:numId w:val="38"/>
        </w:numPr>
        <w:rPr>
          <w:rFonts w:ascii="Arial" w:cs="Arial" w:eastAsia="Arial" w:hAnsi="Arial"/>
          <w:sz w:val="16"/>
          <w:szCs w:val="16"/>
          <w:color w:val="auto"/>
        </w:rPr>
      </w:pPr>
      <w:r>
        <w:rPr>
          <w:rFonts w:ascii="Arial" w:cs="Arial" w:eastAsia="Arial" w:hAnsi="Arial"/>
          <w:sz w:val="16"/>
          <w:szCs w:val="16"/>
          <w:color w:val="auto"/>
        </w:rPr>
        <w:t>In the event of Executive’s death or disability, all obligations of the Company under this Agreement shall terminate except with respect to</w:t>
      </w:r>
    </w:p>
    <w:p>
      <w:pPr>
        <w:spacing w:after="0" w:line="38" w:lineRule="exact"/>
        <w:rPr>
          <w:rFonts w:ascii="Arial" w:cs="Arial" w:eastAsia="Arial" w:hAnsi="Arial"/>
          <w:sz w:val="16"/>
          <w:szCs w:val="16"/>
          <w:color w:val="auto"/>
        </w:rPr>
      </w:pPr>
    </w:p>
    <w:p>
      <w:pPr>
        <w:ind w:right="220" w:firstLine="8"/>
        <w:spacing w:after="0" w:line="287" w:lineRule="auto"/>
        <w:tabs>
          <w:tab w:leader="none" w:pos="21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payment of Base Salary accruing prior to such death or disability, (ii) payment of a portion of the amount of the Performance Bonus equal to the maximum amount of the Performance Bonus multiplied by a fraction, (A) the numerator of which shall be the number of days elapsed from the beginning of the calendar year in which such death or disability occurs and (B) the denominator of which shall be the total number of days in the calendar year in which such death or disability occurs (being 365 in a full year and 184 in 2013), (iii) continuation of medical and other insurance benefits in accordance with the benefit programs provided to Executive, and (iv) in the case of disability, payment of such disability benefits as Executive is entitled to receive in accordance with the applicable plan or program. As used herein, “disability” means the inability of Executive to perform those duties and responsibilities that are the essential functions of Executive’s position due to illness, accident or any other physical or mental incapacity after a period of reasonable accommodation for such disability, and as determined in accordance with the applicable disability insurance policy.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40" w:name="page41"/>
    <w:bookmarkEnd w:id="40"/>
    <w:p>
      <w:pPr>
        <w:ind w:left="-8" w:firstLine="921"/>
        <w:spacing w:after="0" w:line="286" w:lineRule="auto"/>
        <w:tabs>
          <w:tab w:leader="none" w:pos="1154" w:val="left"/>
        </w:tabs>
        <w:numPr>
          <w:ilvl w:val="0"/>
          <w:numId w:val="4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the Term, the Company may terminate Executive’s employment without Cause or for Cause. In the event that Executive’s employment is terminated for Cause, the Company shall give written notice of termination to Executive (such termination to be effective after compliance with the notice and cure and other procedures set forth below in this subsection, as applicable), which notice shall specify Cause in reasonable detail. As used herein, “</w:t>
      </w:r>
      <w:r>
        <w:rPr>
          <w:rFonts w:ascii="Arial" w:cs="Arial" w:eastAsia="Arial" w:hAnsi="Arial"/>
          <w:sz w:val="16"/>
          <w:szCs w:val="16"/>
          <w:u w:val="single" w:color="auto"/>
          <w:color w:val="auto"/>
        </w:rPr>
        <w:t>Cause</w:t>
      </w:r>
      <w:r>
        <w:rPr>
          <w:rFonts w:ascii="Arial" w:cs="Arial" w:eastAsia="Arial" w:hAnsi="Arial"/>
          <w:sz w:val="16"/>
          <w:szCs w:val="16"/>
          <w:color w:val="auto"/>
        </w:rPr>
        <w:t xml:space="preserve">” shall mean: (i) a good faith finding by the Company of Executive’s failure to perform his material duties hereunder; (ii) Executive’s violation of the Company’s code of conduct; (iii) Executive’s act(s) or omission(s) amounting to willful misconduct or gross negligence in the performance of his duties hereunder to the detriment of the Company; (iv) Executive’s fraud or embezzlement against the Company, its suppliers or customers; (v) Executive’s conviction of or pleading guilty to any felony under applicable law; or (vi) Executive’s failure to observe or perform any covenant, condition or provision of </w:t>
      </w:r>
      <w:r>
        <w:rPr>
          <w:rFonts w:ascii="Arial" w:cs="Arial" w:eastAsia="Arial" w:hAnsi="Arial"/>
          <w:sz w:val="16"/>
          <w:szCs w:val="16"/>
          <w:u w:val="single" w:color="auto"/>
          <w:color w:val="auto"/>
        </w:rPr>
        <w:t>Sections 9 through 12</w:t>
      </w:r>
      <w:r>
        <w:rPr>
          <w:rFonts w:ascii="Arial" w:cs="Arial" w:eastAsia="Arial" w:hAnsi="Arial"/>
          <w:sz w:val="16"/>
          <w:szCs w:val="16"/>
          <w:color w:val="auto"/>
        </w:rPr>
        <w:t xml:space="preserve">, inclusive, of this Agreement. Except as to the immediately preceding clauses (iv), (v) or (vi) and with respect to those Causes that are not capable of being cured, Executive will have thirty (30) days from the date he receives written notice from the Company specifying in reasonable detail the events or circumstances constituting Cause to cure such Cause, and upon such timely cure, such Cause shall be deemed not to have occurred;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the Company shall be obligated to give Executive notice (and an opportunity to cure) only once in any twelve (12) consecutive month period with respect to similar acts or omissions giving rise to such Cause.</w:t>
      </w:r>
    </w:p>
    <w:p>
      <w:pPr>
        <w:spacing w:after="0" w:line="124" w:lineRule="exact"/>
        <w:rPr>
          <w:sz w:val="20"/>
          <w:szCs w:val="20"/>
          <w:color w:val="auto"/>
        </w:rPr>
      </w:pPr>
    </w:p>
    <w:p>
      <w:pPr>
        <w:ind w:left="-8" w:firstLine="921"/>
        <w:spacing w:after="0" w:line="282" w:lineRule="auto"/>
        <w:tabs>
          <w:tab w:leader="none" w:pos="1144" w:val="left"/>
        </w:tabs>
        <w:numPr>
          <w:ilvl w:val="2"/>
          <w:numId w:val="41"/>
        </w:numPr>
        <w:rPr>
          <w:rFonts w:ascii="Arial" w:cs="Arial" w:eastAsia="Arial" w:hAnsi="Arial"/>
          <w:sz w:val="16"/>
          <w:szCs w:val="16"/>
          <w:color w:val="auto"/>
        </w:rPr>
      </w:pPr>
      <w:r>
        <w:rPr>
          <w:rFonts w:ascii="Arial" w:cs="Arial" w:eastAsia="Arial" w:hAnsi="Arial"/>
          <w:sz w:val="16"/>
          <w:szCs w:val="16"/>
          <w:color w:val="auto"/>
        </w:rPr>
        <w:t>Executive may voluntarily resign Executive’s position with the Company for Good Reason, at any time on thirty (30) days’ written notice to the Reporting Officer (after compliance with the cure and other procedures set forth below in this subsection, as applicable). Executive will be deemed to have resigned for “</w:t>
      </w:r>
      <w:r>
        <w:rPr>
          <w:rFonts w:ascii="Arial" w:cs="Arial" w:eastAsia="Arial" w:hAnsi="Arial"/>
          <w:sz w:val="16"/>
          <w:szCs w:val="16"/>
          <w:u w:val="single" w:color="auto"/>
          <w:color w:val="auto"/>
        </w:rPr>
        <w:t>Good Reason</w:t>
      </w:r>
      <w:r>
        <w:rPr>
          <w:rFonts w:ascii="Arial" w:cs="Arial" w:eastAsia="Arial" w:hAnsi="Arial"/>
          <w:sz w:val="16"/>
          <w:szCs w:val="16"/>
          <w:color w:val="auto"/>
        </w:rPr>
        <w:t>” if Executive voluntarily terminates Executive’s employment with the Company within sixty (60) days after the occurrence of one or more of the following circumstances: (i) the Company’s material breach of this Agreement; (ii) Executive’s position and/or duties are changed from those contemplated herein such that Executive’s duties are no longer consistent with the position of a chief financial officer of a company comparable to the Company; or (iii) in the event that the Executive is required to spend an average of fifty percent (50%) or more of his time spent on the business of the Company outside of the Atlanta metropolitan area</w:t>
      </w:r>
      <w:r>
        <w:rPr>
          <w:rFonts w:ascii="Arial" w:cs="Arial" w:eastAsia="Arial" w:hAnsi="Arial"/>
          <w:sz w:val="16"/>
          <w:szCs w:val="16"/>
          <w:b w:val="1"/>
          <w:bCs w:val="1"/>
          <w:color w:val="auto"/>
        </w:rPr>
        <w:t>,</w:t>
      </w:r>
      <w:r>
        <w:rPr>
          <w:rFonts w:ascii="Arial" w:cs="Arial" w:eastAsia="Arial" w:hAnsi="Arial"/>
          <w:sz w:val="16"/>
          <w:szCs w:val="16"/>
          <w:color w:val="auto"/>
        </w:rPr>
        <w:t xml:space="preserve"> regardless of the location of the Company’s headquarters. For purposes of this Agreement, Good Reason based on clause (iii) above shall be determined by taking the average time that Executive spends on the business of the Company outside of the Atlanta metropolitan area during any one hundred twenty (120) day period during the Term. Notwithstanding anything contained in this Subsection (c), with respect to any claim of Good Reason by Executive, the Company shall be provided with written notice of the specific circumstance giving rise to Good Reason and</w:t>
      </w:r>
      <w:r>
        <w:rPr>
          <w:rFonts w:ascii="Arial" w:cs="Arial" w:eastAsia="Arial" w:hAnsi="Arial"/>
          <w:sz w:val="16"/>
          <w:szCs w:val="16"/>
          <w:b w:val="1"/>
          <w:bCs w:val="1"/>
          <w:color w:val="auto"/>
        </w:rPr>
        <w:t>,</w:t>
      </w:r>
      <w:r>
        <w:rPr>
          <w:rFonts w:ascii="Arial" w:cs="Arial" w:eastAsia="Arial" w:hAnsi="Arial"/>
          <w:sz w:val="16"/>
          <w:szCs w:val="16"/>
          <w:color w:val="auto"/>
        </w:rPr>
        <w:t xml:space="preserve"> with respect to clauses (i) and</w:t>
      </w:r>
    </w:p>
    <w:p>
      <w:pPr>
        <w:spacing w:after="0" w:line="5" w:lineRule="exact"/>
        <w:rPr>
          <w:rFonts w:ascii="Arial" w:cs="Arial" w:eastAsia="Arial" w:hAnsi="Arial"/>
          <w:sz w:val="16"/>
          <w:szCs w:val="16"/>
          <w:color w:val="auto"/>
        </w:rPr>
      </w:pPr>
    </w:p>
    <w:p>
      <w:pPr>
        <w:jc w:val="both"/>
        <w:ind w:left="-8" w:firstLine="8"/>
        <w:spacing w:after="0" w:line="255" w:lineRule="auto"/>
        <w:tabs>
          <w:tab w:leader="none" w:pos="25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above, thirty (30) days from receipt of written notice in which to cure such circumstance or, with respect to clause (iii) above, thirty (30) days within which to provide assurances reasonably acceptable to Executive that the time requirement for Executive outside of the Atlanta metropolitan area thereafter will be less than the threshold specified in clause (iii)</w:t>
      </w:r>
      <w:r>
        <w:rPr>
          <w:rFonts w:ascii="Arial" w:cs="Arial" w:eastAsia="Arial" w:hAnsi="Arial"/>
          <w:sz w:val="18"/>
          <w:szCs w:val="18"/>
          <w:b w:val="1"/>
          <w:bCs w:val="1"/>
          <w:color w:val="auto"/>
        </w:rPr>
        <w:t>.</w:t>
      </w:r>
    </w:p>
    <w:p>
      <w:pPr>
        <w:spacing w:after="0" w:line="144" w:lineRule="exact"/>
        <w:rPr>
          <w:rFonts w:ascii="Arial" w:cs="Arial" w:eastAsia="Arial" w:hAnsi="Arial"/>
          <w:sz w:val="18"/>
          <w:szCs w:val="18"/>
          <w:color w:val="auto"/>
        </w:rPr>
      </w:pPr>
    </w:p>
    <w:p>
      <w:pPr>
        <w:ind w:left="632" w:hanging="176"/>
        <w:spacing w:after="0"/>
        <w:tabs>
          <w:tab w:leader="none" w:pos="632"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Obligations of the Company Upon Termination</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8" w:right="80" w:firstLine="921"/>
        <w:spacing w:after="0" w:line="256" w:lineRule="auto"/>
        <w:tabs>
          <w:tab w:leader="none" w:pos="1144" w:val="left"/>
        </w:tabs>
        <w:numPr>
          <w:ilvl w:val="2"/>
          <w:numId w:val="42"/>
        </w:numPr>
        <w:rPr>
          <w:rFonts w:ascii="Arial" w:cs="Arial" w:eastAsia="Arial" w:hAnsi="Arial"/>
          <w:sz w:val="18"/>
          <w:szCs w:val="18"/>
          <w:color w:val="auto"/>
        </w:rPr>
      </w:pPr>
      <w:r>
        <w:rPr>
          <w:rFonts w:ascii="Arial" w:cs="Arial" w:eastAsia="Arial" w:hAnsi="Arial"/>
          <w:sz w:val="18"/>
          <w:szCs w:val="18"/>
          <w:color w:val="auto"/>
        </w:rPr>
        <w:t xml:space="preserve">If either (i) the Company terminates Executive’s employment for Cause during the Term, or (ii) Executive terminates his employment during the Term for any reason other than Good Reason, then this Agreement shall terminate without further obligations on the part of the Company to Executive under </w:t>
      </w:r>
      <w:r>
        <w:rPr>
          <w:rFonts w:ascii="Arial" w:cs="Arial" w:eastAsia="Arial" w:hAnsi="Arial"/>
          <w:sz w:val="18"/>
          <w:szCs w:val="18"/>
          <w:u w:val="single" w:color="auto"/>
          <w:color w:val="auto"/>
        </w:rPr>
        <w:t>Sections 4 and 5</w:t>
      </w:r>
      <w:r>
        <w:rPr>
          <w:rFonts w:ascii="Arial" w:cs="Arial" w:eastAsia="Arial" w:hAnsi="Arial"/>
          <w:sz w:val="18"/>
          <w:szCs w:val="18"/>
          <w:color w:val="auto"/>
        </w:rPr>
        <w:t xml:space="preserve"> of this Agreement, other than for payment of Executive’s Base Salary accrued through the date of termination, to the extent not theretofore paid and reimbursement of any unreimbursed expenses.</w:t>
      </w:r>
    </w:p>
    <w:p>
      <w:pPr>
        <w:spacing w:after="0" w:line="143" w:lineRule="exact"/>
        <w:rPr>
          <w:rFonts w:ascii="Arial" w:cs="Arial" w:eastAsia="Arial" w:hAnsi="Arial"/>
          <w:sz w:val="18"/>
          <w:szCs w:val="18"/>
          <w:color w:val="auto"/>
        </w:rPr>
      </w:pPr>
    </w:p>
    <w:p>
      <w:pPr>
        <w:ind w:left="-8" w:right="540" w:firstLine="921"/>
        <w:spacing w:after="0" w:line="268" w:lineRule="auto"/>
        <w:tabs>
          <w:tab w:leader="none" w:pos="1154" w:val="left"/>
        </w:tabs>
        <w:numPr>
          <w:ilvl w:val="2"/>
          <w:numId w:val="42"/>
        </w:numPr>
        <w:rPr>
          <w:rFonts w:ascii="Arial" w:cs="Arial" w:eastAsia="Arial" w:hAnsi="Arial"/>
          <w:sz w:val="18"/>
          <w:szCs w:val="18"/>
          <w:color w:val="auto"/>
        </w:rPr>
      </w:pPr>
      <w:r>
        <w:rPr>
          <w:rFonts w:ascii="Arial" w:cs="Arial" w:eastAsia="Arial" w:hAnsi="Arial"/>
          <w:sz w:val="18"/>
          <w:szCs w:val="18"/>
          <w:color w:val="auto"/>
        </w:rPr>
        <w:t>If either (i) Executive terminates this Agreement for Good Reason or (ii) the Company terminates this Agreement without Cause, then the Company shall pay to Executive</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92"/>
          </w:cols>
          <w:pgMar w:left="248" w:top="280" w:right="259" w:bottom="1440" w:gutter="0" w:footer="0" w:header="0"/>
        </w:sectPr>
      </w:pPr>
    </w:p>
    <w:bookmarkStart w:id="41" w:name="page42"/>
    <w:bookmarkEnd w:id="4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 Executive’s Base Salary accrued through the date of termination, to the extent not theretofore paid, (2)(A) if such termination occurs within twelve</w:t>
      </w:r>
    </w:p>
    <w:p>
      <w:pPr>
        <w:spacing w:after="0" w:line="38" w:lineRule="exact"/>
        <w:rPr>
          <w:sz w:val="20"/>
          <w:szCs w:val="20"/>
          <w:color w:val="auto"/>
        </w:rPr>
      </w:pPr>
    </w:p>
    <w:p>
      <w:pPr>
        <w:ind w:firstLine="8"/>
        <w:spacing w:after="0" w:line="285" w:lineRule="auto"/>
        <w:tabs>
          <w:tab w:leader="none" w:pos="336"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months after the Commencement Date, an amount equal to three (3) months of Executive’s Base Salary, or (B) if such termination occurs after the period specified in (A) above, but prior to the date that is eighteen (18) months after the Commencement Date, an amount equal to six (6) months of Executive’s Base Salary or (C) if such termination occurs after the period specified in (B) above, but prior to the date that is thirty-twenty-four (24) months after the Commencement Date, an amount equal to nine (9) months of Executive’s Base Salary, in any case payable within thirty (30) days after the date of such termination, (3) reimbursement of any unreimbursed expenses and (4) payment of a portion of the amount of the Performance Bonus equal to the maximum amount of the Performance Bonus multiplied by a fraction, (A) the numerator of which shall be the number of days elapsed from the beginning of the calendar year in which such termination occurs and (B) the denominator of which shall be the total number of days in the calendar year in which such termination occurs (being 365 in a full year and 184 in 2013). In exchange for any such payments, Executive shall execute, within thirty (30) days following such termination, a full release of the Company and its affiliates from all obligations other than as set forth in this </w:t>
      </w:r>
      <w:r>
        <w:rPr>
          <w:rFonts w:ascii="Arial" w:cs="Arial" w:eastAsia="Arial" w:hAnsi="Arial"/>
          <w:sz w:val="16"/>
          <w:szCs w:val="16"/>
          <w:u w:val="single" w:color="auto"/>
          <w:color w:val="auto"/>
        </w:rPr>
        <w:t>Section 7(c)</w:t>
      </w:r>
      <w:r>
        <w:rPr>
          <w:rFonts w:ascii="Arial" w:cs="Arial" w:eastAsia="Arial" w:hAnsi="Arial"/>
          <w:sz w:val="16"/>
          <w:szCs w:val="16"/>
          <w:color w:val="auto"/>
        </w:rPr>
        <w:t xml:space="preserve"> or from any usual and customary indemnification obligations of the Company to Executive as an officer thereof, in form and substance acceptable to the Company in its sole discretion. Notwithstanding the foregoing, the Company shall not be obligated to make any payments pursuant to this </w:t>
      </w:r>
      <w:r>
        <w:rPr>
          <w:rFonts w:ascii="Arial" w:cs="Arial" w:eastAsia="Arial" w:hAnsi="Arial"/>
          <w:sz w:val="16"/>
          <w:szCs w:val="16"/>
          <w:u w:val="single" w:color="auto"/>
          <w:color w:val="auto"/>
        </w:rPr>
        <w:t>Section 7(c)</w:t>
      </w:r>
      <w:r>
        <w:rPr>
          <w:rFonts w:ascii="Arial" w:cs="Arial" w:eastAsia="Arial" w:hAnsi="Arial"/>
          <w:sz w:val="16"/>
          <w:szCs w:val="16"/>
          <w:color w:val="auto"/>
        </w:rPr>
        <w:t xml:space="preserve"> until it has received such release, fully executed by Executive. For avoidance of doubt, nonrenewal of this Agreement pursuant to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hereof shall not constitute a termination by the Company without Cause hereunder and shall not entitle Executive to receive any payments pursuant to this </w:t>
      </w:r>
      <w:r>
        <w:rPr>
          <w:rFonts w:ascii="Arial" w:cs="Arial" w:eastAsia="Arial" w:hAnsi="Arial"/>
          <w:sz w:val="16"/>
          <w:szCs w:val="16"/>
          <w:u w:val="single" w:color="auto"/>
          <w:color w:val="auto"/>
        </w:rPr>
        <w:t>Section 7(c)</w:t>
      </w:r>
      <w:r>
        <w:rPr>
          <w:rFonts w:ascii="Arial" w:cs="Arial" w:eastAsia="Arial" w:hAnsi="Arial"/>
          <w:sz w:val="16"/>
          <w:szCs w:val="16"/>
          <w:color w:val="auto"/>
        </w:rPr>
        <w:t>.</w:t>
      </w:r>
    </w:p>
    <w:p>
      <w:pPr>
        <w:spacing w:after="0" w:line="124" w:lineRule="exact"/>
        <w:rPr>
          <w:rFonts w:ascii="Arial" w:cs="Arial" w:eastAsia="Arial" w:hAnsi="Arial"/>
          <w:sz w:val="16"/>
          <w:szCs w:val="16"/>
          <w:color w:val="auto"/>
        </w:rPr>
      </w:pPr>
    </w:p>
    <w:p>
      <w:pPr>
        <w:ind w:right="180" w:firstLine="921"/>
        <w:spacing w:after="0" w:line="298" w:lineRule="auto"/>
        <w:tabs>
          <w:tab w:leader="none" w:pos="1162" w:val="left"/>
        </w:tabs>
        <w:numPr>
          <w:ilvl w:val="2"/>
          <w:numId w:val="43"/>
        </w:numPr>
        <w:rPr>
          <w:rFonts w:ascii="Arial" w:cs="Arial" w:eastAsia="Arial" w:hAnsi="Arial"/>
          <w:sz w:val="16"/>
          <w:szCs w:val="16"/>
          <w:color w:val="auto"/>
        </w:rPr>
      </w:pPr>
      <w:r>
        <w:rPr>
          <w:rFonts w:ascii="Arial" w:cs="Arial" w:eastAsia="Arial" w:hAnsi="Arial"/>
          <w:sz w:val="16"/>
          <w:szCs w:val="16"/>
          <w:color w:val="auto"/>
        </w:rPr>
        <w:t xml:space="preserve">The parties hereto agree that Executive may designate, by written notice to the Company, a beneficiary to receive the payments described in </w:t>
      </w:r>
      <w:r>
        <w:rPr>
          <w:rFonts w:ascii="Arial" w:cs="Arial" w:eastAsia="Arial" w:hAnsi="Arial"/>
          <w:sz w:val="16"/>
          <w:szCs w:val="16"/>
          <w:u w:val="single" w:color="auto"/>
          <w:color w:val="auto"/>
        </w:rPr>
        <w:t>Sections 6 and 7</w:t>
      </w:r>
      <w:r>
        <w:rPr>
          <w:rFonts w:ascii="Arial" w:cs="Arial" w:eastAsia="Arial" w:hAnsi="Arial"/>
          <w:sz w:val="16"/>
          <w:szCs w:val="16"/>
          <w:color w:val="auto"/>
        </w:rPr>
        <w:t xml:space="preserve"> in the event of his death. The designation of any such beneficiary may be changed by Executive from time to time by written notice to the Company. In the event Executive fails to designate a beneficiary as herein provided, any payments which are otherwise to be made to a designated beneficiary under </w:t>
      </w:r>
      <w:r>
        <w:rPr>
          <w:rFonts w:ascii="Arial" w:cs="Arial" w:eastAsia="Arial" w:hAnsi="Arial"/>
          <w:sz w:val="16"/>
          <w:szCs w:val="16"/>
          <w:u w:val="single" w:color="auto"/>
          <w:color w:val="auto"/>
        </w:rPr>
        <w:t>Sections 6 and 7</w:t>
      </w:r>
      <w:r>
        <w:rPr>
          <w:rFonts w:ascii="Arial" w:cs="Arial" w:eastAsia="Arial" w:hAnsi="Arial"/>
          <w:sz w:val="16"/>
          <w:szCs w:val="16"/>
          <w:color w:val="auto"/>
        </w:rPr>
        <w:t xml:space="preserve"> shall be made to the legal representative of Executive’s estate.</w:t>
      </w:r>
    </w:p>
    <w:p>
      <w:pPr>
        <w:spacing w:after="0" w:line="112" w:lineRule="exact"/>
        <w:rPr>
          <w:rFonts w:ascii="Arial" w:cs="Arial" w:eastAsia="Arial" w:hAnsi="Arial"/>
          <w:sz w:val="16"/>
          <w:szCs w:val="16"/>
          <w:color w:val="auto"/>
        </w:rPr>
      </w:pPr>
    </w:p>
    <w:p>
      <w:pPr>
        <w:ind w:left="640" w:hanging="176"/>
        <w:spacing w:after="0"/>
        <w:tabs>
          <w:tab w:leader="none" w:pos="640"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220" w:firstLine="921"/>
        <w:spacing w:after="0" w:line="268" w:lineRule="auto"/>
        <w:tabs>
          <w:tab w:leader="none" w:pos="1152" w:val="left"/>
        </w:tabs>
        <w:numPr>
          <w:ilvl w:val="2"/>
          <w:numId w:val="44"/>
        </w:numPr>
        <w:rPr>
          <w:rFonts w:ascii="Arial" w:cs="Arial" w:eastAsia="Arial" w:hAnsi="Arial"/>
          <w:sz w:val="18"/>
          <w:szCs w:val="18"/>
          <w:color w:val="auto"/>
        </w:rPr>
      </w:pPr>
      <w:r>
        <w:rPr>
          <w:rFonts w:ascii="Arial" w:cs="Arial" w:eastAsia="Arial" w:hAnsi="Arial"/>
          <w:sz w:val="18"/>
          <w:szCs w:val="18"/>
          <w:color w:val="auto"/>
        </w:rPr>
        <w:t>For purposes of this Agreement, unless the Board of Directors of the Company determines otherwise, a “</w:t>
      </w:r>
      <w:r>
        <w:rPr>
          <w:rFonts w:ascii="Arial" w:cs="Arial" w:eastAsia="Arial" w:hAnsi="Arial"/>
          <w:sz w:val="18"/>
          <w:szCs w:val="18"/>
          <w:u w:val="single" w:color="auto"/>
          <w:color w:val="auto"/>
        </w:rPr>
        <w:t>Change of Control</w:t>
      </w:r>
      <w:r>
        <w:rPr>
          <w:rFonts w:ascii="Arial" w:cs="Arial" w:eastAsia="Arial" w:hAnsi="Arial"/>
          <w:sz w:val="18"/>
          <w:szCs w:val="18"/>
          <w:color w:val="auto"/>
        </w:rPr>
        <w:t>” of the Company shall be deemed to have occurred at such time as:</w:t>
      </w:r>
    </w:p>
    <w:p>
      <w:pPr>
        <w:spacing w:after="0" w:line="50" w:lineRule="exact"/>
        <w:rPr>
          <w:rFonts w:ascii="Arial" w:cs="Arial" w:eastAsia="Arial" w:hAnsi="Arial"/>
          <w:sz w:val="18"/>
          <w:szCs w:val="18"/>
          <w:color w:val="auto"/>
        </w:rPr>
      </w:pPr>
    </w:p>
    <w:p>
      <w:pPr>
        <w:ind w:left="1500" w:hanging="8"/>
        <w:spacing w:after="0" w:line="298" w:lineRule="auto"/>
        <w:tabs>
          <w:tab w:leader="none" w:pos="1710" w:val="left"/>
        </w:tabs>
        <w:numPr>
          <w:ilvl w:val="3"/>
          <w:numId w:val="44"/>
        </w:numPr>
        <w:rPr>
          <w:rFonts w:ascii="Arial" w:cs="Arial" w:eastAsia="Arial" w:hAnsi="Arial"/>
          <w:sz w:val="16"/>
          <w:szCs w:val="16"/>
          <w:color w:val="auto"/>
        </w:rPr>
      </w:pPr>
      <w:r>
        <w:rPr>
          <w:rFonts w:ascii="Arial" w:cs="Arial" w:eastAsia="Arial" w:hAnsi="Arial"/>
          <w:sz w:val="16"/>
          <w:szCs w:val="16"/>
          <w:color w:val="auto"/>
        </w:rPr>
        <w:t>any “person” (as the term is used in Sections 13(d) and 14(d) of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is or becomes the “beneficial owner” (as defined in Rule 13d-3 under the Exchange Act), directly or indirectly, of voting securities of the Company representing more than 50% of the Company’s outstanding voting securities or rights to acquire such securities, except for any voting securities issued or purchased under any employee benefit plan of the Company or its subsidiaries;</w:t>
      </w:r>
    </w:p>
    <w:p>
      <w:pPr>
        <w:spacing w:after="0" w:line="31" w:lineRule="exact"/>
        <w:rPr>
          <w:rFonts w:ascii="Arial" w:cs="Arial" w:eastAsia="Arial" w:hAnsi="Arial"/>
          <w:sz w:val="16"/>
          <w:szCs w:val="16"/>
          <w:color w:val="auto"/>
        </w:rPr>
      </w:pPr>
    </w:p>
    <w:p>
      <w:pPr>
        <w:ind w:left="1500" w:hanging="8"/>
        <w:spacing w:after="0" w:line="256" w:lineRule="auto"/>
        <w:tabs>
          <w:tab w:leader="none" w:pos="1758" w:val="left"/>
        </w:tabs>
        <w:numPr>
          <w:ilvl w:val="3"/>
          <w:numId w:val="44"/>
        </w:numPr>
        <w:rPr>
          <w:rFonts w:ascii="Arial" w:cs="Arial" w:eastAsia="Arial" w:hAnsi="Arial"/>
          <w:sz w:val="18"/>
          <w:szCs w:val="18"/>
          <w:color w:val="auto"/>
        </w:rPr>
      </w:pPr>
      <w:r>
        <w:rPr>
          <w:rFonts w:ascii="Arial" w:cs="Arial" w:eastAsia="Arial" w:hAnsi="Arial"/>
          <w:sz w:val="18"/>
          <w:szCs w:val="18"/>
          <w:color w:val="auto"/>
        </w:rPr>
        <w:t xml:space="preserve">a plan of reorganization, merger, consolidation, sale of all or substantially all of the assets of the Company or similar transaction is approved or occurs or is effectuated pursuant to which the Company is not the resulting or surviving entity;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an event listed above will be deemed to have occurred or to have been effectuated only upon receipt of all required regulatory approvals not including the lapse of any required waiting periods; or</w:t>
      </w:r>
    </w:p>
    <w:p>
      <w:pPr>
        <w:spacing w:after="0" w:line="62" w:lineRule="exact"/>
        <w:rPr>
          <w:rFonts w:ascii="Arial" w:cs="Arial" w:eastAsia="Arial" w:hAnsi="Arial"/>
          <w:sz w:val="18"/>
          <w:szCs w:val="18"/>
          <w:color w:val="auto"/>
        </w:rPr>
      </w:pPr>
    </w:p>
    <w:p>
      <w:pPr>
        <w:ind w:left="1500" w:right="60" w:hanging="8"/>
        <w:spacing w:after="0" w:line="268" w:lineRule="auto"/>
        <w:tabs>
          <w:tab w:leader="none" w:pos="1807" w:val="left"/>
        </w:tabs>
        <w:numPr>
          <w:ilvl w:val="3"/>
          <w:numId w:val="44"/>
        </w:numPr>
        <w:rPr>
          <w:rFonts w:ascii="Arial" w:cs="Arial" w:eastAsia="Arial" w:hAnsi="Arial"/>
          <w:sz w:val="18"/>
          <w:szCs w:val="18"/>
          <w:color w:val="auto"/>
        </w:rPr>
      </w:pPr>
      <w:r>
        <w:rPr>
          <w:rFonts w:ascii="Arial" w:cs="Arial" w:eastAsia="Arial" w:hAnsi="Arial"/>
          <w:sz w:val="18"/>
          <w:szCs w:val="18"/>
          <w:color w:val="auto"/>
        </w:rPr>
        <w:t>a plan of liquidation of the Company is adopted and completed or an agreement for the sale or liquidation of the Company is approved and completed.</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20"/>
          </w:cols>
          <w:pgMar w:left="240" w:top="280" w:right="339" w:bottom="1440" w:gutter="0" w:footer="0" w:header="0"/>
        </w:sectPr>
      </w:pPr>
    </w:p>
    <w:bookmarkStart w:id="42" w:name="page43"/>
    <w:bookmarkEnd w:id="42"/>
    <w:p>
      <w:pPr>
        <w:ind w:left="-40" w:right="20" w:firstLine="921"/>
        <w:spacing w:after="0" w:line="287" w:lineRule="auto"/>
        <w:tabs>
          <w:tab w:leader="none" w:pos="1122" w:val="left"/>
        </w:tabs>
        <w:numPr>
          <w:ilvl w:val="1"/>
          <w:numId w:val="4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within the period ending twelve (12) months after the date of a Change of Control (the “</w:t>
      </w:r>
      <w:r>
        <w:rPr>
          <w:rFonts w:ascii="Arial" w:cs="Arial" w:eastAsia="Arial" w:hAnsi="Arial"/>
          <w:sz w:val="16"/>
          <w:szCs w:val="16"/>
          <w:u w:val="single" w:color="auto"/>
          <w:color w:val="auto"/>
        </w:rPr>
        <w:t>Change Period</w:t>
      </w:r>
      <w:r>
        <w:rPr>
          <w:rFonts w:ascii="Arial" w:cs="Arial" w:eastAsia="Arial" w:hAnsi="Arial"/>
          <w:sz w:val="16"/>
          <w:szCs w:val="16"/>
          <w:color w:val="auto"/>
        </w:rPr>
        <w:t xml:space="preserve">”), Executive’s employment with the Company is (i) terminated without Cause by the Company (or by the acquiring or successor business entity following a Change of Control), or (ii) terminated for Good Reason by Executive, the Company shall pay to Executive (A) Executive’s Base Salary accrued through the date of termination, to the extent not theretofore paid, (B) reimbursement of any unreimbursed expenses, (C) a portion of the amount of the Performance Bonus equal to the maximum amount of the Performance Bonus multiplied by a fraction, (X) the numerator of which shall be the number of days elapsed from the beginning of the calendar year in which such termination occurs and (Y) the denominator of which shall be the total number of days in the calendar year in which such termination occurs (being 365 in a full year and 184 in 2013) and (D) an amount equal to twelve (12) months of Executive’s Base Salary, payable in a lump sum no later than thirty (30) days following such termination. Upon any such Change of Control, Executive’s unvested options to purchase shares of the Company’s common stock shall be one hundred percent (100%) vested, but shall otherwise continue to be governed by the terms and conditions of the Stock Option Agreement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and any related stock option plan.</w:t>
      </w:r>
    </w:p>
    <w:p>
      <w:pPr>
        <w:spacing w:after="0" w:line="122" w:lineRule="exact"/>
        <w:rPr>
          <w:rFonts w:ascii="Arial" w:cs="Arial" w:eastAsia="Arial" w:hAnsi="Arial"/>
          <w:sz w:val="16"/>
          <w:szCs w:val="16"/>
          <w:color w:val="auto"/>
        </w:rPr>
      </w:pPr>
    </w:p>
    <w:p>
      <w:pPr>
        <w:ind w:left="-40" w:firstLine="921"/>
        <w:spacing w:after="0" w:line="294" w:lineRule="auto"/>
        <w:tabs>
          <w:tab w:leader="none" w:pos="1112" w:val="left"/>
        </w:tabs>
        <w:numPr>
          <w:ilvl w:val="1"/>
          <w:numId w:val="45"/>
        </w:numPr>
        <w:rPr>
          <w:rFonts w:ascii="Arial" w:cs="Arial" w:eastAsia="Arial" w:hAnsi="Arial"/>
          <w:sz w:val="16"/>
          <w:szCs w:val="16"/>
          <w:color w:val="auto"/>
        </w:rPr>
      </w:pPr>
      <w:r>
        <w:rPr>
          <w:rFonts w:ascii="Arial" w:cs="Arial" w:eastAsia="Arial" w:hAnsi="Arial"/>
          <w:sz w:val="16"/>
          <w:szCs w:val="16"/>
          <w:color w:val="auto"/>
        </w:rPr>
        <w:t xml:space="preserve">Notwithstanding the foregoing, if, in connection with a transaction that technically meets, or may meet, the definition of Change of Control as set forth in </w:t>
      </w:r>
      <w:r>
        <w:rPr>
          <w:rFonts w:ascii="Arial" w:cs="Arial" w:eastAsia="Arial" w:hAnsi="Arial"/>
          <w:sz w:val="16"/>
          <w:szCs w:val="16"/>
          <w:u w:val="single" w:color="auto"/>
          <w:color w:val="auto"/>
        </w:rPr>
        <w:t>Section 8(a)</w:t>
      </w:r>
      <w:r>
        <w:rPr>
          <w:rFonts w:ascii="Arial" w:cs="Arial" w:eastAsia="Arial" w:hAnsi="Arial"/>
          <w:sz w:val="16"/>
          <w:szCs w:val="16"/>
          <w:color w:val="auto"/>
        </w:rPr>
        <w:t xml:space="preserve"> above, Executive’s employment by the Company or a successor to the Company is terminated, but Executive is immediately re-hired as an employee of a successor to the Company or surviving company in such a transaction in a comparable position, with the same or greater total annual cash compensation, including bonus potential, and with an employment agreement containing substantially equivalent provisions as this Agreement with respect to termination of the Executive and severance, no benefits shall be payable to Executive under </w:t>
      </w:r>
      <w:r>
        <w:rPr>
          <w:rFonts w:ascii="Arial" w:cs="Arial" w:eastAsia="Arial" w:hAnsi="Arial"/>
          <w:sz w:val="16"/>
          <w:szCs w:val="16"/>
          <w:u w:val="single" w:color="auto"/>
          <w:color w:val="auto"/>
        </w:rPr>
        <w:t>Section 8(b)</w:t>
      </w:r>
      <w:r>
        <w:rPr>
          <w:rFonts w:ascii="Arial" w:cs="Arial" w:eastAsia="Arial" w:hAnsi="Arial"/>
          <w:sz w:val="16"/>
          <w:szCs w:val="16"/>
          <w:color w:val="auto"/>
        </w:rPr>
        <w:t>.</w:t>
      </w:r>
    </w:p>
    <w:p>
      <w:pPr>
        <w:spacing w:after="0" w:line="115" w:lineRule="exact"/>
        <w:rPr>
          <w:rFonts w:ascii="Arial" w:cs="Arial" w:eastAsia="Arial" w:hAnsi="Arial"/>
          <w:sz w:val="16"/>
          <w:szCs w:val="16"/>
          <w:color w:val="auto"/>
        </w:rPr>
      </w:pPr>
    </w:p>
    <w:p>
      <w:pPr>
        <w:ind w:left="600" w:hanging="176"/>
        <w:spacing w:after="0"/>
        <w:tabs>
          <w:tab w:leader="none" w:pos="600"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 The following defined terms shall have the meanings ascribed below. All other terms shall be given their normal and common usage.</w:t>
      </w:r>
    </w:p>
    <w:p>
      <w:pPr>
        <w:spacing w:after="0" w:line="194" w:lineRule="exact"/>
        <w:rPr>
          <w:rFonts w:ascii="Arial" w:cs="Arial" w:eastAsia="Arial" w:hAnsi="Arial"/>
          <w:sz w:val="16"/>
          <w:szCs w:val="16"/>
          <w:color w:val="auto"/>
        </w:rPr>
      </w:pPr>
    </w:p>
    <w:p>
      <w:pPr>
        <w:ind w:left="-40" w:right="400" w:firstLine="921"/>
        <w:spacing w:after="0" w:line="268" w:lineRule="auto"/>
        <w:tabs>
          <w:tab w:leader="none" w:pos="1112" w:val="left"/>
        </w:tabs>
        <w:numPr>
          <w:ilvl w:val="1"/>
          <w:numId w:val="46"/>
        </w:numPr>
        <w:rPr>
          <w:rFonts w:ascii="Arial" w:cs="Arial" w:eastAsia="Arial" w:hAnsi="Arial"/>
          <w:sz w:val="18"/>
          <w:szCs w:val="18"/>
          <w:color w:val="auto"/>
        </w:rPr>
      </w:pPr>
      <w:r>
        <w:rPr>
          <w:rFonts w:ascii="Arial" w:cs="Arial" w:eastAsia="Arial" w:hAnsi="Arial"/>
          <w:sz w:val="18"/>
          <w:szCs w:val="18"/>
          <w:color w:val="auto"/>
        </w:rPr>
        <w:t>“Company Business” shall mean the research and development of therapeutic agents whose primary pharmacological mechanisms of action modify galectins and are applicable in the treatment of fibrosis, cancer and related diseases.</w:t>
      </w:r>
    </w:p>
    <w:p>
      <w:pPr>
        <w:spacing w:after="0" w:line="131" w:lineRule="exact"/>
        <w:rPr>
          <w:rFonts w:ascii="Arial" w:cs="Arial" w:eastAsia="Arial" w:hAnsi="Arial"/>
          <w:sz w:val="18"/>
          <w:szCs w:val="18"/>
          <w:color w:val="auto"/>
        </w:rPr>
      </w:pPr>
    </w:p>
    <w:p>
      <w:pPr>
        <w:ind w:left="-40" w:right="400" w:firstLine="921"/>
        <w:spacing w:after="0" w:line="268" w:lineRule="auto"/>
        <w:tabs>
          <w:tab w:leader="none" w:pos="1122" w:val="left"/>
        </w:tabs>
        <w:numPr>
          <w:ilvl w:val="1"/>
          <w:numId w:val="46"/>
        </w:numPr>
        <w:rPr>
          <w:rFonts w:ascii="Arial" w:cs="Arial" w:eastAsia="Arial" w:hAnsi="Arial"/>
          <w:sz w:val="18"/>
          <w:szCs w:val="18"/>
          <w:color w:val="auto"/>
        </w:rPr>
      </w:pPr>
      <w:r>
        <w:rPr>
          <w:rFonts w:ascii="Arial" w:cs="Arial" w:eastAsia="Arial" w:hAnsi="Arial"/>
          <w:sz w:val="18"/>
          <w:szCs w:val="18"/>
          <w:color w:val="auto"/>
        </w:rPr>
        <w:t>“Competing Business” shall mean any person or entity that engages in a commercial business that is the same or substantially similar to the Company Business.</w:t>
      </w:r>
    </w:p>
    <w:p>
      <w:pPr>
        <w:spacing w:after="0" w:line="131" w:lineRule="exact"/>
        <w:rPr>
          <w:rFonts w:ascii="Arial" w:cs="Arial" w:eastAsia="Arial" w:hAnsi="Arial"/>
          <w:sz w:val="18"/>
          <w:szCs w:val="18"/>
          <w:color w:val="auto"/>
        </w:rPr>
      </w:pPr>
    </w:p>
    <w:p>
      <w:pPr>
        <w:ind w:left="-40" w:right="60" w:firstLine="921"/>
        <w:spacing w:after="0" w:line="290" w:lineRule="auto"/>
        <w:tabs>
          <w:tab w:leader="none" w:pos="1112" w:val="left"/>
        </w:tabs>
        <w:numPr>
          <w:ilvl w:val="1"/>
          <w:numId w:val="46"/>
        </w:numPr>
        <w:rPr>
          <w:rFonts w:ascii="Arial" w:cs="Arial" w:eastAsia="Arial" w:hAnsi="Arial"/>
          <w:sz w:val="16"/>
          <w:szCs w:val="16"/>
          <w:color w:val="auto"/>
        </w:rPr>
      </w:pPr>
      <w:r>
        <w:rPr>
          <w:rFonts w:ascii="Arial" w:cs="Arial" w:eastAsia="Arial" w:hAnsi="Arial"/>
          <w:sz w:val="16"/>
          <w:szCs w:val="16"/>
          <w:color w:val="auto"/>
        </w:rPr>
        <w:t xml:space="preserve">“Confidential Information” shall mean data and information: (i) relating to the Company Business, regardless of whether the data or information constitutes a trade secret as that term is defined in the Georgia Trade Secrets Act or any other applicable trade secrets law; (ii) disclosed to Executive or of which Executive became aware as a consequence of Executive’s relationship with the Company; (iii) having value to the Company; (iv) not generally known to competitors of the Company; and (v) which includes trade secrets, methods of operation, names of customers, price lists, financial information and projections, route books, personnel data, and similar information;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term shall not mean data or information (A) which has been voluntarily disclosed to the public by the Company, except where such public disclosure has been made by Executive without authorization from the Company; (B) which has been independently developed and disclosed by others; or (C) which has otherwise entered the public domain through lawful means.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80" w:top="280" w:right="279" w:bottom="1440" w:gutter="0" w:footer="0" w:header="0"/>
        </w:sectPr>
      </w:pPr>
    </w:p>
    <w:bookmarkStart w:id="43" w:name="page44"/>
    <w:bookmarkEnd w:id="43"/>
    <w:p>
      <w:pPr>
        <w:ind w:right="40" w:firstLine="921"/>
        <w:spacing w:after="0" w:line="291" w:lineRule="auto"/>
        <w:tabs>
          <w:tab w:leader="none" w:pos="1162" w:val="left"/>
        </w:tabs>
        <w:numPr>
          <w:ilvl w:val="2"/>
          <w:numId w:val="4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“Key Employee” shall mean an employee who, by reason of the Company’s investment of time, training, money, trust, exposure to the public, or exposure to customers, vendors, or other business relationships during the course of the employee’s employment with the Company, has gained a high level of notoriety, fame, reputation, or public persona as the Company’s representative or spokesperson or has gained a high level of influence or credibility with the Company’s customers, vendors, or other business relationships or is intimately involved in the planning for or direction of the Company Business or a defined unit of the Company Business. Such term shall also mean an employee in possession of selective or specialized skills, learning, or abilities or customer contacts or customer information who has obtained such skills, learning, abilities, contacts, or information by reason of having worked for the Company.</w:t>
      </w:r>
    </w:p>
    <w:p>
      <w:pPr>
        <w:spacing w:after="0" w:line="120" w:lineRule="exact"/>
        <w:rPr>
          <w:rFonts w:ascii="Arial" w:cs="Arial" w:eastAsia="Arial" w:hAnsi="Arial"/>
          <w:sz w:val="16"/>
          <w:szCs w:val="16"/>
          <w:color w:val="auto"/>
        </w:rPr>
      </w:pPr>
    </w:p>
    <w:p>
      <w:pPr>
        <w:ind w:right="80" w:firstLine="921"/>
        <w:spacing w:after="0" w:line="283" w:lineRule="auto"/>
        <w:tabs>
          <w:tab w:leader="none" w:pos="1152" w:val="left"/>
        </w:tabs>
        <w:numPr>
          <w:ilvl w:val="2"/>
          <w:numId w:val="47"/>
        </w:numPr>
        <w:rPr>
          <w:rFonts w:ascii="Arial" w:cs="Arial" w:eastAsia="Arial" w:hAnsi="Arial"/>
          <w:sz w:val="16"/>
          <w:szCs w:val="16"/>
          <w:color w:val="auto"/>
        </w:rPr>
      </w:pPr>
      <w:r>
        <w:rPr>
          <w:rFonts w:ascii="Arial" w:cs="Arial" w:eastAsia="Arial" w:hAnsi="Arial"/>
          <w:sz w:val="16"/>
          <w:szCs w:val="16"/>
          <w:color w:val="auto"/>
        </w:rPr>
        <w:t>“Material Contact” shall mean the contact between Executive and each customer or potential customer of the Company: (i) with whom or which Executive dealt on behalf of the Company; (ii) whose dealings with the Company were coordinated or supervised by Executive; (iii) about whom Executive obtained Confidential Information in the ordinary course of business as a result of Executive’s association with the Company; or (iv) who receives products and services authorized by the Company, the sale or provision of which results or resulted in compensation, commissions, or earnings for Executive within two</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years prior to the date of the separation of Executive’s employment with the Company.</w:t>
      </w:r>
    </w:p>
    <w:p>
      <w:pPr>
        <w:spacing w:after="0" w:line="164" w:lineRule="exact"/>
        <w:rPr>
          <w:rFonts w:ascii="Arial" w:cs="Arial" w:eastAsia="Arial" w:hAnsi="Arial"/>
          <w:sz w:val="18"/>
          <w:szCs w:val="18"/>
          <w:color w:val="auto"/>
        </w:rPr>
      </w:pPr>
    </w:p>
    <w:p>
      <w:pPr>
        <w:ind w:firstLine="921"/>
        <w:spacing w:after="0" w:line="255" w:lineRule="auto"/>
        <w:tabs>
          <w:tab w:leader="none" w:pos="1132" w:val="left"/>
        </w:tabs>
        <w:numPr>
          <w:ilvl w:val="2"/>
          <w:numId w:val="48"/>
        </w:numPr>
        <w:rPr>
          <w:rFonts w:ascii="Arial" w:cs="Arial" w:eastAsia="Arial" w:hAnsi="Arial"/>
          <w:sz w:val="18"/>
          <w:szCs w:val="18"/>
          <w:color w:val="auto"/>
        </w:rPr>
      </w:pPr>
      <w:r>
        <w:rPr>
          <w:rFonts w:ascii="Arial" w:cs="Arial" w:eastAsia="Arial" w:hAnsi="Arial"/>
          <w:sz w:val="18"/>
          <w:szCs w:val="18"/>
          <w:color w:val="auto"/>
        </w:rPr>
        <w:t>“Professional” shall mean an employee who has as a primary duty the performance of work requiring knowledge of an advanced type in a field of science or learning customarily acquired by a prolonged course of specialized intellectual instruction or requiring invention, imagination, originality, or talent in a recognized field of artistic or creative endeavor. Such term shall not include employees performing technician work using knowledge acquired through on-the-job and classroom training, rather than by acquiring the knowledge through prolonged academic study, such as might be performed, without limitation, by a mechanic, a manual laborer, or a ministerial employee.</w:t>
      </w:r>
    </w:p>
    <w:p>
      <w:pPr>
        <w:spacing w:after="0" w:line="142" w:lineRule="exact"/>
        <w:rPr>
          <w:rFonts w:ascii="Arial" w:cs="Arial" w:eastAsia="Arial" w:hAnsi="Arial"/>
          <w:sz w:val="18"/>
          <w:szCs w:val="18"/>
          <w:color w:val="auto"/>
        </w:rPr>
      </w:pPr>
    </w:p>
    <w:p>
      <w:pPr>
        <w:ind w:left="1160" w:hanging="239"/>
        <w:spacing w:after="0"/>
        <w:tabs>
          <w:tab w:leader="none" w:pos="1160" w:val="left"/>
        </w:tabs>
        <w:numPr>
          <w:ilvl w:val="2"/>
          <w:numId w:val="48"/>
        </w:numPr>
        <w:rPr>
          <w:rFonts w:ascii="Arial" w:cs="Arial" w:eastAsia="Arial" w:hAnsi="Arial"/>
          <w:sz w:val="16"/>
          <w:szCs w:val="16"/>
          <w:color w:val="auto"/>
        </w:rPr>
      </w:pPr>
      <w:r>
        <w:rPr>
          <w:rFonts w:ascii="Arial" w:cs="Arial" w:eastAsia="Arial" w:hAnsi="Arial"/>
          <w:sz w:val="16"/>
          <w:szCs w:val="16"/>
          <w:color w:val="auto"/>
        </w:rPr>
        <w:t>“Territory” shall mean the geographic area where Executive is working at the time of the separation of Executive’s employment with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164" w:lineRule="exact"/>
        <w:rPr>
          <w:rFonts w:ascii="Arial" w:cs="Arial" w:eastAsia="Arial" w:hAnsi="Arial"/>
          <w:sz w:val="16"/>
          <w:szCs w:val="16"/>
          <w:color w:val="auto"/>
        </w:rPr>
      </w:pPr>
    </w:p>
    <w:p>
      <w:pPr>
        <w:ind w:left="720" w:hanging="256"/>
        <w:spacing w:after="0"/>
        <w:tabs>
          <w:tab w:leader="none" w:pos="720"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Representations by Executive</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40" w:firstLine="921"/>
        <w:spacing w:after="0" w:line="268" w:lineRule="auto"/>
        <w:tabs>
          <w:tab w:leader="none" w:pos="1152" w:val="left"/>
        </w:tabs>
        <w:numPr>
          <w:ilvl w:val="2"/>
          <w:numId w:val="49"/>
        </w:numPr>
        <w:rPr>
          <w:rFonts w:ascii="Arial" w:cs="Arial" w:eastAsia="Arial" w:hAnsi="Arial"/>
          <w:sz w:val="18"/>
          <w:szCs w:val="18"/>
          <w:color w:val="auto"/>
        </w:rPr>
      </w:pPr>
      <w:r>
        <w:rPr>
          <w:rFonts w:ascii="Arial" w:cs="Arial" w:eastAsia="Arial" w:hAnsi="Arial"/>
          <w:sz w:val="18"/>
          <w:szCs w:val="18"/>
          <w:color w:val="auto"/>
        </w:rPr>
        <w:t>Executive hereby represents and warrants that he will take the time to fully understand the scope of the Company Business as soon as reasonably possible after the Commencement Date.</w:t>
      </w:r>
    </w:p>
    <w:p>
      <w:pPr>
        <w:spacing w:after="0" w:line="131" w:lineRule="exact"/>
        <w:rPr>
          <w:rFonts w:ascii="Arial" w:cs="Arial" w:eastAsia="Arial" w:hAnsi="Arial"/>
          <w:sz w:val="18"/>
          <w:szCs w:val="18"/>
          <w:color w:val="auto"/>
        </w:rPr>
      </w:pPr>
    </w:p>
    <w:p>
      <w:pPr>
        <w:ind w:right="160" w:firstLine="921"/>
        <w:spacing w:after="0" w:line="291" w:lineRule="auto"/>
        <w:tabs>
          <w:tab w:leader="none" w:pos="1162" w:val="left"/>
        </w:tabs>
        <w:numPr>
          <w:ilvl w:val="2"/>
          <w:numId w:val="49"/>
        </w:numPr>
        <w:rPr>
          <w:rFonts w:ascii="Arial" w:cs="Arial" w:eastAsia="Arial" w:hAnsi="Arial"/>
          <w:sz w:val="16"/>
          <w:szCs w:val="16"/>
          <w:color w:val="auto"/>
        </w:rPr>
      </w:pPr>
      <w:r>
        <w:rPr>
          <w:rFonts w:ascii="Arial" w:cs="Arial" w:eastAsia="Arial" w:hAnsi="Arial"/>
          <w:sz w:val="16"/>
          <w:szCs w:val="16"/>
          <w:color w:val="auto"/>
        </w:rPr>
        <w:t>Executive represents and warrants that Executive will engage in at least one of the following activities or sets of activities on behalf of the Company: (i) customarily and regularly solicits for the Company customers or prospective customers; (ii) customarily and regularly engages in making sales or obtaining orders or contracts for products or services to be performed by others; (iii) performs the following duties: (A) has a primary duty of managing the enterprise in which Executive is employed or of a customarily recognized department or subdivision thereof, (B) customarily and regularly directs the work of two or more employees, and (C) has the authority to hire or fire other employees or has particular weight given to suggestions and recommendations as to the hiring, firing, advancement, promotion, or any other change of status of other employees; or (iv) performs the duties of a Key Employee or of a Professional.</w:t>
      </w:r>
    </w:p>
    <w:p>
      <w:pPr>
        <w:spacing w:after="0" w:line="120" w:lineRule="exact"/>
        <w:rPr>
          <w:rFonts w:ascii="Arial" w:cs="Arial" w:eastAsia="Arial" w:hAnsi="Arial"/>
          <w:sz w:val="16"/>
          <w:szCs w:val="16"/>
          <w:color w:val="auto"/>
        </w:rPr>
      </w:pPr>
    </w:p>
    <w:p>
      <w:pPr>
        <w:ind w:right="180" w:firstLine="921"/>
        <w:spacing w:after="0" w:line="268" w:lineRule="auto"/>
        <w:tabs>
          <w:tab w:leader="none" w:pos="1152" w:val="left"/>
        </w:tabs>
        <w:numPr>
          <w:ilvl w:val="2"/>
          <w:numId w:val="49"/>
        </w:numPr>
        <w:rPr>
          <w:rFonts w:ascii="Arial" w:cs="Arial" w:eastAsia="Arial" w:hAnsi="Arial"/>
          <w:sz w:val="18"/>
          <w:szCs w:val="18"/>
          <w:color w:val="auto"/>
        </w:rPr>
      </w:pPr>
      <w:r>
        <w:rPr>
          <w:rFonts w:ascii="Arial" w:cs="Arial" w:eastAsia="Arial" w:hAnsi="Arial"/>
          <w:sz w:val="18"/>
          <w:szCs w:val="18"/>
          <w:color w:val="auto"/>
        </w:rPr>
        <w:t xml:space="preserve">Executive represents and warrants that the limited covenants contained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below: (i) are fair and reasonable in that they are required for the protection of the legitimate business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44" w:name="page45"/>
    <w:bookmarkEnd w:id="44"/>
    <w:p>
      <w:pPr>
        <w:ind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interests of the Company, including its customer relationships and Confidential Information; (ii) are not greater than are necessary for the protection of the Company in light of the substantial harm that the Company will suffer should Executive breach any of the provisions of said covenants or agreements; (iii) form material consideration for this Agreement; and (iv) do not prohibit Executive from engaging in his business, trade or profession, or from becoming gainfully employed in such a way as to provide a standard of living for himself, the members of his family, and those dependent upon him, to which he and they have become accustomed and may expect.</w:t>
      </w:r>
    </w:p>
    <w:p>
      <w:pPr>
        <w:spacing w:after="0" w:line="143" w:lineRule="exact"/>
        <w:rPr>
          <w:sz w:val="20"/>
          <w:szCs w:val="20"/>
          <w:color w:val="auto"/>
        </w:rPr>
      </w:pPr>
    </w:p>
    <w:p>
      <w:pPr>
        <w:ind w:right="80" w:firstLine="921"/>
        <w:spacing w:after="0" w:line="306" w:lineRule="auto"/>
        <w:tabs>
          <w:tab w:leader="none" w:pos="1162" w:val="left"/>
        </w:tabs>
        <w:numPr>
          <w:ilvl w:val="2"/>
          <w:numId w:val="50"/>
        </w:numPr>
        <w:rPr>
          <w:rFonts w:ascii="Arial" w:cs="Arial" w:eastAsia="Arial" w:hAnsi="Arial"/>
          <w:sz w:val="16"/>
          <w:szCs w:val="16"/>
          <w:color w:val="auto"/>
        </w:rPr>
      </w:pPr>
      <w:r>
        <w:rPr>
          <w:rFonts w:ascii="Arial" w:cs="Arial" w:eastAsia="Arial" w:hAnsi="Arial"/>
          <w:sz w:val="16"/>
          <w:szCs w:val="16"/>
          <w:color w:val="auto"/>
        </w:rPr>
        <w:t xml:space="preserve">After consulting with an attorney or freely choosing not to consult with an attorney, Executive hereby represents and warrants as to the reasonableness of each of the covenants set forth in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below, and agrees that he will not, in any action, suit or other proceeding, deny the reasonableness of, or assert the unreasonableness of, the purpose, consideration for or scope of any or all of the covenants set forth in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below.</w:t>
      </w:r>
    </w:p>
    <w:p>
      <w:pPr>
        <w:spacing w:after="0" w:line="106" w:lineRule="exact"/>
        <w:rPr>
          <w:rFonts w:ascii="Arial" w:cs="Arial" w:eastAsia="Arial" w:hAnsi="Arial"/>
          <w:sz w:val="16"/>
          <w:szCs w:val="16"/>
          <w:color w:val="auto"/>
        </w:rPr>
      </w:pPr>
    </w:p>
    <w:p>
      <w:pPr>
        <w:ind w:right="80" w:firstLine="921"/>
        <w:spacing w:after="0" w:line="291" w:lineRule="auto"/>
        <w:tabs>
          <w:tab w:leader="none" w:pos="1152" w:val="left"/>
        </w:tabs>
        <w:numPr>
          <w:ilvl w:val="2"/>
          <w:numId w:val="50"/>
        </w:numPr>
        <w:rPr>
          <w:rFonts w:ascii="Arial" w:cs="Arial" w:eastAsia="Arial" w:hAnsi="Arial"/>
          <w:sz w:val="16"/>
          <w:szCs w:val="16"/>
          <w:color w:val="auto"/>
        </w:rPr>
      </w:pPr>
      <w:r>
        <w:rPr>
          <w:rFonts w:ascii="Arial" w:cs="Arial" w:eastAsia="Arial" w:hAnsi="Arial"/>
          <w:sz w:val="16"/>
          <w:szCs w:val="16"/>
          <w:color w:val="auto"/>
        </w:rPr>
        <w:t>Executive acknowledges the duty and responsibility to maintain and safeguard all Company property issued and/or provided to Executive, which includes all Confidential Information in any medium. Executive further acknowledges that such property is and shall always remain the property of the Company and is to be returned to the Company promptly, upon request, and immediately upon the separation of Executive’s employment with the Company at the Company’s expense and in a manner approved by the Company. If the event that Executive does not return such property to the Company upon the separation of Executive’s employment, Executive understands and hereby expressly consents that the Company, at its sole election, may debit against any monies owed to Executive the full replacement cost of such property, subject to any and all applicable law.</w:t>
      </w:r>
    </w:p>
    <w:p>
      <w:pPr>
        <w:spacing w:after="0" w:line="120" w:lineRule="exact"/>
        <w:rPr>
          <w:rFonts w:ascii="Arial" w:cs="Arial" w:eastAsia="Arial" w:hAnsi="Arial"/>
          <w:sz w:val="16"/>
          <w:szCs w:val="16"/>
          <w:color w:val="auto"/>
        </w:rPr>
      </w:pPr>
    </w:p>
    <w:p>
      <w:pPr>
        <w:ind w:left="720" w:hanging="256"/>
        <w:spacing w:after="0"/>
        <w:tabs>
          <w:tab w:leader="none" w:pos="720"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Covenants Necessary to the Company’s Business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firstLine="921"/>
        <w:spacing w:after="0" w:line="302" w:lineRule="auto"/>
        <w:tabs>
          <w:tab w:leader="none" w:pos="1152" w:val="left"/>
        </w:tabs>
        <w:numPr>
          <w:ilvl w:val="2"/>
          <w:numId w:val="51"/>
        </w:numPr>
        <w:rPr>
          <w:rFonts w:ascii="Arial" w:cs="Arial" w:eastAsia="Arial" w:hAnsi="Arial"/>
          <w:sz w:val="15"/>
          <w:szCs w:val="15"/>
          <w:color w:val="auto"/>
        </w:rPr>
      </w:pPr>
      <w:r>
        <w:rPr>
          <w:rFonts w:ascii="Arial" w:cs="Arial" w:eastAsia="Arial" w:hAnsi="Arial"/>
          <w:sz w:val="15"/>
          <w:szCs w:val="15"/>
          <w:u w:val="single" w:color="auto"/>
          <w:color w:val="auto"/>
        </w:rPr>
        <w:t>Restrictions on Competition During Employment</w:t>
      </w:r>
      <w:r>
        <w:rPr>
          <w:rFonts w:ascii="Arial" w:cs="Arial" w:eastAsia="Arial" w:hAnsi="Arial"/>
          <w:sz w:val="15"/>
          <w:szCs w:val="15"/>
          <w:color w:val="auto"/>
        </w:rPr>
        <w:t>. Executive hereby covenants and agrees that, at any and all times during the term of Executive’s employment with the Company, Executive will not, on behalf of any Competing Business, engage in any act of competition against the interests of the Company or any of its affiliates, assigns or successors, as applicable, in any geographic territory wherein the Company engages in the Company Business, regardless of the capacity in which Executive is acting on behalf of the Competing Business. With respect to this covenant restricting Executive’s behavior during the Term of Executive’s employment only, prohibited acts of competition include, without limitation, the following: (i) performing any services for a Competing Business;</w:t>
      </w:r>
    </w:p>
    <w:p>
      <w:pPr>
        <w:spacing w:after="0" w:line="1" w:lineRule="exact"/>
        <w:rPr>
          <w:rFonts w:ascii="Arial" w:cs="Arial" w:eastAsia="Arial" w:hAnsi="Arial"/>
          <w:sz w:val="15"/>
          <w:szCs w:val="15"/>
          <w:color w:val="auto"/>
        </w:rPr>
      </w:pPr>
    </w:p>
    <w:p>
      <w:pPr>
        <w:jc w:val="both"/>
        <w:ind w:right="560" w:firstLine="8"/>
        <w:spacing w:after="0" w:line="255" w:lineRule="auto"/>
        <w:tabs>
          <w:tab w:leader="none" w:pos="258" w:val="left"/>
        </w:tabs>
        <w:numPr>
          <w:ilvl w:val="0"/>
          <w:numId w:val="52"/>
        </w:numPr>
        <w:rPr>
          <w:rFonts w:ascii="Arial" w:cs="Arial" w:eastAsia="Arial" w:hAnsi="Arial"/>
          <w:sz w:val="18"/>
          <w:szCs w:val="18"/>
          <w:color w:val="auto"/>
        </w:rPr>
      </w:pPr>
      <w:r>
        <w:rPr>
          <w:rFonts w:ascii="Arial" w:cs="Arial" w:eastAsia="Arial" w:hAnsi="Arial"/>
          <w:sz w:val="18"/>
          <w:szCs w:val="18"/>
          <w:color w:val="auto"/>
        </w:rPr>
        <w:t>soliciting or recruiting any customer or prospective customer of the Company for a Competing Business; and/or (iii) hiring, recruiting or soliciting any employee of the Company for a Competing Business. For purposes of this Agreement, references to “affiliates” of the Company shall mean any party that controls, is under common control with, or is controlled by, the Company.</w:t>
      </w:r>
    </w:p>
    <w:p>
      <w:pPr>
        <w:spacing w:after="0" w:line="144" w:lineRule="exact"/>
        <w:rPr>
          <w:rFonts w:ascii="Arial" w:cs="Arial" w:eastAsia="Arial" w:hAnsi="Arial"/>
          <w:sz w:val="18"/>
          <w:szCs w:val="18"/>
          <w:color w:val="auto"/>
        </w:rPr>
      </w:pPr>
    </w:p>
    <w:p>
      <w:pPr>
        <w:ind w:right="60" w:firstLine="921"/>
        <w:spacing w:after="0" w:line="288" w:lineRule="auto"/>
        <w:tabs>
          <w:tab w:leader="none" w:pos="1161" w:val="left"/>
        </w:tabs>
        <w:numPr>
          <w:ilvl w:val="2"/>
          <w:numId w:val="52"/>
        </w:numPr>
        <w:rPr>
          <w:rFonts w:ascii="Arial" w:cs="Arial" w:eastAsia="Arial" w:hAnsi="Arial"/>
          <w:sz w:val="16"/>
          <w:szCs w:val="16"/>
          <w:color w:val="auto"/>
        </w:rPr>
      </w:pPr>
      <w:r>
        <w:rPr>
          <w:rFonts w:ascii="Arial" w:cs="Arial" w:eastAsia="Arial" w:hAnsi="Arial"/>
          <w:sz w:val="16"/>
          <w:szCs w:val="16"/>
          <w:u w:val="single" w:color="auto"/>
          <w:color w:val="auto"/>
        </w:rPr>
        <w:t>Non-Solicitation of Customers Following Employment</w:t>
      </w:r>
      <w:r>
        <w:rPr>
          <w:rFonts w:ascii="Arial" w:cs="Arial" w:eastAsia="Arial" w:hAnsi="Arial"/>
          <w:sz w:val="16"/>
          <w:szCs w:val="16"/>
          <w:color w:val="auto"/>
        </w:rPr>
        <w:t xml:space="preserve">. Executive covenants and agrees that, for a period of eighteen (18) months following the separation of Executive’s employment with the Company, regardless of the reason for separation, Executive will not, either directly or indirectly, in competition with the Company Business, solicit, entice or recruit for a Competing Business, attempt to solicit, entice or recruit for a Competing Business, or attempt to divert or appropriate to a Competing Business, any actual or prospective customer of the Company with whom Executive had Material Contact on behalf of the Company; provided that this </w:t>
      </w:r>
      <w:r>
        <w:rPr>
          <w:rFonts w:ascii="Arial" w:cs="Arial" w:eastAsia="Arial" w:hAnsi="Arial"/>
          <w:sz w:val="16"/>
          <w:szCs w:val="16"/>
          <w:u w:val="single" w:color="auto"/>
          <w:color w:val="auto"/>
        </w:rPr>
        <w:t>Section 11(b)</w:t>
      </w:r>
      <w:r>
        <w:rPr>
          <w:rFonts w:ascii="Arial" w:cs="Arial" w:eastAsia="Arial" w:hAnsi="Arial"/>
          <w:sz w:val="16"/>
          <w:szCs w:val="16"/>
          <w:color w:val="auto"/>
        </w:rPr>
        <w:t xml:space="preserve"> shall terminate thirty (30) days after termination of Executive’s employment unless the Company provides a written list of actual or prospective customers of the Company with which it believes Executive had Material Contact; provided further, that Executive shall review such list of actual or prospective customers and, within ten (10) days after delivery thereof to Executive, confirm in writing to the Company that such list is accurate and complete or, if Executive does not agree with such list, advise the Company as to any such disagreement. Executive and the Company agree to use their good faith best efforts to resolve any disagreement as to the contents of the list specified herein.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45" w:name="page46"/>
    <w:bookmarkEnd w:id="45"/>
    <w:p>
      <w:pPr>
        <w:ind w:left="-8" w:right="60" w:firstLine="921"/>
        <w:spacing w:after="0" w:line="301" w:lineRule="auto"/>
        <w:tabs>
          <w:tab w:leader="none" w:pos="1144" w:val="left"/>
        </w:tabs>
        <w:numPr>
          <w:ilvl w:val="2"/>
          <w:numId w:val="53"/>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Non-Competition Following Employment</w:t>
      </w:r>
      <w:r>
        <w:rPr>
          <w:rFonts w:ascii="Arial" w:cs="Arial" w:eastAsia="Arial" w:hAnsi="Arial"/>
          <w:sz w:val="15"/>
          <w:szCs w:val="15"/>
          <w:color w:val="auto"/>
        </w:rPr>
        <w:t>. Executive covenants and agrees that, for a period of eighteen (18)months following the separation of Executive’s employment with the Company, regardless of the reason for separation, Executive shall not, within the Territory and on behalf of a Competing Business, either directly or indirectly (whether through affiliates, subsidiaries or otherwise), perform any duties that are the same or similar to those that he performed for the Company within two (2) years prior to the separation of Executive’s employment. Executive further covenants and agrees that, for a period of eighteen (18)months following the separation of Executive’s employment with the Company, he shall not, either directly or indirectly (whether through affiliates, subsidiaries or otherwise), perform any duties that are the same or similar to those that he performed for the Company within two (2) years prior to the separation of Executive’s employment on behalf of the entities engaged in a Competing Business. Notwithstanding the foregoing, nothing contained in this Subsection</w:t>
      </w:r>
    </w:p>
    <w:p>
      <w:pPr>
        <w:spacing w:after="0" w:line="4" w:lineRule="exact"/>
        <w:rPr>
          <w:rFonts w:ascii="Arial" w:cs="Arial" w:eastAsia="Arial" w:hAnsi="Arial"/>
          <w:sz w:val="15"/>
          <w:szCs w:val="15"/>
          <w:color w:val="auto"/>
        </w:rPr>
      </w:pPr>
    </w:p>
    <w:p>
      <w:pPr>
        <w:ind w:left="-8" w:right="60" w:firstLine="8"/>
        <w:spacing w:after="0" w:line="302" w:lineRule="auto"/>
        <w:tabs>
          <w:tab w:leader="none" w:pos="231" w:val="left"/>
        </w:tabs>
        <w:numPr>
          <w:ilvl w:val="0"/>
          <w:numId w:val="54"/>
        </w:numPr>
        <w:rPr>
          <w:rFonts w:ascii="Arial" w:cs="Arial" w:eastAsia="Arial" w:hAnsi="Arial"/>
          <w:sz w:val="16"/>
          <w:szCs w:val="16"/>
          <w:color w:val="auto"/>
        </w:rPr>
      </w:pPr>
      <w:r>
        <w:rPr>
          <w:rFonts w:ascii="Arial" w:cs="Arial" w:eastAsia="Arial" w:hAnsi="Arial"/>
          <w:sz w:val="16"/>
          <w:szCs w:val="16"/>
          <w:color w:val="auto"/>
        </w:rPr>
        <w:t>shall be deemed or interpreted to prevent Executive from accepting a position with an employer that is engaged in business that includes, but is not limited to, a Competing Business so long as Executive’s duties, responsibilities and/or activities for such employer during the time period specified herein do not include, directly or indirectly, duties, responsibilities or activities involving the Competing Business portion of such employer’s business.</w:t>
      </w:r>
    </w:p>
    <w:p>
      <w:pPr>
        <w:spacing w:after="0" w:line="109" w:lineRule="exact"/>
        <w:rPr>
          <w:rFonts w:ascii="Arial" w:cs="Arial" w:eastAsia="Arial" w:hAnsi="Arial"/>
          <w:sz w:val="16"/>
          <w:szCs w:val="16"/>
          <w:color w:val="auto"/>
        </w:rPr>
      </w:pPr>
    </w:p>
    <w:p>
      <w:pPr>
        <w:ind w:left="-8" w:right="120" w:firstLine="921"/>
        <w:spacing w:after="0" w:line="294" w:lineRule="auto"/>
        <w:tabs>
          <w:tab w:leader="none" w:pos="1153" w:val="left"/>
        </w:tabs>
        <w:numPr>
          <w:ilvl w:val="2"/>
          <w:numId w:val="54"/>
        </w:numPr>
        <w:rPr>
          <w:rFonts w:ascii="Arial" w:cs="Arial" w:eastAsia="Arial" w:hAnsi="Arial"/>
          <w:sz w:val="16"/>
          <w:szCs w:val="16"/>
          <w:color w:val="auto"/>
        </w:rPr>
      </w:pPr>
      <w:r>
        <w:rPr>
          <w:rFonts w:ascii="Arial" w:cs="Arial" w:eastAsia="Arial" w:hAnsi="Arial"/>
          <w:sz w:val="16"/>
          <w:szCs w:val="16"/>
          <w:u w:val="single" w:color="auto"/>
          <w:color w:val="auto"/>
        </w:rPr>
        <w:t>Non-Solicitation of Employees Following Employment</w:t>
      </w:r>
      <w:r>
        <w:rPr>
          <w:rFonts w:ascii="Arial" w:cs="Arial" w:eastAsia="Arial" w:hAnsi="Arial"/>
          <w:sz w:val="16"/>
          <w:szCs w:val="16"/>
          <w:color w:val="auto"/>
        </w:rPr>
        <w:t>. Executive covenants and agrees that, for a period of eighteen (18)months following the separation of Executive’s employment with the Company, regardless of the reason for separation, Executive will not, either directly or indirectly, solicit, entice, encourage, cause, or recruit any person employed by the Company and with whom Executive had contact during Executive’s employment with the Company to leave such person’s employment with the Company to join a Competing Business; provided that general solicitations of employment through media of general circulation and not directly targeting the Company’s employees shall not be a breach of this provision.</w:t>
      </w:r>
    </w:p>
    <w:p>
      <w:pPr>
        <w:spacing w:after="0" w:line="115" w:lineRule="exact"/>
        <w:rPr>
          <w:rFonts w:ascii="Arial" w:cs="Arial" w:eastAsia="Arial" w:hAnsi="Arial"/>
          <w:sz w:val="16"/>
          <w:szCs w:val="16"/>
          <w:color w:val="auto"/>
        </w:rPr>
      </w:pPr>
    </w:p>
    <w:p>
      <w:pPr>
        <w:ind w:left="-8" w:right="220" w:firstLine="921"/>
        <w:spacing w:after="0" w:line="294" w:lineRule="auto"/>
        <w:tabs>
          <w:tab w:leader="none" w:pos="1144" w:val="left"/>
        </w:tabs>
        <w:numPr>
          <w:ilvl w:val="2"/>
          <w:numId w:val="54"/>
        </w:numPr>
        <w:rPr>
          <w:rFonts w:ascii="Arial" w:cs="Arial" w:eastAsia="Arial" w:hAnsi="Arial"/>
          <w:sz w:val="16"/>
          <w:szCs w:val="16"/>
          <w:color w:val="auto"/>
        </w:rPr>
      </w:pPr>
      <w:r>
        <w:rPr>
          <w:rFonts w:ascii="Arial" w:cs="Arial" w:eastAsia="Arial" w:hAnsi="Arial"/>
          <w:sz w:val="16"/>
          <w:szCs w:val="16"/>
          <w:u w:val="single" w:color="auto"/>
          <w:color w:val="auto"/>
        </w:rPr>
        <w:t>Protection of Confidential Information</w:t>
      </w:r>
      <w:r>
        <w:rPr>
          <w:rFonts w:ascii="Arial" w:cs="Arial" w:eastAsia="Arial" w:hAnsi="Arial"/>
          <w:sz w:val="16"/>
          <w:szCs w:val="16"/>
          <w:color w:val="auto"/>
        </w:rPr>
        <w:t>. Executive recognizes the interest of the Company in maintaining the confidential nature of its Confidential Information. Accordingly, and in addition to the covenants described in subparagraphs (a) through (d) above, Executive covenants and agrees that Executive will not, at any time, other than in the performance of Executive’s duties for the Company, both during and after Executive’s employment with the Company, communicate or disclose to any person or entity, or use for Executive’s benefit, or for the benefit of any other person or entity, including any Competing Business, either directly or indirectly, any of the Company’s Confidential Information.</w:t>
      </w:r>
    </w:p>
    <w:p>
      <w:pPr>
        <w:spacing w:after="0" w:line="115" w:lineRule="exact"/>
        <w:rPr>
          <w:rFonts w:ascii="Arial" w:cs="Arial" w:eastAsia="Arial" w:hAnsi="Arial"/>
          <w:sz w:val="16"/>
          <w:szCs w:val="16"/>
          <w:color w:val="auto"/>
        </w:rPr>
      </w:pPr>
    </w:p>
    <w:p>
      <w:pPr>
        <w:ind w:left="-8" w:firstLine="464"/>
        <w:spacing w:after="0" w:line="290" w:lineRule="auto"/>
        <w:tabs>
          <w:tab w:leader="none" w:pos="712" w:val="left"/>
        </w:tabs>
        <w:numPr>
          <w:ilvl w:val="1"/>
          <w:numId w:val="54"/>
        </w:numPr>
        <w:rPr>
          <w:rFonts w:ascii="Arial" w:cs="Arial" w:eastAsia="Arial" w:hAnsi="Arial"/>
          <w:sz w:val="16"/>
          <w:szCs w:val="16"/>
          <w:color w:val="auto"/>
        </w:rPr>
      </w:pPr>
      <w:r>
        <w:rPr>
          <w:rFonts w:ascii="Arial" w:cs="Arial" w:eastAsia="Arial" w:hAnsi="Arial"/>
          <w:sz w:val="16"/>
          <w:szCs w:val="16"/>
          <w:u w:val="single" w:color="auto"/>
          <w:color w:val="auto"/>
        </w:rPr>
        <w:t>Legal Remedies</w:t>
      </w:r>
      <w:r>
        <w:rPr>
          <w:rFonts w:ascii="Arial" w:cs="Arial" w:eastAsia="Arial" w:hAnsi="Arial"/>
          <w:sz w:val="16"/>
          <w:szCs w:val="16"/>
          <w:color w:val="auto"/>
        </w:rPr>
        <w:t xml:space="preserve">. Executive acknowledges and agrees that by virtue of the duties and responsibilities attendant to Executive’s employment with the Company and Executive’s access to Confidential Information, the Company will suffer irreparable loss and damage if Executive should breach or violate any of the covenants and agreements contained in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of this Agreement. Executive therefore agrees and consents that, in addition to any other remedies available to the Company, the Company shall be entitled to a temporary restraining order, preliminary injunction and/or permanent injunction, without any bond or other security being required, to prevent a breach or contemplated breach by Executive and by any person or entity to whom Executive provides or proposes to provide any services in violation of any of the covenants or agreements contained in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of this Agreement. Any rights created by this Agreement shall be in addition to, and not in lieu of, any other remedies that may exist under any applicable law or in equity.</w:t>
      </w:r>
    </w:p>
    <w:p>
      <w:pPr>
        <w:spacing w:after="0" w:line="10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92"/>
          </w:cols>
          <w:pgMar w:left="248" w:top="280" w:right="259" w:bottom="1440" w:gutter="0" w:footer="0" w:header="0"/>
        </w:sectPr>
      </w:pPr>
    </w:p>
    <w:bookmarkStart w:id="46" w:name="page47"/>
    <w:bookmarkEnd w:id="46"/>
    <w:p>
      <w:pPr>
        <w:ind w:right="560" w:firstLine="464"/>
        <w:spacing w:after="0" w:line="268" w:lineRule="auto"/>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Governing Law</w:t>
      </w:r>
      <w:r>
        <w:rPr>
          <w:rFonts w:ascii="Arial" w:cs="Arial" w:eastAsia="Arial" w:hAnsi="Arial"/>
          <w:sz w:val="18"/>
          <w:szCs w:val="18"/>
          <w:color w:val="auto"/>
        </w:rPr>
        <w:t xml:space="preserve">. The laws of the State of Georgia, including without limitation those contained in O.C.G.A. §§ 13-8-50 </w:t>
      </w:r>
      <w:r>
        <w:rPr>
          <w:rFonts w:ascii="Arial" w:cs="Arial" w:eastAsia="Arial" w:hAnsi="Arial"/>
          <w:sz w:val="18"/>
          <w:szCs w:val="18"/>
          <w:i w:val="1"/>
          <w:iCs w:val="1"/>
          <w:color w:val="auto"/>
        </w:rPr>
        <w:t>et seq.</w:t>
      </w:r>
      <w:r>
        <w:rPr>
          <w:rFonts w:ascii="Arial" w:cs="Arial" w:eastAsia="Arial" w:hAnsi="Arial"/>
          <w:sz w:val="18"/>
          <w:szCs w:val="18"/>
          <w:color w:val="auto"/>
        </w:rPr>
        <w:t>, shall govern the validity, interpretation, construction, performance and enforcement of this Agreement.</w:t>
      </w:r>
    </w:p>
    <w:p>
      <w:pPr>
        <w:spacing w:after="0" w:line="131" w:lineRule="exact"/>
        <w:rPr>
          <w:rFonts w:ascii="Arial" w:cs="Arial" w:eastAsia="Arial" w:hAnsi="Arial"/>
          <w:sz w:val="18"/>
          <w:szCs w:val="18"/>
          <w:color w:val="auto"/>
        </w:rPr>
      </w:pPr>
    </w:p>
    <w:p>
      <w:pPr>
        <w:ind w:right="60" w:firstLine="464"/>
        <w:spacing w:after="0" w:line="268" w:lineRule="auto"/>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be deemed to be an original, but all of which together will constitute one and the same Agreement.</w:t>
      </w:r>
    </w:p>
    <w:p>
      <w:pPr>
        <w:spacing w:after="0" w:line="131" w:lineRule="exact"/>
        <w:rPr>
          <w:rFonts w:ascii="Arial" w:cs="Arial" w:eastAsia="Arial" w:hAnsi="Arial"/>
          <w:sz w:val="18"/>
          <w:szCs w:val="18"/>
          <w:color w:val="auto"/>
        </w:rPr>
      </w:pPr>
    </w:p>
    <w:p>
      <w:pPr>
        <w:jc w:val="both"/>
        <w:ind w:right="60" w:firstLine="464"/>
        <w:spacing w:after="0" w:line="259" w:lineRule="auto"/>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The waiver by one party of a breach of any provision of this Agreement by the other party shall not operate or be construed as a waiver of any subsequent breach of the same or any other provision by the other party. The failure of a party at any time to require performance of any provision hereof shall in no manner affect its right at a later time to enforce the same.</w:t>
      </w:r>
    </w:p>
    <w:p>
      <w:pPr>
        <w:spacing w:after="0" w:line="140" w:lineRule="exact"/>
        <w:rPr>
          <w:rFonts w:ascii="Arial" w:cs="Arial" w:eastAsia="Arial" w:hAnsi="Arial"/>
          <w:sz w:val="18"/>
          <w:szCs w:val="18"/>
          <w:color w:val="auto"/>
        </w:rPr>
      </w:pPr>
    </w:p>
    <w:p>
      <w:pPr>
        <w:ind w:right="60" w:firstLine="464"/>
        <w:spacing w:after="0" w:line="294" w:lineRule="auto"/>
        <w:tabs>
          <w:tab w:leader="none" w:pos="720"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xml:space="preserve">. If any provision of this Agreement or the application of any provision hereof to any person or circumstance is held invalid, unenforceable or otherwise illegal, the remainder of this Agreement and the application of such provision to any other person or circumstance shall not be affected, and the provision so held to be invalid, unenforceable or otherwise illegal shall be reformed to the extent (and only to the extent) necessary to make it valid, enforceable and legal;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if the provision so held to be invalid, unenforceable or otherwise illegal cannot be reformed so as to be valid and enforceable, then it shall be severed from, and shall not affect the enforceability of, the remaining provisions of the Agreement.</w:t>
      </w:r>
    </w:p>
    <w:p>
      <w:pPr>
        <w:spacing w:after="0" w:line="115" w:lineRule="exact"/>
        <w:rPr>
          <w:rFonts w:ascii="Arial" w:cs="Arial" w:eastAsia="Arial" w:hAnsi="Arial"/>
          <w:sz w:val="16"/>
          <w:szCs w:val="16"/>
          <w:color w:val="auto"/>
        </w:rPr>
      </w:pPr>
    </w:p>
    <w:p>
      <w:pPr>
        <w:ind w:firstLine="464"/>
        <w:spacing w:after="0" w:line="268" w:lineRule="auto"/>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 The parties acknowledge that they have fully read, understood and unconditionally accepted this Agreement, after having the opportunity to consult with an attorney, and acknowledge that this Agreement is mutual and binding upon all parties hereto.</w:t>
      </w:r>
    </w:p>
    <w:p>
      <w:pPr>
        <w:spacing w:after="0" w:line="131" w:lineRule="exact"/>
        <w:rPr>
          <w:rFonts w:ascii="Arial" w:cs="Arial" w:eastAsia="Arial" w:hAnsi="Arial"/>
          <w:sz w:val="18"/>
          <w:szCs w:val="18"/>
          <w:color w:val="auto"/>
        </w:rPr>
      </w:pPr>
    </w:p>
    <w:p>
      <w:pPr>
        <w:ind w:right="340" w:firstLine="464"/>
        <w:spacing w:after="0" w:line="306" w:lineRule="auto"/>
        <w:tabs>
          <w:tab w:leader="none" w:pos="720"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demands, claims or other communications hereunder will be in writing and shall be deemed duly given if personally delivered, sent by telefax, “pdf” or sent by a recognized overnight delivery service which guarantees next day delivery (“</w:t>
      </w:r>
      <w:r>
        <w:rPr>
          <w:rFonts w:ascii="Arial" w:cs="Arial" w:eastAsia="Arial" w:hAnsi="Arial"/>
          <w:sz w:val="16"/>
          <w:szCs w:val="16"/>
          <w:u w:val="single" w:color="auto"/>
          <w:color w:val="auto"/>
        </w:rPr>
        <w:t>Overnight Delivery</w:t>
      </w:r>
      <w:r>
        <w:rPr>
          <w:rFonts w:ascii="Arial" w:cs="Arial" w:eastAsia="Arial" w:hAnsi="Arial"/>
          <w:sz w:val="16"/>
          <w:szCs w:val="16"/>
          <w:color w:val="auto"/>
        </w:rPr>
        <w:t>”), or mailed registered or certified mail, return receipt requested, postage prepaid, transmitted or addressed to the intended recipient as set forth below:</w:t>
      </w:r>
    </w:p>
    <w:p>
      <w:pPr>
        <w:sectPr>
          <w:pgSz w:w="11900" w:h="16838" w:orient="portrait"/>
          <w:cols w:equalWidth="0" w:num="1">
            <w:col w:w="11380"/>
          </w:cols>
          <w:pgMar w:left="240" w:top="280" w:right="279" w:bottom="1440" w:gutter="0" w:footer="0" w:header="0"/>
        </w:sectPr>
      </w:pP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auto"/>
        </w:rPr>
        <w:t>in the case of the Company to:</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Galectin Therapeutics Inc.</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4960 Peachtree Industrial Blvd.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Suite 240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Norcross, GA 30071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(770) 864-1327</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Attn: Harold H. Shlevin, PhD</w:t>
      </w:r>
    </w:p>
    <w:p>
      <w:pPr>
        <w:spacing w:after="0" w:line="147" w:lineRule="exact"/>
        <w:rPr>
          <w:sz w:val="20"/>
          <w:szCs w:val="20"/>
          <w:color w:val="auto"/>
        </w:rPr>
      </w:pPr>
    </w:p>
    <w:p>
      <w:pPr>
        <w:sectPr>
          <w:pgSz w:w="11900" w:h="16838" w:orient="portrait"/>
          <w:cols w:equalWidth="0" w:num="2">
            <w:col w:w="5160" w:space="720"/>
            <w:col w:w="5500"/>
          </w:cols>
          <w:pgMar w:left="240" w:top="280" w:right="279" w:bottom="1440" w:gutter="0" w:footer="0" w:header="0"/>
          <w:type w:val="continuous"/>
        </w:sectPr>
      </w:pPr>
    </w:p>
    <w:p>
      <w:pPr>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Arnall Golden Gregory LLP</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171 17</w:t>
      </w:r>
      <w:r>
        <w:rPr>
          <w:rFonts w:ascii="Arial" w:cs="Arial" w:eastAsia="Arial" w:hAnsi="Arial"/>
          <w:sz w:val="10"/>
          <w:szCs w:val="10"/>
          <w:color w:val="auto"/>
        </w:rPr>
        <w:t>th</w:t>
      </w:r>
      <w:r>
        <w:rPr>
          <w:rFonts w:ascii="Arial" w:cs="Arial" w:eastAsia="Arial" w:hAnsi="Arial"/>
          <w:sz w:val="15"/>
          <w:szCs w:val="15"/>
          <w:color w:val="auto"/>
        </w:rPr>
        <w:t xml:space="preserve"> Street NW, Suite 2100</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Atlanta, GA 30363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404-873-8629</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Attn: Adam S. Skorecki, Esq.</w:t>
      </w:r>
    </w:p>
    <w:p>
      <w:pPr>
        <w:spacing w:after="0" w:line="147" w:lineRule="exact"/>
        <w:rPr>
          <w:sz w:val="20"/>
          <w:szCs w:val="20"/>
          <w:color w:val="auto"/>
        </w:rPr>
      </w:pPr>
    </w:p>
    <w:p>
      <w:pPr>
        <w:sectPr>
          <w:pgSz w:w="11900" w:h="16838" w:orient="portrait"/>
          <w:cols w:equalWidth="0" w:num="2">
            <w:col w:w="5160" w:space="720"/>
            <w:col w:w="5500"/>
          </w:cols>
          <w:pgMar w:left="240" w:top="280" w:right="279" w:bottom="1440" w:gutter="0" w:footer="0" w:header="0"/>
          <w:type w:val="continuous"/>
        </w:sectPr>
      </w:pPr>
    </w:p>
    <w:p>
      <w:pPr>
        <w:spacing w:after="0"/>
        <w:rPr>
          <w:sz w:val="20"/>
          <w:szCs w:val="20"/>
          <w:color w:val="auto"/>
        </w:rPr>
      </w:pPr>
      <w:r>
        <w:rPr>
          <w:rFonts w:ascii="Arial" w:cs="Arial" w:eastAsia="Arial" w:hAnsi="Arial"/>
          <w:sz w:val="15"/>
          <w:szCs w:val="15"/>
          <w:color w:val="auto"/>
        </w:rPr>
        <w:t>and in the case of Executive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Jack Callicutt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9865 Bankside Dr.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Roswell, GA 30076</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Facsimile:</w:t>
      </w:r>
    </w:p>
    <w:p>
      <w:pPr>
        <w:spacing w:after="0" w:line="165" w:lineRule="exact"/>
        <w:rPr>
          <w:sz w:val="20"/>
          <w:szCs w:val="20"/>
          <w:color w:val="auto"/>
        </w:rPr>
      </w:pPr>
    </w:p>
    <w:p>
      <w:pPr>
        <w:sectPr>
          <w:pgSz w:w="11900" w:h="16838" w:orient="portrait"/>
          <w:cols w:equalWidth="0" w:num="2">
            <w:col w:w="5160" w:space="720"/>
            <w:col w:w="5500"/>
          </w:cols>
          <w:pgMar w:left="240" w:top="280" w:right="27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380"/>
          </w:cols>
          <w:pgMar w:left="240" w:top="280" w:right="27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a copy to:</w:t>
      </w:r>
    </w:p>
    <w:p>
      <w:pPr>
        <w:spacing w:after="0" w:line="171"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or at such other addresses as any party hereto notifies the other parties hereof in writing in accordance with this Section. The parties hereto agree that notices or other communications that are sent in accordance herewith (a) by personal delivery, telefax or “pdf”, will be deemed received on the day sent or on the first business day thereafter if not sent on a business day, (b) by Overnight Delivery, will be deemed received on the first business day immediately following the date sent, and (c) by U.S. mail, will be deemed received three (3) business days immediately following the date sent.</w:t>
      </w:r>
    </w:p>
    <w:p>
      <w:pPr>
        <w:spacing w:after="0" w:line="113" w:lineRule="exact"/>
        <w:rPr>
          <w:sz w:val="20"/>
          <w:szCs w:val="20"/>
          <w:color w:val="auto"/>
        </w:rPr>
      </w:pPr>
    </w:p>
    <w:p>
      <w:pPr>
        <w:ind w:right="100" w:firstLine="464"/>
        <w:spacing w:after="0" w:line="294" w:lineRule="auto"/>
        <w:tabs>
          <w:tab w:leader="none" w:pos="720"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Benefit</w:t>
      </w:r>
      <w:r>
        <w:rPr>
          <w:rFonts w:ascii="Arial" w:cs="Arial" w:eastAsia="Arial" w:hAnsi="Arial"/>
          <w:sz w:val="16"/>
          <w:szCs w:val="16"/>
          <w:color w:val="auto"/>
        </w:rPr>
        <w:t>. This Agreement is not assignable or delegable, in whole or in part, by Executive without the prior written consent of the Company. Notwithstanding the foregoing, the covenants of Executive contained in this Agreement shall be binding upon Executive’s heirs and legal representatives and shall survive the termination of this Agreement. The rights and obligations of the Company under this Agreement shall inure to the benefit of, and shall be binding upon, the successors and assigns of the Company. Furthermore, the Company shall have the right to assign this Agreement to its successors and assigns, and all covenants herein shall inure to the benefit of, and be enforceable by, said successors and assigns.</w:t>
      </w:r>
    </w:p>
    <w:p>
      <w:pPr>
        <w:spacing w:after="0" w:line="115" w:lineRule="exact"/>
        <w:rPr>
          <w:rFonts w:ascii="Arial" w:cs="Arial" w:eastAsia="Arial" w:hAnsi="Arial"/>
          <w:sz w:val="16"/>
          <w:szCs w:val="16"/>
          <w:color w:val="auto"/>
        </w:rPr>
      </w:pPr>
    </w:p>
    <w:p>
      <w:pPr>
        <w:ind w:right="40" w:firstLine="464"/>
        <w:spacing w:after="0" w:line="256" w:lineRule="auto"/>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Modification</w:t>
      </w:r>
      <w:r>
        <w:rPr>
          <w:rFonts w:ascii="Arial" w:cs="Arial" w:eastAsia="Arial" w:hAnsi="Arial"/>
          <w:sz w:val="18"/>
          <w:szCs w:val="18"/>
          <w:color w:val="auto"/>
        </w:rPr>
        <w:t>. This Agreement contains the entire agreement of the parties with respect to the subject matter hereof and may be amended or superseded only by an agreement in writing signed by the parties hereto. No action or course of conduct shall constitute a waiver of any of the terms and conditions hereof, unless such waiver is specified in writing and, in the case of such action by the Company, approved by the Reporting Officer, and then only to the extent so specified.</w:t>
      </w:r>
    </w:p>
    <w:p>
      <w:pPr>
        <w:spacing w:after="0" w:line="143" w:lineRule="exact"/>
        <w:rPr>
          <w:rFonts w:ascii="Arial" w:cs="Arial" w:eastAsia="Arial" w:hAnsi="Arial"/>
          <w:sz w:val="18"/>
          <w:szCs w:val="18"/>
          <w:color w:val="auto"/>
        </w:rPr>
      </w:pPr>
    </w:p>
    <w:p>
      <w:pPr>
        <w:ind w:right="720" w:firstLine="464"/>
        <w:spacing w:after="0" w:line="268" w:lineRule="auto"/>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Agreement are intended solely for convenience of reference and shall be given no effect in the construction or interpretation of this Agreement.</w:t>
      </w:r>
    </w:p>
    <w:p>
      <w:pPr>
        <w:spacing w:after="0" w:line="131" w:lineRule="exact"/>
        <w:rPr>
          <w:rFonts w:ascii="Arial" w:cs="Arial" w:eastAsia="Arial" w:hAnsi="Arial"/>
          <w:sz w:val="18"/>
          <w:szCs w:val="18"/>
          <w:color w:val="auto"/>
        </w:rPr>
      </w:pPr>
    </w:p>
    <w:p>
      <w:pPr>
        <w:ind w:firstLine="464"/>
        <w:spacing w:after="0" w:line="254" w:lineRule="auto"/>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Litigation Assistance</w:t>
      </w:r>
      <w:r>
        <w:rPr>
          <w:rFonts w:ascii="Arial" w:cs="Arial" w:eastAsia="Arial" w:hAnsi="Arial"/>
          <w:sz w:val="18"/>
          <w:szCs w:val="18"/>
          <w:color w:val="auto"/>
        </w:rPr>
        <w:t>. Executive agrees that following the termination of his employment hereunder, regardless of the reason for or manner of such termination, other than death or a disability that prevents his cooperation, he shall, upon reasonable notice, furnish such information and give such assistance to the Company in any controversy or matter involving litigation as may reasonably be requested by the Company. The Company shall compensate Executive for all reasonable out-of-pocket expenses incurred while so assisting the Company and shall pay Executive a per diem equal to the Executive’s last Base Salary under this Agreement divided by two hundred twenty three (223). Executive is not obligated to assist in any controversy or litigation between the Company and Executive.</w:t>
      </w:r>
    </w:p>
    <w:p>
      <w:pPr>
        <w:spacing w:after="0" w:line="144" w:lineRule="exact"/>
        <w:rPr>
          <w:rFonts w:ascii="Arial" w:cs="Arial" w:eastAsia="Arial" w:hAnsi="Arial"/>
          <w:sz w:val="18"/>
          <w:szCs w:val="18"/>
          <w:color w:val="auto"/>
        </w:rPr>
      </w:pPr>
    </w:p>
    <w:p>
      <w:pPr>
        <w:ind w:right="40" w:firstLine="464"/>
        <w:spacing w:after="0" w:line="294" w:lineRule="auto"/>
        <w:tabs>
          <w:tab w:leader="none" w:pos="720"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Interpretation</w:t>
      </w:r>
      <w:r>
        <w:rPr>
          <w:rFonts w:ascii="Arial" w:cs="Arial" w:eastAsia="Arial" w:hAnsi="Arial"/>
          <w:sz w:val="16"/>
          <w:szCs w:val="16"/>
          <w:color w:val="auto"/>
        </w:rPr>
        <w:t>. Should any provision of this Agreement require a judicial interpretation, it is agreed that the judicial body interpreting or construing this Agreement shall not apply the assumption that the terms of this Agreement shall be more strictly construed against one party by reason of the rule of legal construction that an instrument is to be construed more strictly against the party which itself or through its agents prepared the agreement. The parties acknowledge and agree that they and their agents have each had the opportunity to participate equally in the negotiations and preparation of this Agreement, and Executive acknowledges that he has had the opportunity to consult legal counsel regarding the terms hereof.</w:t>
      </w:r>
    </w:p>
    <w:p>
      <w:pPr>
        <w:spacing w:after="0" w:line="115" w:lineRule="exact"/>
        <w:rPr>
          <w:rFonts w:ascii="Arial" w:cs="Arial" w:eastAsia="Arial" w:hAnsi="Arial"/>
          <w:sz w:val="16"/>
          <w:szCs w:val="16"/>
          <w:color w:val="auto"/>
        </w:rPr>
      </w:pPr>
    </w:p>
    <w:p>
      <w:pPr>
        <w:ind w:right="60" w:firstLine="464"/>
        <w:spacing w:after="0" w:line="268" w:lineRule="auto"/>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No Limitation</w:t>
      </w:r>
      <w:r>
        <w:rPr>
          <w:rFonts w:ascii="Arial" w:cs="Arial" w:eastAsia="Arial" w:hAnsi="Arial"/>
          <w:sz w:val="18"/>
          <w:szCs w:val="18"/>
          <w:color w:val="auto"/>
        </w:rPr>
        <w:t>. Notwithstanding anything to the contrary, nothing in this Agreement shall be construed to limit the common law rights of the Company and/or its affiliates with respect to their Confidential Information.</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80" w:right="279" w:bottom="1440" w:gutter="0" w:footer="0" w:header="0"/>
        </w:sectPr>
      </w:pPr>
    </w:p>
    <w:bookmarkStart w:id="48" w:name="page49"/>
    <w:bookmarkEnd w:id="4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26. </w:t>
      </w:r>
      <w:r>
        <w:rPr>
          <w:rFonts w:ascii="Arial" w:cs="Arial" w:eastAsia="Arial" w:hAnsi="Arial"/>
          <w:sz w:val="16"/>
          <w:szCs w:val="16"/>
          <w:u w:val="single" w:color="auto"/>
          <w:color w:val="auto"/>
        </w:rPr>
        <w:t>Survival</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Sections 9 through 26</w:t>
      </w:r>
      <w:r>
        <w:rPr>
          <w:rFonts w:ascii="Arial" w:cs="Arial" w:eastAsia="Arial" w:hAnsi="Arial"/>
          <w:sz w:val="16"/>
          <w:szCs w:val="16"/>
          <w:color w:val="auto"/>
        </w:rPr>
        <w:t xml:space="preserve"> hereof shall survive the termination of this Agreement.</w:t>
      </w:r>
    </w:p>
    <w:p>
      <w:pPr>
        <w:sectPr>
          <w:pgSz w:w="11900" w:h="16838" w:orient="portrait"/>
          <w:cols w:equalWidth="0" w:num="1">
            <w:col w:w="9759"/>
          </w:cols>
          <w:pgMar w:left="700" w:top="280" w:right="1440" w:bottom="1440" w:gutter="0" w:footer="0" w:header="0"/>
        </w:sectPr>
      </w:pPr>
    </w:p>
    <w:p>
      <w:pPr>
        <w:spacing w:after="0" w:line="194" w:lineRule="exact"/>
        <w:rPr>
          <w:sz w:val="20"/>
          <w:szCs w:val="20"/>
          <w:color w:val="auto"/>
        </w:rPr>
      </w:pPr>
    </w:p>
    <w:p>
      <w:pPr>
        <w:jc w:val="center"/>
        <w:ind w:right="-740"/>
        <w:spacing w:after="0"/>
        <w:rPr>
          <w:sz w:val="20"/>
          <w:szCs w:val="20"/>
          <w:color w:val="auto"/>
        </w:rPr>
      </w:pPr>
      <w:r>
        <w:rPr>
          <w:rFonts w:ascii="Arial" w:cs="Arial" w:eastAsia="Arial" w:hAnsi="Arial"/>
          <w:sz w:val="16"/>
          <w:szCs w:val="16"/>
          <w:color w:val="auto"/>
        </w:rPr>
        <w:t>[Signatures on following page]</w:t>
      </w:r>
    </w:p>
    <w:p>
      <w:pPr>
        <w:spacing w:after="0" w:line="181" w:lineRule="exact"/>
        <w:rPr>
          <w:sz w:val="20"/>
          <w:szCs w:val="20"/>
          <w:color w:val="auto"/>
        </w:rPr>
      </w:pPr>
    </w:p>
    <w:p>
      <w:pPr>
        <w:jc w:val="center"/>
        <w:ind w:right="-7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9759"/>
          </w:cols>
          <w:pgMar w:left="700" w:top="280" w:right="1440"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executed this Agreement as of the date first above written.</w:t>
      </w:r>
    </w:p>
    <w:p>
      <w:pPr>
        <w:spacing w:after="0" w:line="206"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COMPANY:</w:t>
      </w:r>
    </w:p>
    <w:p>
      <w:pPr>
        <w:spacing w:after="0" w:line="231" w:lineRule="exact"/>
        <w:rPr>
          <w:sz w:val="20"/>
          <w:szCs w:val="20"/>
          <w:color w:val="auto"/>
        </w:rPr>
      </w:pPr>
    </w:p>
    <w:p>
      <w:pPr>
        <w:jc w:val="right"/>
        <w:ind w:right="1960"/>
        <w:spacing w:after="0"/>
        <w:rPr>
          <w:sz w:val="20"/>
          <w:szCs w:val="20"/>
          <w:color w:val="auto"/>
        </w:rPr>
      </w:pPr>
      <w:r>
        <w:rPr>
          <w:rFonts w:ascii="Arial" w:cs="Arial" w:eastAsia="Arial" w:hAnsi="Arial"/>
          <w:sz w:val="18"/>
          <w:szCs w:val="18"/>
          <w:color w:val="auto"/>
        </w:rPr>
        <w:t>GALECTIN THERAPEUTICS INC.</w:t>
      </w:r>
    </w:p>
    <w:p>
      <w:pPr>
        <w:spacing w:after="0" w:line="225" w:lineRule="exact"/>
        <w:rPr>
          <w:sz w:val="20"/>
          <w:szCs w:val="20"/>
          <w:color w:val="auto"/>
        </w:rPr>
      </w:pPr>
    </w:p>
    <w:tbl>
      <w:tblPr>
        <w:tblLayout w:type="fixed"/>
        <w:tblInd w:w="640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G. Traber</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Peter G. Traber, MD</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Executive Officer and Chief Medical Officer</w:t>
            </w:r>
          </w:p>
        </w:tc>
      </w:tr>
    </w:tbl>
    <w:p>
      <w:pPr>
        <w:spacing w:after="0" w:line="204"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EXECUTIVE:</w:t>
      </w:r>
    </w:p>
    <w:p>
      <w:pPr>
        <w:spacing w:after="0" w:line="23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Jack Callicutt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10795</wp:posOffset>
            </wp:positionV>
            <wp:extent cx="28987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Jack Callicutt</w:t>
      </w:r>
    </w:p>
    <w:p>
      <w:pPr>
        <w:spacing w:after="0" w:line="171" w:lineRule="exact"/>
        <w:rPr>
          <w:sz w:val="20"/>
          <w:szCs w:val="20"/>
          <w:color w:val="auto"/>
        </w:rPr>
      </w:pPr>
    </w:p>
    <w:p>
      <w:pPr>
        <w:jc w:val="center"/>
        <w:ind w:right="460"/>
        <w:spacing w:after="0"/>
        <w:rPr>
          <w:sz w:val="20"/>
          <w:szCs w:val="20"/>
          <w:color w:val="auto"/>
        </w:rPr>
      </w:pPr>
      <w:r>
        <w:rPr>
          <w:rFonts w:ascii="Arial" w:cs="Arial" w:eastAsia="Arial" w:hAnsi="Arial"/>
          <w:sz w:val="18"/>
          <w:szCs w:val="18"/>
          <w:i w:val="1"/>
          <w:iCs w:val="1"/>
          <w:color w:val="auto"/>
        </w:rPr>
        <w:t>[Signature page to Employment Agreement]</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700" w:top="280"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ANNUAL PERFORMANCE BONUS OBJECTIVES</w:t>
      </w:r>
    </w:p>
    <w:p>
      <w:pPr>
        <w:sectPr>
          <w:pgSz w:w="11900" w:h="16838" w:orient="portrait"/>
          <w:cols w:equalWidth="0" w:num="1">
            <w:col w:w="9019"/>
          </w:cols>
          <w:pgMar w:left="1440" w:top="274" w:right="1440" w:bottom="1440" w:gutter="0" w:footer="0" w:header="0"/>
        </w:sectPr>
      </w:pPr>
    </w:p>
    <w:bookmarkStart w:id="51" w:name="page52"/>
    <w:bookmarkEnd w:id="51"/>
    <w:p>
      <w:pPr>
        <w:jc w:val="center"/>
        <w:ind w:right="-12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u w:val="single" w:color="auto"/>
          <w:color w:val="auto"/>
        </w:rPr>
        <w:t>Stock Option Agreement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10219"/>
          </w:cols>
          <w:pgMar w:left="240" w:top="274" w:right="1440" w:bottom="1440" w:gutter="0" w:footer="0" w:header="0"/>
        </w:sectPr>
      </w:pPr>
    </w:p>
    <w:bookmarkStart w:id="52" w:name="page53"/>
    <w:bookmarkEnd w:id="52"/>
    <w:p>
      <w:pPr>
        <w:jc w:val="center"/>
        <w:ind w:right="-11"/>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OPTION AGREEMENT</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GALECTIN THERAPEUTICS INC.</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INCENTIVE STOCK OPTION AGREEMENT</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FOR</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JACK CALLICUTT</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u w:val="single" w:color="auto"/>
          <w:color w:val="auto"/>
        </w:rPr>
        <w:t>AGREEMENT</w:t>
      </w:r>
    </w:p>
    <w:p>
      <w:pPr>
        <w:spacing w:after="0" w:line="177" w:lineRule="exact"/>
        <w:rPr>
          <w:sz w:val="20"/>
          <w:szCs w:val="20"/>
          <w:color w:val="auto"/>
        </w:rPr>
      </w:pPr>
    </w:p>
    <w:p>
      <w:pPr>
        <w:ind w:left="-8" w:right="20" w:firstLine="8"/>
        <w:spacing w:after="0" w:line="291" w:lineRule="auto"/>
        <w:tabs>
          <w:tab w:leader="none" w:pos="168" w:val="left"/>
        </w:tabs>
        <w:numPr>
          <w:ilvl w:val="0"/>
          <w:numId w:val="5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Grant of Option. </w:t>
      </w:r>
      <w:r>
        <w:rPr>
          <w:rFonts w:ascii="Arial" w:cs="Arial" w:eastAsia="Arial" w:hAnsi="Arial"/>
          <w:sz w:val="16"/>
          <w:szCs w:val="16"/>
          <w:color w:val="auto"/>
        </w:rPr>
        <w:t>Galectin Therapeutics Inc., a Nevada corporation (the “Company”) hereby grants, as of July 1, 2013 (“Date of Grant”), to Jack Callicutt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“Optionee”) an option (the “Option”) to purchase up to two hundred thousand (200,000) shares of the Company’s common stock, $0.01 par value per share (the “Shares”), at an exercise price per share equal to $4.41 (the “Exercise Price”). The Option shall be subject to the terms and conditions set forth herein. The Option is being issued pursuant to the Company’s 2009 Incentive Compensation Plan (the “Plan”), which is incorporated herein for all purposes. The Option is an Incentive Stock Option and not a Non-Qualified Stock Option. The Optionee hereby acknowledges receipt of a copy of the Plan and agrees to be bound by all of the terms and conditions hereof and thereof and all applicable laws and regulations.</w:t>
      </w:r>
    </w:p>
    <w:p>
      <w:pPr>
        <w:spacing w:after="0" w:line="120" w:lineRule="exact"/>
        <w:rPr>
          <w:rFonts w:ascii="Arial" w:cs="Arial" w:eastAsia="Arial" w:hAnsi="Arial"/>
          <w:sz w:val="16"/>
          <w:szCs w:val="16"/>
          <w:color w:val="auto"/>
        </w:rPr>
      </w:pPr>
    </w:p>
    <w:p>
      <w:pPr>
        <w:ind w:left="-8" w:right="140" w:firstLine="8"/>
        <w:spacing w:after="0" w:line="268" w:lineRule="auto"/>
        <w:tabs>
          <w:tab w:leader="none" w:pos="168"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Definitions</w:t>
      </w:r>
      <w:r>
        <w:rPr>
          <w:rFonts w:ascii="Arial" w:cs="Arial" w:eastAsia="Arial" w:hAnsi="Arial"/>
          <w:sz w:val="18"/>
          <w:szCs w:val="18"/>
          <w:color w:val="auto"/>
        </w:rPr>
        <w:t>. Unless otherwise provided herein, terms used herein that are defined in the Plan and not defined herein shall have the meanings attributed thereto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Plan.</w:t>
      </w:r>
    </w:p>
    <w:p>
      <w:pPr>
        <w:spacing w:after="0" w:line="131" w:lineRule="exact"/>
        <w:rPr>
          <w:rFonts w:ascii="Arial" w:cs="Arial" w:eastAsia="Arial" w:hAnsi="Arial"/>
          <w:sz w:val="18"/>
          <w:szCs w:val="18"/>
          <w:color w:val="auto"/>
        </w:rPr>
      </w:pPr>
    </w:p>
    <w:p>
      <w:pPr>
        <w:ind w:left="-8" w:firstLine="8"/>
        <w:spacing w:after="0" w:line="294" w:lineRule="auto"/>
        <w:tabs>
          <w:tab w:leader="none" w:pos="168" w:val="left"/>
        </w:tabs>
        <w:numPr>
          <w:ilvl w:val="0"/>
          <w:numId w:val="57"/>
        </w:numPr>
        <w:rPr>
          <w:rFonts w:ascii="Arial" w:cs="Arial" w:eastAsia="Arial" w:hAnsi="Arial"/>
          <w:sz w:val="16"/>
          <w:szCs w:val="16"/>
          <w:color w:val="auto"/>
        </w:rPr>
      </w:pPr>
      <w:r>
        <w:rPr>
          <w:rFonts w:ascii="Arial" w:cs="Arial" w:eastAsia="Arial" w:hAnsi="Arial"/>
          <w:sz w:val="16"/>
          <w:szCs w:val="16"/>
          <w:b w:val="1"/>
          <w:bCs w:val="1"/>
          <w:i w:val="1"/>
          <w:iCs w:val="1"/>
          <w:color w:val="auto"/>
        </w:rPr>
        <w:t>Exercise Schedule</w:t>
      </w:r>
      <w:r>
        <w:rPr>
          <w:rFonts w:ascii="Arial" w:cs="Arial" w:eastAsia="Arial" w:hAnsi="Arial"/>
          <w:sz w:val="16"/>
          <w:szCs w:val="16"/>
          <w:color w:val="auto"/>
        </w:rPr>
        <w:t>. Except as otherwise provided in Sections 6 or 9 of this Agreement, or in the Plan, the Option is exercisable in installments as provided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below, which shall be cumulative. To the extent that the Option has become exercisable with respect to a specified number of Shares as provided below, the Option may thereafter be exercised by the Optionee, in whole or in part, at any time or from time to time prior to the expiration of the Option as provided herein. The following table indicates each date (the “Vesting Date”) upon which the Optionee shall be entitled to exercise the Option with respect to the number of Shares granted as indicated beside the date, provided that the Continuous Service of the Optionee continues through and on the applicable Vesting Date:</w:t>
      </w:r>
    </w:p>
    <w:p>
      <w:pPr>
        <w:spacing w:after="0" w:line="152" w:lineRule="exact"/>
        <w:rPr>
          <w:sz w:val="20"/>
          <w:szCs w:val="20"/>
          <w:color w:val="auto"/>
        </w:rPr>
      </w:pPr>
    </w:p>
    <w:tbl>
      <w:tblPr>
        <w:tblLayout w:type="fixed"/>
        <w:tblInd w:w="1832" w:type="dxa"/>
        <w:tblCellMar>
          <w:top w:w="0" w:type="dxa"/>
          <w:left w:w="0" w:type="dxa"/>
          <w:bottom w:w="0" w:type="dxa"/>
          <w:right w:w="0" w:type="dxa"/>
        </w:tblCellMar>
      </w:tblPr>
      <w:tr>
        <w:trPr>
          <w:trHeight w:val="168"/>
        </w:trPr>
        <w:tc>
          <w:tcPr>
            <w:tcW w:w="1040" w:type="dxa"/>
            <w:vAlign w:val="bottom"/>
            <w:gridSpan w:val="2"/>
          </w:tcPr>
          <w:p>
            <w:pPr>
              <w:spacing w:after="0"/>
              <w:rPr>
                <w:sz w:val="20"/>
                <w:szCs w:val="20"/>
                <w:color w:val="auto"/>
              </w:rPr>
            </w:pPr>
            <w:r>
              <w:rPr>
                <w:rFonts w:ascii="Arial" w:cs="Arial" w:eastAsia="Arial" w:hAnsi="Arial"/>
                <w:sz w:val="14"/>
                <w:szCs w:val="14"/>
                <w:color w:val="auto"/>
                <w:w w:val="89"/>
              </w:rPr>
              <w:t>Number of Shares</w:t>
            </w:r>
          </w:p>
        </w:tc>
        <w:tc>
          <w:tcPr>
            <w:tcW w:w="5160" w:type="dxa"/>
            <w:vAlign w:val="bottom"/>
          </w:tcPr>
          <w:p>
            <w:pPr>
              <w:spacing w:after="0"/>
              <w:rPr>
                <w:sz w:val="14"/>
                <w:szCs w:val="14"/>
                <w:color w:val="auto"/>
              </w:rPr>
            </w:pPr>
          </w:p>
        </w:tc>
        <w:tc>
          <w:tcPr>
            <w:tcW w:w="1560" w:type="dxa"/>
            <w:vAlign w:val="bottom"/>
          </w:tcPr>
          <w:p>
            <w:pPr>
              <w:ind w:left="420"/>
              <w:spacing w:after="0"/>
              <w:rPr>
                <w:sz w:val="20"/>
                <w:szCs w:val="20"/>
                <w:color w:val="auto"/>
              </w:rPr>
            </w:pPr>
            <w:r>
              <w:rPr>
                <w:rFonts w:ascii="Arial" w:cs="Arial" w:eastAsia="Arial" w:hAnsi="Arial"/>
                <w:sz w:val="14"/>
                <w:szCs w:val="14"/>
                <w:color w:val="auto"/>
              </w:rPr>
              <w:t>Vesting Date</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5160" w:type="dxa"/>
            <w:vAlign w:val="bottom"/>
          </w:tcPr>
          <w:p>
            <w:pPr>
              <w:spacing w:after="0"/>
              <w:rPr>
                <w:sz w:val="8"/>
                <w:szCs w:val="8"/>
                <w:color w:val="auto"/>
              </w:rPr>
            </w:pPr>
          </w:p>
        </w:tc>
        <w:tc>
          <w:tcPr>
            <w:tcW w:w="156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25,000</w:t>
            </w:r>
          </w:p>
        </w:tc>
        <w:tc>
          <w:tcPr>
            <w:tcW w:w="6720" w:type="dxa"/>
            <w:vAlign w:val="bottom"/>
            <w:gridSpan w:val="2"/>
            <w:shd w:val="clear" w:color="auto" w:fill="CCEEFF"/>
          </w:tcPr>
          <w:p>
            <w:pPr>
              <w:ind w:left="5140"/>
              <w:spacing w:after="0"/>
              <w:rPr>
                <w:sz w:val="20"/>
                <w:szCs w:val="20"/>
                <w:color w:val="auto"/>
              </w:rPr>
            </w:pPr>
            <w:r>
              <w:rPr>
                <w:rFonts w:ascii="Arial" w:cs="Arial" w:eastAsia="Arial" w:hAnsi="Arial"/>
                <w:sz w:val="18"/>
                <w:szCs w:val="18"/>
                <w:color w:val="auto"/>
                <w:w w:val="98"/>
              </w:rPr>
              <w:t>December 31, 2013</w:t>
            </w:r>
          </w:p>
        </w:tc>
        <w:tc>
          <w:tcPr>
            <w:tcW w:w="0" w:type="dxa"/>
            <w:vAlign w:val="bottom"/>
          </w:tcPr>
          <w:p>
            <w:pPr>
              <w:spacing w:after="0"/>
              <w:rPr>
                <w:sz w:val="1"/>
                <w:szCs w:val="1"/>
                <w:color w:val="auto"/>
              </w:rPr>
            </w:pPr>
          </w:p>
        </w:tc>
      </w:tr>
      <w:tr>
        <w:trPr>
          <w:trHeight w:val="322"/>
        </w:trPr>
        <w:tc>
          <w:tcPr>
            <w:tcW w:w="1040" w:type="dxa"/>
            <w:vAlign w:val="bottom"/>
            <w:gridSpan w:val="2"/>
          </w:tcPr>
          <w:p>
            <w:pPr>
              <w:spacing w:after="0"/>
              <w:rPr>
                <w:sz w:val="20"/>
                <w:szCs w:val="20"/>
                <w:color w:val="auto"/>
              </w:rPr>
            </w:pPr>
            <w:r>
              <w:rPr>
                <w:rFonts w:ascii="Arial" w:cs="Arial" w:eastAsia="Arial" w:hAnsi="Arial"/>
                <w:sz w:val="18"/>
                <w:szCs w:val="18"/>
                <w:color w:val="auto"/>
              </w:rPr>
              <w:t>50,000</w:t>
            </w:r>
          </w:p>
        </w:tc>
        <w:tc>
          <w:tcPr>
            <w:tcW w:w="6720" w:type="dxa"/>
            <w:vAlign w:val="bottom"/>
            <w:gridSpan w:val="2"/>
          </w:tcPr>
          <w:p>
            <w:pPr>
              <w:ind w:left="5140"/>
              <w:spacing w:after="0"/>
              <w:rPr>
                <w:sz w:val="20"/>
                <w:szCs w:val="20"/>
                <w:color w:val="auto"/>
              </w:rPr>
            </w:pPr>
            <w:r>
              <w:rPr>
                <w:rFonts w:ascii="Arial" w:cs="Arial" w:eastAsia="Arial" w:hAnsi="Arial"/>
                <w:sz w:val="18"/>
                <w:szCs w:val="18"/>
                <w:color w:val="auto"/>
                <w:w w:val="98"/>
              </w:rPr>
              <w:t>December 31, 2014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50,000</w:t>
            </w:r>
          </w:p>
        </w:tc>
        <w:tc>
          <w:tcPr>
            <w:tcW w:w="6720" w:type="dxa"/>
            <w:vAlign w:val="bottom"/>
            <w:gridSpan w:val="2"/>
            <w:shd w:val="clear" w:color="auto" w:fill="CCEEFF"/>
          </w:tcPr>
          <w:p>
            <w:pPr>
              <w:ind w:left="5140"/>
              <w:spacing w:after="0"/>
              <w:rPr>
                <w:sz w:val="20"/>
                <w:szCs w:val="20"/>
                <w:color w:val="auto"/>
              </w:rPr>
            </w:pPr>
            <w:r>
              <w:rPr>
                <w:rFonts w:ascii="Arial" w:cs="Arial" w:eastAsia="Arial" w:hAnsi="Arial"/>
                <w:sz w:val="18"/>
                <w:szCs w:val="18"/>
                <w:color w:val="auto"/>
                <w:w w:val="98"/>
              </w:rPr>
              <w:t>December 31, 2015</w:t>
            </w:r>
          </w:p>
        </w:tc>
        <w:tc>
          <w:tcPr>
            <w:tcW w:w="0" w:type="dxa"/>
            <w:vAlign w:val="bottom"/>
          </w:tcPr>
          <w:p>
            <w:pPr>
              <w:spacing w:after="0"/>
              <w:rPr>
                <w:sz w:val="1"/>
                <w:szCs w:val="1"/>
                <w:color w:val="auto"/>
              </w:rPr>
            </w:pPr>
          </w:p>
        </w:tc>
      </w:tr>
      <w:tr>
        <w:trPr>
          <w:trHeight w:val="322"/>
        </w:trPr>
        <w:tc>
          <w:tcPr>
            <w:tcW w:w="1040" w:type="dxa"/>
            <w:vAlign w:val="bottom"/>
            <w:gridSpan w:val="2"/>
          </w:tcPr>
          <w:p>
            <w:pPr>
              <w:spacing w:after="0"/>
              <w:rPr>
                <w:sz w:val="20"/>
                <w:szCs w:val="20"/>
                <w:color w:val="auto"/>
              </w:rPr>
            </w:pPr>
            <w:r>
              <w:rPr>
                <w:rFonts w:ascii="Arial" w:cs="Arial" w:eastAsia="Arial" w:hAnsi="Arial"/>
                <w:sz w:val="18"/>
                <w:szCs w:val="18"/>
                <w:color w:val="auto"/>
              </w:rPr>
              <w:t>75,000</w:t>
            </w:r>
          </w:p>
        </w:tc>
        <w:tc>
          <w:tcPr>
            <w:tcW w:w="6720" w:type="dxa"/>
            <w:vAlign w:val="bottom"/>
            <w:gridSpan w:val="2"/>
          </w:tcPr>
          <w:p>
            <w:pPr>
              <w:ind w:left="5140"/>
              <w:spacing w:after="0"/>
              <w:rPr>
                <w:sz w:val="20"/>
                <w:szCs w:val="20"/>
                <w:color w:val="auto"/>
              </w:rPr>
            </w:pPr>
            <w:r>
              <w:rPr>
                <w:rFonts w:ascii="Arial" w:cs="Arial" w:eastAsia="Arial" w:hAnsi="Arial"/>
                <w:sz w:val="18"/>
                <w:szCs w:val="18"/>
                <w:color w:val="auto"/>
                <w:w w:val="98"/>
              </w:rPr>
              <w:t>December 31, 2016</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160" w:type="dxa"/>
            <w:vAlign w:val="bottom"/>
          </w:tcPr>
          <w:p>
            <w:pPr>
              <w:ind w:left="2800"/>
              <w:spacing w:after="0"/>
              <w:rPr>
                <w:sz w:val="20"/>
                <w:szCs w:val="20"/>
                <w:color w:val="auto"/>
              </w:rPr>
            </w:pPr>
            <w:r>
              <w:rPr>
                <w:rFonts w:ascii="Arial" w:cs="Arial" w:eastAsia="Arial" w:hAnsi="Arial"/>
                <w:sz w:val="18"/>
                <w:szCs w:val="18"/>
                <w:color w:val="auto"/>
              </w:rPr>
              <w:t>1</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12"/>
          </w:cols>
          <w:pgMar w:left="248" w:top="274" w:right="239" w:bottom="1440" w:gutter="0" w:footer="0" w:header="0"/>
        </w:sectPr>
      </w:pPr>
    </w:p>
    <w:bookmarkStart w:id="53" w:name="page54"/>
    <w:bookmarkEnd w:id="53"/>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the avoidance of doubt, in the event the Optionee’s employment ends on December 31, 2016 other than termination for Cause (as defined in that certain Employment Agreement between the Company and Optionee, dated June 20, 2013), Optionee shall be deemed to have satisfied the Continuous Service requirement through such date and this Option shall be fully vested.</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Except as otherwise specifically provided herein, there shall be no proportionate or partial vesting in the periods prior to each Vesting Date, and all vesting shall occur only on the appropriate Vesting Date. Except as otherwise specifically provided herein, upon the termination of the Optionee’s Continuous Service, any unvested portion of the Option shall terminate and be null and void.</w:t>
      </w:r>
    </w:p>
    <w:p>
      <w:pPr>
        <w:spacing w:after="0" w:line="140" w:lineRule="exact"/>
        <w:rPr>
          <w:sz w:val="20"/>
          <w:szCs w:val="20"/>
          <w:color w:val="auto"/>
        </w:rPr>
      </w:pPr>
    </w:p>
    <w:p>
      <w:pPr>
        <w:ind w:right="40" w:firstLine="8"/>
        <w:spacing w:after="0" w:line="288" w:lineRule="auto"/>
        <w:tabs>
          <w:tab w:leader="none" w:pos="176" w:val="left"/>
        </w:tabs>
        <w:numPr>
          <w:ilvl w:val="0"/>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Method of Exercise</w:t>
      </w:r>
      <w:r>
        <w:rPr>
          <w:rFonts w:ascii="Arial" w:cs="Arial" w:eastAsia="Arial" w:hAnsi="Arial"/>
          <w:sz w:val="16"/>
          <w:szCs w:val="16"/>
          <w:color w:val="auto"/>
        </w:rPr>
        <w:t>. The vested portion of this Option shall be exercisable in whole or in part in accordance with the exercise schedule set forth in Section 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hereof by written notice which shall state the election to exercise the Option, the number of Shares in respect of which the Option is being exercised, and such other representations and agreements as to the holder’s investment intent with respect to such Shares as may be required by the Company pursuant to the provisions of the Plan. Such written notice shall be signed by the Optionee and shall be delivered in person or by certified mail to the Secretary of the Company. The written notice shall be accompanied by payment of the Exercise Price as determined pursuant to Section 5 hereof. This Option shall be deemed to be exercised after both (a) receipt by the Company of such written notice accompanied by the Exercise Price and (b) arrangements that are satisfactory to the Committee in its sole discretion have been made for Optionee’s payment to the Company of the amount, if any, that is necessary to be withheld in accordance with applicable Federal or state withholding requirements. No Shares shall be issued pursuant to the Option unless and until such issuance and such exercise shall comply with all relevant provisions of applicable law, including the requirements of any stock exchange upon which the Shares then may be traded.</w:t>
      </w:r>
    </w:p>
    <w:p>
      <w:pPr>
        <w:spacing w:after="0" w:line="119" w:lineRule="exact"/>
        <w:rPr>
          <w:rFonts w:ascii="Arial" w:cs="Arial" w:eastAsia="Arial" w:hAnsi="Arial"/>
          <w:sz w:val="16"/>
          <w:szCs w:val="16"/>
          <w:color w:val="auto"/>
        </w:rPr>
      </w:pPr>
    </w:p>
    <w:p>
      <w:pPr>
        <w:ind w:left="180" w:hanging="172"/>
        <w:spacing w:after="0"/>
        <w:tabs>
          <w:tab w:leader="none" w:pos="180" w:val="left"/>
        </w:tabs>
        <w:numPr>
          <w:ilvl w:val="0"/>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Method of Payment</w:t>
      </w:r>
      <w:r>
        <w:rPr>
          <w:rFonts w:ascii="Arial" w:cs="Arial" w:eastAsia="Arial" w:hAnsi="Arial"/>
          <w:sz w:val="16"/>
          <w:szCs w:val="16"/>
          <w:color w:val="auto"/>
        </w:rPr>
        <w:t>. Payment of the Exercise Price shall be by any of the following, or a combination thereof, at the election of the Optionee: (a) cash; or</w:t>
      </w:r>
    </w:p>
    <w:p>
      <w:pPr>
        <w:spacing w:after="0" w:line="38" w:lineRule="exact"/>
        <w:rPr>
          <w:sz w:val="20"/>
          <w:szCs w:val="20"/>
          <w:color w:val="auto"/>
        </w:rPr>
      </w:pPr>
    </w:p>
    <w:p>
      <w:pPr>
        <w:ind w:right="100" w:firstLine="8"/>
        <w:spacing w:after="0" w:line="253" w:lineRule="auto"/>
        <w:tabs>
          <w:tab w:leader="none" w:pos="249" w:val="left"/>
        </w:tabs>
        <w:numPr>
          <w:ilvl w:val="0"/>
          <w:numId w:val="59"/>
        </w:numPr>
        <w:rPr>
          <w:rFonts w:ascii="Arial" w:cs="Arial" w:eastAsia="Arial" w:hAnsi="Arial"/>
          <w:sz w:val="18"/>
          <w:szCs w:val="18"/>
          <w:color w:val="auto"/>
        </w:rPr>
      </w:pPr>
      <w:r>
        <w:rPr>
          <w:rFonts w:ascii="Arial" w:cs="Arial" w:eastAsia="Arial" w:hAnsi="Arial"/>
          <w:sz w:val="18"/>
          <w:szCs w:val="18"/>
          <w:color w:val="auto"/>
        </w:rPr>
        <w:t>check; or (c) with Shares owned by the Optionee, or the withholding of Shares that otherwise would be delivered to the Optionee as a result of the exercise of the Option or (d) pursuant to a “cashless exercise” procedure, by delivery of a properly executed exercise notice together with such other documentation, and subject to such guidelines, as the Committee shall require to effect an exercise of the Option and delivery to the Company by a licensed broker acceptable to the Company of proceeds from the sale of Shares, or (e) such other consideration or in such other manner as may be determined by the Committee in its absolute discretion.</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54" w:name="page55"/>
    <w:bookmarkEnd w:id="54"/>
    <w:p>
      <w:pPr>
        <w:ind w:left="172" w:hanging="172"/>
        <w:spacing w:after="0"/>
        <w:tabs>
          <w:tab w:leader="none" w:pos="172"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of Option</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8" w:right="20" w:firstLine="464"/>
        <w:spacing w:after="0" w:line="268" w:lineRule="auto"/>
        <w:tabs>
          <w:tab w:leader="none" w:pos="687" w:val="left"/>
        </w:tabs>
        <w:numPr>
          <w:ilvl w:val="1"/>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General</w:t>
      </w:r>
      <w:r>
        <w:rPr>
          <w:rFonts w:ascii="Arial" w:cs="Arial" w:eastAsia="Arial" w:hAnsi="Arial"/>
          <w:sz w:val="18"/>
          <w:szCs w:val="18"/>
          <w:color w:val="auto"/>
        </w:rPr>
        <w:t>. Any unexercised portion of the Option shall automatically and without notice terminate and become null and void at the time of the earliest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occur of the following:</w:t>
      </w:r>
    </w:p>
    <w:p>
      <w:pPr>
        <w:spacing w:after="0" w:line="131" w:lineRule="exact"/>
        <w:rPr>
          <w:rFonts w:ascii="Arial" w:cs="Arial" w:eastAsia="Arial" w:hAnsi="Arial"/>
          <w:sz w:val="18"/>
          <w:szCs w:val="18"/>
          <w:color w:val="auto"/>
        </w:rPr>
      </w:pPr>
    </w:p>
    <w:p>
      <w:pPr>
        <w:ind w:left="-8" w:right="400" w:firstLine="921"/>
        <w:spacing w:after="0" w:line="259" w:lineRule="auto"/>
        <w:tabs>
          <w:tab w:leader="none" w:pos="1115" w:val="left"/>
        </w:tabs>
        <w:numPr>
          <w:ilvl w:val="2"/>
          <w:numId w:val="60"/>
        </w:numPr>
        <w:rPr>
          <w:rFonts w:ascii="Arial" w:cs="Arial" w:eastAsia="Arial" w:hAnsi="Arial"/>
          <w:sz w:val="18"/>
          <w:szCs w:val="18"/>
          <w:color w:val="auto"/>
        </w:rPr>
      </w:pPr>
      <w:r>
        <w:rPr>
          <w:rFonts w:ascii="Arial" w:cs="Arial" w:eastAsia="Arial" w:hAnsi="Arial"/>
          <w:sz w:val="18"/>
          <w:szCs w:val="18"/>
          <w:color w:val="auto"/>
        </w:rPr>
        <w:t>unless the Committee otherwise determines in writing in its sole discretion (see Attachment A), three (3) months after the date on which the Optionee’s Continuous Service is terminated other than by reason of (A) by the Company or a Related Entity for Cause, (B) a Disability of the Optionee as determined by a medical doctor satisfactory to the Committee, or (C) the death of the Optionee;</w:t>
      </w:r>
    </w:p>
    <w:p>
      <w:pPr>
        <w:spacing w:after="0" w:line="140" w:lineRule="exact"/>
        <w:rPr>
          <w:rFonts w:ascii="Arial" w:cs="Arial" w:eastAsia="Arial" w:hAnsi="Arial"/>
          <w:sz w:val="18"/>
          <w:szCs w:val="18"/>
          <w:color w:val="auto"/>
        </w:rPr>
      </w:pPr>
    </w:p>
    <w:p>
      <w:pPr>
        <w:ind w:left="1172" w:hanging="259"/>
        <w:spacing w:after="0"/>
        <w:tabs>
          <w:tab w:leader="none" w:pos="1172" w:val="left"/>
        </w:tabs>
        <w:numPr>
          <w:ilvl w:val="2"/>
          <w:numId w:val="60"/>
        </w:numPr>
        <w:rPr>
          <w:rFonts w:ascii="Arial" w:cs="Arial" w:eastAsia="Arial" w:hAnsi="Arial"/>
          <w:sz w:val="18"/>
          <w:szCs w:val="18"/>
          <w:color w:val="auto"/>
        </w:rPr>
      </w:pPr>
      <w:r>
        <w:rPr>
          <w:rFonts w:ascii="Arial" w:cs="Arial" w:eastAsia="Arial" w:hAnsi="Arial"/>
          <w:sz w:val="18"/>
          <w:szCs w:val="18"/>
          <w:color w:val="auto"/>
        </w:rPr>
        <w:t>immediately upon the termination of the Optionee’s Continuous Service by the Company or a Related Entity for Cause;</w:t>
      </w:r>
    </w:p>
    <w:p>
      <w:pPr>
        <w:spacing w:after="0" w:line="171" w:lineRule="exact"/>
        <w:rPr>
          <w:rFonts w:ascii="Arial" w:cs="Arial" w:eastAsia="Arial" w:hAnsi="Arial"/>
          <w:sz w:val="18"/>
          <w:szCs w:val="18"/>
          <w:color w:val="auto"/>
        </w:rPr>
      </w:pPr>
    </w:p>
    <w:p>
      <w:pPr>
        <w:ind w:left="-8" w:right="540" w:firstLine="921"/>
        <w:spacing w:after="0" w:line="268" w:lineRule="auto"/>
        <w:tabs>
          <w:tab w:leader="none" w:pos="1212" w:val="left"/>
        </w:tabs>
        <w:numPr>
          <w:ilvl w:val="2"/>
          <w:numId w:val="60"/>
        </w:numPr>
        <w:rPr>
          <w:rFonts w:ascii="Arial" w:cs="Arial" w:eastAsia="Arial" w:hAnsi="Arial"/>
          <w:sz w:val="18"/>
          <w:szCs w:val="18"/>
          <w:color w:val="auto"/>
        </w:rPr>
      </w:pPr>
      <w:r>
        <w:rPr>
          <w:rFonts w:ascii="Arial" w:cs="Arial" w:eastAsia="Arial" w:hAnsi="Arial"/>
          <w:sz w:val="18"/>
          <w:szCs w:val="18"/>
          <w:color w:val="auto"/>
        </w:rPr>
        <w:t>twelve (12) months after the date on which the Optionee’s Continuous Service is terminated by reason of a Disability as determined by a medical doctor satisfactory to the Committee;</w:t>
      </w:r>
    </w:p>
    <w:p>
      <w:pPr>
        <w:spacing w:after="0" w:line="131" w:lineRule="exact"/>
        <w:rPr>
          <w:rFonts w:ascii="Arial" w:cs="Arial" w:eastAsia="Arial" w:hAnsi="Arial"/>
          <w:sz w:val="18"/>
          <w:szCs w:val="18"/>
          <w:color w:val="auto"/>
        </w:rPr>
      </w:pPr>
    </w:p>
    <w:p>
      <w:pPr>
        <w:ind w:left="1212" w:hanging="299"/>
        <w:spacing w:after="0"/>
        <w:tabs>
          <w:tab w:leader="none" w:pos="1212" w:val="left"/>
        </w:tabs>
        <w:numPr>
          <w:ilvl w:val="2"/>
          <w:numId w:val="60"/>
        </w:numPr>
        <w:rPr>
          <w:rFonts w:ascii="Arial" w:cs="Arial" w:eastAsia="Arial" w:hAnsi="Arial"/>
          <w:sz w:val="18"/>
          <w:szCs w:val="18"/>
          <w:color w:val="auto"/>
        </w:rPr>
      </w:pPr>
      <w:r>
        <w:rPr>
          <w:rFonts w:ascii="Arial" w:cs="Arial" w:eastAsia="Arial" w:hAnsi="Arial"/>
          <w:sz w:val="18"/>
          <w:szCs w:val="18"/>
          <w:color w:val="auto"/>
        </w:rPr>
        <w:t>twelve (12) months after the date of termination of the Optionee’s Continuous Service by reason of the death of the Optionee;</w:t>
      </w:r>
    </w:p>
    <w:p>
      <w:pPr>
        <w:spacing w:after="0" w:line="171" w:lineRule="exact"/>
        <w:rPr>
          <w:rFonts w:ascii="Arial" w:cs="Arial" w:eastAsia="Arial" w:hAnsi="Arial"/>
          <w:sz w:val="18"/>
          <w:szCs w:val="18"/>
          <w:color w:val="auto"/>
        </w:rPr>
      </w:pPr>
    </w:p>
    <w:p>
      <w:pPr>
        <w:ind w:left="1152" w:hanging="239"/>
        <w:spacing w:after="0"/>
        <w:tabs>
          <w:tab w:leader="none" w:pos="1152" w:val="left"/>
        </w:tabs>
        <w:numPr>
          <w:ilvl w:val="2"/>
          <w:numId w:val="60"/>
        </w:numPr>
        <w:rPr>
          <w:rFonts w:ascii="Arial" w:cs="Arial" w:eastAsia="Arial" w:hAnsi="Arial"/>
          <w:sz w:val="18"/>
          <w:szCs w:val="18"/>
          <w:color w:val="auto"/>
        </w:rPr>
      </w:pPr>
      <w:r>
        <w:rPr>
          <w:rFonts w:ascii="Arial" w:cs="Arial" w:eastAsia="Arial" w:hAnsi="Arial"/>
          <w:sz w:val="18"/>
          <w:szCs w:val="18"/>
          <w:color w:val="auto"/>
        </w:rPr>
        <w:t>the tenth (10</w:t>
      </w:r>
      <w:r>
        <w:rPr>
          <w:rFonts w:ascii="Arial" w:cs="Arial" w:eastAsia="Arial" w:hAnsi="Arial"/>
          <w:sz w:val="11"/>
          <w:szCs w:val="11"/>
          <w:color w:val="auto"/>
        </w:rPr>
        <w:t>th</w:t>
      </w:r>
      <w:r>
        <w:rPr>
          <w:rFonts w:ascii="Arial" w:cs="Arial" w:eastAsia="Arial" w:hAnsi="Arial"/>
          <w:sz w:val="18"/>
          <w:szCs w:val="18"/>
          <w:color w:val="auto"/>
        </w:rPr>
        <w:t>) anniversary of the date as of which the Option is granted.</w:t>
      </w:r>
    </w:p>
    <w:p>
      <w:pPr>
        <w:spacing w:after="0" w:line="171" w:lineRule="exact"/>
        <w:rPr>
          <w:rFonts w:ascii="Arial" w:cs="Arial" w:eastAsia="Arial" w:hAnsi="Arial"/>
          <w:sz w:val="18"/>
          <w:szCs w:val="18"/>
          <w:color w:val="auto"/>
        </w:rPr>
      </w:pPr>
    </w:p>
    <w:p>
      <w:pPr>
        <w:ind w:left="-8" w:firstLine="464"/>
        <w:spacing w:after="0" w:line="287" w:lineRule="auto"/>
        <w:tabs>
          <w:tab w:leader="none" w:pos="697" w:val="left"/>
        </w:tabs>
        <w:numPr>
          <w:ilvl w:val="1"/>
          <w:numId w:val="60"/>
        </w:numPr>
        <w:rPr>
          <w:rFonts w:ascii="Arial" w:cs="Arial" w:eastAsia="Arial" w:hAnsi="Arial"/>
          <w:sz w:val="16"/>
          <w:szCs w:val="16"/>
          <w:color w:val="auto"/>
        </w:rPr>
      </w:pPr>
      <w:r>
        <w:rPr>
          <w:rFonts w:ascii="Arial" w:cs="Arial" w:eastAsia="Arial" w:hAnsi="Arial"/>
          <w:sz w:val="16"/>
          <w:szCs w:val="16"/>
          <w:b w:val="1"/>
          <w:bCs w:val="1"/>
          <w:i w:val="1"/>
          <w:iCs w:val="1"/>
          <w:color w:val="auto"/>
        </w:rPr>
        <w:t>Cancellation</w:t>
      </w:r>
      <w:r>
        <w:rPr>
          <w:rFonts w:ascii="Arial" w:cs="Arial" w:eastAsia="Arial" w:hAnsi="Arial"/>
          <w:sz w:val="16"/>
          <w:szCs w:val="16"/>
          <w:color w:val="auto"/>
        </w:rPr>
        <w:t>. To the extent not previously exercised, (i) the Option shall terminate immediately in the event of (A) the liquidation or dissolution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or (B) any reorganization, merger, consolidation or other form of corporate transaction in which the Company does not survive or the Shares are exchanged for or converted into securities issued by another entity, or an affiliate of such successor or acquiring entity, unless the successor or acquiring entity, or an affiliate thereof, assumes the Option or substitutes an equivalent option or right pursuant to Section 10(c)(ii) of the Plan, and (ii) the Committee in its sole discretion may by written notice (“cancellation notice”) cancel, effective upon the consummation of any transaction that constitutes a Change in Control, the Option (or portion thereof) that remains unexercised on such date. The Committee shall give written notice of any proposed transaction referred to in this Section 6(b) a reasonable period of time prior to the closing date for such transaction (which notice may be given either before or after approval of such transaction), in order that the Optionee may have a reasonable period of time prior to the closing date of such transaction within which to exercise the Option if and to the extent that it then is exercisable (including any portion of the Option that may become exercisable upon the closing date of such transaction). The Optionee may condition his exercise of the Option upon the consummation of a transaction referred to in this Section 6(b).</w:t>
      </w:r>
    </w:p>
    <w:p>
      <w:pPr>
        <w:spacing w:after="0" w:line="122" w:lineRule="exact"/>
        <w:rPr>
          <w:rFonts w:ascii="Arial" w:cs="Arial" w:eastAsia="Arial" w:hAnsi="Arial"/>
          <w:sz w:val="16"/>
          <w:szCs w:val="16"/>
          <w:color w:val="auto"/>
        </w:rPr>
      </w:pPr>
    </w:p>
    <w:p>
      <w:pPr>
        <w:ind w:left="-8" w:right="40" w:firstLine="8"/>
        <w:spacing w:after="0" w:line="306" w:lineRule="auto"/>
        <w:tabs>
          <w:tab w:leader="none" w:pos="168" w:val="left"/>
        </w:tabs>
        <w:numPr>
          <w:ilvl w:val="0"/>
          <w:numId w:val="60"/>
        </w:numPr>
        <w:rPr>
          <w:rFonts w:ascii="Arial" w:cs="Arial" w:eastAsia="Arial" w:hAnsi="Arial"/>
          <w:sz w:val="16"/>
          <w:szCs w:val="16"/>
          <w:color w:val="auto"/>
        </w:rPr>
      </w:pPr>
      <w:r>
        <w:rPr>
          <w:rFonts w:ascii="Arial" w:cs="Arial" w:eastAsia="Arial" w:hAnsi="Arial"/>
          <w:sz w:val="16"/>
          <w:szCs w:val="16"/>
          <w:b w:val="1"/>
          <w:bCs w:val="1"/>
          <w:i w:val="1"/>
          <w:iCs w:val="1"/>
          <w:color w:val="auto"/>
        </w:rPr>
        <w:t>Transferability</w:t>
      </w:r>
      <w:r>
        <w:rPr>
          <w:rFonts w:ascii="Arial" w:cs="Arial" w:eastAsia="Arial" w:hAnsi="Arial"/>
          <w:sz w:val="16"/>
          <w:szCs w:val="16"/>
          <w:color w:val="auto"/>
        </w:rPr>
        <w:t>. Unless otherwise determined by the Committee, the Option granted hereby is not transferable otherwise than by will or under the applicable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laws of descent and distribution, and during the lifetime of the Optionee the Option shall be exercisable only by the Optionee, or the Optionee’s guardian or legal representative. In addition, the Option shall not be assigned, negotiated, pledged or hypothecated in any</w:t>
      </w:r>
    </w:p>
    <w:p>
      <w:pPr>
        <w:spacing w:after="0" w:line="9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52"/>
          </w:cols>
          <w:pgMar w:left="248" w:top="280" w:right="299" w:bottom="1440" w:gutter="0" w:footer="0" w:header="0"/>
        </w:sectPr>
      </w:pPr>
    </w:p>
    <w:bookmarkStart w:id="55" w:name="page56"/>
    <w:bookmarkEnd w:id="55"/>
    <w:p>
      <w:pPr>
        <w:ind w:right="3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way (whether by operation of law or otherwise), and the Option shall not be subject to execution, attachment or similar process. Upon any attempt to transfer, assign, negotiate, pledge or hypothecate the Option, or in the event of any levy upon the Option by reason of any execution, attachment or similar process contrary to the provisions hereof, the Option shall immediately become null and void. The terms of this Option shall be binding upon the executors, administrators, heirs, successors and assigns of the Optionee.</w:t>
      </w:r>
    </w:p>
    <w:p>
      <w:pPr>
        <w:spacing w:after="0" w:line="143" w:lineRule="exact"/>
        <w:rPr>
          <w:sz w:val="20"/>
          <w:szCs w:val="20"/>
          <w:color w:val="auto"/>
        </w:rPr>
      </w:pPr>
    </w:p>
    <w:p>
      <w:pPr>
        <w:ind w:right="40" w:firstLine="8"/>
        <w:spacing w:after="0" w:line="259" w:lineRule="auto"/>
        <w:tabs>
          <w:tab w:leader="none" w:pos="176"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No Rights of Stockholders</w:t>
      </w:r>
      <w:r>
        <w:rPr>
          <w:rFonts w:ascii="Arial" w:cs="Arial" w:eastAsia="Arial" w:hAnsi="Arial"/>
          <w:sz w:val="18"/>
          <w:szCs w:val="18"/>
          <w:color w:val="auto"/>
        </w:rPr>
        <w:t>. Neither the Optionee nor any personal representative (or beneficiary) shall be, or shall have any of the rights and privileges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 of the Company with respect to any Shares purchasable or issuable upon the exercise of the Option, in whole or in part, prior to the date on which the Shares are issued.</w:t>
      </w:r>
    </w:p>
    <w:p>
      <w:pPr>
        <w:spacing w:after="0" w:line="140" w:lineRule="exact"/>
        <w:rPr>
          <w:rFonts w:ascii="Arial" w:cs="Arial" w:eastAsia="Arial" w:hAnsi="Arial"/>
          <w:sz w:val="18"/>
          <w:szCs w:val="18"/>
          <w:color w:val="auto"/>
        </w:rPr>
      </w:pPr>
    </w:p>
    <w:p>
      <w:pPr>
        <w:ind w:left="180" w:hanging="172"/>
        <w:spacing w:after="0"/>
        <w:tabs>
          <w:tab w:leader="none" w:pos="180"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Acceleration of Exercisability of Option</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60" w:firstLine="464"/>
        <w:spacing w:after="0" w:line="256" w:lineRule="auto"/>
        <w:tabs>
          <w:tab w:leader="none" w:pos="695" w:val="left"/>
        </w:tabs>
        <w:numPr>
          <w:ilvl w:val="1"/>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Acceleration Upon Certain Terminations or Cancellations of Option</w:t>
      </w:r>
      <w:r>
        <w:rPr>
          <w:rFonts w:ascii="Arial" w:cs="Arial" w:eastAsia="Arial" w:hAnsi="Arial"/>
          <w:sz w:val="18"/>
          <w:szCs w:val="18"/>
          <w:color w:val="auto"/>
        </w:rPr>
        <w:t>. So long as this Option has not terminated pursuant to Section 6(a) hereof,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 shall become immediately fully exercisable immediately prior to the occurrence of any event that would result in (i) the Option being terminated pursuant to Section 6(b)(i) hereof, or (ii) the Company exercising its discretion to provide a cancellation notice with respect to the Option pursuant to Section 6(b)(ii) hereof.</w:t>
      </w:r>
    </w:p>
    <w:p>
      <w:pPr>
        <w:spacing w:after="0" w:line="143" w:lineRule="exact"/>
        <w:rPr>
          <w:rFonts w:ascii="Arial" w:cs="Arial" w:eastAsia="Arial" w:hAnsi="Arial"/>
          <w:sz w:val="18"/>
          <w:szCs w:val="18"/>
          <w:color w:val="auto"/>
        </w:rPr>
      </w:pPr>
    </w:p>
    <w:p>
      <w:pPr>
        <w:ind w:firstLine="464"/>
        <w:spacing w:after="0" w:line="259" w:lineRule="auto"/>
        <w:tabs>
          <w:tab w:leader="none" w:pos="705" w:val="left"/>
        </w:tabs>
        <w:numPr>
          <w:ilvl w:val="1"/>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Acceleration Upon Change in Control. </w:t>
      </w:r>
      <w:r>
        <w:rPr>
          <w:rFonts w:ascii="Arial" w:cs="Arial" w:eastAsia="Arial" w:hAnsi="Arial"/>
          <w:sz w:val="18"/>
          <w:szCs w:val="18"/>
          <w:color w:val="auto"/>
        </w:rPr>
        <w:t>Subject to Section 9(a) above and so long as this Option has not terminated pursuant to Section 6(a) hereof,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 shall become immediately fully exercisable immediately prior to the occurrence of any event that qualifies as a “Change in Control”, as defined in Section 9(b) of the Plan.</w:t>
      </w:r>
    </w:p>
    <w:p>
      <w:pPr>
        <w:spacing w:after="0" w:line="140" w:lineRule="exact"/>
        <w:rPr>
          <w:rFonts w:ascii="Arial" w:cs="Arial" w:eastAsia="Arial" w:hAnsi="Arial"/>
          <w:sz w:val="18"/>
          <w:szCs w:val="18"/>
          <w:color w:val="auto"/>
        </w:rPr>
      </w:pPr>
    </w:p>
    <w:p>
      <w:pPr>
        <w:ind w:right="260" w:firstLine="8"/>
        <w:spacing w:after="0" w:line="268" w:lineRule="auto"/>
        <w:tabs>
          <w:tab w:leader="none" w:pos="263"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No Right to Continued Employment</w:t>
      </w:r>
      <w:r>
        <w:rPr>
          <w:rFonts w:ascii="Arial" w:cs="Arial" w:eastAsia="Arial" w:hAnsi="Arial"/>
          <w:sz w:val="18"/>
          <w:szCs w:val="18"/>
          <w:color w:val="auto"/>
        </w:rPr>
        <w:t>. Neither the Option nor this Agreement shall confer upon the Optionee any right to continued employment or service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the Company.</w:t>
      </w:r>
    </w:p>
    <w:p>
      <w:pPr>
        <w:spacing w:after="0" w:line="131" w:lineRule="exact"/>
        <w:rPr>
          <w:rFonts w:ascii="Arial" w:cs="Arial" w:eastAsia="Arial" w:hAnsi="Arial"/>
          <w:sz w:val="18"/>
          <w:szCs w:val="18"/>
          <w:color w:val="auto"/>
        </w:rPr>
      </w:pPr>
    </w:p>
    <w:p>
      <w:pPr>
        <w:ind w:left="260" w:hanging="252"/>
        <w:spacing w:after="0"/>
        <w:tabs>
          <w:tab w:leader="none" w:pos="260"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Law Governing</w:t>
      </w:r>
      <w:r>
        <w:rPr>
          <w:rFonts w:ascii="Arial" w:cs="Arial" w:eastAsia="Arial" w:hAnsi="Arial"/>
          <w:sz w:val="18"/>
          <w:szCs w:val="18"/>
          <w:color w:val="auto"/>
        </w:rPr>
        <w:t>. This Agreement shall be governed in accordance with and governed by the internal laws of the State of Georgia.</w:t>
      </w:r>
    </w:p>
    <w:p>
      <w:pPr>
        <w:spacing w:after="0" w:line="171" w:lineRule="exact"/>
        <w:rPr>
          <w:rFonts w:ascii="Arial" w:cs="Arial" w:eastAsia="Arial" w:hAnsi="Arial"/>
          <w:sz w:val="18"/>
          <w:szCs w:val="18"/>
          <w:color w:val="auto"/>
        </w:rPr>
      </w:pPr>
    </w:p>
    <w:p>
      <w:pPr>
        <w:ind w:firstLine="8"/>
        <w:spacing w:after="0" w:line="294" w:lineRule="auto"/>
        <w:tabs>
          <w:tab w:leader="none" w:pos="263" w:val="left"/>
        </w:tabs>
        <w:numPr>
          <w:ilvl w:val="0"/>
          <w:numId w:val="61"/>
        </w:numPr>
        <w:rPr>
          <w:rFonts w:ascii="Arial" w:cs="Arial" w:eastAsia="Arial" w:hAnsi="Arial"/>
          <w:sz w:val="16"/>
          <w:szCs w:val="16"/>
          <w:color w:val="auto"/>
        </w:rPr>
      </w:pPr>
      <w:r>
        <w:rPr>
          <w:rFonts w:ascii="Arial" w:cs="Arial" w:eastAsia="Arial" w:hAnsi="Arial"/>
          <w:sz w:val="16"/>
          <w:szCs w:val="16"/>
          <w:b w:val="1"/>
          <w:bCs w:val="1"/>
          <w:i w:val="1"/>
          <w:iCs w:val="1"/>
          <w:color w:val="auto"/>
        </w:rPr>
        <w:t>Incentive Stock Option Treatment</w:t>
      </w:r>
      <w:r>
        <w:rPr>
          <w:rFonts w:ascii="Arial" w:cs="Arial" w:eastAsia="Arial" w:hAnsi="Arial"/>
          <w:sz w:val="16"/>
          <w:szCs w:val="16"/>
          <w:color w:val="auto"/>
        </w:rPr>
        <w:t>. The terms of this Option shall be interpreted in a manner consistent with the intent of the Company and the Optionee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Option qualify as an Incentive Stock Option under Section 422 of the Code. If any provision of the Plan or this Agreement shall be impermissible in order for the Option to qualify as an Incentive Stock Option, then the Option shall be construed and enforced as if such provision had never been included in the Plan or the Option. If and to the extent that the number of Options granted pursuant to this Agreement exceeds the limitations contained in Section 422 of the Code on the value of Shares with respect to which this Option may qualify as an Incentive Stock Option, this Option shall be a Non-Qualified Stock Option.</w:t>
      </w:r>
    </w:p>
    <w:p>
      <w:pPr>
        <w:spacing w:after="0" w:line="115" w:lineRule="exact"/>
        <w:rPr>
          <w:rFonts w:ascii="Arial" w:cs="Arial" w:eastAsia="Arial" w:hAnsi="Arial"/>
          <w:sz w:val="16"/>
          <w:szCs w:val="16"/>
          <w:color w:val="auto"/>
        </w:rPr>
      </w:pPr>
    </w:p>
    <w:p>
      <w:pPr>
        <w:ind w:left="280" w:hanging="272"/>
        <w:spacing w:after="0"/>
        <w:tabs>
          <w:tab w:leader="none" w:pos="280" w:val="left"/>
        </w:tabs>
        <w:numPr>
          <w:ilvl w:val="0"/>
          <w:numId w:val="61"/>
        </w:numPr>
        <w:rPr>
          <w:rFonts w:ascii="Arial" w:cs="Arial" w:eastAsia="Arial" w:hAnsi="Arial"/>
          <w:sz w:val="16"/>
          <w:szCs w:val="16"/>
          <w:color w:val="auto"/>
        </w:rPr>
      </w:pPr>
      <w:r>
        <w:rPr>
          <w:rFonts w:ascii="Arial" w:cs="Arial" w:eastAsia="Arial" w:hAnsi="Arial"/>
          <w:sz w:val="16"/>
          <w:szCs w:val="16"/>
          <w:b w:val="1"/>
          <w:bCs w:val="1"/>
          <w:i w:val="1"/>
          <w:iCs w:val="1"/>
          <w:color w:val="auto"/>
        </w:rPr>
        <w:t>Interpretation / Provisions of Plan Control</w:t>
      </w:r>
      <w:r>
        <w:rPr>
          <w:rFonts w:ascii="Arial" w:cs="Arial" w:eastAsia="Arial" w:hAnsi="Arial"/>
          <w:sz w:val="16"/>
          <w:szCs w:val="16"/>
          <w:color w:val="auto"/>
        </w:rPr>
        <w:t>. This Agreement is subject to all the terms, conditions and provisions of the Plan, including, without limitation,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56" w:name="page57"/>
    <w:bookmarkEnd w:id="56"/>
    <w:p>
      <w:pPr>
        <w:ind w:right="2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 provisions thereof, and to such rules, regulations and interpretations relating to the Plan adopted by the Committee as may be in effect from time to time. If and to the extent that this Agreement conflicts or is inconsistent with the terms, conditions and provisions of the Plan, the Plan shall control, and this Agreement shall be deemed to be modified accordingly. The Optionee accepts the Option subject to all of the terms and provisions of the Plan and this Agreement. The undersigned Optionee hereby accepts as binding, conclusive and final all decisions or interpretations of the Committee upon any questions arising under the Plan and this Agreement, unless shown to have been made in an arbitrary and capricious manner.</w:t>
      </w:r>
    </w:p>
    <w:p>
      <w:pPr>
        <w:spacing w:after="0" w:line="116" w:lineRule="exact"/>
        <w:rPr>
          <w:sz w:val="20"/>
          <w:szCs w:val="20"/>
          <w:color w:val="auto"/>
        </w:rPr>
      </w:pPr>
    </w:p>
    <w:p>
      <w:pPr>
        <w:ind w:firstLine="8"/>
        <w:spacing w:after="0" w:line="255" w:lineRule="auto"/>
        <w:tabs>
          <w:tab w:leader="none" w:pos="263"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Notices</w:t>
      </w:r>
      <w:r>
        <w:rPr>
          <w:rFonts w:ascii="Arial" w:cs="Arial" w:eastAsia="Arial" w:hAnsi="Arial"/>
          <w:sz w:val="18"/>
          <w:szCs w:val="18"/>
          <w:color w:val="auto"/>
        </w:rPr>
        <w:t>. Any notice under this Agreement shall be in writing and shall be deemed to have been duly given when delivered personally or when deposited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United States mail, registered, postage prepaid, and addressed, in the case of the Company, to the Company’s Secretary at 4960 Peachtree Industrial Blvd., Suite 240, Norcross, GA 30071, or if the Company should move its principal office, to such principal office, and, in the case of the Optionee, to the Optionee’s last permanent address as shown on the Company’s records, subject to the right of either party to designate some other address at any time hereafter in a notice satisfying the requirements of this Section.</w:t>
      </w:r>
    </w:p>
    <w:p>
      <w:pPr>
        <w:spacing w:after="0" w:line="142" w:lineRule="exact"/>
        <w:rPr>
          <w:rFonts w:ascii="Arial" w:cs="Arial" w:eastAsia="Arial" w:hAnsi="Arial"/>
          <w:sz w:val="18"/>
          <w:szCs w:val="18"/>
          <w:color w:val="auto"/>
        </w:rPr>
      </w:pPr>
    </w:p>
    <w:p>
      <w:pPr>
        <w:ind w:left="280" w:hanging="272"/>
        <w:spacing w:after="0"/>
        <w:tabs>
          <w:tab w:leader="none" w:pos="280"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Section 409A.</w:t>
      </w:r>
    </w:p>
    <w:p>
      <w:pPr>
        <w:spacing w:after="0" w:line="171" w:lineRule="exact"/>
        <w:rPr>
          <w:rFonts w:ascii="Arial" w:cs="Arial" w:eastAsia="Arial" w:hAnsi="Arial"/>
          <w:sz w:val="18"/>
          <w:szCs w:val="18"/>
          <w:color w:val="auto"/>
        </w:rPr>
      </w:pPr>
    </w:p>
    <w:p>
      <w:pPr>
        <w:ind w:firstLine="464"/>
        <w:spacing w:after="0" w:line="283" w:lineRule="auto"/>
        <w:tabs>
          <w:tab w:leader="none" w:pos="695" w:val="left"/>
        </w:tabs>
        <w:numPr>
          <w:ilvl w:val="1"/>
          <w:numId w:val="62"/>
        </w:numPr>
        <w:rPr>
          <w:rFonts w:ascii="Arial" w:cs="Arial" w:eastAsia="Arial" w:hAnsi="Arial"/>
          <w:sz w:val="16"/>
          <w:szCs w:val="16"/>
          <w:color w:val="auto"/>
        </w:rPr>
      </w:pPr>
      <w:r>
        <w:rPr>
          <w:rFonts w:ascii="Arial" w:cs="Arial" w:eastAsia="Arial" w:hAnsi="Arial"/>
          <w:sz w:val="16"/>
          <w:szCs w:val="16"/>
          <w:color w:val="auto"/>
        </w:rPr>
        <w:t>It is intended that the Option awarded pursuant to this Agreement be exempt from Section 409A of the Code (“Section 409A”) because it is believed that (i) the Exercise Price may never be less than the Fair Market Value of a Share on the Grant Date and the number of shares subject to the Option is fixed on the original Date of Grant, (ii) the transfer or exercise of the Option is subject to taxation under Section 83 of the Code and Treas. Reg. 1.83-7, and (iii) the Option does not include any feature for the deferral of compensation other than the deferral of recognition of income until the exercise of the Option. The provisions of this Agreement shall be interpreted in a manner consistent with this intention, and the provisions of this Agreement may not be amended, adjusted, assumed or substituted for, converted or otherwise modified without the Optionee’s prior written consent if and to the extent that the Company believes or reasonably should believe that such amendment, adjustment, assumption or substitution, conversion or modification would cause the award to violate the requirements of</w:t>
      </w:r>
    </w:p>
    <w:p>
      <w:pPr>
        <w:spacing w:after="0"/>
        <w:rPr>
          <w:rFonts w:ascii="Arial" w:cs="Arial" w:eastAsia="Arial" w:hAnsi="Arial"/>
          <w:sz w:val="16"/>
          <w:szCs w:val="16"/>
          <w:color w:val="auto"/>
        </w:rPr>
      </w:pPr>
      <w:r>
        <w:rPr>
          <w:rFonts w:ascii="Arial" w:cs="Arial" w:eastAsia="Arial" w:hAnsi="Arial"/>
          <w:sz w:val="16"/>
          <w:szCs w:val="16"/>
          <w:color w:val="auto"/>
        </w:rPr>
        <w:t>Section 409A. In the event that either the Company or the Optionee believes, at any time, that any benefit or right under this Agreement is subject to</w:t>
      </w:r>
    </w:p>
    <w:p>
      <w:pPr>
        <w:spacing w:after="0" w:line="32" w:lineRule="exact"/>
        <w:rPr>
          <w:rFonts w:ascii="Arial" w:cs="Arial" w:eastAsia="Arial" w:hAnsi="Arial"/>
          <w:sz w:val="16"/>
          <w:szCs w:val="16"/>
          <w:color w:val="auto"/>
        </w:rPr>
      </w:pPr>
    </w:p>
    <w:p>
      <w:pPr>
        <w:ind w:right="80"/>
        <w:spacing w:after="0" w:line="302" w:lineRule="auto"/>
        <w:rPr>
          <w:rFonts w:ascii="Arial" w:cs="Arial" w:eastAsia="Arial" w:hAnsi="Arial"/>
          <w:sz w:val="16"/>
          <w:szCs w:val="16"/>
          <w:color w:val="auto"/>
        </w:rPr>
      </w:pPr>
      <w:r>
        <w:rPr>
          <w:rFonts w:ascii="Arial" w:cs="Arial" w:eastAsia="Arial" w:hAnsi="Arial"/>
          <w:sz w:val="16"/>
          <w:szCs w:val="16"/>
          <w:color w:val="auto"/>
        </w:rPr>
        <w:t>Section 409A, then the Committee may (acting alone and without any required consent of the Optionee) amend this Agreement in such manner as the Committee deems necessary or appropriate to be exempt from or otherwise comply with the requirements of Section 409A (including without limitation, amending the Agreement to increase the Exercise Price to such amount as may be required in order for the Option to be exempt from Section 409A).</w:t>
      </w:r>
    </w:p>
    <w:p>
      <w:pPr>
        <w:spacing w:after="0" w:line="109" w:lineRule="exact"/>
        <w:rPr>
          <w:rFonts w:ascii="Arial" w:cs="Arial" w:eastAsia="Arial" w:hAnsi="Arial"/>
          <w:sz w:val="16"/>
          <w:szCs w:val="16"/>
          <w:color w:val="auto"/>
        </w:rPr>
      </w:pPr>
    </w:p>
    <w:p>
      <w:pPr>
        <w:ind w:right="160" w:firstLine="464"/>
        <w:spacing w:after="0" w:line="268" w:lineRule="auto"/>
        <w:tabs>
          <w:tab w:leader="none" w:pos="705" w:val="left"/>
        </w:tabs>
        <w:numPr>
          <w:ilvl w:val="1"/>
          <w:numId w:val="62"/>
        </w:numPr>
        <w:rPr>
          <w:rFonts w:ascii="Arial" w:cs="Arial" w:eastAsia="Arial" w:hAnsi="Arial"/>
          <w:sz w:val="18"/>
          <w:szCs w:val="18"/>
          <w:color w:val="auto"/>
        </w:rPr>
      </w:pPr>
      <w:r>
        <w:rPr>
          <w:rFonts w:ascii="Arial" w:cs="Arial" w:eastAsia="Arial" w:hAnsi="Arial"/>
          <w:sz w:val="18"/>
          <w:szCs w:val="18"/>
          <w:color w:val="auto"/>
        </w:rPr>
        <w:t>Notwithstanding the foregoing, the Company does not make any representation to the Optionee that the Option awarded pursuant to this Agreement is exempt from, or satisfy, the requirements of Section 409A, and the Company shall have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57" w:name="page58"/>
    <w:bookmarkEnd w:id="57"/>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liability or other obligation to indemnify or hold harmless the Optionee or any Beneficiary for any tax, additional tax, interest or penalties that the Optionee or any Beneficiary may incur in the event that any provision of this Agreement, or any amendment or modification thereof or any other action taken with respect thereto, that either is consented to by the Optionee or that the Company reasonably believes should not result in a violation of Section 409A, is deemed to violate any of the requirements of Section 409A.</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280" w:right="319" w:bottom="1440" w:gutter="0" w:footer="0" w:header="0"/>
        </w:sectPr>
      </w:pPr>
    </w:p>
    <w:bookmarkStart w:id="58" w:name="page59"/>
    <w:bookmarkEnd w:id="58"/>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8"/>
          <w:szCs w:val="18"/>
          <w:color w:val="auto"/>
        </w:rPr>
        <w:t>, the undersigned have executed this Agreement as of the June 20, 2013.</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GALECTIN THERAPEUTICS INC., a Nevada corporation</w:t>
      </w:r>
    </w:p>
    <w:p>
      <w:pPr>
        <w:spacing w:after="0" w:line="254"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Peter G. Traber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Peter G. Traber, MD</w:t>
      </w:r>
    </w:p>
    <w:p>
      <w:pPr>
        <w:spacing w:after="0" w:line="117"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Executive Officer and Chief Medical officer</w:t>
      </w:r>
    </w:p>
    <w:p>
      <w:pPr>
        <w:spacing w:after="0" w:line="171"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Optionee acknowledges receipt of a copy of the Plan and represents that he has reviewed the provisions of the Plan and this Option Agreement in their entirety, is familiar with and understands their terms and provisions, and hereby accepts this Option subject to all of the terms and provisions of the Plan and the Option Agreement. The Optionee further represents that he has had an opportunity to obtain the advice of counsel prior to executing this Option Agreement.</w:t>
      </w:r>
    </w:p>
    <w:p>
      <w:pPr>
        <w:spacing w:after="0" w:line="123" w:lineRule="exact"/>
        <w:rPr>
          <w:sz w:val="20"/>
          <w:szCs w:val="20"/>
          <w:color w:val="auto"/>
        </w:rPr>
      </w:pPr>
    </w:p>
    <w:p>
      <w:pPr>
        <w:spacing w:after="0"/>
        <w:tabs>
          <w:tab w:leader="none" w:pos="6140" w:val="left"/>
        </w:tabs>
        <w:rPr>
          <w:sz w:val="20"/>
          <w:szCs w:val="20"/>
          <w:color w:val="auto"/>
        </w:rPr>
      </w:pPr>
      <w:r>
        <w:rPr>
          <w:rFonts w:ascii="Arial" w:cs="Arial" w:eastAsia="Arial" w:hAnsi="Arial"/>
          <w:sz w:val="18"/>
          <w:szCs w:val="18"/>
          <w:color w:val="auto"/>
        </w:rPr>
        <w:t>Dated:  June 20 2013</w:t>
      </w:r>
      <w:r>
        <w:rPr>
          <w:sz w:val="20"/>
          <w:szCs w:val="20"/>
          <w:color w:val="auto"/>
        </w:rPr>
        <w:tab/>
      </w:r>
      <w:r>
        <w:rPr>
          <w:rFonts w:ascii="Arial" w:cs="Arial" w:eastAsia="Arial" w:hAnsi="Arial"/>
          <w:sz w:val="16"/>
          <w:szCs w:val="16"/>
          <w:b w:val="1"/>
          <w:bCs w:val="1"/>
          <w:color w:val="auto"/>
        </w:rPr>
        <w:t>OPTIONEE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31127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38"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By:  /s/ Jack Callicutt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10795</wp:posOffset>
            </wp:positionV>
            <wp:extent cx="31127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24"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Jack Callicutt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74" w:right="29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10.4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INDEPENDENT CONSULTING AGREEMENT</w:t>
      </w:r>
    </w:p>
    <w:p>
      <w:pPr>
        <w:spacing w:after="0" w:line="177"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THIS AMENDMENT TO INDEPENDENT CONSULTING AGREEMENT (this “</w:t>
      </w:r>
      <w:r>
        <w:rPr>
          <w:rFonts w:ascii="Arial" w:cs="Arial" w:eastAsia="Arial" w:hAnsi="Arial"/>
          <w:sz w:val="16"/>
          <w:szCs w:val="16"/>
          <w:u w:val="single" w:color="auto"/>
          <w:color w:val="auto"/>
        </w:rPr>
        <w:t>Amendment</w:t>
      </w:r>
      <w:r>
        <w:rPr>
          <w:rFonts w:ascii="Arial" w:cs="Arial" w:eastAsia="Arial" w:hAnsi="Arial"/>
          <w:sz w:val="16"/>
          <w:szCs w:val="16"/>
          <w:color w:val="auto"/>
        </w:rPr>
        <w:t>”), dated as of June 19, 2013 (the “</w:t>
      </w:r>
      <w:r>
        <w:rPr>
          <w:rFonts w:ascii="Arial" w:cs="Arial" w:eastAsia="Arial" w:hAnsi="Arial"/>
          <w:sz w:val="16"/>
          <w:szCs w:val="16"/>
          <w:u w:val="single" w:color="auto"/>
          <w:color w:val="auto"/>
        </w:rPr>
        <w:t>Effective Date</w:t>
      </w:r>
      <w:r>
        <w:rPr>
          <w:rFonts w:ascii="Arial" w:cs="Arial" w:eastAsia="Arial" w:hAnsi="Arial"/>
          <w:sz w:val="16"/>
          <w:szCs w:val="16"/>
          <w:color w:val="auto"/>
        </w:rPr>
        <w:t>”), is entered into by and between Thomas McGauley (hereafter “Consultant”) and Galectin Therapeutics, Inc., a Nevada corporation (the “Company”).</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WITNESSETH</w:t>
      </w:r>
      <w:r>
        <w:rPr>
          <w:rFonts w:ascii="Arial" w:cs="Arial" w:eastAsia="Arial" w:hAnsi="Arial"/>
          <w:sz w:val="18"/>
          <w:szCs w:val="18"/>
          <w:b w:val="1"/>
          <w:bCs w:val="1"/>
          <w:color w:val="auto"/>
        </w:rPr>
        <w:t>:</w:t>
      </w:r>
    </w:p>
    <w:p>
      <w:pPr>
        <w:spacing w:after="0" w:line="171" w:lineRule="exact"/>
        <w:rPr>
          <w:sz w:val="20"/>
          <w:szCs w:val="20"/>
          <w:color w:val="auto"/>
        </w:rPr>
      </w:pPr>
    </w:p>
    <w:p>
      <w:pPr>
        <w:ind w:right="380" w:firstLine="456"/>
        <w:spacing w:after="0" w:line="339"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parties hereto entered into that certain Independent Consulting Agreement, dated September 19, 2012 (the “</w:t>
      </w:r>
      <w:r>
        <w:rPr>
          <w:rFonts w:ascii="Arial" w:cs="Arial" w:eastAsia="Arial" w:hAnsi="Arial"/>
          <w:sz w:val="16"/>
          <w:szCs w:val="16"/>
          <w:u w:val="single" w:color="auto"/>
          <w:color w:val="auto"/>
        </w:rPr>
        <w:t>Consulting Agreement</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which Consultant agreed to provide certain services to the Company on the terms and conditions set forth therein; and</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desire to amend the Consulting Services Agreement to include the Recording Rights as set forth herein.</w:t>
      </w:r>
    </w:p>
    <w:p>
      <w:pPr>
        <w:spacing w:after="0" w:line="171"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these premises, the promises hereinafter contained, and other good and valuable consideration, the receipt and</w:t>
      </w:r>
      <w:r>
        <w:rPr>
          <w:rFonts w:ascii="Arial" w:cs="Arial" w:eastAsia="Arial" w:hAnsi="Arial"/>
          <w:sz w:val="18"/>
          <w:szCs w:val="18"/>
          <w:b w:val="1"/>
          <w:bCs w:val="1"/>
          <w:color w:val="auto"/>
        </w:rPr>
        <w:t xml:space="preserve"> </w:t>
      </w:r>
      <w:r>
        <w:rPr>
          <w:rFonts w:ascii="Arial" w:cs="Arial" w:eastAsia="Arial" w:hAnsi="Arial"/>
          <w:sz w:val="18"/>
          <w:szCs w:val="18"/>
          <w:color w:val="auto"/>
        </w:rPr>
        <w:t>sufficiency of which are hereby acknowledged, the parties hereto agree as follows:</w:t>
      </w:r>
    </w:p>
    <w:p>
      <w:pPr>
        <w:spacing w:after="0" w:line="126" w:lineRule="exact"/>
        <w:rPr>
          <w:sz w:val="20"/>
          <w:szCs w:val="20"/>
          <w:color w:val="auto"/>
        </w:rPr>
      </w:pPr>
    </w:p>
    <w:p>
      <w:pPr>
        <w:ind w:left="640" w:hanging="176"/>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Capitalized terms used but not otherwise defined herein shall have the meanings ascribed to them in the Consulting Agreement.</w:t>
      </w:r>
    </w:p>
    <w:p>
      <w:pPr>
        <w:spacing w:after="0" w:line="171" w:lineRule="exact"/>
        <w:rPr>
          <w:rFonts w:ascii="Arial" w:cs="Arial" w:eastAsia="Arial" w:hAnsi="Arial"/>
          <w:sz w:val="18"/>
          <w:szCs w:val="18"/>
          <w:color w:val="auto"/>
        </w:rPr>
      </w:pPr>
    </w:p>
    <w:p>
      <w:pPr>
        <w:ind w:right="240" w:firstLine="464"/>
        <w:spacing w:after="0" w:line="268" w:lineRule="auto"/>
        <w:tabs>
          <w:tab w:leader="none" w:pos="632" w:val="left"/>
        </w:tabs>
        <w:numPr>
          <w:ilvl w:val="0"/>
          <w:numId w:val="63"/>
        </w:numPr>
        <w:rPr>
          <w:rFonts w:ascii="Arial" w:cs="Arial" w:eastAsia="Arial" w:hAnsi="Arial"/>
          <w:sz w:val="18"/>
          <w:szCs w:val="18"/>
          <w:color w:val="auto"/>
        </w:rPr>
      </w:pPr>
      <w:r>
        <w:rPr>
          <w:rFonts w:ascii="Arial" w:cs="Arial" w:eastAsia="Arial" w:hAnsi="Arial"/>
          <w:sz w:val="18"/>
          <w:szCs w:val="18"/>
          <w:color w:val="auto"/>
        </w:rPr>
        <w:t>Section 4 of the Consulting Agreement is amended by deleting Paragraphs (a) and (b) in their entirety and the following is substituted therefore for all purposes whatsoever:</w:t>
      </w:r>
    </w:p>
    <w:p>
      <w:pPr>
        <w:spacing w:after="0" w:line="51" w:lineRule="exact"/>
        <w:rPr>
          <w:sz w:val="20"/>
          <w:szCs w:val="20"/>
          <w:color w:val="auto"/>
        </w:rPr>
      </w:pPr>
    </w:p>
    <w:p>
      <w:pPr>
        <w:ind w:left="920" w:right="80"/>
        <w:spacing w:after="0" w:line="259"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The Initial Term shall begin on the Effective Date and shall end on the first business day following the filing of the 10Q for the Company for the second quarter, 2013 (such first business day being referred to as the “Termination Date”), or such earlier date as this Agreement may be terminated in accordance with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below.</w:t>
      </w:r>
    </w:p>
    <w:p>
      <w:pPr>
        <w:spacing w:after="0" w:line="59" w:lineRule="exact"/>
        <w:rPr>
          <w:sz w:val="20"/>
          <w:szCs w:val="20"/>
          <w:color w:val="auto"/>
        </w:rPr>
      </w:pPr>
    </w:p>
    <w:p>
      <w:pPr>
        <w:ind w:left="920" w:right="60" w:firstLine="1"/>
        <w:spacing w:after="0" w:line="289" w:lineRule="auto"/>
        <w:tabs>
          <w:tab w:leader="none" w:pos="1168"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Consultant’s Services</w:t>
      </w:r>
      <w:r>
        <w:rPr>
          <w:rFonts w:ascii="Arial" w:cs="Arial" w:eastAsia="Arial" w:hAnsi="Arial"/>
          <w:sz w:val="16"/>
          <w:szCs w:val="16"/>
          <w:color w:val="auto"/>
        </w:rPr>
        <w:t>. Through July 1, 2013, Consultant shall provide financial services and serve as the Acting Chief Financial Officer to the Company in furtherance of the Company Business at the discretion of the CEO and in accordance with the business direction provided to Consultant by the CEO. After July 1, 2013 and through the remaining term of this Agreement, Consultant shall no longer be the Acting Chief Financial Officer of the Company, but shall provide the services specified herein as an independent consultant without title. Consultant agrees to devote the time and effort necessary to perform the services requested but in any event, Consultant agrees to be available for at least ninety five (95) hours per month during the Term. Consultant shall carry out all such services in accordance with all applicable laws and regulations governing the business of the Company, any Company Affiliate and Consultant. Consultant shall have discretion in the time, place and manner in which it provides services, giving due regard to the Company’s needs in growing the Company Business.”</w:t>
      </w:r>
    </w:p>
    <w:p>
      <w:pPr>
        <w:sectPr>
          <w:pgSz w:w="11900" w:h="16838" w:orient="portrait"/>
          <w:cols w:equalWidth="0" w:num="1">
            <w:col w:w="11420"/>
          </w:cols>
          <w:pgMar w:left="240" w:top="125" w:right="239" w:bottom="1440" w:gutter="0" w:footer="0" w:header="0"/>
        </w:sectPr>
      </w:pPr>
    </w:p>
    <w:bookmarkStart w:id="60" w:name="page61"/>
    <w:bookmarkEnd w:id="60"/>
    <w:p>
      <w:pPr>
        <w:ind w:left="176" w:hanging="176"/>
        <w:spacing w:after="0"/>
        <w:tabs>
          <w:tab w:leader="none" w:pos="176" w:val="left"/>
        </w:tabs>
        <w:numPr>
          <w:ilvl w:val="0"/>
          <w:numId w:val="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6 of the Consulting Agreement is deleted in its entirety and the following is substituted therefore for all purposes whatsoever:</w:t>
      </w:r>
    </w:p>
    <w:p>
      <w:pPr>
        <w:spacing w:after="0" w:line="84" w:lineRule="exact"/>
        <w:rPr>
          <w:rFonts w:ascii="Arial" w:cs="Arial" w:eastAsia="Arial" w:hAnsi="Arial"/>
          <w:sz w:val="18"/>
          <w:szCs w:val="18"/>
          <w:color w:val="auto"/>
        </w:rPr>
      </w:pPr>
    </w:p>
    <w:p>
      <w:pPr>
        <w:ind w:left="636" w:hanging="179"/>
        <w:spacing w:after="0"/>
        <w:tabs>
          <w:tab w:leader="none" w:pos="636" w:val="left"/>
        </w:tabs>
        <w:numPr>
          <w:ilvl w:val="1"/>
          <w:numId w:val="65"/>
        </w:numPr>
        <w:rPr>
          <w:rFonts w:ascii="Arial" w:cs="Arial" w:eastAsia="Arial" w:hAnsi="Arial"/>
          <w:sz w:val="18"/>
          <w:szCs w:val="18"/>
          <w:color w:val="auto"/>
        </w:rPr>
      </w:pPr>
      <w:r>
        <w:rPr>
          <w:rFonts w:ascii="Arial" w:cs="Arial" w:eastAsia="Arial" w:hAnsi="Arial"/>
          <w:sz w:val="18"/>
          <w:szCs w:val="18"/>
          <w:b w:val="1"/>
          <w:bCs w:val="1"/>
          <w:u w:val="single" w:color="auto"/>
          <w:color w:val="auto"/>
        </w:rPr>
        <w:t>Rights and Remedies Upon Termination</w:t>
      </w:r>
      <w:r>
        <w:rPr>
          <w:rFonts w:ascii="Arial" w:cs="Arial" w:eastAsia="Arial" w:hAnsi="Arial"/>
          <w:sz w:val="18"/>
          <w:szCs w:val="18"/>
          <w:b w:val="1"/>
          <w:bCs w:val="1"/>
          <w:color w:val="auto"/>
        </w:rPr>
        <w:t>.</w:t>
      </w:r>
    </w:p>
    <w:p>
      <w:pPr>
        <w:spacing w:after="0" w:line="96" w:lineRule="exact"/>
        <w:rPr>
          <w:sz w:val="20"/>
          <w:szCs w:val="20"/>
          <w:color w:val="auto"/>
        </w:rPr>
      </w:pPr>
    </w:p>
    <w:p>
      <w:pPr>
        <w:ind w:left="456" w:right="160"/>
        <w:spacing w:after="0" w:line="254" w:lineRule="auto"/>
        <w:rPr>
          <w:sz w:val="20"/>
          <w:szCs w:val="20"/>
          <w:color w:val="auto"/>
        </w:rPr>
      </w:pPr>
      <w:r>
        <w:rPr>
          <w:rFonts w:ascii="Arial" w:cs="Arial" w:eastAsia="Arial" w:hAnsi="Arial"/>
          <w:sz w:val="18"/>
          <w:szCs w:val="18"/>
          <w:color w:val="auto"/>
        </w:rPr>
        <w:t xml:space="preserve">“(a) Upon the termination of this Agreement for any reason, including, without limitation, upon the expiration of the then current Term hereof, the parties shall not have any further rights, duties or obligations under this Agreement other than those provided in </w:t>
      </w:r>
      <w:r>
        <w:rPr>
          <w:rFonts w:ascii="Arial" w:cs="Arial" w:eastAsia="Arial" w:hAnsi="Arial"/>
          <w:sz w:val="18"/>
          <w:szCs w:val="18"/>
          <w:u w:val="single" w:color="auto"/>
          <w:color w:val="auto"/>
        </w:rPr>
        <w:t>Sections 9 and 10</w:t>
      </w:r>
      <w:r>
        <w:rPr>
          <w:rFonts w:ascii="Arial" w:cs="Arial" w:eastAsia="Arial" w:hAnsi="Arial"/>
          <w:sz w:val="18"/>
          <w:szCs w:val="18"/>
          <w:color w:val="auto"/>
        </w:rPr>
        <w:t xml:space="preserve"> below. Notwithstanding the foregoing, the termination of this Agreement may trigger certain rights and obligations of the parties under other agreements, which rights and obligations shall not in any way be altered by this Agreement and may trigger the benefit for Consultant set forth in (b) below. Furthermore, the termination of this Agreement shall not in any way negate the parties’ respective rights, duties or obligations that accrued prior to the termination of this Agreement.</w:t>
      </w:r>
    </w:p>
    <w:p>
      <w:pPr>
        <w:spacing w:after="0" w:line="63" w:lineRule="exact"/>
        <w:rPr>
          <w:sz w:val="20"/>
          <w:szCs w:val="20"/>
          <w:color w:val="auto"/>
        </w:rPr>
      </w:pPr>
    </w:p>
    <w:p>
      <w:pPr>
        <w:ind w:left="456" w:right="80" w:firstLine="1"/>
        <w:spacing w:after="0" w:line="254" w:lineRule="auto"/>
        <w:tabs>
          <w:tab w:leader="none" w:pos="704" w:val="left"/>
        </w:tabs>
        <w:numPr>
          <w:ilvl w:val="1"/>
          <w:numId w:val="66"/>
        </w:numPr>
        <w:rPr>
          <w:rFonts w:ascii="Arial" w:cs="Arial" w:eastAsia="Arial" w:hAnsi="Arial"/>
          <w:sz w:val="18"/>
          <w:szCs w:val="18"/>
          <w:color w:val="auto"/>
        </w:rPr>
      </w:pPr>
      <w:r>
        <w:rPr>
          <w:rFonts w:ascii="Arial" w:cs="Arial" w:eastAsia="Arial" w:hAnsi="Arial"/>
          <w:sz w:val="18"/>
          <w:szCs w:val="18"/>
          <w:color w:val="auto"/>
        </w:rPr>
        <w:t>Consultant is hereby granted options to purchase 25,000 shares (the “</w:t>
      </w:r>
      <w:r>
        <w:rPr>
          <w:rFonts w:ascii="Arial" w:cs="Arial" w:eastAsia="Arial" w:hAnsi="Arial"/>
          <w:sz w:val="18"/>
          <w:szCs w:val="18"/>
          <w:u w:val="single" w:color="auto"/>
          <w:color w:val="auto"/>
        </w:rPr>
        <w:t>Options</w:t>
      </w:r>
      <w:r>
        <w:rPr>
          <w:rFonts w:ascii="Arial" w:cs="Arial" w:eastAsia="Arial" w:hAnsi="Arial"/>
          <w:sz w:val="18"/>
          <w:szCs w:val="18"/>
          <w:color w:val="auto"/>
        </w:rPr>
        <w:t xml:space="preserve">”) of the Company’s common stock under the terms and conditions of the Stock Option Agreement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w:t>
      </w:r>
      <w:r>
        <w:rPr>
          <w:rFonts w:ascii="Arial" w:cs="Arial" w:eastAsia="Arial" w:hAnsi="Arial"/>
          <w:sz w:val="18"/>
          <w:szCs w:val="18"/>
          <w:u w:val="single" w:color="auto"/>
          <w:color w:val="auto"/>
        </w:rPr>
        <w:t>Stock Option Agreement</w:t>
      </w:r>
      <w:r>
        <w:rPr>
          <w:rFonts w:ascii="Arial" w:cs="Arial" w:eastAsia="Arial" w:hAnsi="Arial"/>
          <w:sz w:val="18"/>
          <w:szCs w:val="18"/>
          <w:color w:val="auto"/>
        </w:rPr>
        <w:t>”) and Pro-Pharmaceuticals, Inc. Amended and Restated 2009 Incentive Compensation Plan (“</w:t>
      </w:r>
      <w:r>
        <w:rPr>
          <w:rFonts w:ascii="Arial" w:cs="Arial" w:eastAsia="Arial" w:hAnsi="Arial"/>
          <w:sz w:val="18"/>
          <w:szCs w:val="18"/>
          <w:u w:val="single" w:color="auto"/>
          <w:color w:val="auto"/>
        </w:rPr>
        <w:t>Stock Option Plan</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The Stock Option Agreement shall provide for the Options to be 100% vested upon the Termination Date, provided that the Consultant (i) has not been terminated by the Company for Cause or (ii) has not voluntarily terminated this Agreement, in either case prior to the Termination Date, and for Consultant to have the right to a cashless exercise of the Options, in whole or in part.”</w:t>
      </w:r>
    </w:p>
    <w:p>
      <w:pPr>
        <w:spacing w:after="0" w:line="138" w:lineRule="exact"/>
        <w:rPr>
          <w:rFonts w:ascii="Arial" w:cs="Arial" w:eastAsia="Arial" w:hAnsi="Arial"/>
          <w:sz w:val="18"/>
          <w:szCs w:val="18"/>
          <w:color w:val="auto"/>
        </w:rPr>
      </w:pPr>
    </w:p>
    <w:p>
      <w:pPr>
        <w:ind w:left="-464" w:firstLine="464"/>
        <w:spacing w:after="0" w:line="275" w:lineRule="auto"/>
        <w:tabs>
          <w:tab w:leader="none" w:pos="168" w:val="left"/>
        </w:tabs>
        <w:numPr>
          <w:ilvl w:val="0"/>
          <w:numId w:val="67"/>
        </w:numPr>
        <w:rPr>
          <w:rFonts w:ascii="Arial" w:cs="Arial" w:eastAsia="Arial" w:hAnsi="Arial"/>
          <w:sz w:val="18"/>
          <w:szCs w:val="18"/>
          <w:color w:val="auto"/>
        </w:rPr>
      </w:pPr>
      <w:r>
        <w:rPr>
          <w:rFonts w:ascii="Arial" w:cs="Arial" w:eastAsia="Arial" w:hAnsi="Arial"/>
          <w:sz w:val="18"/>
          <w:szCs w:val="18"/>
          <w:color w:val="auto"/>
        </w:rPr>
        <w:t>Section 7 of the Consulting Agreement is hereby amended for all purposes whatsoever by changing the title of said Section to read “</w:t>
      </w:r>
      <w:r>
        <w:rPr>
          <w:rFonts w:ascii="Arial" w:cs="Arial" w:eastAsia="Arial" w:hAnsi="Arial"/>
          <w:sz w:val="18"/>
          <w:szCs w:val="18"/>
          <w:b w:val="1"/>
          <w:bCs w:val="1"/>
          <w:u w:val="single" w:color="auto"/>
          <w:color w:val="auto"/>
        </w:rPr>
        <w:t>Indemnification by</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Consultant; Indemnification by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addition of a new subsection (c) as follows:</w:t>
      </w:r>
    </w:p>
    <w:p>
      <w:pPr>
        <w:spacing w:after="0" w:line="45" w:lineRule="exact"/>
        <w:rPr>
          <w:sz w:val="20"/>
          <w:szCs w:val="20"/>
          <w:color w:val="auto"/>
        </w:rPr>
      </w:pPr>
    </w:p>
    <w:p>
      <w:pPr>
        <w:ind w:left="456" w:right="20"/>
        <w:spacing w:after="0" w:line="298" w:lineRule="auto"/>
        <w:rPr>
          <w:sz w:val="20"/>
          <w:szCs w:val="20"/>
          <w:color w:val="auto"/>
        </w:rPr>
      </w:pPr>
      <w:r>
        <w:rPr>
          <w:rFonts w:ascii="Arial" w:cs="Arial" w:eastAsia="Arial" w:hAnsi="Arial"/>
          <w:sz w:val="16"/>
          <w:szCs w:val="16"/>
          <w:color w:val="auto"/>
        </w:rPr>
        <w:t>“(c) The Company shall indemnify and hold harmless the Consultant with respect to any litigation pending as of the termination date of this Agreement and as to which the Consultant is named as a party to such litigation; provided, however, that the obligation of the Company with respect to such indemnification obligation in favor of the Consultant shall, in all events, be limited to the same extent, including without limitation, dollar amount, as the Company would be obligated to indemnify an officer of the Company for the same or comparable claim.”</w:t>
      </w:r>
    </w:p>
    <w:p>
      <w:pPr>
        <w:spacing w:after="0" w:line="113" w:lineRule="exact"/>
        <w:rPr>
          <w:sz w:val="20"/>
          <w:szCs w:val="20"/>
          <w:color w:val="auto"/>
        </w:rPr>
      </w:pPr>
    </w:p>
    <w:p>
      <w:pPr>
        <w:ind w:left="4356" w:right="2480" w:hanging="4356"/>
        <w:spacing w:after="0" w:line="456" w:lineRule="auto"/>
        <w:tabs>
          <w:tab w:leader="none" w:pos="181" w:val="left"/>
        </w:tabs>
        <w:numPr>
          <w:ilvl w:val="0"/>
          <w:numId w:val="68"/>
        </w:numPr>
        <w:rPr>
          <w:rFonts w:ascii="Arial" w:cs="Arial" w:eastAsia="Arial" w:hAnsi="Arial"/>
          <w:sz w:val="18"/>
          <w:szCs w:val="18"/>
          <w:color w:val="auto"/>
        </w:rPr>
      </w:pPr>
      <w:r>
        <w:rPr>
          <w:rFonts w:ascii="Arial" w:cs="Arial" w:eastAsia="Arial" w:hAnsi="Arial"/>
          <w:sz w:val="18"/>
          <w:szCs w:val="18"/>
          <w:color w:val="auto"/>
        </w:rPr>
        <w:t>Except as specifically amended by this Amendment, the Consulting Agreement shall continue in full force and effect. [Signatures on next page]</w:t>
      </w:r>
    </w:p>
    <w:p>
      <w:pPr>
        <w:sectPr>
          <w:pgSz w:w="11900" w:h="16838" w:orient="portrait"/>
          <w:cols w:equalWidth="0" w:num="1">
            <w:col w:w="10916"/>
          </w:cols>
          <w:pgMar w:left="704" w:top="280" w:right="279" w:bottom="1440" w:gutter="0" w:footer="0" w:header="0"/>
        </w:sectPr>
      </w:pPr>
    </w:p>
    <w:bookmarkStart w:id="61" w:name="page62"/>
    <w:bookmarkEnd w:id="61"/>
    <w:p>
      <w:pPr>
        <w:ind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 WITNESS WHEREOF, </w:t>
      </w:r>
      <w:r>
        <w:rPr>
          <w:rFonts w:ascii="Arial" w:cs="Arial" w:eastAsia="Arial" w:hAnsi="Arial"/>
          <w:sz w:val="18"/>
          <w:szCs w:val="18"/>
          <w:color w:val="auto"/>
        </w:rPr>
        <w:t>the parties hereto have caused this Amendment to be duly executed as of the date first hereinabove set forth by their</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representatives thereunto duly authorized, to be effective as of the Effective Date.</w:t>
      </w:r>
    </w:p>
    <w:p>
      <w:pPr>
        <w:spacing w:after="0" w:line="16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Company:</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GALECTIN THERAPEUTICS, INC.</w:t>
      </w:r>
    </w:p>
    <w:p>
      <w:pPr>
        <w:spacing w:after="0" w:line="22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Peter G. Traber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Peter G. Traber, CEO &amp; CMO</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CONSULTANT:</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Thomas McGauley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Thomas McGauley</w:t>
      </w:r>
    </w:p>
    <w:p>
      <w:pPr>
        <w:sectPr>
          <w:pgSz w:w="11900" w:h="16838" w:orient="portrait"/>
          <w:cols w:equalWidth="0" w:num="1">
            <w:col w:w="10680"/>
          </w:cols>
          <w:pgMar w:left="240" w:top="274" w:right="979" w:bottom="1440" w:gutter="0" w:footer="0" w:header="0"/>
        </w:sectPr>
      </w:pPr>
    </w:p>
    <w:bookmarkStart w:id="62" w:name="page63"/>
    <w:bookmarkEnd w:id="62"/>
    <w:p>
      <w:pPr>
        <w:jc w:val="center"/>
        <w:ind w:right="-12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u w:val="single" w:color="auto"/>
          <w:color w:val="auto"/>
        </w:rPr>
        <w:t>Stock Option Agreement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10219"/>
          </w:cols>
          <w:pgMar w:left="240" w:top="274" w:right="1440" w:bottom="1440" w:gutter="0" w:footer="0" w:header="0"/>
        </w:sectPr>
      </w:pPr>
    </w:p>
    <w:bookmarkStart w:id="63" w:name="page64"/>
    <w:bookmarkEnd w:id="63"/>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 OPTION AGREEMENT</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GALECTIN THERAPEUTICS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 OPTION AGREEMENT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THOMAS MCGAULEY</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AGREEMENT</w:t>
      </w:r>
    </w:p>
    <w:p>
      <w:pPr>
        <w:spacing w:after="0" w:line="177" w:lineRule="exact"/>
        <w:rPr>
          <w:sz w:val="20"/>
          <w:szCs w:val="20"/>
          <w:color w:val="auto"/>
        </w:rPr>
      </w:pPr>
    </w:p>
    <w:p>
      <w:pPr>
        <w:ind w:right="200" w:firstLine="8"/>
        <w:spacing w:after="0" w:line="286" w:lineRule="auto"/>
        <w:tabs>
          <w:tab w:leader="none" w:pos="176" w:val="left"/>
        </w:tabs>
        <w:numPr>
          <w:ilvl w:val="0"/>
          <w:numId w:val="6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Grant of Option. </w:t>
      </w:r>
      <w:r>
        <w:rPr>
          <w:rFonts w:ascii="Arial" w:cs="Arial" w:eastAsia="Arial" w:hAnsi="Arial"/>
          <w:sz w:val="16"/>
          <w:szCs w:val="16"/>
          <w:color w:val="auto"/>
        </w:rPr>
        <w:t>Galectin Therapeutics Inc., a Nevada corporation (the “Company”) hereby grants, as of the date hereof (“Date of Grant”), to Thomas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McGauley (the “Optionee”) an option (the “Option”) to purchase up to twenty-five thousand (25,000) shares of the Company’s common stock, $0.01 par value</w:t>
      </w:r>
    </w:p>
    <w:p>
      <w:pPr>
        <w:ind w:right="40"/>
        <w:spacing w:after="0" w:line="295" w:lineRule="auto"/>
        <w:rPr>
          <w:rFonts w:ascii="Arial" w:cs="Arial" w:eastAsia="Arial" w:hAnsi="Arial"/>
          <w:sz w:val="16"/>
          <w:szCs w:val="16"/>
          <w:color w:val="auto"/>
        </w:rPr>
      </w:pPr>
      <w:r>
        <w:rPr>
          <w:rFonts w:ascii="Arial" w:cs="Arial" w:eastAsia="Arial" w:hAnsi="Arial"/>
          <w:sz w:val="16"/>
          <w:szCs w:val="16"/>
          <w:color w:val="auto"/>
        </w:rPr>
        <w:t>per share (the “Shares”), at an exercise price per share equal to $ (the “Exercise Price”). The Option shall be subject to the terms and conditions set forth herein. The Option is being issued pursuant to the Company’s 2009 Incentive Compensation Plan (the “Plan”), which is incorporated herein for all purposes. The Option is a Non-Qualified Stock Option and not an Incentive Stock Option. The Optionee hereby acknowledges receipt of a copy of the Plan and agrees to be bound by all of the terms and conditions hereof and thereof and all applicable laws and regulations.</w:t>
      </w:r>
    </w:p>
    <w:p>
      <w:pPr>
        <w:spacing w:after="0" w:line="115" w:lineRule="exact"/>
        <w:rPr>
          <w:rFonts w:ascii="Arial" w:cs="Arial" w:eastAsia="Arial" w:hAnsi="Arial"/>
          <w:sz w:val="16"/>
          <w:szCs w:val="16"/>
          <w:color w:val="auto"/>
        </w:rPr>
      </w:pPr>
    </w:p>
    <w:p>
      <w:pPr>
        <w:ind w:right="100" w:firstLine="8"/>
        <w:spacing w:after="0" w:line="268" w:lineRule="auto"/>
        <w:tabs>
          <w:tab w:leader="none" w:pos="176" w:val="left"/>
        </w:tabs>
        <w:numPr>
          <w:ilvl w:val="0"/>
          <w:numId w:val="69"/>
        </w:numPr>
        <w:rPr>
          <w:rFonts w:ascii="Arial" w:cs="Arial" w:eastAsia="Arial" w:hAnsi="Arial"/>
          <w:sz w:val="18"/>
          <w:szCs w:val="18"/>
          <w:color w:val="auto"/>
        </w:rPr>
      </w:pPr>
      <w:r>
        <w:rPr>
          <w:rFonts w:ascii="Arial" w:cs="Arial" w:eastAsia="Arial" w:hAnsi="Arial"/>
          <w:sz w:val="18"/>
          <w:szCs w:val="18"/>
          <w:b w:val="1"/>
          <w:bCs w:val="1"/>
          <w:i w:val="1"/>
          <w:iCs w:val="1"/>
          <w:color w:val="auto"/>
        </w:rPr>
        <w:t>Definitions</w:t>
      </w:r>
      <w:r>
        <w:rPr>
          <w:rFonts w:ascii="Arial" w:cs="Arial" w:eastAsia="Arial" w:hAnsi="Arial"/>
          <w:sz w:val="18"/>
          <w:szCs w:val="18"/>
          <w:color w:val="auto"/>
        </w:rPr>
        <w:t>. Unless otherwise provided herein, terms used herein that are defined in the Plan and not defined herein shall have the meanings attributed thereto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Plan.</w:t>
      </w:r>
    </w:p>
    <w:p>
      <w:pPr>
        <w:spacing w:after="0" w:line="131" w:lineRule="exact"/>
        <w:rPr>
          <w:rFonts w:ascii="Arial" w:cs="Arial" w:eastAsia="Arial" w:hAnsi="Arial"/>
          <w:sz w:val="18"/>
          <w:szCs w:val="18"/>
          <w:color w:val="auto"/>
        </w:rPr>
      </w:pPr>
    </w:p>
    <w:p>
      <w:pPr>
        <w:ind w:right="60" w:firstLine="8"/>
        <w:spacing w:after="0" w:line="306" w:lineRule="auto"/>
        <w:tabs>
          <w:tab w:leader="none" w:pos="176" w:val="left"/>
        </w:tabs>
        <w:numPr>
          <w:ilvl w:val="0"/>
          <w:numId w:val="69"/>
        </w:numPr>
        <w:rPr>
          <w:rFonts w:ascii="Arial" w:cs="Arial" w:eastAsia="Arial" w:hAnsi="Arial"/>
          <w:sz w:val="16"/>
          <w:szCs w:val="16"/>
          <w:color w:val="auto"/>
        </w:rPr>
      </w:pPr>
      <w:r>
        <w:rPr>
          <w:rFonts w:ascii="Arial" w:cs="Arial" w:eastAsia="Arial" w:hAnsi="Arial"/>
          <w:sz w:val="16"/>
          <w:szCs w:val="16"/>
          <w:b w:val="1"/>
          <w:bCs w:val="1"/>
          <w:i w:val="1"/>
          <w:iCs w:val="1"/>
          <w:color w:val="auto"/>
        </w:rPr>
        <w:t>Exercise Schedule</w:t>
      </w:r>
      <w:r>
        <w:rPr>
          <w:rFonts w:ascii="Arial" w:cs="Arial" w:eastAsia="Arial" w:hAnsi="Arial"/>
          <w:sz w:val="16"/>
          <w:szCs w:val="16"/>
          <w:color w:val="auto"/>
        </w:rPr>
        <w:t>. Except as otherwise provided in Sections 6 or 9 of this Agreement, or in the Plan, the Optionee shall be entitled to exercise the Option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time after the first business day following the filing of the 10Q for the Company for the second quarter, 2013 (“Vesting Date”). The Option may be exercised by the Optionee, in whole or in part, at any time or from time to time after the Vesting Date and prior to the expiration of the Option as provided herein.</w:t>
      </w:r>
    </w:p>
    <w:p>
      <w:pPr>
        <w:spacing w:after="0" w:line="107" w:lineRule="exact"/>
        <w:rPr>
          <w:sz w:val="20"/>
          <w:szCs w:val="20"/>
          <w:color w:val="auto"/>
        </w:rPr>
      </w:pPr>
    </w:p>
    <w:p>
      <w:pPr>
        <w:ind w:right="560" w:firstLine="456"/>
        <w:spacing w:after="0" w:line="305" w:lineRule="auto"/>
        <w:rPr>
          <w:sz w:val="20"/>
          <w:szCs w:val="20"/>
          <w:color w:val="auto"/>
        </w:rPr>
      </w:pPr>
      <w:r>
        <w:rPr>
          <w:rFonts w:ascii="Arial" w:cs="Arial" w:eastAsia="Arial" w:hAnsi="Arial"/>
          <w:sz w:val="15"/>
          <w:szCs w:val="15"/>
          <w:color w:val="auto"/>
        </w:rPr>
        <w:t>For the avoidance of doubt, in the event that Optionee’s services to the Company pursuant to that certain Independent Consulting Agreement, dated September 19, 2012, between the Company and Optionee (“Consulting Agreement”) is terminated prior to the Vesting Date, other than as a result of</w:t>
      </w:r>
    </w:p>
    <w:p>
      <w:pPr>
        <w:ind w:right="480" w:firstLine="8"/>
        <w:spacing w:after="0" w:line="261" w:lineRule="auto"/>
        <w:tabs>
          <w:tab w:leader="none" w:pos="239" w:val="left"/>
        </w:tabs>
        <w:numPr>
          <w:ilvl w:val="0"/>
          <w:numId w:val="70"/>
        </w:numPr>
        <w:rPr>
          <w:rFonts w:ascii="Arial" w:cs="Arial" w:eastAsia="Arial" w:hAnsi="Arial"/>
          <w:sz w:val="18"/>
          <w:szCs w:val="18"/>
          <w:color w:val="auto"/>
        </w:rPr>
      </w:pPr>
      <w:r>
        <w:rPr>
          <w:rFonts w:ascii="Arial" w:cs="Arial" w:eastAsia="Arial" w:hAnsi="Arial"/>
          <w:sz w:val="18"/>
          <w:szCs w:val="18"/>
          <w:color w:val="auto"/>
        </w:rPr>
        <w:t>termination of Optionee’s services by the Company for Cause (as defined in the Consulting Agreement) or (b) Optionee’s voluntarily termination of his services to the Company provided pursuant to the Consulting Agreement, this Option shall be fully vested.</w:t>
      </w:r>
    </w:p>
    <w:p>
      <w:pPr>
        <w:spacing w:after="0" w:line="138" w:lineRule="exact"/>
        <w:rPr>
          <w:sz w:val="20"/>
          <w:szCs w:val="20"/>
          <w:color w:val="auto"/>
        </w:rPr>
      </w:pPr>
    </w:p>
    <w:p>
      <w:pPr>
        <w:ind w:firstLine="8"/>
        <w:spacing w:after="0" w:line="290" w:lineRule="auto"/>
        <w:tabs>
          <w:tab w:leader="none" w:pos="176" w:val="left"/>
        </w:tabs>
        <w:numPr>
          <w:ilvl w:val="0"/>
          <w:numId w:val="71"/>
        </w:numPr>
        <w:rPr>
          <w:rFonts w:ascii="Arial" w:cs="Arial" w:eastAsia="Arial" w:hAnsi="Arial"/>
          <w:sz w:val="16"/>
          <w:szCs w:val="16"/>
          <w:color w:val="auto"/>
        </w:rPr>
      </w:pPr>
      <w:r>
        <w:rPr>
          <w:rFonts w:ascii="Arial" w:cs="Arial" w:eastAsia="Arial" w:hAnsi="Arial"/>
          <w:sz w:val="16"/>
          <w:szCs w:val="16"/>
          <w:b w:val="1"/>
          <w:bCs w:val="1"/>
          <w:i w:val="1"/>
          <w:iCs w:val="1"/>
          <w:color w:val="auto"/>
        </w:rPr>
        <w:t>Method of Exercise</w:t>
      </w:r>
      <w:r>
        <w:rPr>
          <w:rFonts w:ascii="Arial" w:cs="Arial" w:eastAsia="Arial" w:hAnsi="Arial"/>
          <w:sz w:val="16"/>
          <w:szCs w:val="16"/>
          <w:color w:val="auto"/>
        </w:rPr>
        <w:t>. The vested portion of this Option shall be exercisable in whole or in part at any time after the Vesting Date by written notice which shall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 the election to exercise the Option, the number of Shares in respect of which the Option is being exercised, and such other representations and agreements as to the holder’s investment intent with respect to such Shares as may be required by the Company pursuant to the provisions of the Plan. Such written notice shall be signed by the Optionee and shall be delivered in person or by certified mail to the Secretary of the Company. The written notice shall be accompanied by payment of the Exercise Price as determined pursuant to Section 5 hereof. This Option shall be deemed to be exercised after both (a) receipt by the Company of such written notice accompanied by the Exercise Price and (b) arrangements that are satisfactory to the Committee in its sole discretion have been made for Optionee’s payment to the Company of the amount, if any, that is necessary to be withheld in accordance with applicable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64" w:name="page65"/>
    <w:bookmarkEnd w:id="64"/>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or state withholding requirements. No Shares shall be issued pursuant to the Option unless and until such issuance and such exercise shall comply with all relevant provisions of applicable law, including the requirements of any stock exchange upon which the Shares then may be traded.</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5. </w:t>
      </w:r>
      <w:r>
        <w:rPr>
          <w:rFonts w:ascii="Arial" w:cs="Arial" w:eastAsia="Arial" w:hAnsi="Arial"/>
          <w:sz w:val="16"/>
          <w:szCs w:val="16"/>
          <w:b w:val="1"/>
          <w:bCs w:val="1"/>
          <w:i w:val="1"/>
          <w:iCs w:val="1"/>
          <w:color w:val="auto"/>
        </w:rPr>
        <w:t>Method of Payment</w:t>
      </w:r>
      <w:r>
        <w:rPr>
          <w:rFonts w:ascii="Arial" w:cs="Arial" w:eastAsia="Arial" w:hAnsi="Arial"/>
          <w:sz w:val="16"/>
          <w:szCs w:val="16"/>
          <w:color w:val="auto"/>
        </w:rPr>
        <w:t>. Payment of the Exercise Price shall be by any of the following, or a combination thereof, at the election of the Optionee: (a) cash; or</w:t>
      </w:r>
    </w:p>
    <w:p>
      <w:pPr>
        <w:spacing w:after="0" w:line="38" w:lineRule="exact"/>
        <w:rPr>
          <w:sz w:val="20"/>
          <w:szCs w:val="20"/>
          <w:color w:val="auto"/>
        </w:rPr>
      </w:pPr>
    </w:p>
    <w:p>
      <w:pPr>
        <w:ind w:right="80" w:firstLine="8"/>
        <w:spacing w:after="0" w:line="253" w:lineRule="auto"/>
        <w:tabs>
          <w:tab w:leader="none" w:pos="249" w:val="left"/>
        </w:tabs>
        <w:numPr>
          <w:ilvl w:val="0"/>
          <w:numId w:val="72"/>
        </w:numPr>
        <w:rPr>
          <w:rFonts w:ascii="Arial" w:cs="Arial" w:eastAsia="Arial" w:hAnsi="Arial"/>
          <w:sz w:val="18"/>
          <w:szCs w:val="18"/>
          <w:color w:val="auto"/>
        </w:rPr>
      </w:pPr>
      <w:r>
        <w:rPr>
          <w:rFonts w:ascii="Arial" w:cs="Arial" w:eastAsia="Arial" w:hAnsi="Arial"/>
          <w:sz w:val="18"/>
          <w:szCs w:val="18"/>
          <w:color w:val="auto"/>
        </w:rPr>
        <w:t>check; or (c) with Shares owned by the Optionee, or the withholding of Shares that otherwise would be delivered to the Optionee as a result of the exercise of the Option or (d) pursuant to a “cashless exercise” procedure, by delivery of a properly executed exercise notice together with such other documentation, and subject to such guidelines, as the Committee shall require to effect an exercise of the Option and delivery to the Company by a licensed broker acceptable to the Company of proceeds from the sale of Shares, or (e) such other consideration or in such other manner as may be determined by the Committee in its absolute discretion.</w:t>
      </w:r>
    </w:p>
    <w:p>
      <w:pPr>
        <w:spacing w:after="0" w:line="145" w:lineRule="exact"/>
        <w:rPr>
          <w:sz w:val="20"/>
          <w:szCs w:val="20"/>
          <w:color w:val="auto"/>
        </w:rPr>
      </w:pPr>
    </w:p>
    <w:p>
      <w:pPr>
        <w:ind w:left="180" w:hanging="172"/>
        <w:spacing w:after="0"/>
        <w:tabs>
          <w:tab w:leader="none" w:pos="180" w:val="left"/>
        </w:tabs>
        <w:numPr>
          <w:ilvl w:val="0"/>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t>Termination of Option</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1200" w:firstLine="464"/>
        <w:spacing w:after="0" w:line="268" w:lineRule="auto"/>
        <w:tabs>
          <w:tab w:leader="none" w:pos="695" w:val="left"/>
        </w:tabs>
        <w:numPr>
          <w:ilvl w:val="1"/>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t>General</w:t>
      </w:r>
      <w:r>
        <w:rPr>
          <w:rFonts w:ascii="Arial" w:cs="Arial" w:eastAsia="Arial" w:hAnsi="Arial"/>
          <w:sz w:val="18"/>
          <w:szCs w:val="18"/>
          <w:color w:val="auto"/>
        </w:rPr>
        <w:t>. Any unexercised portion of the Option shall automatically and without notice terminate and become null and void at the tenth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(10</w:t>
      </w:r>
      <w:r>
        <w:rPr>
          <w:rFonts w:ascii="Arial" w:cs="Arial" w:eastAsia="Arial" w:hAnsi="Arial"/>
          <w:sz w:val="11"/>
          <w:szCs w:val="11"/>
          <w:color w:val="auto"/>
        </w:rPr>
        <w:t>th</w:t>
      </w:r>
      <w:r>
        <w:rPr>
          <w:rFonts w:ascii="Arial" w:cs="Arial" w:eastAsia="Arial" w:hAnsi="Arial"/>
          <w:sz w:val="18"/>
          <w:szCs w:val="18"/>
          <w:color w:val="auto"/>
        </w:rPr>
        <w:t>) anniversary of the date as of which the Option is granted.</w:t>
      </w:r>
    </w:p>
    <w:p>
      <w:pPr>
        <w:spacing w:after="0" w:line="131" w:lineRule="exact"/>
        <w:rPr>
          <w:rFonts w:ascii="Arial" w:cs="Arial" w:eastAsia="Arial" w:hAnsi="Arial"/>
          <w:sz w:val="18"/>
          <w:szCs w:val="18"/>
          <w:color w:val="auto"/>
        </w:rPr>
      </w:pPr>
    </w:p>
    <w:p>
      <w:pPr>
        <w:ind w:right="40" w:firstLine="464"/>
        <w:spacing w:after="0" w:line="287" w:lineRule="auto"/>
        <w:tabs>
          <w:tab w:leader="none" w:pos="705" w:val="left"/>
        </w:tabs>
        <w:numPr>
          <w:ilvl w:val="1"/>
          <w:numId w:val="73"/>
        </w:numPr>
        <w:rPr>
          <w:rFonts w:ascii="Arial" w:cs="Arial" w:eastAsia="Arial" w:hAnsi="Arial"/>
          <w:sz w:val="16"/>
          <w:szCs w:val="16"/>
          <w:color w:val="auto"/>
        </w:rPr>
      </w:pPr>
      <w:r>
        <w:rPr>
          <w:rFonts w:ascii="Arial" w:cs="Arial" w:eastAsia="Arial" w:hAnsi="Arial"/>
          <w:sz w:val="16"/>
          <w:szCs w:val="16"/>
          <w:b w:val="1"/>
          <w:bCs w:val="1"/>
          <w:i w:val="1"/>
          <w:iCs w:val="1"/>
          <w:color w:val="auto"/>
        </w:rPr>
        <w:t>Cancellation</w:t>
      </w:r>
      <w:r>
        <w:rPr>
          <w:rFonts w:ascii="Arial" w:cs="Arial" w:eastAsia="Arial" w:hAnsi="Arial"/>
          <w:sz w:val="16"/>
          <w:szCs w:val="16"/>
          <w:color w:val="auto"/>
        </w:rPr>
        <w:t>. To the extent not previously exercised, (i) the Option shall terminate immediately in the event of (A) the liquidation or dissolution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or (B) any reorganization, merger, consolidation or other form of corporate transaction in which the Company does not survive or the Shares are exchanged for or converted into securities issued by another entity, or an affiliate of such successor or acquiring entity, unless the successor or acquiring entity, or an affiliate thereof, assumes the Option or substitutes an equivalent option or right pursuant to Section 10(c)(ii) of the Plan, and (ii) the Committee in its sole discretion may by written notice (“cancellation notice”) cancel, effective upon the consummation of any transaction that constitutes a Change in Control, the Option (or portion thereof) that remains unexercised on such date. The Committee shall give written notice of any proposed transaction referred to in this Section 6(b) a reasonable period of time prior to the closing date for such transaction (which notice may be given either before or after approval of such transaction), in order that the Optionee may have a reasonable period of time prior to the closing date of such transaction within which to exercise the Option if and to the extent that it then is exercisable (including any portion of the Option that may become exercisable upon the closing date of such transaction). The Optionee may condition his exercise of the Option upon the consummation of a transaction referred to in this Section 6(b).</w:t>
      </w:r>
    </w:p>
    <w:p>
      <w:pPr>
        <w:spacing w:after="0" w:line="122" w:lineRule="exact"/>
        <w:rPr>
          <w:rFonts w:ascii="Arial" w:cs="Arial" w:eastAsia="Arial" w:hAnsi="Arial"/>
          <w:sz w:val="16"/>
          <w:szCs w:val="16"/>
          <w:color w:val="auto"/>
        </w:rPr>
      </w:pPr>
    </w:p>
    <w:p>
      <w:pPr>
        <w:ind w:firstLine="8"/>
        <w:spacing w:after="0" w:line="291" w:lineRule="auto"/>
        <w:tabs>
          <w:tab w:leader="none" w:pos="176" w:val="left"/>
        </w:tabs>
        <w:numPr>
          <w:ilvl w:val="0"/>
          <w:numId w:val="73"/>
        </w:numPr>
        <w:rPr>
          <w:rFonts w:ascii="Arial" w:cs="Arial" w:eastAsia="Arial" w:hAnsi="Arial"/>
          <w:sz w:val="16"/>
          <w:szCs w:val="16"/>
          <w:color w:val="auto"/>
        </w:rPr>
      </w:pPr>
      <w:r>
        <w:rPr>
          <w:rFonts w:ascii="Arial" w:cs="Arial" w:eastAsia="Arial" w:hAnsi="Arial"/>
          <w:sz w:val="16"/>
          <w:szCs w:val="16"/>
          <w:b w:val="1"/>
          <w:bCs w:val="1"/>
          <w:i w:val="1"/>
          <w:iCs w:val="1"/>
          <w:color w:val="auto"/>
        </w:rPr>
        <w:t>Transferability</w:t>
      </w:r>
      <w:r>
        <w:rPr>
          <w:rFonts w:ascii="Arial" w:cs="Arial" w:eastAsia="Arial" w:hAnsi="Arial"/>
          <w:sz w:val="16"/>
          <w:szCs w:val="16"/>
          <w:color w:val="auto"/>
        </w:rPr>
        <w:t>. Unless otherwise determined by the Committee, the Option granted hereby is not transferable otherwise than by will or under the applicable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laws of descent and distribution, and during the lifetime of the Optionee the Option shall be exercisable only by the Optionee, or the Optionee’s guardian or legal representative. In addition, the Option shall not be assigned, negotiated, pledged or hypothecated in any way (whether by operation of law or otherwise), and the Option shall not be subject to execution, attachment or similar process. Upon any attempt to transfer, assign, negotiate, pledge or hypothecate the Option, or in the event of any levy upon the Option by reason of any execution, attachment or similar process contrary to the provisions hereof, the Option shall immediately become null and void. The terms of this Option shall be binding upon the executors, administrators, heirs, successors and assigns of the Optionee.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65" w:name="page66"/>
    <w:bookmarkEnd w:id="65"/>
    <w:p>
      <w:pPr>
        <w:ind w:left="-8" w:right="60" w:firstLine="8"/>
        <w:spacing w:after="0" w:line="259" w:lineRule="auto"/>
        <w:tabs>
          <w:tab w:leader="none" w:pos="168"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Rights of Stockholders</w:t>
      </w:r>
      <w:r>
        <w:rPr>
          <w:rFonts w:ascii="Arial" w:cs="Arial" w:eastAsia="Arial" w:hAnsi="Arial"/>
          <w:sz w:val="18"/>
          <w:szCs w:val="18"/>
          <w:color w:val="auto"/>
        </w:rPr>
        <w:t>. Neither the Optionee nor any personal representative (or beneficiary) shall be, or shall have any of the rights and privileges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 of the Company with respect to any Shares purchasable or issuable upon the exercise of the Option, in whole or in part, prior to the date on which the Shares are issued.</w:t>
      </w:r>
    </w:p>
    <w:p>
      <w:pPr>
        <w:spacing w:after="0" w:line="140" w:lineRule="exact"/>
        <w:rPr>
          <w:rFonts w:ascii="Arial" w:cs="Arial" w:eastAsia="Arial" w:hAnsi="Arial"/>
          <w:sz w:val="18"/>
          <w:szCs w:val="18"/>
          <w:color w:val="auto"/>
        </w:rPr>
      </w:pPr>
    </w:p>
    <w:p>
      <w:pPr>
        <w:ind w:left="172" w:hanging="172"/>
        <w:spacing w:after="0"/>
        <w:tabs>
          <w:tab w:leader="none" w:pos="172"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Acceleration of Exercisability of Option</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8" w:right="80" w:firstLine="464"/>
        <w:spacing w:after="0" w:line="256" w:lineRule="auto"/>
        <w:tabs>
          <w:tab w:leader="none" w:pos="687" w:val="left"/>
        </w:tabs>
        <w:numPr>
          <w:ilvl w:val="1"/>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Acceleration Upon Certain Terminations or Cancellations of Option</w:t>
      </w:r>
      <w:r>
        <w:rPr>
          <w:rFonts w:ascii="Arial" w:cs="Arial" w:eastAsia="Arial" w:hAnsi="Arial"/>
          <w:sz w:val="18"/>
          <w:szCs w:val="18"/>
          <w:color w:val="auto"/>
        </w:rPr>
        <w:t>. So long as this Option has not terminated pursuant to Section 6(a) hereof,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 shall become immediately fully exercisable immediately prior to the occurrence of any event that would result in (i) the Option being terminated pursuant to Section 6(b)(i) hereof, or (ii) the Company exercising its discretion to provide a cancellation notice with respect to the Option pursuant to Section 6(b)(ii) hereof.</w:t>
      </w:r>
    </w:p>
    <w:p>
      <w:pPr>
        <w:spacing w:after="0" w:line="143" w:lineRule="exact"/>
        <w:rPr>
          <w:rFonts w:ascii="Arial" w:cs="Arial" w:eastAsia="Arial" w:hAnsi="Arial"/>
          <w:sz w:val="18"/>
          <w:szCs w:val="18"/>
          <w:color w:val="auto"/>
        </w:rPr>
      </w:pPr>
    </w:p>
    <w:p>
      <w:pPr>
        <w:ind w:left="-8" w:right="20" w:firstLine="464"/>
        <w:spacing w:after="0" w:line="259" w:lineRule="auto"/>
        <w:tabs>
          <w:tab w:leader="none" w:pos="697" w:val="left"/>
        </w:tabs>
        <w:numPr>
          <w:ilvl w:val="1"/>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Acceleration Upon Change in Control. </w:t>
      </w:r>
      <w:r>
        <w:rPr>
          <w:rFonts w:ascii="Arial" w:cs="Arial" w:eastAsia="Arial" w:hAnsi="Arial"/>
          <w:sz w:val="18"/>
          <w:szCs w:val="18"/>
          <w:color w:val="auto"/>
        </w:rPr>
        <w:t>Subject to Section 9(a) above and so long as this Option has not terminated pursuant to Section 6(a) hereof,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 shall become immediately fully exercisable immediately prior to the occurrence of any event that qualifies as a “Change in Control”, as defined in Section 9(b) of the Plan.</w:t>
      </w:r>
    </w:p>
    <w:p>
      <w:pPr>
        <w:spacing w:after="0" w:line="140" w:lineRule="exact"/>
        <w:rPr>
          <w:rFonts w:ascii="Arial" w:cs="Arial" w:eastAsia="Arial" w:hAnsi="Arial"/>
          <w:sz w:val="18"/>
          <w:szCs w:val="18"/>
          <w:color w:val="auto"/>
        </w:rPr>
      </w:pPr>
    </w:p>
    <w:p>
      <w:pPr>
        <w:ind w:left="-8" w:right="280" w:firstLine="8"/>
        <w:spacing w:after="0" w:line="268" w:lineRule="auto"/>
        <w:tabs>
          <w:tab w:leader="none" w:pos="255"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No Right to Continued Employment</w:t>
      </w:r>
      <w:r>
        <w:rPr>
          <w:rFonts w:ascii="Arial" w:cs="Arial" w:eastAsia="Arial" w:hAnsi="Arial"/>
          <w:sz w:val="18"/>
          <w:szCs w:val="18"/>
          <w:color w:val="auto"/>
        </w:rPr>
        <w:t>. Neither the Option nor this Agreement shall confer upon the Optionee any right to continued employment or service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the Company.</w:t>
      </w:r>
    </w:p>
    <w:p>
      <w:pPr>
        <w:spacing w:after="0" w:line="131" w:lineRule="exact"/>
        <w:rPr>
          <w:rFonts w:ascii="Arial" w:cs="Arial" w:eastAsia="Arial" w:hAnsi="Arial"/>
          <w:sz w:val="18"/>
          <w:szCs w:val="18"/>
          <w:color w:val="auto"/>
        </w:rPr>
      </w:pPr>
    </w:p>
    <w:p>
      <w:pPr>
        <w:ind w:left="252" w:hanging="252"/>
        <w:spacing w:after="0"/>
        <w:tabs>
          <w:tab w:leader="none" w:pos="252"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Law Governing</w:t>
      </w:r>
      <w:r>
        <w:rPr>
          <w:rFonts w:ascii="Arial" w:cs="Arial" w:eastAsia="Arial" w:hAnsi="Arial"/>
          <w:sz w:val="18"/>
          <w:szCs w:val="18"/>
          <w:color w:val="auto"/>
        </w:rPr>
        <w:t>. This Agreement shall be governed in accordance with and governed by the internal laws of the State of Georgia.</w:t>
      </w:r>
    </w:p>
    <w:p>
      <w:pPr>
        <w:spacing w:after="0" w:line="171" w:lineRule="exact"/>
        <w:rPr>
          <w:rFonts w:ascii="Arial" w:cs="Arial" w:eastAsia="Arial" w:hAnsi="Arial"/>
          <w:sz w:val="18"/>
          <w:szCs w:val="18"/>
          <w:color w:val="auto"/>
        </w:rPr>
      </w:pPr>
    </w:p>
    <w:p>
      <w:pPr>
        <w:ind w:left="-8" w:right="20" w:firstLine="8"/>
        <w:spacing w:after="0" w:line="268" w:lineRule="auto"/>
        <w:tabs>
          <w:tab w:leader="none" w:pos="255"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Non-Qualified Stock Option Treatment</w:t>
      </w:r>
      <w:r>
        <w:rPr>
          <w:rFonts w:ascii="Arial" w:cs="Arial" w:eastAsia="Arial" w:hAnsi="Arial"/>
          <w:sz w:val="18"/>
          <w:szCs w:val="18"/>
          <w:color w:val="auto"/>
        </w:rPr>
        <w:t>. The terms of this Option shall be interpreted in a manner consistent with the intent of the Company and the Optionee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the Option constitute a Non-Qualified Stock Option.</w:t>
      </w:r>
    </w:p>
    <w:p>
      <w:pPr>
        <w:spacing w:after="0" w:line="131" w:lineRule="exact"/>
        <w:rPr>
          <w:rFonts w:ascii="Arial" w:cs="Arial" w:eastAsia="Arial" w:hAnsi="Arial"/>
          <w:sz w:val="18"/>
          <w:szCs w:val="18"/>
          <w:color w:val="auto"/>
        </w:rPr>
      </w:pPr>
    </w:p>
    <w:p>
      <w:pPr>
        <w:ind w:left="-8" w:right="140" w:firstLine="8"/>
        <w:spacing w:after="0" w:line="291" w:lineRule="auto"/>
        <w:tabs>
          <w:tab w:leader="none" w:pos="255" w:val="left"/>
        </w:tabs>
        <w:numPr>
          <w:ilvl w:val="0"/>
          <w:numId w:val="74"/>
        </w:numPr>
        <w:rPr>
          <w:rFonts w:ascii="Arial" w:cs="Arial" w:eastAsia="Arial" w:hAnsi="Arial"/>
          <w:sz w:val="16"/>
          <w:szCs w:val="16"/>
          <w:color w:val="auto"/>
        </w:rPr>
      </w:pPr>
      <w:r>
        <w:rPr>
          <w:rFonts w:ascii="Arial" w:cs="Arial" w:eastAsia="Arial" w:hAnsi="Arial"/>
          <w:sz w:val="16"/>
          <w:szCs w:val="16"/>
          <w:b w:val="1"/>
          <w:bCs w:val="1"/>
          <w:i w:val="1"/>
          <w:iCs w:val="1"/>
          <w:color w:val="auto"/>
        </w:rPr>
        <w:t>Interpretation / Provisions of Plan Control</w:t>
      </w:r>
      <w:r>
        <w:rPr>
          <w:rFonts w:ascii="Arial" w:cs="Arial" w:eastAsia="Arial" w:hAnsi="Arial"/>
          <w:sz w:val="16"/>
          <w:szCs w:val="16"/>
          <w:color w:val="auto"/>
        </w:rPr>
        <w:t>. This Agreement is subject to all the terms, conditions and provisions of the Plan, including, without limitation,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amendment provisions thereof, and to such rules, regulations and interpretations relating to the Plan adopted by the Committee as may be in effect from time to time. If and to the extent that this Agreement conflicts or is inconsistent with the terms, conditions and provisions of the Plan, the Plan shall control, and this Agreement shall be deemed to be modified accordingly. The Optionee accepts the Option subject to all of the terms and provisions of the Plan and this Agreement. The undersigned Optionee hereby accepts as binding, conclusive and final all decisions or interpretations of the Committee upon any questions arising under the Plan and this Agreement, unless shown to have been made in an arbitrary and capricious manner.</w:t>
      </w:r>
    </w:p>
    <w:p>
      <w:pPr>
        <w:spacing w:after="0" w:line="120" w:lineRule="exact"/>
        <w:rPr>
          <w:rFonts w:ascii="Arial" w:cs="Arial" w:eastAsia="Arial" w:hAnsi="Arial"/>
          <w:sz w:val="16"/>
          <w:szCs w:val="16"/>
          <w:color w:val="auto"/>
        </w:rPr>
      </w:pPr>
    </w:p>
    <w:p>
      <w:pPr>
        <w:ind w:left="-8" w:firstLine="8"/>
        <w:spacing w:after="0" w:line="306" w:lineRule="auto"/>
        <w:tabs>
          <w:tab w:leader="none" w:pos="255" w:val="left"/>
        </w:tabs>
        <w:numPr>
          <w:ilvl w:val="0"/>
          <w:numId w:val="74"/>
        </w:numPr>
        <w:rPr>
          <w:rFonts w:ascii="Arial" w:cs="Arial" w:eastAsia="Arial" w:hAnsi="Arial"/>
          <w:sz w:val="16"/>
          <w:szCs w:val="16"/>
          <w:color w:val="auto"/>
        </w:rPr>
      </w:pPr>
      <w:r>
        <w:rPr>
          <w:rFonts w:ascii="Arial" w:cs="Arial" w:eastAsia="Arial" w:hAnsi="Arial"/>
          <w:sz w:val="16"/>
          <w:szCs w:val="16"/>
          <w:b w:val="1"/>
          <w:bCs w:val="1"/>
          <w:i w:val="1"/>
          <w:iCs w:val="1"/>
          <w:color w:val="auto"/>
        </w:rPr>
        <w:t>Notices</w:t>
      </w:r>
      <w:r>
        <w:rPr>
          <w:rFonts w:ascii="Arial" w:cs="Arial" w:eastAsia="Arial" w:hAnsi="Arial"/>
          <w:sz w:val="16"/>
          <w:szCs w:val="16"/>
          <w:color w:val="auto"/>
        </w:rPr>
        <w:t>. Any notice under this Agreement shall be in writing and shall be deemed to have been duly given when delivered personally or when deposited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United States mail, registered, postage prepaid, and addressed, in the case of the Company, to the Company’s Secretary at 4960 Peachtree Industrial Blvd., Suite 240, Norcross, GA 30071, or if the Company should move its principal office, to such principal office, and, in the case of the Optionee, to the Optionee’s last</w:t>
      </w:r>
    </w:p>
    <w:p>
      <w:pPr>
        <w:spacing w:after="0" w:line="9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12"/>
          </w:cols>
          <w:pgMar w:left="248" w:top="280" w:right="239" w:bottom="1440" w:gutter="0" w:footer="0" w:header="0"/>
        </w:sectPr>
      </w:pPr>
    </w:p>
    <w:bookmarkStart w:id="66" w:name="page67"/>
    <w:bookmarkEnd w:id="66"/>
    <w:p>
      <w:pPr>
        <w:ind w:right="5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permanent address as shown on the Company’s records, subject to the right of either party to designate some other address at any time hereafter in a notice satisfying the requirements of this Section.</w:t>
      </w:r>
    </w:p>
    <w:p>
      <w:pPr>
        <w:spacing w:after="0" w:line="132" w:lineRule="exact"/>
        <w:rPr>
          <w:sz w:val="20"/>
          <w:szCs w:val="20"/>
          <w:color w:val="auto"/>
        </w:rPr>
      </w:pPr>
    </w:p>
    <w:p>
      <w:pPr>
        <w:ind w:left="280" w:hanging="272"/>
        <w:spacing w:after="0"/>
        <w:tabs>
          <w:tab w:leader="none" w:pos="280" w:val="left"/>
        </w:tabs>
        <w:numPr>
          <w:ilvl w:val="0"/>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Section 409A.</w:t>
      </w:r>
    </w:p>
    <w:p>
      <w:pPr>
        <w:spacing w:after="0" w:line="171" w:lineRule="exact"/>
        <w:rPr>
          <w:rFonts w:ascii="Arial" w:cs="Arial" w:eastAsia="Arial" w:hAnsi="Arial"/>
          <w:sz w:val="18"/>
          <w:szCs w:val="18"/>
          <w:color w:val="auto"/>
        </w:rPr>
      </w:pPr>
    </w:p>
    <w:p>
      <w:pPr>
        <w:ind w:firstLine="464"/>
        <w:spacing w:after="0" w:line="301" w:lineRule="auto"/>
        <w:tabs>
          <w:tab w:leader="none" w:pos="695" w:val="left"/>
        </w:tabs>
        <w:numPr>
          <w:ilvl w:val="1"/>
          <w:numId w:val="75"/>
        </w:numPr>
        <w:rPr>
          <w:rFonts w:ascii="Arial" w:cs="Arial" w:eastAsia="Arial" w:hAnsi="Arial"/>
          <w:sz w:val="15"/>
          <w:szCs w:val="15"/>
          <w:color w:val="auto"/>
        </w:rPr>
      </w:pPr>
      <w:r>
        <w:rPr>
          <w:rFonts w:ascii="Arial" w:cs="Arial" w:eastAsia="Arial" w:hAnsi="Arial"/>
          <w:sz w:val="15"/>
          <w:szCs w:val="15"/>
          <w:color w:val="auto"/>
        </w:rPr>
        <w:t>It is intended that the Option awarded pursuant to this Agreement be exempt from Section 409A of the Code (“Section 409A”) because it is believed that (i) the Exercise Price may never be less than the Fair Market Value of a Share on the Date of Grant and the number of shares subject to the Option is fixed on the original Date of Grant, (ii) the transfer or exercise of the Option is subject to taxation under Section 83 of the Code and Treas. Reg. 1.83-7, and (iii) the Option does not include any feature for the deferral of compensation other than the deferral of recognition of income until the exercise of the Option. The provisions of this Agreement shall be interpreted in a manner consistent with this intention, and the provisions of this Agreement may not be amended, adjusted, assumed or substituted for, converted or otherwise modified without the Optionee’s prior written consent if and to the extent that the Company believes or reasonably should believe that such amendment, adjustment, assumption or substitution, conversion or modification would cause the award to violate the requirements of</w:t>
      </w:r>
    </w:p>
    <w:p>
      <w:pPr>
        <w:spacing w:after="0" w:line="4"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Section 409A. In the event that either the Company or the Optionee believes, at any time, that any benefit or right under this Agreement is subject to</w:t>
      </w:r>
    </w:p>
    <w:p>
      <w:pPr>
        <w:spacing w:after="0" w:line="32" w:lineRule="exact"/>
        <w:rPr>
          <w:rFonts w:ascii="Arial" w:cs="Arial" w:eastAsia="Arial" w:hAnsi="Arial"/>
          <w:sz w:val="15"/>
          <w:szCs w:val="15"/>
          <w:color w:val="auto"/>
        </w:rPr>
      </w:pPr>
    </w:p>
    <w:p>
      <w:pPr>
        <w:ind w:right="80"/>
        <w:spacing w:after="0" w:line="302" w:lineRule="auto"/>
        <w:rPr>
          <w:rFonts w:ascii="Arial" w:cs="Arial" w:eastAsia="Arial" w:hAnsi="Arial"/>
          <w:sz w:val="15"/>
          <w:szCs w:val="15"/>
          <w:color w:val="auto"/>
        </w:rPr>
      </w:pPr>
      <w:r>
        <w:rPr>
          <w:rFonts w:ascii="Arial" w:cs="Arial" w:eastAsia="Arial" w:hAnsi="Arial"/>
          <w:sz w:val="16"/>
          <w:szCs w:val="16"/>
          <w:color w:val="auto"/>
        </w:rPr>
        <w:t>Section 409A, then the Committee may (acting alone and without any required consent of the Optionee) amend this Agreement in such manner as the Committee deems necessary or appropriate to be exempt from or otherwise comply with the requirements of Section 409A (including without limitation, amending the Agreement to increase the Exercise Price to such amount as may be required in order for the Option to be exempt from Section 409A).</w:t>
      </w:r>
    </w:p>
    <w:p>
      <w:pPr>
        <w:spacing w:after="0" w:line="109" w:lineRule="exact"/>
        <w:rPr>
          <w:rFonts w:ascii="Arial" w:cs="Arial" w:eastAsia="Arial" w:hAnsi="Arial"/>
          <w:sz w:val="15"/>
          <w:szCs w:val="15"/>
          <w:color w:val="auto"/>
        </w:rPr>
      </w:pPr>
    </w:p>
    <w:p>
      <w:pPr>
        <w:ind w:right="80" w:firstLine="464"/>
        <w:spacing w:after="0" w:line="294" w:lineRule="auto"/>
        <w:tabs>
          <w:tab w:leader="none" w:pos="705" w:val="left"/>
        </w:tabs>
        <w:numPr>
          <w:ilvl w:val="1"/>
          <w:numId w:val="75"/>
        </w:numPr>
        <w:rPr>
          <w:rFonts w:ascii="Arial" w:cs="Arial" w:eastAsia="Arial" w:hAnsi="Arial"/>
          <w:sz w:val="16"/>
          <w:szCs w:val="16"/>
          <w:color w:val="auto"/>
        </w:rPr>
      </w:pPr>
      <w:r>
        <w:rPr>
          <w:rFonts w:ascii="Arial" w:cs="Arial" w:eastAsia="Arial" w:hAnsi="Arial"/>
          <w:sz w:val="16"/>
          <w:szCs w:val="16"/>
          <w:color w:val="auto"/>
        </w:rPr>
        <w:t>Notwithstanding the foregoing, the Company does not make any representation to the Optionee that the Option awarded pursuant to this Agreement is exempt from, or satisfy, the requirements of Section 409A, and the Company shall have no liability or other obligation to indemnify or hold harmless the Optionee or any Beneficiary for any tax, additional tax, interest or penalties that the Optionee or any Beneficiary may incur in the event that any provision of this Agreement, or any amendment or modification thereof or any other action taken with respect thereto, that either is consented to by the Optionee or that the Company reasonably believes should not result in a violation of Section 409A, is deemed to violate any of the requirements of Section 409A.</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 on next page]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67" w:name="page68"/>
    <w:bookmarkEnd w:id="67"/>
    <w:tbl>
      <w:tblPr>
        <w:tblLayout w:type="fixed"/>
        <w:tblInd w:w="460" w:type="dxa"/>
        <w:tblCellMar>
          <w:top w:w="0" w:type="dxa"/>
          <w:left w:w="0" w:type="dxa"/>
          <w:bottom w:w="0" w:type="dxa"/>
          <w:right w:w="0" w:type="dxa"/>
        </w:tblCellMar>
      </w:tblPr>
      <w:tr>
        <w:trPr>
          <w:trHeight w:val="228"/>
        </w:trPr>
        <w:tc>
          <w:tcPr>
            <w:tcW w:w="6920" w:type="dxa"/>
            <w:vAlign w:val="bottom"/>
          </w:tcPr>
          <w:p>
            <w:pPr>
              <w:spacing w:after="0"/>
              <w:rPr>
                <w:sz w:val="20"/>
                <w:szCs w:val="20"/>
                <w:color w:val="auto"/>
              </w:rPr>
            </w:pPr>
            <w:r>
              <w:rPr>
                <w:rFonts w:ascii="Arial" w:cs="Arial" w:eastAsia="Arial" w:hAnsi="Arial"/>
                <w:sz w:val="18"/>
                <w:szCs w:val="18"/>
                <w:b w:val="1"/>
                <w:bCs w:val="1"/>
                <w:color w:val="auto"/>
                <w:w w:val="94"/>
              </w:rPr>
              <w:t>IN WITNESS WHEREOF</w:t>
            </w:r>
            <w:r>
              <w:rPr>
                <w:rFonts w:ascii="Arial" w:cs="Arial" w:eastAsia="Arial" w:hAnsi="Arial"/>
                <w:sz w:val="18"/>
                <w:szCs w:val="18"/>
                <w:color w:val="auto"/>
                <w:w w:val="94"/>
              </w:rPr>
              <w:t>, the undersigned have executed this Agreement as of the – day of</w:t>
            </w:r>
          </w:p>
        </w:tc>
        <w:tc>
          <w:tcPr>
            <w:tcW w:w="760" w:type="dxa"/>
            <w:vAlign w:val="bottom"/>
          </w:tcPr>
          <w:p>
            <w:pPr>
              <w:jc w:val="right"/>
              <w:spacing w:after="0"/>
              <w:rPr>
                <w:sz w:val="20"/>
                <w:szCs w:val="20"/>
                <w:color w:val="auto"/>
              </w:rPr>
            </w:pPr>
            <w:r>
              <w:rPr>
                <w:rFonts w:ascii="Arial" w:cs="Arial" w:eastAsia="Arial" w:hAnsi="Arial"/>
                <w:sz w:val="18"/>
                <w:szCs w:val="18"/>
                <w:color w:val="auto"/>
              </w:rPr>
              <w:t>, 2013.</w:t>
            </w:r>
          </w:p>
        </w:tc>
      </w:tr>
    </w:tbl>
    <w:p>
      <w:pPr>
        <w:spacing w:after="0" w:line="1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GALECTIN THERAPEUTICS INC., a Nevada corporation</w:t>
      </w:r>
    </w:p>
    <w:p>
      <w:pPr>
        <w:spacing w:after="0" w:line="25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Peter G. Traber, MD</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Executive Officer and Chief Medical officer</w:t>
      </w:r>
    </w:p>
    <w:p>
      <w:pPr>
        <w:spacing w:after="0" w:line="165"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Optionee acknowledges receipt of a copy of the Plan and represents that he has reviewed the provisions of the Plan and this Option Agreement in their entirety, is familiar with and understands their terms and provisions, and hereby accepts this Option subject to all of the terms and provisions of the Plan and the Option Agreement. The Optionee further represents that he has had an opportunity to obtain the advice of counsel prior to executing this Option Agreement.</w:t>
      </w:r>
    </w:p>
    <w:p>
      <w:pPr>
        <w:spacing w:after="0" w:line="129" w:lineRule="exact"/>
        <w:rPr>
          <w:sz w:val="20"/>
          <w:szCs w:val="20"/>
          <w:color w:val="auto"/>
        </w:rPr>
      </w:pPr>
    </w:p>
    <w:p>
      <w:pPr>
        <w:spacing w:after="0"/>
        <w:tabs>
          <w:tab w:leader="none" w:pos="60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b w:val="1"/>
          <w:bCs w:val="1"/>
          <w:color w:val="auto"/>
        </w:rPr>
        <w:t>OPTIONEE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10795</wp:posOffset>
            </wp:positionV>
            <wp:extent cx="31127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5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-5715</wp:posOffset>
            </wp:positionV>
            <wp:extent cx="318135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8"/>
          <w:szCs w:val="18"/>
          <w:color w:val="auto"/>
        </w:rPr>
        <w:t>Thomas McGauley</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74" w:right="29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10.5</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STOCK OPTION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GALECTIN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THOMAS MCGAULEY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177" w:lineRule="exact"/>
        <w:rPr>
          <w:sz w:val="20"/>
          <w:szCs w:val="20"/>
          <w:color w:val="auto"/>
        </w:rPr>
      </w:pPr>
    </w:p>
    <w:p>
      <w:pPr>
        <w:ind w:right="80" w:firstLine="8"/>
        <w:spacing w:after="0" w:line="291" w:lineRule="auto"/>
        <w:tabs>
          <w:tab w:leader="none" w:pos="176" w:val="left"/>
        </w:tabs>
        <w:numPr>
          <w:ilvl w:val="0"/>
          <w:numId w:val="7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Grant of Option. </w:t>
      </w:r>
      <w:r>
        <w:rPr>
          <w:rFonts w:ascii="Arial" w:cs="Arial" w:eastAsia="Arial" w:hAnsi="Arial"/>
          <w:sz w:val="16"/>
          <w:szCs w:val="16"/>
          <w:color w:val="auto"/>
        </w:rPr>
        <w:t>Galectin Therapeutics Inc., a Nevada corporation (the “Company”) hereby grants, as of the date hereof (“Date of Grant”), to Thomas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McGauley (the “Optionee”) an option (the “Option”) to purchase up to twenty-five thousand (25,000) shares of the Company’s common stock, $0.01 par value per share (the “Shares”), at an exercise price per share equal to $3.97 (the “Exercise Price”). The Option shall be subject to the terms and conditions set forth herein. The Option is being issued pursuant to the Company’s 2009 Incentive Compensation Plan (the “Plan”), which is incorporated herein for all purposes. The Option is a Non-Qualified Stock Option and not an Incentive Stock Option. The Optionee hereby acknowledges receipt of a copy of the Plan and agrees to be bound by all of the terms and conditions hereof and thereof and all applicable laws and regulations.</w:t>
      </w:r>
    </w:p>
    <w:p>
      <w:pPr>
        <w:spacing w:after="0" w:line="120" w:lineRule="exact"/>
        <w:rPr>
          <w:rFonts w:ascii="Arial" w:cs="Arial" w:eastAsia="Arial" w:hAnsi="Arial"/>
          <w:sz w:val="16"/>
          <w:szCs w:val="16"/>
          <w:color w:val="auto"/>
        </w:rPr>
      </w:pPr>
    </w:p>
    <w:p>
      <w:pPr>
        <w:ind w:right="140" w:firstLine="8"/>
        <w:spacing w:after="0" w:line="268" w:lineRule="auto"/>
        <w:tabs>
          <w:tab w:leader="none" w:pos="176" w:val="left"/>
        </w:tabs>
        <w:numPr>
          <w:ilvl w:val="0"/>
          <w:numId w:val="76"/>
        </w:numPr>
        <w:rPr>
          <w:rFonts w:ascii="Arial" w:cs="Arial" w:eastAsia="Arial" w:hAnsi="Arial"/>
          <w:sz w:val="18"/>
          <w:szCs w:val="18"/>
          <w:color w:val="auto"/>
        </w:rPr>
      </w:pPr>
      <w:r>
        <w:rPr>
          <w:rFonts w:ascii="Arial" w:cs="Arial" w:eastAsia="Arial" w:hAnsi="Arial"/>
          <w:sz w:val="18"/>
          <w:szCs w:val="18"/>
          <w:b w:val="1"/>
          <w:bCs w:val="1"/>
          <w:i w:val="1"/>
          <w:iCs w:val="1"/>
          <w:color w:val="auto"/>
        </w:rPr>
        <w:t>Definitions</w:t>
      </w:r>
      <w:r>
        <w:rPr>
          <w:rFonts w:ascii="Arial" w:cs="Arial" w:eastAsia="Arial" w:hAnsi="Arial"/>
          <w:sz w:val="18"/>
          <w:szCs w:val="18"/>
          <w:color w:val="auto"/>
        </w:rPr>
        <w:t>. Unless otherwise provided herein, terms used herein that are defined in the Plan and not defined herein shall have the meanings attributed thereto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Plan.</w:t>
      </w:r>
    </w:p>
    <w:p>
      <w:pPr>
        <w:spacing w:after="0" w:line="131" w:lineRule="exact"/>
        <w:rPr>
          <w:rFonts w:ascii="Arial" w:cs="Arial" w:eastAsia="Arial" w:hAnsi="Arial"/>
          <w:sz w:val="18"/>
          <w:szCs w:val="18"/>
          <w:color w:val="auto"/>
        </w:rPr>
      </w:pPr>
    </w:p>
    <w:p>
      <w:pPr>
        <w:ind w:right="100" w:firstLine="8"/>
        <w:spacing w:after="0" w:line="306" w:lineRule="auto"/>
        <w:tabs>
          <w:tab w:leader="none" w:pos="176" w:val="left"/>
        </w:tabs>
        <w:numPr>
          <w:ilvl w:val="0"/>
          <w:numId w:val="76"/>
        </w:numPr>
        <w:rPr>
          <w:rFonts w:ascii="Arial" w:cs="Arial" w:eastAsia="Arial" w:hAnsi="Arial"/>
          <w:sz w:val="16"/>
          <w:szCs w:val="16"/>
          <w:color w:val="auto"/>
        </w:rPr>
      </w:pPr>
      <w:r>
        <w:rPr>
          <w:rFonts w:ascii="Arial" w:cs="Arial" w:eastAsia="Arial" w:hAnsi="Arial"/>
          <w:sz w:val="16"/>
          <w:szCs w:val="16"/>
          <w:b w:val="1"/>
          <w:bCs w:val="1"/>
          <w:i w:val="1"/>
          <w:iCs w:val="1"/>
          <w:color w:val="auto"/>
        </w:rPr>
        <w:t>Exercise Schedule</w:t>
      </w:r>
      <w:r>
        <w:rPr>
          <w:rFonts w:ascii="Arial" w:cs="Arial" w:eastAsia="Arial" w:hAnsi="Arial"/>
          <w:sz w:val="16"/>
          <w:szCs w:val="16"/>
          <w:color w:val="auto"/>
        </w:rPr>
        <w:t>. Except as otherwise provided in Sections 6 or 9 of this Agreement, or in the Plan, the Optionee shall be entitled to exercise the Option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time after the first business day following the filing of the 10Q for the Company for the second quarter, 2013 (“Vesting Date”). The Option may be exercised by the Optionee, in whole or in part, at any time or from time to time after the Vesting Date and prior to the expiration of the Option as provided herein.</w:t>
      </w:r>
    </w:p>
    <w:p>
      <w:pPr>
        <w:spacing w:after="0" w:line="107"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For the avoidance of doubt, so long as Optionee continues to provide the services to the Company called for pursuant to that certain Independent Consulting Agreement, dated September 19, 2012, between the Company and Optionee, through the Vesting Date, this Option shall be fully vested as of the Vesting Date.</w:t>
      </w:r>
    </w:p>
    <w:p>
      <w:pPr>
        <w:spacing w:after="0" w:line="140" w:lineRule="exact"/>
        <w:rPr>
          <w:sz w:val="20"/>
          <w:szCs w:val="20"/>
          <w:color w:val="auto"/>
        </w:rPr>
      </w:pPr>
    </w:p>
    <w:p>
      <w:pPr>
        <w:ind w:right="40" w:firstLine="8"/>
        <w:spacing w:after="0" w:line="288" w:lineRule="auto"/>
        <w:tabs>
          <w:tab w:leader="none" w:pos="176" w:val="left"/>
        </w:tabs>
        <w:numPr>
          <w:ilvl w:val="0"/>
          <w:numId w:val="77"/>
        </w:numPr>
        <w:rPr>
          <w:rFonts w:ascii="Arial" w:cs="Arial" w:eastAsia="Arial" w:hAnsi="Arial"/>
          <w:sz w:val="16"/>
          <w:szCs w:val="16"/>
          <w:color w:val="auto"/>
        </w:rPr>
      </w:pPr>
      <w:r>
        <w:rPr>
          <w:rFonts w:ascii="Arial" w:cs="Arial" w:eastAsia="Arial" w:hAnsi="Arial"/>
          <w:sz w:val="16"/>
          <w:szCs w:val="16"/>
          <w:b w:val="1"/>
          <w:bCs w:val="1"/>
          <w:i w:val="1"/>
          <w:iCs w:val="1"/>
          <w:color w:val="auto"/>
        </w:rPr>
        <w:t>Method of Exercise</w:t>
      </w:r>
      <w:r>
        <w:rPr>
          <w:rFonts w:ascii="Arial" w:cs="Arial" w:eastAsia="Arial" w:hAnsi="Arial"/>
          <w:sz w:val="16"/>
          <w:szCs w:val="16"/>
          <w:color w:val="auto"/>
        </w:rPr>
        <w:t>. The vested portion of this Option shall be exercisable in whole or in part at any time after the Vesting Date by written notice which shall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 the election to exercise the Option, the number of Shares in respect of which the Option is being exercised, and such other representations and agreements as to the holder’s investment intent with respect to such Shares as may be required by the Company pursuant to the provisions of the Plan. Such written notice shall be signed by the Optionee and shall be delivered in person or by certified mail to the Secretary of the Company. The written notice shall be accompanied by payment of the Exercise Price as determined pursuant to Section 5 hereof. This Option shall be deemed to be exercised after both (a) receipt by the Company of such written notice accompanied by the Exercise Price and (b) arrangements that are satisfactory to the Committee in its sole discretion have been made for Optionee’s payment to the Company of the amount, if any, that is necessary to be withheld in accordance with applicable Federal or state withholding requirements. No Shares shall be issued pursuant to the Option unless and until such issuance and such exercise shall comply with all relevant provisions of applicable law, including the requirements of any stock exchange upon which the Shares then may be traded.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69" w:name="page70"/>
    <w:bookmarkEnd w:id="6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 </w:t>
      </w:r>
      <w:r>
        <w:rPr>
          <w:rFonts w:ascii="Arial" w:cs="Arial" w:eastAsia="Arial" w:hAnsi="Arial"/>
          <w:sz w:val="16"/>
          <w:szCs w:val="16"/>
          <w:b w:val="1"/>
          <w:bCs w:val="1"/>
          <w:i w:val="1"/>
          <w:iCs w:val="1"/>
          <w:color w:val="auto"/>
        </w:rPr>
        <w:t>Method of Payment</w:t>
      </w:r>
      <w:r>
        <w:rPr>
          <w:rFonts w:ascii="Arial" w:cs="Arial" w:eastAsia="Arial" w:hAnsi="Arial"/>
          <w:sz w:val="16"/>
          <w:szCs w:val="16"/>
          <w:color w:val="auto"/>
        </w:rPr>
        <w:t>. Payment of the Exercise Price shall be by any of the following, or a combination thereof, at the election of the Optionee: (a) cash; or</w:t>
      </w:r>
    </w:p>
    <w:p>
      <w:pPr>
        <w:spacing w:after="0" w:line="38" w:lineRule="exact"/>
        <w:rPr>
          <w:sz w:val="20"/>
          <w:szCs w:val="20"/>
          <w:color w:val="auto"/>
        </w:rPr>
      </w:pPr>
    </w:p>
    <w:p>
      <w:pPr>
        <w:ind w:right="80" w:firstLine="8"/>
        <w:spacing w:after="0" w:line="253" w:lineRule="auto"/>
        <w:tabs>
          <w:tab w:leader="none" w:pos="249" w:val="left"/>
        </w:tabs>
        <w:numPr>
          <w:ilvl w:val="0"/>
          <w:numId w:val="78"/>
        </w:numPr>
        <w:rPr>
          <w:rFonts w:ascii="Arial" w:cs="Arial" w:eastAsia="Arial" w:hAnsi="Arial"/>
          <w:sz w:val="18"/>
          <w:szCs w:val="18"/>
          <w:color w:val="auto"/>
        </w:rPr>
      </w:pPr>
      <w:r>
        <w:rPr>
          <w:rFonts w:ascii="Arial" w:cs="Arial" w:eastAsia="Arial" w:hAnsi="Arial"/>
          <w:sz w:val="18"/>
          <w:szCs w:val="18"/>
          <w:color w:val="auto"/>
        </w:rPr>
        <w:t>check; or (c) with Shares owned by the Optionee, or the withholding of Shares that otherwise would be delivered to the Optionee as a result of the exercise of the Option or (d) pursuant to a “cashless exercise” procedure, by delivery of a properly executed exercise notice together with such other documentation, and subject to such guidelines, as the Committee shall require to effect an exercise of the Option and delivery to the Company by a licensed broker acceptable to the Company of proceeds from the sale of Shares, or (e) such other consideration or in such other manner as may be determined by the Committee in its absolute discretion.</w:t>
      </w:r>
    </w:p>
    <w:p>
      <w:pPr>
        <w:spacing w:after="0" w:line="145" w:lineRule="exact"/>
        <w:rPr>
          <w:sz w:val="20"/>
          <w:szCs w:val="20"/>
          <w:color w:val="auto"/>
        </w:rPr>
      </w:pPr>
    </w:p>
    <w:p>
      <w:pPr>
        <w:ind w:left="180" w:hanging="172"/>
        <w:spacing w:after="0"/>
        <w:tabs>
          <w:tab w:leader="none" w:pos="180" w:val="left"/>
        </w:tabs>
        <w:numPr>
          <w:ilvl w:val="0"/>
          <w:numId w:val="79"/>
        </w:numPr>
        <w:rPr>
          <w:rFonts w:ascii="Arial" w:cs="Arial" w:eastAsia="Arial" w:hAnsi="Arial"/>
          <w:sz w:val="18"/>
          <w:szCs w:val="18"/>
          <w:color w:val="auto"/>
        </w:rPr>
      </w:pPr>
      <w:r>
        <w:rPr>
          <w:rFonts w:ascii="Arial" w:cs="Arial" w:eastAsia="Arial" w:hAnsi="Arial"/>
          <w:sz w:val="18"/>
          <w:szCs w:val="18"/>
          <w:b w:val="1"/>
          <w:bCs w:val="1"/>
          <w:i w:val="1"/>
          <w:iCs w:val="1"/>
          <w:color w:val="auto"/>
        </w:rPr>
        <w:t>Termination of Option</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1200" w:firstLine="464"/>
        <w:spacing w:after="0" w:line="268" w:lineRule="auto"/>
        <w:tabs>
          <w:tab w:leader="none" w:pos="695" w:val="left"/>
        </w:tabs>
        <w:numPr>
          <w:ilvl w:val="1"/>
          <w:numId w:val="79"/>
        </w:numPr>
        <w:rPr>
          <w:rFonts w:ascii="Arial" w:cs="Arial" w:eastAsia="Arial" w:hAnsi="Arial"/>
          <w:sz w:val="18"/>
          <w:szCs w:val="18"/>
          <w:color w:val="auto"/>
        </w:rPr>
      </w:pPr>
      <w:r>
        <w:rPr>
          <w:rFonts w:ascii="Arial" w:cs="Arial" w:eastAsia="Arial" w:hAnsi="Arial"/>
          <w:sz w:val="18"/>
          <w:szCs w:val="18"/>
          <w:b w:val="1"/>
          <w:bCs w:val="1"/>
          <w:i w:val="1"/>
          <w:iCs w:val="1"/>
          <w:color w:val="auto"/>
        </w:rPr>
        <w:t>General</w:t>
      </w:r>
      <w:r>
        <w:rPr>
          <w:rFonts w:ascii="Arial" w:cs="Arial" w:eastAsia="Arial" w:hAnsi="Arial"/>
          <w:sz w:val="18"/>
          <w:szCs w:val="18"/>
          <w:color w:val="auto"/>
        </w:rPr>
        <w:t>. Any unexercised portion of the Option shall automatically and without notice terminate and become null and void at the tenth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(10</w:t>
      </w:r>
      <w:r>
        <w:rPr>
          <w:rFonts w:ascii="Arial" w:cs="Arial" w:eastAsia="Arial" w:hAnsi="Arial"/>
          <w:sz w:val="11"/>
          <w:szCs w:val="11"/>
          <w:color w:val="auto"/>
        </w:rPr>
        <w:t>th</w:t>
      </w:r>
      <w:r>
        <w:rPr>
          <w:rFonts w:ascii="Arial" w:cs="Arial" w:eastAsia="Arial" w:hAnsi="Arial"/>
          <w:sz w:val="18"/>
          <w:szCs w:val="18"/>
          <w:color w:val="auto"/>
        </w:rPr>
        <w:t>) anniversary of the date as of which the Option is granted.</w:t>
      </w:r>
    </w:p>
    <w:p>
      <w:pPr>
        <w:spacing w:after="0" w:line="131" w:lineRule="exact"/>
        <w:rPr>
          <w:rFonts w:ascii="Arial" w:cs="Arial" w:eastAsia="Arial" w:hAnsi="Arial"/>
          <w:sz w:val="18"/>
          <w:szCs w:val="18"/>
          <w:color w:val="auto"/>
        </w:rPr>
      </w:pPr>
    </w:p>
    <w:p>
      <w:pPr>
        <w:ind w:right="40" w:firstLine="464"/>
        <w:spacing w:after="0" w:line="287" w:lineRule="auto"/>
        <w:tabs>
          <w:tab w:leader="none" w:pos="705" w:val="left"/>
        </w:tabs>
        <w:numPr>
          <w:ilvl w:val="1"/>
          <w:numId w:val="79"/>
        </w:numPr>
        <w:rPr>
          <w:rFonts w:ascii="Arial" w:cs="Arial" w:eastAsia="Arial" w:hAnsi="Arial"/>
          <w:sz w:val="16"/>
          <w:szCs w:val="16"/>
          <w:color w:val="auto"/>
        </w:rPr>
      </w:pPr>
      <w:r>
        <w:rPr>
          <w:rFonts w:ascii="Arial" w:cs="Arial" w:eastAsia="Arial" w:hAnsi="Arial"/>
          <w:sz w:val="16"/>
          <w:szCs w:val="16"/>
          <w:b w:val="1"/>
          <w:bCs w:val="1"/>
          <w:i w:val="1"/>
          <w:iCs w:val="1"/>
          <w:color w:val="auto"/>
        </w:rPr>
        <w:t>Cancellation</w:t>
      </w:r>
      <w:r>
        <w:rPr>
          <w:rFonts w:ascii="Arial" w:cs="Arial" w:eastAsia="Arial" w:hAnsi="Arial"/>
          <w:sz w:val="16"/>
          <w:szCs w:val="16"/>
          <w:color w:val="auto"/>
        </w:rPr>
        <w:t>. To the extent not previously exercised, (i) the Option shall terminate immediately in the event of (A) the liquidation or dissolution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or (B) any reorganization, merger, consolidation or other form of corporate transaction in which the Company does not survive or the Shares are exchanged for or converted into securities issued by another entity, or an affiliate of such successor or acquiring entity, unless the successor or acquiring entity, or an affiliate thereof, assumes the Option or substitutes an equivalent option or right pursuant to Section 10(c)(ii) of the Plan, and (ii) the Committee in its sole discretion may by written notice (“cancellation notice”) cancel, effective upon the consummation of any transaction that constitutes a Change in Control, the Option (or portion thereof) that remains unexercised on such date. The Committee shall give written notice of any proposed transaction referred to in this Section 6(b) a reasonable period of time prior to the closing date for such transaction (which notice may be given either before or after approval of such transaction), in order that the Optionee may have a reasonable period of time prior to the closing date of such transaction within which to exercise the Option if and to the extent that it then is exercisable (including any portion of the Option that may become exercisable upon the closing date of such transaction). The Optionee may condition his exercise of the Option upon the consummation of a transaction referred to in this Section 6(b).</w:t>
      </w:r>
    </w:p>
    <w:p>
      <w:pPr>
        <w:spacing w:after="0" w:line="122" w:lineRule="exact"/>
        <w:rPr>
          <w:rFonts w:ascii="Arial" w:cs="Arial" w:eastAsia="Arial" w:hAnsi="Arial"/>
          <w:sz w:val="16"/>
          <w:szCs w:val="16"/>
          <w:color w:val="auto"/>
        </w:rPr>
      </w:pPr>
    </w:p>
    <w:p>
      <w:pPr>
        <w:ind w:firstLine="8"/>
        <w:spacing w:after="0" w:line="291" w:lineRule="auto"/>
        <w:tabs>
          <w:tab w:leader="none" w:pos="176" w:val="left"/>
        </w:tabs>
        <w:numPr>
          <w:ilvl w:val="0"/>
          <w:numId w:val="79"/>
        </w:numPr>
        <w:rPr>
          <w:rFonts w:ascii="Arial" w:cs="Arial" w:eastAsia="Arial" w:hAnsi="Arial"/>
          <w:sz w:val="16"/>
          <w:szCs w:val="16"/>
          <w:color w:val="auto"/>
        </w:rPr>
      </w:pPr>
      <w:r>
        <w:rPr>
          <w:rFonts w:ascii="Arial" w:cs="Arial" w:eastAsia="Arial" w:hAnsi="Arial"/>
          <w:sz w:val="16"/>
          <w:szCs w:val="16"/>
          <w:b w:val="1"/>
          <w:bCs w:val="1"/>
          <w:i w:val="1"/>
          <w:iCs w:val="1"/>
          <w:color w:val="auto"/>
        </w:rPr>
        <w:t>Transferability</w:t>
      </w:r>
      <w:r>
        <w:rPr>
          <w:rFonts w:ascii="Arial" w:cs="Arial" w:eastAsia="Arial" w:hAnsi="Arial"/>
          <w:sz w:val="16"/>
          <w:szCs w:val="16"/>
          <w:color w:val="auto"/>
        </w:rPr>
        <w:t>. Unless otherwise determined by the Committee, the Option granted hereby is not transferable otherwise than by will or under the applicable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laws of descent and distribution, and during the lifetime of the Optionee the Option shall be exercisable only by the Optionee, or the Optionee’s guardian or legal representative. In addition, the Option shall not be assigned, negotiated, pledged or hypothecated in any way (whether by operation of law or otherwise), and the Option shall not be subject to execution, attachment or similar process. Upon any attempt to transfer, assign, negotiate, pledge or hypothecate the Option, or in the event of any levy upon the Option by reason of any execution, attachment or similar process contrary to the provisions hereof, the Option shall immediately become null and void. The terms of this Option shall be binding upon the executors, administrators, heirs, successors and assigns of the Optionee.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70" w:name="page71"/>
    <w:bookmarkEnd w:id="70"/>
    <w:p>
      <w:pPr>
        <w:ind w:left="-8" w:right="60" w:firstLine="8"/>
        <w:spacing w:after="0" w:line="259" w:lineRule="auto"/>
        <w:tabs>
          <w:tab w:leader="none" w:pos="168"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Rights of Stockholders</w:t>
      </w:r>
      <w:r>
        <w:rPr>
          <w:rFonts w:ascii="Arial" w:cs="Arial" w:eastAsia="Arial" w:hAnsi="Arial"/>
          <w:sz w:val="18"/>
          <w:szCs w:val="18"/>
          <w:color w:val="auto"/>
        </w:rPr>
        <w:t>. Neither the Optionee nor any personal representative (or beneficiary) shall be, or shall have any of the rights and privileges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 of the Company with respect to any Shares purchasable or issuable upon the exercise of the Option, in whole or in part, prior to the date on which the Shares are issued.</w:t>
      </w:r>
    </w:p>
    <w:p>
      <w:pPr>
        <w:spacing w:after="0" w:line="140" w:lineRule="exact"/>
        <w:rPr>
          <w:rFonts w:ascii="Arial" w:cs="Arial" w:eastAsia="Arial" w:hAnsi="Arial"/>
          <w:sz w:val="18"/>
          <w:szCs w:val="18"/>
          <w:color w:val="auto"/>
        </w:rPr>
      </w:pPr>
    </w:p>
    <w:p>
      <w:pPr>
        <w:ind w:left="172" w:hanging="172"/>
        <w:spacing w:after="0"/>
        <w:tabs>
          <w:tab w:leader="none" w:pos="172"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Acceleration of Exercisability of Option</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8" w:right="80" w:firstLine="464"/>
        <w:spacing w:after="0" w:line="256" w:lineRule="auto"/>
        <w:tabs>
          <w:tab w:leader="none" w:pos="687" w:val="left"/>
        </w:tabs>
        <w:numPr>
          <w:ilvl w:val="1"/>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Acceleration Upon Certain Terminations or Cancellations of Option</w:t>
      </w:r>
      <w:r>
        <w:rPr>
          <w:rFonts w:ascii="Arial" w:cs="Arial" w:eastAsia="Arial" w:hAnsi="Arial"/>
          <w:sz w:val="18"/>
          <w:szCs w:val="18"/>
          <w:color w:val="auto"/>
        </w:rPr>
        <w:t>. So long as this Option has not terminated pursuant to Section 6(a) hereof,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 shall become immediately fully exercisable immediately prior to the occurrence of any event that would result in (i) the Option being terminated pursuant to Section 6(b)(i) hereof, or (ii) the Company exercising its discretion to provide a cancellation notice with respect to the Option pursuant to Section 6(b)(ii) hereof.</w:t>
      </w:r>
    </w:p>
    <w:p>
      <w:pPr>
        <w:spacing w:after="0" w:line="143" w:lineRule="exact"/>
        <w:rPr>
          <w:rFonts w:ascii="Arial" w:cs="Arial" w:eastAsia="Arial" w:hAnsi="Arial"/>
          <w:sz w:val="18"/>
          <w:szCs w:val="18"/>
          <w:color w:val="auto"/>
        </w:rPr>
      </w:pPr>
    </w:p>
    <w:p>
      <w:pPr>
        <w:ind w:left="-8" w:right="20" w:firstLine="464"/>
        <w:spacing w:after="0" w:line="259" w:lineRule="auto"/>
        <w:tabs>
          <w:tab w:leader="none" w:pos="697" w:val="left"/>
        </w:tabs>
        <w:numPr>
          <w:ilvl w:val="1"/>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Acceleration Upon Change in Control. </w:t>
      </w:r>
      <w:r>
        <w:rPr>
          <w:rFonts w:ascii="Arial" w:cs="Arial" w:eastAsia="Arial" w:hAnsi="Arial"/>
          <w:sz w:val="18"/>
          <w:szCs w:val="18"/>
          <w:color w:val="auto"/>
        </w:rPr>
        <w:t>Subject to Section 9(a) above and so long as this Option has not terminated pursuant to Section 6(a) hereof,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 shall become immediately fully exercisable immediately prior to the occurrence of any event that qualifies as a “Change in Control”, as defined in Section 9(b) of the Plan.</w:t>
      </w:r>
    </w:p>
    <w:p>
      <w:pPr>
        <w:spacing w:after="0" w:line="140" w:lineRule="exact"/>
        <w:rPr>
          <w:rFonts w:ascii="Arial" w:cs="Arial" w:eastAsia="Arial" w:hAnsi="Arial"/>
          <w:sz w:val="18"/>
          <w:szCs w:val="18"/>
          <w:color w:val="auto"/>
        </w:rPr>
      </w:pPr>
    </w:p>
    <w:p>
      <w:pPr>
        <w:ind w:left="-8" w:right="280" w:firstLine="8"/>
        <w:spacing w:after="0" w:line="268" w:lineRule="auto"/>
        <w:tabs>
          <w:tab w:leader="none" w:pos="255"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No Right to Continued Employment</w:t>
      </w:r>
      <w:r>
        <w:rPr>
          <w:rFonts w:ascii="Arial" w:cs="Arial" w:eastAsia="Arial" w:hAnsi="Arial"/>
          <w:sz w:val="18"/>
          <w:szCs w:val="18"/>
          <w:color w:val="auto"/>
        </w:rPr>
        <w:t>. Neither the Option nor this Agreement shall confer upon the Optionee any right to continued employment or service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the Company.</w:t>
      </w:r>
    </w:p>
    <w:p>
      <w:pPr>
        <w:spacing w:after="0" w:line="131" w:lineRule="exact"/>
        <w:rPr>
          <w:rFonts w:ascii="Arial" w:cs="Arial" w:eastAsia="Arial" w:hAnsi="Arial"/>
          <w:sz w:val="18"/>
          <w:szCs w:val="18"/>
          <w:color w:val="auto"/>
        </w:rPr>
      </w:pPr>
    </w:p>
    <w:p>
      <w:pPr>
        <w:ind w:left="252" w:hanging="252"/>
        <w:spacing w:after="0"/>
        <w:tabs>
          <w:tab w:leader="none" w:pos="252"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Law Governing</w:t>
      </w:r>
      <w:r>
        <w:rPr>
          <w:rFonts w:ascii="Arial" w:cs="Arial" w:eastAsia="Arial" w:hAnsi="Arial"/>
          <w:sz w:val="18"/>
          <w:szCs w:val="18"/>
          <w:color w:val="auto"/>
        </w:rPr>
        <w:t>. This Agreement shall be governed in accordance with and governed by the internal laws of the State of Georgia.</w:t>
      </w:r>
    </w:p>
    <w:p>
      <w:pPr>
        <w:spacing w:after="0" w:line="171" w:lineRule="exact"/>
        <w:rPr>
          <w:rFonts w:ascii="Arial" w:cs="Arial" w:eastAsia="Arial" w:hAnsi="Arial"/>
          <w:sz w:val="18"/>
          <w:szCs w:val="18"/>
          <w:color w:val="auto"/>
        </w:rPr>
      </w:pPr>
    </w:p>
    <w:p>
      <w:pPr>
        <w:ind w:left="-8" w:right="20" w:firstLine="8"/>
        <w:spacing w:after="0" w:line="268" w:lineRule="auto"/>
        <w:tabs>
          <w:tab w:leader="none" w:pos="255"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Non-Qualified Stock Option Treatment</w:t>
      </w:r>
      <w:r>
        <w:rPr>
          <w:rFonts w:ascii="Arial" w:cs="Arial" w:eastAsia="Arial" w:hAnsi="Arial"/>
          <w:sz w:val="18"/>
          <w:szCs w:val="18"/>
          <w:color w:val="auto"/>
        </w:rPr>
        <w:t>. The terms of this Option shall be interpreted in a manner consistent with the intent of the Company and the Optionee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the Option constitute a Non-Qualified Stock Option.</w:t>
      </w:r>
    </w:p>
    <w:p>
      <w:pPr>
        <w:spacing w:after="0" w:line="131" w:lineRule="exact"/>
        <w:rPr>
          <w:rFonts w:ascii="Arial" w:cs="Arial" w:eastAsia="Arial" w:hAnsi="Arial"/>
          <w:sz w:val="18"/>
          <w:szCs w:val="18"/>
          <w:color w:val="auto"/>
        </w:rPr>
      </w:pPr>
    </w:p>
    <w:p>
      <w:pPr>
        <w:ind w:left="-8" w:right="140" w:firstLine="8"/>
        <w:spacing w:after="0" w:line="291" w:lineRule="auto"/>
        <w:tabs>
          <w:tab w:leader="none" w:pos="255" w:val="left"/>
        </w:tabs>
        <w:numPr>
          <w:ilvl w:val="0"/>
          <w:numId w:val="80"/>
        </w:numPr>
        <w:rPr>
          <w:rFonts w:ascii="Arial" w:cs="Arial" w:eastAsia="Arial" w:hAnsi="Arial"/>
          <w:sz w:val="16"/>
          <w:szCs w:val="16"/>
          <w:color w:val="auto"/>
        </w:rPr>
      </w:pPr>
      <w:r>
        <w:rPr>
          <w:rFonts w:ascii="Arial" w:cs="Arial" w:eastAsia="Arial" w:hAnsi="Arial"/>
          <w:sz w:val="16"/>
          <w:szCs w:val="16"/>
          <w:b w:val="1"/>
          <w:bCs w:val="1"/>
          <w:i w:val="1"/>
          <w:iCs w:val="1"/>
          <w:color w:val="auto"/>
        </w:rPr>
        <w:t>Interpretation / Provisions of Plan Control</w:t>
      </w:r>
      <w:r>
        <w:rPr>
          <w:rFonts w:ascii="Arial" w:cs="Arial" w:eastAsia="Arial" w:hAnsi="Arial"/>
          <w:sz w:val="16"/>
          <w:szCs w:val="16"/>
          <w:color w:val="auto"/>
        </w:rPr>
        <w:t>. This Agreement is subject to all the terms, conditions and provisions of the Plan, including, without limitation,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amendment provisions thereof, and to such rules, regulations and interpretations relating to the Plan adopted by the Committee as may be in effect from time to time. If and to the extent that this Agreement conflicts or is inconsistent with the terms, conditions and provisions of the Plan, the Plan shall control, and this Agreement shall be deemed to be modified accordingly. The Optionee accepts the Option subject to all of the terms and provisions of the Plan and this Agreement. The undersigned Optionee hereby accepts as binding, conclusive and final all decisions or interpretations of the Committee upon any questions arising under the Plan and this Agreement, unless shown to have been made in an arbitrary and capricious manner.</w:t>
      </w:r>
    </w:p>
    <w:p>
      <w:pPr>
        <w:spacing w:after="0" w:line="120" w:lineRule="exact"/>
        <w:rPr>
          <w:rFonts w:ascii="Arial" w:cs="Arial" w:eastAsia="Arial" w:hAnsi="Arial"/>
          <w:sz w:val="16"/>
          <w:szCs w:val="16"/>
          <w:color w:val="auto"/>
        </w:rPr>
      </w:pPr>
    </w:p>
    <w:p>
      <w:pPr>
        <w:ind w:left="-8" w:firstLine="8"/>
        <w:spacing w:after="0" w:line="255" w:lineRule="auto"/>
        <w:tabs>
          <w:tab w:leader="none" w:pos="255"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Notices</w:t>
      </w:r>
      <w:r>
        <w:rPr>
          <w:rFonts w:ascii="Arial" w:cs="Arial" w:eastAsia="Arial" w:hAnsi="Arial"/>
          <w:sz w:val="18"/>
          <w:szCs w:val="18"/>
          <w:color w:val="auto"/>
        </w:rPr>
        <w:t>. Any notice under this Agreement shall be in writing and shall be deemed to have been duly given when delivered personally or when deposited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United States mail, registered, postage prepaid, and addressed, in the case of the Company, to the Company’s Secretary at 4960 Peachtree Industrial Blvd., Suite 240, Norcross, GA 30071, or if the Company should move its principal office, to such principal office, and, in the case of the Optionee, to the Optionee’s last permanent address as shown on the Company’s records, subject to the right of either party to designate some other address at any time hereafter in a notice satisfying the requirements of this Section.</w:t>
      </w:r>
    </w:p>
    <w:p>
      <w:pPr>
        <w:spacing w:after="0" w:line="12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12"/>
          </w:cols>
          <w:pgMar w:left="248" w:top="280" w:right="239" w:bottom="1440" w:gutter="0" w:footer="0" w:header="0"/>
        </w:sectPr>
      </w:pPr>
    </w:p>
    <w:bookmarkStart w:id="71" w:name="page72"/>
    <w:bookmarkEnd w:id="71"/>
    <w:p>
      <w:pPr>
        <w:ind w:left="280" w:hanging="272"/>
        <w:spacing w:after="0"/>
        <w:tabs>
          <w:tab w:leader="none" w:pos="280" w:val="left"/>
        </w:tabs>
        <w:numPr>
          <w:ilvl w:val="0"/>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409A.</w:t>
      </w:r>
    </w:p>
    <w:p>
      <w:pPr>
        <w:spacing w:after="0" w:line="171" w:lineRule="exact"/>
        <w:rPr>
          <w:rFonts w:ascii="Arial" w:cs="Arial" w:eastAsia="Arial" w:hAnsi="Arial"/>
          <w:sz w:val="18"/>
          <w:szCs w:val="18"/>
          <w:color w:val="auto"/>
        </w:rPr>
      </w:pPr>
    </w:p>
    <w:p>
      <w:pPr>
        <w:ind w:firstLine="464"/>
        <w:spacing w:after="0" w:line="301" w:lineRule="auto"/>
        <w:tabs>
          <w:tab w:leader="none" w:pos="695" w:val="left"/>
        </w:tabs>
        <w:numPr>
          <w:ilvl w:val="1"/>
          <w:numId w:val="81"/>
        </w:numPr>
        <w:rPr>
          <w:rFonts w:ascii="Arial" w:cs="Arial" w:eastAsia="Arial" w:hAnsi="Arial"/>
          <w:sz w:val="15"/>
          <w:szCs w:val="15"/>
          <w:color w:val="auto"/>
        </w:rPr>
      </w:pPr>
      <w:r>
        <w:rPr>
          <w:rFonts w:ascii="Arial" w:cs="Arial" w:eastAsia="Arial" w:hAnsi="Arial"/>
          <w:sz w:val="15"/>
          <w:szCs w:val="15"/>
          <w:color w:val="auto"/>
        </w:rPr>
        <w:t>It is intended that the Option awarded pursuant to this Agreement be exempt from Section 409A of the Code (“Section 409A”) because it is believed that (i) the Exercise Price may never be less than the Fair Market Value of a Share on the Date of Grant and the number of shares subject to the Option is fixed on the original Date of Grant, (ii) the transfer or exercise of the Option is subject to taxation under Section 83 of the Code and Treas. Reg. 1.83-7, and (iii) the Option does not include any feature for the deferral of compensation other than the deferral of recognition of income until the exercise of the Option. The provisions of this Agreement shall be interpreted in a manner consistent with this intention, and the provisions of this Agreement may not be amended, adjusted, assumed or substituted for, converted or otherwise modified without the Optionee’s prior written consent if and to the extent that the Company believes or reasonably should believe that such amendment, adjustment, assumption or substitution, conversion or modification would cause the award to violate the requirements of</w:t>
      </w:r>
    </w:p>
    <w:p>
      <w:pPr>
        <w:spacing w:after="0" w:line="4"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Section 409A. In the event that either the Company or the Optionee believes, at any time, that any benefit or right under this Agreement is subject to</w:t>
      </w:r>
    </w:p>
    <w:p>
      <w:pPr>
        <w:spacing w:after="0" w:line="32" w:lineRule="exact"/>
        <w:rPr>
          <w:rFonts w:ascii="Arial" w:cs="Arial" w:eastAsia="Arial" w:hAnsi="Arial"/>
          <w:sz w:val="15"/>
          <w:szCs w:val="15"/>
          <w:color w:val="auto"/>
        </w:rPr>
      </w:pPr>
    </w:p>
    <w:p>
      <w:pPr>
        <w:ind w:right="80"/>
        <w:spacing w:after="0" w:line="302" w:lineRule="auto"/>
        <w:rPr>
          <w:rFonts w:ascii="Arial" w:cs="Arial" w:eastAsia="Arial" w:hAnsi="Arial"/>
          <w:sz w:val="15"/>
          <w:szCs w:val="15"/>
          <w:color w:val="auto"/>
        </w:rPr>
      </w:pPr>
      <w:r>
        <w:rPr>
          <w:rFonts w:ascii="Arial" w:cs="Arial" w:eastAsia="Arial" w:hAnsi="Arial"/>
          <w:sz w:val="16"/>
          <w:szCs w:val="16"/>
          <w:color w:val="auto"/>
        </w:rPr>
        <w:t>Section 409A, then the Committee may (acting alone and without any required consent of the Optionee) amend this Agreement in such manner as the Committee deems necessary or appropriate to be exempt from or otherwise comply with the requirements of Section 409A (including without limitation, amending the Agreement to increase the Exercise Price to such amount as may be required in order for the Option to be exempt from Section 409A).</w:t>
      </w:r>
    </w:p>
    <w:p>
      <w:pPr>
        <w:spacing w:after="0" w:line="109" w:lineRule="exact"/>
        <w:rPr>
          <w:rFonts w:ascii="Arial" w:cs="Arial" w:eastAsia="Arial" w:hAnsi="Arial"/>
          <w:sz w:val="15"/>
          <w:szCs w:val="15"/>
          <w:color w:val="auto"/>
        </w:rPr>
      </w:pPr>
    </w:p>
    <w:p>
      <w:pPr>
        <w:ind w:right="80" w:firstLine="464"/>
        <w:spacing w:after="0" w:line="294" w:lineRule="auto"/>
        <w:tabs>
          <w:tab w:leader="none" w:pos="705" w:val="left"/>
        </w:tabs>
        <w:numPr>
          <w:ilvl w:val="1"/>
          <w:numId w:val="81"/>
        </w:numPr>
        <w:rPr>
          <w:rFonts w:ascii="Arial" w:cs="Arial" w:eastAsia="Arial" w:hAnsi="Arial"/>
          <w:sz w:val="16"/>
          <w:szCs w:val="16"/>
          <w:color w:val="auto"/>
        </w:rPr>
      </w:pPr>
      <w:r>
        <w:rPr>
          <w:rFonts w:ascii="Arial" w:cs="Arial" w:eastAsia="Arial" w:hAnsi="Arial"/>
          <w:sz w:val="16"/>
          <w:szCs w:val="16"/>
          <w:color w:val="auto"/>
        </w:rPr>
        <w:t>Notwithstanding the foregoing, the Company does not make any representation to the Optionee that the Option awarded pursuant to this Agreement is exempt from, or satisfy, the requirements of Section 409A, and the Company shall have no liability or other obligation to indemnify or hold harmless the Optionee or any Beneficiary for any tax, additional tax, interest or penalties that the Optionee or any Beneficiary may incur in the event that any provision of this Agreement, or any amendment or modification thereof or any other action taken with respect thereto, that either is consented to by the Optionee or that the Company reasonably believes should not result in a violation of Section 409A, is deemed to violate any of the requirements of Section 409A.</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 on next page]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72" w:name="page73"/>
    <w:bookmarkEnd w:id="72"/>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 WITNESS WHEREOF, </w:t>
      </w:r>
      <w:r>
        <w:rPr>
          <w:rFonts w:ascii="Arial" w:cs="Arial" w:eastAsia="Arial" w:hAnsi="Arial"/>
          <w:sz w:val="18"/>
          <w:szCs w:val="18"/>
          <w:color w:val="auto"/>
        </w:rPr>
        <w:t>the undersigned have executed this Agreement as of the 19th day of June, 2013.</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GALECTIN THERAPEUTICS INC., a Nevada corporation</w:t>
      </w:r>
    </w:p>
    <w:p>
      <w:pPr>
        <w:spacing w:after="0" w:line="254"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G. Traber</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Peter G. Traber, MD</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Executive Officer and Chief Medical officer</w:t>
            </w:r>
          </w:p>
        </w:tc>
      </w:tr>
    </w:tbl>
    <w:p>
      <w:pPr>
        <w:spacing w:after="0" w:line="156"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The Optionee acknowledges receipt of a copy of the Plan and represents that he has reviewed the provisions of the Plan and this Option Agreement in their entirety, is familiar with and understands their terms and provisions, and hereby accepts this Option subject to all of the terms and provisions of the Plan and the Option Agreement. The Optionee further represents that he has had an opportunity to obtain the advice of counsel prior to executing this Option Agreement.</w:t>
      </w:r>
    </w:p>
    <w:p>
      <w:pPr>
        <w:spacing w:after="0" w:line="129" w:lineRule="exact"/>
        <w:rPr>
          <w:sz w:val="20"/>
          <w:szCs w:val="20"/>
          <w:color w:val="auto"/>
        </w:rPr>
      </w:pPr>
    </w:p>
    <w:p>
      <w:pPr>
        <w:spacing w:after="0"/>
        <w:tabs>
          <w:tab w:leader="none" w:pos="6020" w:val="left"/>
        </w:tabs>
        <w:rPr>
          <w:sz w:val="20"/>
          <w:szCs w:val="20"/>
          <w:color w:val="auto"/>
        </w:rPr>
      </w:pPr>
      <w:r>
        <w:rPr>
          <w:rFonts w:ascii="Arial" w:cs="Arial" w:eastAsia="Arial" w:hAnsi="Arial"/>
          <w:sz w:val="18"/>
          <w:szCs w:val="18"/>
          <w:color w:val="auto"/>
        </w:rPr>
        <w:t>Dated:  June 19, 2013</w:t>
      </w:r>
      <w:r>
        <w:rPr>
          <w:sz w:val="20"/>
          <w:szCs w:val="20"/>
          <w:color w:val="auto"/>
        </w:rPr>
        <w:tab/>
      </w:r>
      <w:r>
        <w:rPr>
          <w:rFonts w:ascii="Arial" w:cs="Arial" w:eastAsia="Arial" w:hAnsi="Arial"/>
          <w:sz w:val="16"/>
          <w:szCs w:val="16"/>
          <w:b w:val="1"/>
          <w:bCs w:val="1"/>
          <w:color w:val="auto"/>
        </w:rPr>
        <w:t>OPTIONEE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10795</wp:posOffset>
            </wp:positionV>
            <wp:extent cx="311277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3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By:  /s/ Thomas McGauley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10795</wp:posOffset>
            </wp:positionV>
            <wp:extent cx="318135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Thomas McGauley</w:t>
      </w:r>
    </w:p>
    <w:p>
      <w:pPr>
        <w:sectPr>
          <w:pgSz w:w="11900" w:h="16838" w:orient="portrait"/>
          <w:cols w:equalWidth="0" w:num="1">
            <w:col w:w="11420"/>
          </w:cols>
          <w:pgMar w:left="240" w:top="274"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consent to the incorporation by reference in Registration Statement Nos. 333-116629, 333-109893, 333-159247, 333-176306 and 333-176305 on Form S-8, and Registration Nos. 333-169463, 333-172849 and 333-148911 on Form S-3, of our report dated March 29, 2013 relating to our audit of the consolidated financial statements, which appear in the Annual Report on Form 10-K of Galectin Therapeutics Inc. for the year ended December 31, 2012.</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 McGladrey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August 14, 2013</w:t>
      </w:r>
    </w:p>
    <w:p>
      <w:pPr>
        <w:sectPr>
          <w:pgSz w:w="11900" w:h="16838" w:orient="portrait"/>
          <w:cols w:equalWidth="0" w:num="1">
            <w:col w:w="11420"/>
          </w:cols>
          <w:pgMar w:left="240" w:top="125"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 Exchange Act of 1934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Peter G. Traber, certify that:</w:t>
      </w:r>
    </w:p>
    <w:p>
      <w:pPr>
        <w:spacing w:after="0" w:line="90" w:lineRule="exact"/>
        <w:rPr>
          <w:sz w:val="20"/>
          <w:szCs w:val="20"/>
          <w:color w:val="auto"/>
        </w:rPr>
      </w:pPr>
    </w:p>
    <w:p>
      <w:pPr>
        <w:ind w:left="460" w:hanging="452"/>
        <w:spacing w:after="0"/>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Galectin Therapeutics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8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8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400" w:type="dxa"/>
            <w:vAlign w:val="bottom"/>
          </w:tcPr>
          <w:p>
            <w:pPr>
              <w:spacing w:after="0"/>
              <w:rPr>
                <w:sz w:val="20"/>
                <w:szCs w:val="20"/>
                <w:color w:val="auto"/>
              </w:rPr>
            </w:pPr>
            <w:r>
              <w:rPr>
                <w:rFonts w:ascii="Arial" w:cs="Arial" w:eastAsia="Arial" w:hAnsi="Arial"/>
                <w:sz w:val="18"/>
                <w:szCs w:val="18"/>
                <w:color w:val="auto"/>
              </w:rPr>
              <w:t>Date: August 14, 2013</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G. Traber</w:t>
            </w:r>
          </w:p>
        </w:tc>
      </w:tr>
      <w:tr>
        <w:trPr>
          <w:trHeight w:val="217"/>
        </w:trPr>
        <w:tc>
          <w:tcPr>
            <w:tcW w:w="6400" w:type="dxa"/>
            <w:vAlign w:val="bottom"/>
          </w:tcPr>
          <w:p>
            <w:pPr>
              <w:ind w:left="582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Peter G. Traber, M.D.</w:t>
            </w:r>
          </w:p>
        </w:tc>
      </w:tr>
      <w:tr>
        <w:trPr>
          <w:trHeight w:val="216"/>
        </w:trPr>
        <w:tc>
          <w:tcPr>
            <w:tcW w:w="6400" w:type="dxa"/>
            <w:vAlign w:val="bottom"/>
          </w:tcPr>
          <w:p>
            <w:pPr>
              <w:ind w:left="582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r>
        <w:trPr>
          <w:trHeight w:val="222"/>
        </w:trPr>
        <w:tc>
          <w:tcPr>
            <w:tcW w:w="640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5"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 Exchange Act of 1934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Jack W. Callicutt, certify that:</w:t>
      </w:r>
    </w:p>
    <w:p>
      <w:pPr>
        <w:spacing w:after="0" w:line="90" w:lineRule="exact"/>
        <w:rPr>
          <w:sz w:val="20"/>
          <w:szCs w:val="20"/>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Galectin Therapeutics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8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8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400" w:type="dxa"/>
            <w:vAlign w:val="bottom"/>
          </w:tcPr>
          <w:p>
            <w:pPr>
              <w:spacing w:after="0"/>
              <w:rPr>
                <w:sz w:val="20"/>
                <w:szCs w:val="20"/>
                <w:color w:val="auto"/>
              </w:rPr>
            </w:pPr>
            <w:r>
              <w:rPr>
                <w:rFonts w:ascii="Arial" w:cs="Arial" w:eastAsia="Arial" w:hAnsi="Arial"/>
                <w:sz w:val="18"/>
                <w:szCs w:val="18"/>
                <w:color w:val="auto"/>
              </w:rPr>
              <w:t>Date: August 14, 2013</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W. Callicutt</w:t>
            </w:r>
          </w:p>
        </w:tc>
      </w:tr>
      <w:tr>
        <w:trPr>
          <w:trHeight w:val="217"/>
        </w:trPr>
        <w:tc>
          <w:tcPr>
            <w:tcW w:w="6400" w:type="dxa"/>
            <w:vAlign w:val="bottom"/>
          </w:tcPr>
          <w:p>
            <w:pPr>
              <w:ind w:left="582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Jack W. Callicutt</w:t>
            </w:r>
          </w:p>
        </w:tc>
      </w:tr>
      <w:tr>
        <w:trPr>
          <w:trHeight w:val="216"/>
        </w:trPr>
        <w:tc>
          <w:tcPr>
            <w:tcW w:w="6400" w:type="dxa"/>
            <w:vAlign w:val="bottom"/>
          </w:tcPr>
          <w:p>
            <w:pPr>
              <w:ind w:left="582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22"/>
        </w:trPr>
        <w:tc>
          <w:tcPr>
            <w:tcW w:w="640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420"/>
          </w:cols>
          <w:pgMar w:left="240" w:top="125"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6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connection with the Quarterly Report of Galectin Therapeutics Inc. (the “Company”) on Form 10-Q for the period ended June 30, 2013 as filed with the Securities and Exchange Commission on the date hereof (the “Report”), I, Peter G. Traber, Chief Executive Officer of the Company, certify, pursuant to 18 U.S.C.</w:t>
      </w:r>
    </w:p>
    <w:p>
      <w:pPr>
        <w:ind w:left="140" w:hanging="132"/>
        <w:spacing w:after="0"/>
        <w:tabs>
          <w:tab w:leader="none" w:pos="1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1350, as adopted pursuant to § 906 of the Sarbanes-Oxley Act of 2002, that, to my knowledge:</w:t>
      </w:r>
    </w:p>
    <w:p>
      <w:pPr>
        <w:spacing w:after="0" w:line="83" w:lineRule="exact"/>
        <w:rPr>
          <w:rFonts w:ascii="Arial" w:cs="Arial" w:eastAsia="Arial" w:hAnsi="Arial"/>
          <w:sz w:val="18"/>
          <w:szCs w:val="18"/>
          <w:color w:val="auto"/>
        </w:rPr>
      </w:pPr>
    </w:p>
    <w:p>
      <w:pPr>
        <w:ind w:left="900" w:hanging="446"/>
        <w:spacing w:after="0"/>
        <w:tabs>
          <w:tab w:leader="none" w:pos="9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8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400" w:type="dxa"/>
            <w:vAlign w:val="bottom"/>
          </w:tcPr>
          <w:p>
            <w:pPr>
              <w:spacing w:after="0"/>
              <w:rPr>
                <w:sz w:val="20"/>
                <w:szCs w:val="20"/>
                <w:color w:val="auto"/>
              </w:rPr>
            </w:pPr>
            <w:r>
              <w:rPr>
                <w:rFonts w:ascii="Arial" w:cs="Arial" w:eastAsia="Arial" w:hAnsi="Arial"/>
                <w:sz w:val="18"/>
                <w:szCs w:val="18"/>
                <w:color w:val="auto"/>
              </w:rPr>
              <w:t>Date: August 14, 2013</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G. Traber</w:t>
            </w:r>
          </w:p>
        </w:tc>
      </w:tr>
      <w:tr>
        <w:trPr>
          <w:trHeight w:val="217"/>
        </w:trPr>
        <w:tc>
          <w:tcPr>
            <w:tcW w:w="6400" w:type="dxa"/>
            <w:vAlign w:val="bottom"/>
          </w:tcPr>
          <w:p>
            <w:pPr>
              <w:ind w:left="582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Peter G. Traber, M.D.</w:t>
            </w:r>
          </w:p>
        </w:tc>
      </w:tr>
      <w:tr>
        <w:trPr>
          <w:trHeight w:val="216"/>
        </w:trPr>
        <w:tc>
          <w:tcPr>
            <w:tcW w:w="6400" w:type="dxa"/>
            <w:vAlign w:val="bottom"/>
          </w:tcPr>
          <w:p>
            <w:pPr>
              <w:ind w:left="582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r>
        <w:trPr>
          <w:trHeight w:val="222"/>
        </w:trPr>
        <w:tc>
          <w:tcPr>
            <w:tcW w:w="640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15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Galectin Therapeutics Inc. and will be retained by Galectin Therapeutics Inc.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6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connection with the Quarterly Report of Galectin Therapeutics Inc. (the “Company”) on Form 10-Q for the period ended June 30, 2013 as filed with the Securities and Exchange Commission on the date hereof (the “Report”), I, Jack W. Callicutt, Chief Financial Officer of the Company, certify, pursuant to 18 U.S.C. § 1350, as adopted pursuant to § 906 of the Sarbanes-Oxley Act of 2002, that, to my knowledge:</w:t>
      </w:r>
    </w:p>
    <w:p>
      <w:pPr>
        <w:spacing w:after="0" w:line="59" w:lineRule="exact"/>
        <w:rPr>
          <w:sz w:val="20"/>
          <w:szCs w:val="20"/>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400" w:type="dxa"/>
            <w:vAlign w:val="bottom"/>
          </w:tcPr>
          <w:p>
            <w:pPr>
              <w:spacing w:after="0"/>
              <w:rPr>
                <w:sz w:val="20"/>
                <w:szCs w:val="20"/>
                <w:color w:val="auto"/>
              </w:rPr>
            </w:pPr>
            <w:r>
              <w:rPr>
                <w:rFonts w:ascii="Arial" w:cs="Arial" w:eastAsia="Arial" w:hAnsi="Arial"/>
                <w:sz w:val="18"/>
                <w:szCs w:val="18"/>
                <w:color w:val="auto"/>
              </w:rPr>
              <w:t>Date: August 14, 2013</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W. Callicutt</w:t>
            </w:r>
          </w:p>
        </w:tc>
      </w:tr>
      <w:tr>
        <w:trPr>
          <w:trHeight w:val="217"/>
        </w:trPr>
        <w:tc>
          <w:tcPr>
            <w:tcW w:w="6400" w:type="dxa"/>
            <w:vAlign w:val="bottom"/>
          </w:tcPr>
          <w:p>
            <w:pPr>
              <w:ind w:left="582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Jack W. Callicutt</w:t>
            </w:r>
          </w:p>
        </w:tc>
      </w:tr>
      <w:tr>
        <w:trPr>
          <w:trHeight w:val="216"/>
        </w:trPr>
        <w:tc>
          <w:tcPr>
            <w:tcW w:w="6400" w:type="dxa"/>
            <w:vAlign w:val="bottom"/>
          </w:tcPr>
          <w:p>
            <w:pPr>
              <w:ind w:left="582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22"/>
        </w:trPr>
        <w:tc>
          <w:tcPr>
            <w:tcW w:w="640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15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Galectin Therapeutics Inc. and will be retained by Galectin Therapeutics Inc.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1."/>
      <w:numFmt w:val="decimal"/>
      <w:start w:val="1"/>
    </w:lvl>
  </w:abstractNum>
  <w:abstractNum w:abstractNumId="3">
    <w:nsid w:val="2CD89A32"/>
    <w:multiLevelType w:val="hybridMultilevel"/>
    <w:lvl w:ilvl="0">
      <w:lvlJc w:val="left"/>
      <w:lvlText w:val="%1."/>
      <w:numFmt w:val="decimal"/>
      <w:start w:val="2"/>
    </w:lvl>
  </w:abstractNum>
  <w:abstractNum w:abstractNumId="4">
    <w:nsid w:val="57E4CCAF"/>
    <w:multiLevelType w:val="hybridMultilevel"/>
    <w:lvl w:ilvl="0">
      <w:lvlJc w:val="left"/>
      <w:lvlText w:val="%1."/>
      <w:numFmt w:val="decimal"/>
      <w:start w:val="3"/>
    </w:lvl>
  </w:abstractNum>
  <w:abstractNum w:abstractNumId="5">
    <w:nsid w:val="7A6D8D3C"/>
    <w:multiLevelType w:val="hybridMultilevel"/>
    <w:lvl w:ilvl="0">
      <w:lvlJc w:val="left"/>
      <w:lvlText w:val="%1."/>
      <w:numFmt w:val="decimal"/>
      <w:start w:val="4"/>
    </w:lvl>
  </w:abstractNum>
  <w:abstractNum w:abstractNumId="6">
    <w:nsid w:val="4B588F54"/>
    <w:multiLevelType w:val="hybridMultilevel"/>
    <w:lvl w:ilvl="0">
      <w:lvlJc w:val="left"/>
      <w:lvlText w:val="%1."/>
      <w:numFmt w:val="decimal"/>
      <w:start w:val="5"/>
    </w:lvl>
  </w:abstractNum>
  <w:abstractNum w:abstractNumId="7">
    <w:nsid w:val="542289EC"/>
    <w:multiLevelType w:val="hybridMultilevel"/>
    <w:lvl w:ilvl="0">
      <w:lvlJc w:val="left"/>
      <w:lvlText w:val="%1."/>
      <w:numFmt w:val="decimal"/>
      <w:start w:val="6"/>
    </w:lvl>
  </w:abstractNum>
  <w:abstractNum w:abstractNumId="8">
    <w:nsid w:val="6DE91B18"/>
    <w:multiLevelType w:val="hybridMultilevel"/>
    <w:lvl w:ilvl="0">
      <w:lvlJc w:val="left"/>
      <w:lvlText w:val="%1."/>
      <w:numFmt w:val="decimal"/>
      <w:start w:val="7"/>
    </w:lvl>
  </w:abstractNum>
  <w:abstractNum w:abstractNumId="9">
    <w:nsid w:val="38437FDB"/>
    <w:multiLevelType w:val="hybridMultilevel"/>
    <w:lvl w:ilvl="0">
      <w:lvlJc w:val="left"/>
      <w:lvlText w:val="%1."/>
      <w:numFmt w:val="decimal"/>
      <w:start w:val="8"/>
    </w:lvl>
  </w:abstractNum>
  <w:abstractNum w:abstractNumId="10">
    <w:nsid w:val="7644A45C"/>
    <w:multiLevelType w:val="hybridMultilevel"/>
    <w:lvl w:ilvl="0">
      <w:lvlJc w:val="left"/>
      <w:lvlText w:val="•"/>
      <w:numFmt w:val="bullet"/>
      <w:start w:val="1"/>
    </w:lvl>
  </w:abstractNum>
  <w:abstractNum w:abstractNumId="11">
    <w:nsid w:val="32FFF902"/>
    <w:multiLevelType w:val="hybridMultilevel"/>
    <w:lvl w:ilvl="0">
      <w:lvlJc w:val="left"/>
      <w:lvlText w:val="•"/>
      <w:numFmt w:val="bullet"/>
      <w:start w:val="1"/>
    </w:lvl>
  </w:abstractNum>
  <w:abstractNum w:abstractNumId="12">
    <w:nsid w:val="684A481A"/>
    <w:multiLevelType w:val="hybridMultilevel"/>
    <w:lvl w:ilvl="0">
      <w:lvlJc w:val="left"/>
      <w:lvlText w:val="*"/>
      <w:numFmt w:val="bullet"/>
      <w:start w:val="1"/>
    </w:lvl>
  </w:abstractNum>
  <w:abstractNum w:abstractNumId="13">
    <w:nsid w:val="579478FE"/>
    <w:multiLevelType w:val="hybridMultilevel"/>
    <w:lvl w:ilvl="0">
      <w:lvlJc w:val="left"/>
      <w:lvlText w:val="**"/>
      <w:numFmt w:val="bullet"/>
      <w:start w:val="1"/>
    </w:lvl>
  </w:abstractNum>
  <w:abstractNum w:abstractNumId="14">
    <w:nsid w:val="749ABB43"/>
    <w:multiLevelType w:val="hybridMultilevel"/>
    <w:lvl w:ilvl="0">
      <w:lvlJc w:val="left"/>
      <w:lvlText w:val="%1."/>
      <w:numFmt w:val="decimal"/>
      <w:start w:val="1"/>
    </w:lvl>
  </w:abstractNum>
  <w:abstractNum w:abstractNumId="15">
    <w:nsid w:val="3DC240F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6">
    <w:nsid w:val="1BA026FA"/>
    <w:multiLevelType w:val="hybridMultilevel"/>
    <w:lvl w:ilvl="0">
      <w:lvlJc w:val="left"/>
      <w:lvlText w:val="(%1)"/>
      <w:numFmt w:val="decimal"/>
      <w:start w:val="10"/>
    </w:lvl>
    <w:lvl w:ilvl="1">
      <w:lvlJc w:val="left"/>
      <w:lvlText w:val="(%2)"/>
      <w:numFmt w:val="lowerLetter"/>
      <w:start w:val="4"/>
    </w:lvl>
    <w:lvl w:ilvl="2">
      <w:lvlJc w:val="left"/>
      <w:lvlText w:val="%3"/>
      <w:numFmt w:val="lowerRoman"/>
      <w:start w:val="1"/>
    </w:lvl>
  </w:abstractNum>
  <w:abstractNum w:abstractNumId="17">
    <w:nsid w:val="79A1DEAA"/>
    <w:multiLevelType w:val="hybridMultilevel"/>
    <w:lvl w:ilvl="0">
      <w:lvlJc w:val="left"/>
      <w:lvlText w:val="(%1)"/>
      <w:numFmt w:val="decimal"/>
      <w:start w:val="90"/>
    </w:lvl>
  </w:abstractNum>
  <w:abstractNum w:abstractNumId="18">
    <w:nsid w:val="75C6C33A"/>
    <w:multiLevelType w:val="hybridMultilevel"/>
    <w:lvl w:ilvl="0">
      <w:lvlJc w:val="left"/>
      <w:lvlText w:val="%1."/>
      <w:numFmt w:val="decimal"/>
      <w:start w:val="4"/>
    </w:lvl>
    <w:lvl w:ilvl="1">
      <w:lvlJc w:val="left"/>
      <w:lvlText w:val="(%2)"/>
      <w:numFmt w:val="lowerLetter"/>
      <w:start w:val="1"/>
    </w:lvl>
  </w:abstractNum>
  <w:abstractNum w:abstractNumId="19">
    <w:nsid w:val="12E685FB"/>
    <w:multiLevelType w:val="hybridMultilevel"/>
    <w:lvl w:ilvl="0">
      <w:lvlJc w:val="left"/>
      <w:lvlText w:val="%1."/>
      <w:numFmt w:val="decimal"/>
      <w:start w:val="6"/>
    </w:lvl>
  </w:abstractNum>
  <w:abstractNum w:abstractNumId="20">
    <w:nsid w:val="70C6A529"/>
    <w:multiLevelType w:val="hybridMultilevel"/>
    <w:lvl w:ilvl="0">
      <w:lvlJc w:val="left"/>
      <w:lvlText w:val="%1."/>
      <w:numFmt w:val="decimal"/>
      <w:start w:val="1"/>
    </w:lvl>
    <w:lvl w:ilvl="1">
      <w:lvlJc w:val="left"/>
      <w:lvlText w:val="(%2)"/>
      <w:numFmt w:val="lowerLetter"/>
      <w:start w:val="1"/>
    </w:lvl>
  </w:abstractNum>
  <w:abstractNum w:abstractNumId="21">
    <w:nsid w:val="520EEDD1"/>
    <w:multiLevelType w:val="hybridMultilevel"/>
    <w:lvl w:ilvl="0">
      <w:lvlJc w:val="left"/>
      <w:lvlText w:val="(%1)"/>
      <w:numFmt w:val="lowerLetter"/>
      <w:start w:val="3"/>
    </w:lvl>
  </w:abstractNum>
  <w:abstractNum w:abstractNumId="22">
    <w:nsid w:val="374A3FE6"/>
    <w:multiLevelType w:val="hybridMultilevel"/>
    <w:lvl w:ilvl="0">
      <w:lvlJc w:val="left"/>
      <w:lvlText w:val="(%1)"/>
      <w:numFmt w:val="lowerLetter"/>
      <w:start w:val="5"/>
    </w:lvl>
  </w:abstractNum>
  <w:abstractNum w:abstractNumId="23">
    <w:nsid w:val="4F4EF005"/>
    <w:multiLevelType w:val="hybridMultilevel"/>
    <w:lvl w:ilvl="0">
      <w:lvlJc w:val="left"/>
      <w:lvlText w:val="%1"/>
      <w:numFmt w:val="decimal"/>
      <w:start w:val="1"/>
    </w:lvl>
    <w:lvl w:ilvl="1">
      <w:lvlJc w:val="left"/>
      <w:lvlText w:val="(%2)"/>
      <w:numFmt w:val="lowerLetter"/>
      <w:start w:val="8"/>
    </w:lvl>
  </w:abstractNum>
  <w:abstractNum w:abstractNumId="24">
    <w:nsid w:val="23F9C13C"/>
    <w:multiLevelType w:val="hybridMultilevel"/>
    <w:lvl w:ilvl="0">
      <w:lvlJc w:val="left"/>
      <w:lvlText w:val="%1."/>
      <w:numFmt w:val="decimal"/>
      <w:start w:val="2"/>
    </w:lvl>
    <w:lvl w:ilvl="1">
      <w:lvlJc w:val="left"/>
      <w:lvlText w:val="%2"/>
      <w:numFmt w:val="lowerLetter"/>
      <w:start w:val="1"/>
    </w:lvl>
  </w:abstractNum>
  <w:abstractNum w:abstractNumId="25">
    <w:nsid w:val="649BB77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6">
    <w:nsid w:val="275AC794"/>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24"/>
    </w:lvl>
  </w:abstractNum>
  <w:abstractNum w:abstractNumId="27">
    <w:nsid w:val="39386575"/>
    <w:multiLevelType w:val="hybridMultilevel"/>
    <w:lvl w:ilvl="0">
      <w:lvlJc w:val="left"/>
      <w:lvlText w:val="%1"/>
      <w:numFmt w:val="decimal"/>
      <w:start w:val="1"/>
    </w:lvl>
    <w:lvl w:ilvl="1">
      <w:lvlJc w:val="left"/>
      <w:lvlText w:val="(%2)"/>
      <w:numFmt w:val="lowerLetter"/>
      <w:start w:val="2"/>
    </w:lvl>
    <w:lvl w:ilvl="2">
      <w:lvlJc w:val="left"/>
      <w:lvlText w:val="%3"/>
      <w:numFmt w:val="upperLetter"/>
      <w:start w:val="1"/>
    </w:lvl>
  </w:abstractNum>
  <w:abstractNum w:abstractNumId="28">
    <w:nsid w:val="1CF10FD8"/>
    <w:multiLevelType w:val="hybridMultilevel"/>
    <w:lvl w:ilvl="0">
      <w:lvlJc w:val="left"/>
      <w:lvlText w:val="(%1)"/>
      <w:numFmt w:val="decimal"/>
      <w:start w:val="10"/>
    </w:lvl>
    <w:lvl w:ilvl="1">
      <w:lvlJc w:val="left"/>
      <w:lvlText w:val="(%2)"/>
      <w:numFmt w:val="lowerLetter"/>
      <w:start w:val="4"/>
    </w:lvl>
    <w:lvl w:ilvl="2">
      <w:lvlJc w:val="left"/>
      <w:lvlText w:val="%3"/>
      <w:numFmt w:val="upperLetter"/>
      <w:start w:val="1"/>
    </w:lvl>
  </w:abstractNum>
  <w:abstractNum w:abstractNumId="29">
    <w:nsid w:val="180115BE"/>
    <w:multiLevelType w:val="hybridMultilevel"/>
    <w:lvl w:ilvl="0">
      <w:lvlJc w:val="left"/>
      <w:lvlText w:val="(%1)"/>
      <w:numFmt w:val="lowerRoman"/>
      <w:start w:val="2"/>
    </w:lvl>
  </w:abstractNum>
  <w:abstractNum w:abstractNumId="30">
    <w:nsid w:val="235BA861"/>
    <w:multiLevelType w:val="hybridMultilevel"/>
    <w:lvl w:ilvl="0">
      <w:lvlJc w:val="left"/>
      <w:lvlText w:val="%1."/>
      <w:numFmt w:val="decimal"/>
      <w:start w:val="4"/>
    </w:lvl>
    <w:lvl w:ilvl="1">
      <w:lvlJc w:val="left"/>
      <w:lvlText w:val="(%2)"/>
      <w:numFmt w:val="lowerLetter"/>
      <w:start w:val="1"/>
    </w:lvl>
  </w:abstractNum>
  <w:abstractNum w:abstractNumId="31">
    <w:nsid w:val="47398C89"/>
    <w:multiLevelType w:val="hybridMultilevel"/>
    <w:lvl w:ilvl="0">
      <w:lvlJc w:val="left"/>
      <w:lvlText w:val="%1."/>
      <w:numFmt w:val="decimal"/>
      <w:start w:val="6"/>
    </w:lvl>
  </w:abstractNum>
  <w:abstractNum w:abstractNumId="32">
    <w:nsid w:val="354FE9F9"/>
    <w:multiLevelType w:val="hybridMultilevel"/>
    <w:lvl w:ilvl="0">
      <w:lvlJc w:val="left"/>
      <w:lvlText w:val="%1."/>
      <w:numFmt w:val="decimal"/>
      <w:start w:val="7"/>
    </w:lvl>
  </w:abstractNum>
  <w:abstractNum w:abstractNumId="33">
    <w:nsid w:val="15B5AF5C"/>
    <w:multiLevelType w:val="hybridMultilevel"/>
    <w:lvl w:ilvl="0">
      <w:lvlJc w:val="left"/>
      <w:lvlText w:val="%1."/>
      <w:numFmt w:val="decimal"/>
      <w:start w:val="1"/>
    </w:lvl>
    <w:lvl w:ilvl="1">
      <w:lvlJc w:val="left"/>
      <w:lvlText w:val="(%2)"/>
      <w:numFmt w:val="lowerLetter"/>
      <w:start w:val="1"/>
    </w:lvl>
  </w:abstractNum>
  <w:abstractNum w:abstractNumId="34">
    <w:nsid w:val="741226BB"/>
    <w:multiLevelType w:val="hybridMultilevel"/>
    <w:lvl w:ilvl="0">
      <w:lvlJc w:val="left"/>
      <w:lvlText w:val="(%1)"/>
      <w:numFmt w:val="lowerLetter"/>
      <w:start w:val="2"/>
    </w:lvl>
  </w:abstractNum>
  <w:abstractNum w:abstractNumId="35">
    <w:nsid w:val="D34B6A8"/>
    <w:multiLevelType w:val="hybridMultilevel"/>
    <w:lvl w:ilvl="0">
      <w:lvlJc w:val="left"/>
      <w:lvlText w:val="%1."/>
      <w:numFmt w:val="decimal"/>
      <w:start w:val="5"/>
    </w:lvl>
    <w:lvl w:ilvl="1">
      <w:lvlJc w:val="left"/>
      <w:lvlText w:val="(%2)"/>
      <w:numFmt w:val="lowerLetter"/>
      <w:start w:val="1"/>
    </w:lvl>
  </w:abstractNum>
  <w:abstractNum w:abstractNumId="36">
    <w:nsid w:val="10233C99"/>
    <w:multiLevelType w:val="hybridMultilevel"/>
    <w:lvl w:ilvl="0">
      <w:lvlJc w:val="left"/>
      <w:lvlText w:val="(%1)"/>
      <w:numFmt w:val="lowerLetter"/>
      <w:start w:val="4"/>
    </w:lvl>
  </w:abstractNum>
  <w:abstractNum w:abstractNumId="37">
    <w:nsid w:val="3F6AB60F"/>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38">
    <w:nsid w:val="61574095"/>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39">
    <w:nsid w:val="7E0C57B1"/>
    <w:multiLevelType w:val="hybridMultilevel"/>
    <w:lvl w:ilvl="0">
      <w:lvlJc w:val="left"/>
      <w:lvlText w:val="(%1)"/>
      <w:numFmt w:val="lowerLetter"/>
      <w:start w:val="2"/>
    </w:lvl>
  </w:abstractNum>
  <w:abstractNum w:abstractNumId="40">
    <w:nsid w:val="77AE35E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abstractNum>
  <w:abstractNum w:abstractNumId="41">
    <w:nsid w:val="579BE4F1"/>
    <w:multiLevelType w:val="hybridMultilevel"/>
    <w:lvl w:ilvl="0">
      <w:lvlJc w:val="left"/>
      <w:lvlText w:val="(%1)"/>
      <w:numFmt w:val="lowerLetter"/>
      <w:start w:val="35"/>
    </w:lvl>
    <w:lvl w:ilvl="1">
      <w:lvlJc w:val="left"/>
      <w:lvlText w:val="%2."/>
      <w:numFmt w:val="decimal"/>
      <w:start w:val="7"/>
    </w:lvl>
    <w:lvl w:ilvl="2">
      <w:lvlJc w:val="left"/>
      <w:lvlText w:val="(%3)"/>
      <w:numFmt w:val="lowerLetter"/>
      <w:start w:val="1"/>
    </w:lvl>
  </w:abstractNum>
  <w:abstractNum w:abstractNumId="42">
    <w:nsid w:val="310C50B3"/>
    <w:multiLevelType w:val="hybridMultilevel"/>
    <w:lvl w:ilvl="0">
      <w:lvlJc w:val="left"/>
      <w:lvlText w:val="(%1)"/>
      <w:numFmt w:val="decimal"/>
      <w:start w:val="12"/>
    </w:lvl>
    <w:lvl w:ilvl="1">
      <w:lvlJc w:val="left"/>
      <w:lvlText w:val="%2."/>
      <w:numFmt w:val="decimal"/>
      <w:start w:val="7"/>
    </w:lvl>
    <w:lvl w:ilvl="2">
      <w:lvlJc w:val="left"/>
      <w:lvlText w:val="(%3)"/>
      <w:numFmt w:val="lowerLetter"/>
      <w:start w:val="4"/>
    </w:lvl>
    <w:lvl w:ilvl="3">
      <w:lvlJc w:val="left"/>
      <w:lvlText w:val="%4"/>
      <w:numFmt w:val="lowerRoman"/>
      <w:start w:val="1"/>
    </w:lvl>
  </w:abstractNum>
  <w:abstractNum w:abstractNumId="43">
    <w:nsid w:val="5FF87E05"/>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44">
    <w:nsid w:val="2F305DEF"/>
    <w:multiLevelType w:val="hybridMultilevel"/>
    <w:lvl w:ilvl="0">
      <w:lvlJc w:val="left"/>
      <w:lvlText w:val="%1"/>
      <w:numFmt w:val="decimal"/>
      <w:start w:val="1"/>
    </w:lvl>
    <w:lvl w:ilvl="1">
      <w:lvlJc w:val="left"/>
      <w:lvlText w:val="(%2)"/>
      <w:numFmt w:val="lowerLetter"/>
      <w:start w:val="2"/>
    </w:lvl>
  </w:abstractNum>
  <w:abstractNum w:abstractNumId="45">
    <w:nsid w:val="25A70BF7"/>
    <w:multiLevelType w:val="hybridMultilevel"/>
    <w:lvl w:ilvl="0">
      <w:lvlJc w:val="left"/>
      <w:lvlText w:val="%1."/>
      <w:numFmt w:val="decimal"/>
      <w:start w:val="9"/>
    </w:lvl>
    <w:lvl w:ilvl="1">
      <w:lvlJc w:val="left"/>
      <w:lvlText w:val="(%2)"/>
      <w:numFmt w:val="lowerLetter"/>
      <w:start w:val="1"/>
    </w:lvl>
  </w:abstractNum>
  <w:abstractNum w:abstractNumId="46">
    <w:nsid w:val="1DBABF00"/>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abstractNum>
  <w:abstractNum w:abstractNumId="47">
    <w:nsid w:val="4AD084E9"/>
    <w:multiLevelType w:val="hybridMultilevel"/>
    <w:lvl w:ilvl="0">
      <w:lvlJc w:val="left"/>
      <w:lvlText w:val="(%1)"/>
      <w:numFmt w:val="decimal"/>
      <w:start w:val="2"/>
    </w:lvl>
    <w:lvl w:ilvl="1">
      <w:lvlJc w:val="left"/>
      <w:lvlText w:val="%2."/>
      <w:numFmt w:val="decimal"/>
      <w:start w:val="9"/>
    </w:lvl>
    <w:lvl w:ilvl="2">
      <w:lvlJc w:val="left"/>
      <w:lvlText w:val="(%3)"/>
      <w:numFmt w:val="lowerLetter"/>
      <w:start w:val="6"/>
    </w:lvl>
  </w:abstractNum>
  <w:abstractNum w:abstractNumId="48">
    <w:nsid w:val="1F48EAA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49">
    <w:nsid w:val="1381823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50">
    <w:nsid w:val="5DB70AE5"/>
    <w:multiLevelType w:val="hybridMultilevel"/>
    <w:lvl w:ilvl="0">
      <w:lvlJc w:val="left"/>
      <w:lvlText w:val="%1"/>
      <w:numFmt w:val="lowerLetter"/>
      <w:start w:val="1"/>
    </w:lvl>
    <w:lvl w:ilvl="1">
      <w:lvlJc w:val="left"/>
      <w:lvlText w:val="%2."/>
      <w:numFmt w:val="decimal"/>
      <w:start w:val="11"/>
    </w:lvl>
    <w:lvl w:ilvl="2">
      <w:lvlJc w:val="left"/>
      <w:lvlText w:val="(%3)"/>
      <w:numFmt w:val="lowerLetter"/>
      <w:start w:val="1"/>
    </w:lvl>
  </w:abstractNum>
  <w:abstractNum w:abstractNumId="51">
    <w:nsid w:val="100F8FCA"/>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abstractNum>
  <w:abstractNum w:abstractNumId="52">
    <w:nsid w:val="6590700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53">
    <w:nsid w:val="15014ACB"/>
    <w:multiLevelType w:val="hybridMultilevel"/>
    <w:lvl w:ilvl="0">
      <w:lvlJc w:val="left"/>
      <w:lvlText w:val="(%1)"/>
      <w:numFmt w:val="lowerLetter"/>
      <w:start w:val="3"/>
    </w:lvl>
    <w:lvl w:ilvl="1">
      <w:lvlJc w:val="left"/>
      <w:lvlText w:val="%2."/>
      <w:numFmt w:val="decimal"/>
      <w:start w:val="11"/>
    </w:lvl>
    <w:lvl w:ilvl="2">
      <w:lvlJc w:val="left"/>
      <w:lvlText w:val="(%3)"/>
      <w:numFmt w:val="lowerLetter"/>
      <w:start w:val="4"/>
    </w:lvl>
  </w:abstractNum>
  <w:abstractNum w:abstractNumId="54">
    <w:nsid w:val="5F5E7FD0"/>
    <w:multiLevelType w:val="hybridMultilevel"/>
    <w:lvl w:ilvl="0">
      <w:lvlJc w:val="left"/>
      <w:lvlText w:val="%1."/>
      <w:numFmt w:val="decimal"/>
      <w:start w:val="13"/>
    </w:lvl>
  </w:abstractNum>
  <w:abstractNum w:abstractNumId="55">
    <w:nsid w:val="98A3148"/>
    <w:multiLevelType w:val="hybridMultilevel"/>
    <w:lvl w:ilvl="0">
      <w:lvlJc w:val="left"/>
      <w:lvlText w:val="%1."/>
      <w:numFmt w:val="decimal"/>
      <w:start w:val="19"/>
    </w:lvl>
  </w:abstractNum>
  <w:abstractNum w:abstractNumId="56">
    <w:nsid w:val="799D0247"/>
    <w:multiLevelType w:val="hybridMultilevel"/>
    <w:lvl w:ilvl="0">
      <w:lvlJc w:val="left"/>
      <w:lvlText w:val="%1."/>
      <w:numFmt w:val="decimal"/>
      <w:start w:val="1"/>
    </w:lvl>
  </w:abstractNum>
  <w:abstractNum w:abstractNumId="57">
    <w:nsid w:val="6B94764"/>
    <w:multiLevelType w:val="hybridMultilevel"/>
    <w:lvl w:ilvl="0">
      <w:lvlJc w:val="left"/>
      <w:lvlText w:val="%1."/>
      <w:numFmt w:val="decimal"/>
      <w:start w:val="4"/>
    </w:lvl>
  </w:abstractNum>
  <w:abstractNum w:abstractNumId="58">
    <w:nsid w:val="42C296BD"/>
    <w:multiLevelType w:val="hybridMultilevel"/>
    <w:lvl w:ilvl="0">
      <w:lvlJc w:val="left"/>
      <w:lvlText w:val="(%1)"/>
      <w:numFmt w:val="lowerLetter"/>
      <w:start w:val="2"/>
    </w:lvl>
  </w:abstractNum>
  <w:abstractNum w:abstractNumId="59">
    <w:nsid w:val="168E121F"/>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60">
    <w:nsid w:val="1EBA5D23"/>
    <w:multiLevelType w:val="hybridMultilevel"/>
    <w:lvl w:ilvl="0">
      <w:lvlJc w:val="left"/>
      <w:lvlText w:val="%1."/>
      <w:numFmt w:val="decimal"/>
      <w:start w:val="8"/>
    </w:lvl>
    <w:lvl w:ilvl="1">
      <w:lvlJc w:val="left"/>
      <w:lvlText w:val="(%2)"/>
      <w:numFmt w:val="lowerLetter"/>
      <w:start w:val="1"/>
    </w:lvl>
  </w:abstractNum>
  <w:abstractNum w:abstractNumId="61">
    <w:nsid w:val="661E3F1E"/>
    <w:multiLevelType w:val="hybridMultilevel"/>
    <w:lvl w:ilvl="0">
      <w:lvlJc w:val="left"/>
      <w:lvlText w:val="%1."/>
      <w:numFmt w:val="decimal"/>
      <w:start w:val="14"/>
    </w:lvl>
    <w:lvl w:ilvl="1">
      <w:lvlJc w:val="left"/>
      <w:lvlText w:val="(%2)"/>
      <w:numFmt w:val="lowerLetter"/>
      <w:start w:val="1"/>
    </w:lvl>
  </w:abstractNum>
  <w:abstractNum w:abstractNumId="62">
    <w:nsid w:val="5DC79EA8"/>
    <w:multiLevelType w:val="hybridMultilevel"/>
    <w:lvl w:ilvl="0">
      <w:lvlJc w:val="left"/>
      <w:lvlText w:val="%1."/>
      <w:numFmt w:val="decimal"/>
      <w:start w:val="1"/>
    </w:lvl>
  </w:abstractNum>
  <w:abstractNum w:abstractNumId="63">
    <w:nsid w:val="540A471C"/>
    <w:multiLevelType w:val="hybridMultilevel"/>
    <w:lvl w:ilvl="0">
      <w:lvlJc w:val="left"/>
      <w:lvlText w:val="(%1)"/>
      <w:numFmt w:val="lowerLetter"/>
      <w:start w:val="2"/>
    </w:lvl>
  </w:abstractNum>
  <w:abstractNum w:abstractNumId="64">
    <w:nsid w:val="7BD3EE7B"/>
    <w:multiLevelType w:val="hybridMultilevel"/>
    <w:lvl w:ilvl="0">
      <w:lvlJc w:val="left"/>
      <w:lvlText w:val="%1."/>
      <w:numFmt w:val="decimal"/>
      <w:start w:val="3"/>
    </w:lvl>
    <w:lvl w:ilvl="1">
      <w:lvlJc w:val="left"/>
      <w:lvlText w:val="%2."/>
      <w:numFmt w:val="decimal"/>
      <w:start w:val="6"/>
    </w:lvl>
  </w:abstractNum>
  <w:abstractNum w:abstractNumId="65">
    <w:nsid w:val="51D9C564"/>
    <w:multiLevelType w:val="hybridMultilevel"/>
    <w:lvl w:ilvl="0">
      <w:lvlJc w:val="left"/>
      <w:lvlText w:val="%1"/>
      <w:numFmt w:val="decimal"/>
      <w:start w:val="1"/>
    </w:lvl>
    <w:lvl w:ilvl="1">
      <w:lvlJc w:val="left"/>
      <w:lvlText w:val="(%2)"/>
      <w:numFmt w:val="lowerLetter"/>
      <w:start w:val="2"/>
    </w:lvl>
  </w:abstractNum>
  <w:abstractNum w:abstractNumId="66">
    <w:nsid w:val="613EFDC5"/>
    <w:multiLevelType w:val="hybridMultilevel"/>
    <w:lvl w:ilvl="0">
      <w:lvlJc w:val="left"/>
      <w:lvlText w:val="%1."/>
      <w:numFmt w:val="decimal"/>
      <w:start w:val="4"/>
    </w:lvl>
    <w:lvl w:ilvl="1">
      <w:lvlJc w:val="left"/>
      <w:lvlText w:val="%2"/>
      <w:numFmt w:val="lowerLetter"/>
      <w:start w:val="1"/>
    </w:lvl>
  </w:abstractNum>
  <w:abstractNum w:abstractNumId="67">
    <w:nsid w:val="BF72B14"/>
    <w:multiLevelType w:val="hybridMultilevel"/>
    <w:lvl w:ilvl="0">
      <w:lvlJc w:val="left"/>
      <w:lvlText w:val="%1."/>
      <w:numFmt w:val="decimal"/>
      <w:start w:val="5"/>
    </w:lvl>
  </w:abstractNum>
  <w:abstractNum w:abstractNumId="68">
    <w:nsid w:val="11447B73"/>
    <w:multiLevelType w:val="hybridMultilevel"/>
    <w:lvl w:ilvl="0">
      <w:lvlJc w:val="left"/>
      <w:lvlText w:val="%1."/>
      <w:numFmt w:val="decimal"/>
      <w:start w:val="1"/>
    </w:lvl>
  </w:abstractNum>
  <w:abstractNum w:abstractNumId="69">
    <w:nsid w:val="42963E5A"/>
    <w:multiLevelType w:val="hybridMultilevel"/>
    <w:lvl w:ilvl="0">
      <w:lvlJc w:val="left"/>
      <w:lvlText w:val="(%1)"/>
      <w:numFmt w:val="lowerLetter"/>
      <w:start w:val="1"/>
    </w:lvl>
  </w:abstractNum>
  <w:abstractNum w:abstractNumId="70">
    <w:nsid w:val="A0382C5"/>
    <w:multiLevelType w:val="hybridMultilevel"/>
    <w:lvl w:ilvl="0">
      <w:lvlJc w:val="left"/>
      <w:lvlText w:val="%1."/>
      <w:numFmt w:val="decimal"/>
      <w:start w:val="4"/>
    </w:lvl>
  </w:abstractNum>
  <w:abstractNum w:abstractNumId="71">
    <w:nsid w:val="8F2B15E"/>
    <w:multiLevelType w:val="hybridMultilevel"/>
    <w:lvl w:ilvl="0">
      <w:lvlJc w:val="left"/>
      <w:lvlText w:val="(%1)"/>
      <w:numFmt w:val="lowerLetter"/>
      <w:start w:val="2"/>
    </w:lvl>
  </w:abstractNum>
  <w:abstractNum w:abstractNumId="72">
    <w:nsid w:val="1A32234B"/>
    <w:multiLevelType w:val="hybridMultilevel"/>
    <w:lvl w:ilvl="0">
      <w:lvlJc w:val="left"/>
      <w:lvlText w:val="%1."/>
      <w:numFmt w:val="decimal"/>
      <w:start w:val="6"/>
    </w:lvl>
    <w:lvl w:ilvl="1">
      <w:lvlJc w:val="left"/>
      <w:lvlText w:val="(%2)"/>
      <w:numFmt w:val="lowerLetter"/>
      <w:start w:val="1"/>
    </w:lvl>
  </w:abstractNum>
  <w:abstractNum w:abstractNumId="73">
    <w:nsid w:val="3B0FD379"/>
    <w:multiLevelType w:val="hybridMultilevel"/>
    <w:lvl w:ilvl="0">
      <w:lvlJc w:val="left"/>
      <w:lvlText w:val="%1."/>
      <w:numFmt w:val="decimal"/>
      <w:start w:val="8"/>
    </w:lvl>
    <w:lvl w:ilvl="1">
      <w:lvlJc w:val="left"/>
      <w:lvlText w:val="(%2)"/>
      <w:numFmt w:val="lowerLetter"/>
      <w:start w:val="1"/>
    </w:lvl>
  </w:abstractNum>
  <w:abstractNum w:abstractNumId="74">
    <w:nsid w:val="68EB2F63"/>
    <w:multiLevelType w:val="hybridMultilevel"/>
    <w:lvl w:ilvl="0">
      <w:lvlJc w:val="left"/>
      <w:lvlText w:val="%1."/>
      <w:numFmt w:val="decimal"/>
      <w:start w:val="15"/>
    </w:lvl>
    <w:lvl w:ilvl="1">
      <w:lvlJc w:val="left"/>
      <w:lvlText w:val="(%2)"/>
      <w:numFmt w:val="lowerLetter"/>
      <w:start w:val="1"/>
    </w:lvl>
  </w:abstractNum>
  <w:abstractNum w:abstractNumId="75">
    <w:nsid w:val="4962813B"/>
    <w:multiLevelType w:val="hybridMultilevel"/>
    <w:lvl w:ilvl="0">
      <w:lvlJc w:val="left"/>
      <w:lvlText w:val="%1."/>
      <w:numFmt w:val="decimal"/>
      <w:start w:val="1"/>
    </w:lvl>
  </w:abstractNum>
  <w:abstractNum w:abstractNumId="76">
    <w:nsid w:val="60B6DF70"/>
    <w:multiLevelType w:val="hybridMultilevel"/>
    <w:lvl w:ilvl="0">
      <w:lvlJc w:val="left"/>
      <w:lvlText w:val="%1."/>
      <w:numFmt w:val="decimal"/>
      <w:start w:val="4"/>
    </w:lvl>
  </w:abstractNum>
  <w:abstractNum w:abstractNumId="77">
    <w:nsid w:val="6A5EE64"/>
    <w:multiLevelType w:val="hybridMultilevel"/>
    <w:lvl w:ilvl="0">
      <w:lvlJc w:val="left"/>
      <w:lvlText w:val="(%1)"/>
      <w:numFmt w:val="lowerLetter"/>
      <w:start w:val="2"/>
    </w:lvl>
  </w:abstractNum>
  <w:abstractNum w:abstractNumId="78">
    <w:nsid w:val="14330624"/>
    <w:multiLevelType w:val="hybridMultilevel"/>
    <w:lvl w:ilvl="0">
      <w:lvlJc w:val="left"/>
      <w:lvlText w:val="%1."/>
      <w:numFmt w:val="decimal"/>
      <w:start w:val="6"/>
    </w:lvl>
    <w:lvl w:ilvl="1">
      <w:lvlJc w:val="left"/>
      <w:lvlText w:val="(%2)"/>
      <w:numFmt w:val="lowerLetter"/>
      <w:start w:val="1"/>
    </w:lvl>
  </w:abstractNum>
  <w:abstractNum w:abstractNumId="79">
    <w:nsid w:val="7FFFCA11"/>
    <w:multiLevelType w:val="hybridMultilevel"/>
    <w:lvl w:ilvl="0">
      <w:lvlJc w:val="left"/>
      <w:lvlText w:val="%1."/>
      <w:numFmt w:val="decimal"/>
      <w:start w:val="8"/>
    </w:lvl>
    <w:lvl w:ilvl="1">
      <w:lvlJc w:val="left"/>
      <w:lvlText w:val="(%2)"/>
      <w:numFmt w:val="lowerLetter"/>
      <w:start w:val="1"/>
    </w:lvl>
  </w:abstractNum>
  <w:abstractNum w:abstractNumId="80">
    <w:nsid w:val="1A27709E"/>
    <w:multiLevelType w:val="hybridMultilevel"/>
    <w:lvl w:ilvl="0">
      <w:lvlJc w:val="left"/>
      <w:lvlText w:val="%1."/>
      <w:numFmt w:val="decimal"/>
      <w:start w:val="15"/>
    </w:lvl>
    <w:lvl w:ilvl="1">
      <w:lvlJc w:val="left"/>
      <w:lvlText w:val="(%2)"/>
      <w:numFmt w:val="lowerLetter"/>
      <w:start w:val="1"/>
    </w:lvl>
  </w:abstractNum>
  <w:abstractNum w:abstractNumId="81">
    <w:nsid w:val="71EA1109"/>
    <w:multiLevelType w:val="hybridMultilevel"/>
    <w:lvl w:ilvl="0">
      <w:lvlJc w:val="left"/>
      <w:lvlText w:val="%1."/>
      <w:numFmt w:val="decimal"/>
      <w:start w:val="1"/>
    </w:lvl>
    <w:lvl w:ilvl="1">
      <w:lvlJc w:val="left"/>
      <w:lvlText w:val="(%2)"/>
      <w:numFmt w:val="lowerLetter"/>
      <w:start w:val="1"/>
    </w:lvl>
  </w:abstractNum>
  <w:abstractNum w:abstractNumId="82">
    <w:nsid w:val="100F59DC"/>
    <w:multiLevelType w:val="hybridMultilevel"/>
    <w:lvl w:ilvl="0">
      <w:lvlJc w:val="left"/>
      <w:lvlText w:val="%1."/>
      <w:numFmt w:val="decimal"/>
      <w:start w:val="1"/>
    </w:lvl>
    <w:lvl w:ilvl="1">
      <w:lvlJc w:val="left"/>
      <w:lvlText w:val="(%2)"/>
      <w:numFmt w:val="lowerLetter"/>
      <w:start w:val="1"/>
    </w:lvl>
  </w:abstractNum>
  <w:abstractNum w:abstractNumId="83">
    <w:nsid w:val="7FB7E0AA"/>
    <w:multiLevelType w:val="hybridMultilevel"/>
    <w:lvl w:ilvl="0">
      <w:lvlJc w:val="left"/>
      <w:lvlText w:val="§"/>
      <w:numFmt w:val="bullet"/>
      <w:start w:val="1"/>
    </w:lvl>
    <w:lvl w:ilvl="1">
      <w:lvlJc w:val="left"/>
      <w:lvlText w:val="(%2)"/>
      <w:numFmt w:val="decimal"/>
      <w:start w:val="1"/>
    </w:lvl>
  </w:abstractNum>
  <w:abstractNum w:abstractNumId="84">
    <w:nsid w:val="6EB5B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2019-12-07T02:06:47Z</dcterms:created>
  <dcterms:modified xsi:type="dcterms:W3CDTF">2019-12-07T02:06:47Z</dcterms:modified>
</cp:coreProperties>
</file>