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2040" w:type="dxa"/>
            <w:vAlign w:val="bottom"/>
          </w:tcPr>
          <w:p>
            <w:pPr>
              <w:spacing w:after="0"/>
              <w:rPr>
                <w:sz w:val="24"/>
                <w:szCs w:val="24"/>
                <w:color w:val="auto"/>
              </w:rPr>
            </w:pPr>
          </w:p>
        </w:tc>
        <w:tc>
          <w:tcPr>
            <w:tcW w:w="5500" w:type="dxa"/>
            <w:vAlign w:val="bottom"/>
            <w:gridSpan w:val="3"/>
          </w:tcPr>
          <w:p>
            <w:pPr>
              <w:jc w:val="center"/>
              <w:spacing w:after="0"/>
              <w:rPr>
                <w:sz w:val="20"/>
                <w:szCs w:val="20"/>
                <w:color w:val="auto"/>
              </w:rPr>
            </w:pPr>
            <w:r>
              <w:rPr>
                <w:rFonts w:ascii="Times New Roman" w:cs="Times New Roman" w:eastAsia="Times New Roman" w:hAnsi="Times New Roman"/>
                <w:sz w:val="25"/>
                <w:szCs w:val="25"/>
                <w:b w:val="1"/>
                <w:bCs w:val="1"/>
                <w:color w:val="auto"/>
                <w:w w:val="99"/>
              </w:rPr>
              <w:t>UNITED STATES</w:t>
            </w:r>
          </w:p>
        </w:tc>
      </w:tr>
      <w:tr>
        <w:trPr>
          <w:trHeight w:val="294"/>
        </w:trPr>
        <w:tc>
          <w:tcPr>
            <w:tcW w:w="2040" w:type="dxa"/>
            <w:vAlign w:val="bottom"/>
          </w:tcPr>
          <w:p>
            <w:pPr>
              <w:spacing w:after="0"/>
              <w:rPr>
                <w:sz w:val="24"/>
                <w:szCs w:val="24"/>
                <w:color w:val="auto"/>
              </w:rPr>
            </w:pPr>
          </w:p>
        </w:tc>
        <w:tc>
          <w:tcPr>
            <w:tcW w:w="5500" w:type="dxa"/>
            <w:vAlign w:val="bottom"/>
            <w:gridSpan w:val="3"/>
          </w:tcPr>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r>
      <w:tr>
        <w:trPr>
          <w:trHeight w:val="286"/>
        </w:trPr>
        <w:tc>
          <w:tcPr>
            <w:tcW w:w="2040" w:type="dxa"/>
            <w:vAlign w:val="bottom"/>
          </w:tcPr>
          <w:p>
            <w:pPr>
              <w:spacing w:after="0"/>
              <w:rPr>
                <w:sz w:val="24"/>
                <w:szCs w:val="24"/>
                <w:color w:val="auto"/>
              </w:rPr>
            </w:pPr>
          </w:p>
        </w:tc>
        <w:tc>
          <w:tcPr>
            <w:tcW w:w="5500" w:type="dxa"/>
            <w:vAlign w:val="bottom"/>
            <w:gridSpan w:val="3"/>
          </w:tcPr>
          <w:p>
            <w:pPr>
              <w:jc w:val="center"/>
              <w:ind w:left="47"/>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r>
      <w:tr>
        <w:trPr>
          <w:trHeight w:val="123"/>
        </w:trPr>
        <w:tc>
          <w:tcPr>
            <w:tcW w:w="20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820" w:type="dxa"/>
            <w:vAlign w:val="bottom"/>
          </w:tcPr>
          <w:p>
            <w:pPr>
              <w:spacing w:after="0"/>
              <w:rPr>
                <w:sz w:val="10"/>
                <w:szCs w:val="10"/>
                <w:color w:val="auto"/>
              </w:rPr>
            </w:pPr>
          </w:p>
        </w:tc>
      </w:tr>
      <w:tr>
        <w:trPr>
          <w:trHeight w:val="578"/>
        </w:trPr>
        <w:tc>
          <w:tcPr>
            <w:tcW w:w="2040" w:type="dxa"/>
            <w:vAlign w:val="bottom"/>
          </w:tcPr>
          <w:p>
            <w:pPr>
              <w:spacing w:after="0"/>
              <w:rPr>
                <w:sz w:val="24"/>
                <w:szCs w:val="24"/>
                <w:color w:val="auto"/>
              </w:rPr>
            </w:pPr>
          </w:p>
        </w:tc>
        <w:tc>
          <w:tcPr>
            <w:tcW w:w="5500" w:type="dxa"/>
            <w:vAlign w:val="bottom"/>
            <w:gridSpan w:val="3"/>
          </w:tcPr>
          <w:p>
            <w:pPr>
              <w:jc w:val="center"/>
              <w:ind w:left="47"/>
              <w:spacing w:after="0"/>
              <w:rPr>
                <w:sz w:val="20"/>
                <w:szCs w:val="20"/>
                <w:color w:val="auto"/>
              </w:rPr>
            </w:pPr>
            <w:r>
              <w:rPr>
                <w:rFonts w:ascii="Times New Roman" w:cs="Times New Roman" w:eastAsia="Times New Roman" w:hAnsi="Times New Roman"/>
                <w:sz w:val="32"/>
                <w:szCs w:val="32"/>
                <w:b w:val="1"/>
                <w:bCs w:val="1"/>
                <w:color w:val="auto"/>
              </w:rPr>
              <w:t>SCHEDULE 14A</w:t>
            </w:r>
          </w:p>
        </w:tc>
      </w:tr>
      <w:tr>
        <w:trPr>
          <w:trHeight w:val="352"/>
        </w:trPr>
        <w:tc>
          <w:tcPr>
            <w:tcW w:w="2040" w:type="dxa"/>
            <w:vAlign w:val="bottom"/>
          </w:tcPr>
          <w:p>
            <w:pPr>
              <w:spacing w:after="0"/>
              <w:rPr>
                <w:sz w:val="24"/>
                <w:szCs w:val="24"/>
                <w:color w:val="auto"/>
              </w:rPr>
            </w:pPr>
          </w:p>
        </w:tc>
        <w:tc>
          <w:tcPr>
            <w:tcW w:w="5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38"/>
        </w:trPr>
        <w:tc>
          <w:tcPr>
            <w:tcW w:w="2040" w:type="dxa"/>
            <w:vAlign w:val="bottom"/>
          </w:tcPr>
          <w:p>
            <w:pPr>
              <w:spacing w:after="0"/>
              <w:rPr>
                <w:sz w:val="20"/>
                <w:szCs w:val="20"/>
                <w:color w:val="auto"/>
              </w:rPr>
            </w:pPr>
          </w:p>
        </w:tc>
        <w:tc>
          <w:tcPr>
            <w:tcW w:w="5500" w:type="dxa"/>
            <w:vAlign w:val="bottom"/>
            <w:gridSpan w:val="3"/>
          </w:tcPr>
          <w:p>
            <w:pPr>
              <w:jc w:val="center"/>
              <w:ind w:left="47"/>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148"/>
        </w:trPr>
        <w:tc>
          <w:tcPr>
            <w:tcW w:w="20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820" w:type="dxa"/>
            <w:vAlign w:val="bottom"/>
          </w:tcPr>
          <w:p>
            <w:pPr>
              <w:spacing w:after="0"/>
              <w:rPr>
                <w:sz w:val="12"/>
                <w:szCs w:val="12"/>
                <w:color w:val="auto"/>
              </w:rPr>
            </w:pPr>
          </w:p>
        </w:tc>
      </w:tr>
      <w:tr>
        <w:trPr>
          <w:trHeight w:val="562"/>
        </w:trPr>
        <w:tc>
          <w:tcPr>
            <w:tcW w:w="20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tc>
        <w:tc>
          <w:tcPr>
            <w:tcW w:w="550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w w:val="99"/>
              </w:rPr>
              <w:t xml:space="preserve">Filed by a Party other than the Registrant </w:t>
            </w:r>
            <w:r>
              <w:rPr>
                <w:rFonts w:ascii="MS PGothic" w:cs="MS PGothic" w:eastAsia="MS PGothic" w:hAnsi="MS PGothic"/>
                <w:sz w:val="18"/>
                <w:szCs w:val="18"/>
                <w:color w:val="auto"/>
                <w:w w:val="99"/>
              </w:rPr>
              <w:t>☐</w:t>
            </w:r>
          </w:p>
        </w:tc>
      </w:tr>
      <w:tr>
        <w:trPr>
          <w:trHeight w:val="3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25"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48"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3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39"/>
          <w:szCs w:val="39"/>
          <w:b w:val="1"/>
          <w:bCs w:val="1"/>
          <w:color w:val="auto"/>
        </w:rPr>
        <w:t>GALECTIN THERAPEUTICS INC.</w:t>
      </w:r>
    </w:p>
    <w:p>
      <w:pPr>
        <w:spacing w:after="0" w:line="5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23"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197485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257175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386080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164592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7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December 3, 2024</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2024 annual meeting of stockholders (the “2024 Annual Meeting”) of Galectin Therapeutics Inc. The meeting will be held on Thursday, January 23, 2025 at 11:00 a.m., Eastern Standard Time. Due to cost savings and other efficiencies resulting from conducting a virtual meeting, Galectin Therapeutics is conducting the 2024 Annual Meeting via an online-only format. Stockholders will be able to listen, vote, and submit questions from their home or any remote location with internet connectivity. The 2024 Annual Meeting has been designed to provide the same rights to participate as you would have at an in-person meeting. Information on how to participate in this year’s virtual meeting can be found on page </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117" w:lineRule="exact"/>
        <w:rPr>
          <w:sz w:val="20"/>
          <w:szCs w:val="20"/>
          <w:color w:val="auto"/>
        </w:rPr>
      </w:pPr>
    </w:p>
    <w:p>
      <w:pPr>
        <w:ind w:left="1000" w:right="4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eleven (11) nominees for director named in the accompanying proxy statement to hold office until the 2025 annual meeting of our stockholders.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2024.</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2024 Annual Meeting.</w:t>
      </w:r>
    </w:p>
    <w:p>
      <w:pPr>
        <w:spacing w:after="0" w:line="54" w:lineRule="exact"/>
        <w:rPr>
          <w:sz w:val="20"/>
          <w:szCs w:val="20"/>
          <w:color w:val="auto"/>
        </w:rPr>
      </w:pPr>
    </w:p>
    <w:p>
      <w:pPr>
        <w:jc w:val="both"/>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Only holders of the Company’s Common Stock or Series A 12% Convertible Preferred Stock of record as of November 25, 2024 are entitled to notice of and to vote at the 2024 Annual Meeting. These items of business are more fully described in the proxy statement accompanying this letter.</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Company is pleased to save costs and help protect the environment by using the “Notice and Access” method of delivery for its proxy materials. Instead of receiving paper copies of our proxy materials, including the Company’s Annual Report on Form 10-K for the year ended December 31, 2023 (the “Annual Report”), in the mail, stockholders will receive a Notice Regarding the Availability of Proxy Materials, which provides an internet website address where stockholders can access electronic copies of the proxy materials.</w:t>
      </w:r>
    </w:p>
    <w:p>
      <w:pPr>
        <w:spacing w:after="0" w:line="75"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Your vote is very important. Regardless of whether you plan to attend the 2024 Annual Meeting, please promptly vote your shares. You may vote your shares over the internet. If you received a paper copy of a proxy or voting instruction card by mail, you may submit your proxy or voting instruction card for the 2024 Annual Meeting by completing, signing, dating and returning your proxy or voting instruction card in the pre-addressed envelope provided. For specific instructions on how to vote your shares, please refer to the section entitled Questions and Answers About the Annual Meeting and Voting Rights on page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of the proxy statement.</w:t>
      </w:r>
    </w:p>
    <w:p>
      <w:pPr>
        <w:spacing w:after="0" w:line="79"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9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188595</wp:posOffset>
            </wp:positionV>
            <wp:extent cx="1097280" cy="42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Joel Lewis</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4960 Peachtree Industrial Blvd., Suite 240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Norcross, Georgia 30071</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THE 2024 ANNUAL MEETING OF STOCKHOLDERS</w:t>
      </w:r>
    </w:p>
    <w:p>
      <w:pPr>
        <w:sectPr>
          <w:pgSz w:w="11900" w:h="16838" w:orient="portrait"/>
          <w:cols w:equalWidth="0" w:num="1">
            <w:col w:w="9019"/>
          </w:cols>
          <w:pgMar w:left="1440" w:top="263" w:right="1440" w:bottom="1440" w:gutter="0" w:footer="0" w:header="0"/>
        </w:sect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679"/>
        <w:spacing w:after="0" w:line="282" w:lineRule="auto"/>
        <w:rPr>
          <w:sz w:val="20"/>
          <w:szCs w:val="20"/>
          <w:color w:val="auto"/>
        </w:rPr>
      </w:pPr>
      <w:r>
        <w:rPr>
          <w:rFonts w:ascii="Times New Roman" w:cs="Times New Roman" w:eastAsia="Times New Roman" w:hAnsi="Times New Roman"/>
          <w:sz w:val="18"/>
          <w:szCs w:val="18"/>
          <w:color w:val="auto"/>
        </w:rPr>
        <w:t>11:00 a.m. Eastern Standard Time on Thursday, January 23, 2025; Online access begins at 10:45 a.m. on January 23, 2025.</w:t>
      </w:r>
    </w:p>
    <w:p>
      <w:pPr>
        <w:spacing w:after="0" w:line="200" w:lineRule="exact"/>
        <w:rPr>
          <w:sz w:val="20"/>
          <w:szCs w:val="20"/>
          <w:color w:val="auto"/>
        </w:rPr>
      </w:pPr>
    </w:p>
    <w:p>
      <w:pPr>
        <w:sectPr>
          <w:pgSz w:w="11900" w:h="16838" w:orient="portrait"/>
          <w:cols w:equalWidth="0" w:num="2">
            <w:col w:w="1300" w:space="720"/>
            <w:col w:w="6999"/>
          </w:cols>
          <w:pgMar w:left="1440" w:top="263" w:right="1440" w:bottom="1440" w:gutter="0" w:footer="0" w:header="0"/>
          <w:type w:val="continuous"/>
        </w:sectPr>
      </w:pPr>
    </w:p>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Place:</w:t>
      </w:r>
    </w:p>
    <w:p>
      <w:pPr>
        <w:spacing w:after="0" w:line="20" w:lineRule="exact"/>
        <w:rPr>
          <w:sz w:val="20"/>
          <w:szCs w:val="20"/>
          <w:color w:val="auto"/>
        </w:rPr>
      </w:pPr>
      <w:r>
        <w:rPr>
          <w:sz w:val="20"/>
          <w:szCs w:val="20"/>
          <w:color w:val="auto"/>
        </w:rPr>
        <w:br w:type="column"/>
      </w:r>
    </w:p>
    <w:p>
      <w:pPr>
        <w:ind w:right="2599"/>
        <w:spacing w:after="0" w:line="282" w:lineRule="auto"/>
        <w:rPr>
          <w:sz w:val="20"/>
          <w:szCs w:val="20"/>
          <w:color w:val="auto"/>
        </w:rPr>
      </w:pPr>
      <w:r>
        <w:rPr>
          <w:rFonts w:ascii="Times New Roman" w:cs="Times New Roman" w:eastAsia="Times New Roman" w:hAnsi="Times New Roman"/>
          <w:sz w:val="18"/>
          <w:szCs w:val="18"/>
          <w:color w:val="auto"/>
        </w:rPr>
        <w:t>The Annual Meeting will be held virtually via the internet, at www.virtualshareholdermeeting.com/GALT2024.</w:t>
      </w:r>
    </w:p>
    <w:p>
      <w:pPr>
        <w:spacing w:after="0" w:line="200" w:lineRule="exact"/>
        <w:rPr>
          <w:sz w:val="20"/>
          <w:szCs w:val="20"/>
          <w:color w:val="auto"/>
        </w:rPr>
      </w:pPr>
    </w:p>
    <w:p>
      <w:pPr>
        <w:sectPr>
          <w:pgSz w:w="11900" w:h="16838" w:orient="portrait"/>
          <w:cols w:equalWidth="0" w:num="2">
            <w:col w:w="1300" w:space="720"/>
            <w:col w:w="6999"/>
          </w:cols>
          <w:pgMar w:left="1440" w:top="263" w:right="1440" w:bottom="1440" w:gutter="0" w:footer="0" w:header="0"/>
          <w:type w:val="continuous"/>
        </w:sectPr>
      </w:pPr>
    </w:p>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Items of Business:</w:t>
      </w:r>
    </w:p>
    <w:p>
      <w:pPr>
        <w:spacing w:after="0" w:line="20" w:lineRule="exact"/>
        <w:rPr>
          <w:sz w:val="20"/>
          <w:szCs w:val="20"/>
          <w:color w:val="auto"/>
        </w:rPr>
      </w:pPr>
      <w:r>
        <w:rPr>
          <w:sz w:val="20"/>
          <w:szCs w:val="20"/>
          <w:color w:val="auto"/>
        </w:rPr>
        <w:br w:type="column"/>
      </w:r>
    </w:p>
    <w:p>
      <w:pPr>
        <w:ind w:right="679" w:hanging="439"/>
        <w:spacing w:after="0" w:line="312" w:lineRule="auto"/>
        <w:rPr>
          <w:sz w:val="20"/>
          <w:szCs w:val="20"/>
          <w:color w:val="auto"/>
        </w:rPr>
      </w:pPr>
      <w:r>
        <w:rPr>
          <w:rFonts w:ascii="Times New Roman" w:cs="Times New Roman" w:eastAsia="Times New Roman" w:hAnsi="Times New Roman"/>
          <w:sz w:val="17"/>
          <w:szCs w:val="17"/>
          <w:color w:val="auto"/>
        </w:rPr>
        <w:t>1.</w:t>
      </w:r>
      <w:r>
        <w:rPr>
          <w:sz w:val="20"/>
          <w:szCs w:val="20"/>
          <w:color w:val="auto"/>
        </w:rPr>
        <w:t xml:space="preserve"> </w:t>
      </w:r>
      <w:r>
        <w:rPr>
          <w:rFonts w:ascii="Times New Roman" w:cs="Times New Roman" w:eastAsia="Times New Roman" w:hAnsi="Times New Roman"/>
          <w:sz w:val="17"/>
          <w:szCs w:val="17"/>
          <w:color w:val="auto"/>
        </w:rPr>
        <w:t>To elect the eleven (11) nominees for director named in the proxy statement accompanying this Notice to serve until our 2025 annual meeting of stockholders.</w:t>
      </w:r>
    </w:p>
    <w:p>
      <w:pPr>
        <w:spacing w:after="0" w:line="194" w:lineRule="exact"/>
        <w:rPr>
          <w:sz w:val="20"/>
          <w:szCs w:val="20"/>
          <w:color w:val="auto"/>
        </w:rPr>
      </w:pPr>
    </w:p>
    <w:p>
      <w:pPr>
        <w:sectPr>
          <w:pgSz w:w="11900" w:h="16838" w:orient="portrait"/>
          <w:cols w:equalWidth="0" w:num="2">
            <w:col w:w="1740" w:space="720"/>
            <w:col w:w="6559"/>
          </w:cols>
          <w:pgMar w:left="1440" w:top="263" w:right="1440" w:bottom="1440" w:gutter="0" w:footer="0" w:header="0"/>
          <w:type w:val="continuous"/>
        </w:sectPr>
      </w:pPr>
    </w:p>
    <w:p>
      <w:pPr>
        <w:ind w:left="2460" w:right="499" w:hanging="440"/>
        <w:spacing w:after="0" w:line="266" w:lineRule="auto"/>
        <w:tabs>
          <w:tab w:leader="none" w:pos="2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2024.</w:t>
      </w:r>
    </w:p>
    <w:p>
      <w:pPr>
        <w:spacing w:after="0" w:line="229" w:lineRule="exact"/>
        <w:rPr>
          <w:rFonts w:ascii="Times New Roman" w:cs="Times New Roman" w:eastAsia="Times New Roman" w:hAnsi="Times New Roman"/>
          <w:sz w:val="18"/>
          <w:szCs w:val="18"/>
          <w:color w:val="auto"/>
        </w:rPr>
      </w:pPr>
    </w:p>
    <w:p>
      <w:pPr>
        <w:ind w:left="2460" w:right="799" w:hanging="440"/>
        <w:spacing w:after="0" w:line="282" w:lineRule="auto"/>
        <w:tabs>
          <w:tab w:leader="none" w:pos="2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2024 Annual Meeting.</w:t>
      </w:r>
    </w:p>
    <w:p>
      <w:pPr>
        <w:spacing w:after="0" w:line="212" w:lineRule="exact"/>
        <w:rPr>
          <w:sz w:val="20"/>
          <w:szCs w:val="20"/>
          <w:color w:val="auto"/>
        </w:rPr>
      </w:pPr>
    </w:p>
    <w:p>
      <w:pPr>
        <w:ind w:left="2020" w:right="339" w:hanging="1727"/>
        <w:spacing w:after="0" w:line="282" w:lineRule="auto"/>
        <w:tabs>
          <w:tab w:leader="none" w:pos="2000" w:val="left"/>
        </w:tabs>
        <w:rPr>
          <w:sz w:val="20"/>
          <w:szCs w:val="20"/>
          <w:color w:val="auto"/>
        </w:rPr>
      </w:pPr>
      <w:r>
        <w:rPr>
          <w:rFonts w:ascii="Times New Roman" w:cs="Times New Roman" w:eastAsia="Times New Roman" w:hAnsi="Times New Roman"/>
          <w:sz w:val="18"/>
          <w:szCs w:val="18"/>
          <w:b w:val="1"/>
          <w:bCs w:val="1"/>
          <w:color w:val="auto"/>
        </w:rPr>
        <w:t>Who Can Vote:</w:t>
      </w:r>
      <w:r>
        <w:rPr>
          <w:sz w:val="20"/>
          <w:szCs w:val="20"/>
          <w:color w:val="auto"/>
        </w:rPr>
        <w:tab/>
      </w:r>
      <w:r>
        <w:rPr>
          <w:rFonts w:ascii="Times New Roman" w:cs="Times New Roman" w:eastAsia="Times New Roman" w:hAnsi="Times New Roman"/>
          <w:sz w:val="18"/>
          <w:szCs w:val="18"/>
          <w:color w:val="auto"/>
        </w:rPr>
        <w:t>You can vote if you were a stockholder of record of our Common Stock or our Series A 12% Convertible Preferred Stock, as of the close of business on November 25, 2024.</w:t>
      </w:r>
    </w:p>
    <w:p>
      <w:pPr>
        <w:spacing w:after="0" w:line="216" w:lineRule="exact"/>
        <w:rPr>
          <w:sz w:val="20"/>
          <w:szCs w:val="20"/>
          <w:color w:val="auto"/>
        </w:rPr>
      </w:pPr>
    </w:p>
    <w:p>
      <w:pPr>
        <w:ind w:left="2020" w:right="559" w:hanging="1727"/>
        <w:spacing w:after="0" w:line="266" w:lineRule="auto"/>
        <w:tabs>
          <w:tab w:leader="none" w:pos="2000" w:val="left"/>
        </w:tabs>
        <w:rPr>
          <w:sz w:val="20"/>
          <w:szCs w:val="20"/>
          <w:color w:val="auto"/>
        </w:rPr>
      </w:pPr>
      <w:r>
        <w:rPr>
          <w:rFonts w:ascii="Times New Roman" w:cs="Times New Roman" w:eastAsia="Times New Roman" w:hAnsi="Times New Roman"/>
          <w:sz w:val="18"/>
          <w:szCs w:val="18"/>
          <w:b w:val="1"/>
          <w:bCs w:val="1"/>
          <w:color w:val="auto"/>
        </w:rPr>
        <w:t>Proxy Materials:</w:t>
      </w:r>
      <w:r>
        <w:rPr>
          <w:sz w:val="20"/>
          <w:szCs w:val="20"/>
          <w:color w:val="auto"/>
        </w:rPr>
        <w:tab/>
      </w:r>
      <w:r>
        <w:rPr>
          <w:rFonts w:ascii="Times New Roman" w:cs="Times New Roman" w:eastAsia="Times New Roman" w:hAnsi="Times New Roman"/>
          <w:sz w:val="18"/>
          <w:szCs w:val="18"/>
          <w:color w:val="auto"/>
        </w:rPr>
        <w:t xml:space="preserve">You may access our Annual Report and this Notice and proxy statement at </w:t>
      </w:r>
      <w:r>
        <w:rPr>
          <w:rFonts w:ascii="Times New Roman" w:cs="Times New Roman" w:eastAsia="Times New Roman" w:hAnsi="Times New Roman"/>
          <w:sz w:val="18"/>
          <w:szCs w:val="18"/>
          <w:i w:val="1"/>
          <w:iCs w:val="1"/>
          <w:color w:val="auto"/>
        </w:rPr>
        <w:t xml:space="preserve">www.proxyvote.com </w:t>
      </w:r>
      <w:r>
        <w:rPr>
          <w:rFonts w:ascii="Times New Roman" w:cs="Times New Roman" w:eastAsia="Times New Roman" w:hAnsi="Times New Roman"/>
          <w:sz w:val="18"/>
          <w:szCs w:val="18"/>
          <w:color w:val="auto"/>
        </w:rPr>
        <w:t>and on our website at</w:t>
      </w:r>
      <w:r>
        <w:rPr>
          <w:rFonts w:ascii="Times New Roman" w:cs="Times New Roman" w:eastAsia="Times New Roman" w:hAnsi="Times New Roman"/>
          <w:sz w:val="18"/>
          <w:szCs w:val="18"/>
          <w:i w:val="1"/>
          <w:iCs w:val="1"/>
          <w:color w:val="auto"/>
        </w:rPr>
        <w:t xml:space="preserve"> www.galectintherapeutics.com</w:t>
      </w:r>
      <w:r>
        <w:rPr>
          <w:rFonts w:ascii="Times New Roman" w:cs="Times New Roman" w:eastAsia="Times New Roman" w:hAnsi="Times New Roman"/>
          <w:sz w:val="18"/>
          <w:szCs w:val="18"/>
          <w:color w:val="auto"/>
        </w:rPr>
        <w:t>. Instructions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how to obtain paper copies of the proxy materials are on page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of this notice.</w:t>
      </w:r>
    </w:p>
    <w:p>
      <w:pPr>
        <w:spacing w:after="0" w:line="230" w:lineRule="exact"/>
        <w:rPr>
          <w:sz w:val="20"/>
          <w:szCs w:val="20"/>
          <w:color w:val="auto"/>
        </w:rPr>
      </w:pPr>
    </w:p>
    <w:p>
      <w:pPr>
        <w:ind w:left="2020" w:right="659" w:hanging="1727"/>
        <w:spacing w:after="0" w:line="282" w:lineRule="auto"/>
        <w:tabs>
          <w:tab w:leader="none" w:pos="2000" w:val="left"/>
        </w:tabs>
        <w:rPr>
          <w:sz w:val="20"/>
          <w:szCs w:val="20"/>
          <w:color w:val="auto"/>
        </w:rPr>
      </w:pPr>
      <w:r>
        <w:rPr>
          <w:rFonts w:ascii="Times New Roman" w:cs="Times New Roman" w:eastAsia="Times New Roman" w:hAnsi="Times New Roman"/>
          <w:sz w:val="18"/>
          <w:szCs w:val="18"/>
          <w:b w:val="1"/>
          <w:bCs w:val="1"/>
          <w:color w:val="auto"/>
        </w:rPr>
        <w:t>Date of Mailing:</w:t>
      </w:r>
      <w:r>
        <w:rPr>
          <w:sz w:val="20"/>
          <w:szCs w:val="20"/>
          <w:color w:val="auto"/>
        </w:rPr>
        <w:tab/>
      </w:r>
      <w:r>
        <w:rPr>
          <w:rFonts w:ascii="Times New Roman" w:cs="Times New Roman" w:eastAsia="Times New Roman" w:hAnsi="Times New Roman"/>
          <w:sz w:val="18"/>
          <w:szCs w:val="18"/>
          <w:color w:val="auto"/>
        </w:rPr>
        <w:t>This Notice, the proxy statement and the form of proxy are first being made available to stockholders on or about December 13, 2024.</w:t>
      </w:r>
    </w:p>
    <w:p>
      <w:pPr>
        <w:spacing w:after="0" w:line="108"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ANNUAL MEETING, PLEASE SUBMIT PROMPTLY VOTE YOUR SHARES BY FOLLOWING THE INSTRUCTIONS ON THE NOTICE CARD OR PROXY CARD.</w:t>
      </w:r>
    </w:p>
    <w:p>
      <w:pPr>
        <w:spacing w:after="0" w:line="103" w:lineRule="exact"/>
        <w:rPr>
          <w:sz w:val="20"/>
          <w:szCs w:val="20"/>
          <w:color w:val="auto"/>
        </w:rPr>
      </w:pPr>
    </w:p>
    <w:p>
      <w:pPr>
        <w:ind w:left="2480" w:right="2099" w:hanging="443"/>
        <w:spacing w:after="0" w:line="317" w:lineRule="auto"/>
        <w:rPr>
          <w:sz w:val="20"/>
          <w:szCs w:val="20"/>
          <w:color w:val="auto"/>
        </w:rPr>
      </w:pPr>
      <w:r>
        <w:rPr>
          <w:rFonts w:ascii="Times New Roman" w:cs="Times New Roman" w:eastAsia="Times New Roman" w:hAnsi="Times New Roman"/>
          <w:sz w:val="17"/>
          <w:szCs w:val="17"/>
          <w:b w:val="1"/>
          <w:bCs w:val="1"/>
          <w:u w:val="single" w:color="auto"/>
          <w:color w:val="auto"/>
        </w:rPr>
        <w:t>Important Notice Regarding the Availability of Proxy Materials for the Annual Meeting to be Held January 23, 2025.</w:t>
      </w:r>
    </w:p>
    <w:p>
      <w:pPr>
        <w:spacing w:after="0" w:line="24" w:lineRule="exact"/>
        <w:rPr>
          <w:sz w:val="20"/>
          <w:szCs w:val="20"/>
          <w:color w:val="auto"/>
        </w:rPr>
      </w:pPr>
    </w:p>
    <w:p>
      <w:pPr>
        <w:ind w:left="300" w:right="4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Letter to Stockholders, Notice of Meeting, Proxy Statement, and Annual Report on Form 10-K, are available at: www.proxyvote.com</w:t>
      </w:r>
    </w:p>
    <w:p>
      <w:pPr>
        <w:spacing w:after="0" w:line="19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1156970" cy="368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56970" cy="3683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588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PROXY STATEMENT FOR 2024 ANNUAL MEETING OF STOCKHOLDERS</w:t>
            </w:r>
          </w:p>
        </w:tc>
        <w:tc>
          <w:tcPr>
            <w:tcW w:w="2240" w:type="dxa"/>
            <w:vAlign w:val="bottom"/>
            <w:gridSpan w:val="4"/>
            <w:shd w:val="clear" w:color="auto" w:fill="CCEEFF"/>
          </w:tcPr>
          <w:p>
            <w:pPr>
              <w:spacing w:after="0"/>
              <w:rPr>
                <w:sz w:val="17"/>
                <w:szCs w:val="17"/>
                <w:color w:val="auto"/>
              </w:rPr>
            </w:pPr>
          </w:p>
        </w:tc>
        <w:tc>
          <w:tcPr>
            <w:tcW w:w="240" w:type="dxa"/>
            <w:vAlign w:val="bottom"/>
            <w:tcBorders>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14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QUESTIONS AND ANSWERS ABOUT THE ANNUAL MEETING AND VOTING</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tcPr>
          <w:p>
            <w:pPr>
              <w:spacing w:after="0"/>
              <w:rPr>
                <w:sz w:val="16"/>
                <w:szCs w:val="16"/>
                <w:color w:val="auto"/>
              </w:rPr>
            </w:pPr>
          </w:p>
        </w:tc>
      </w:tr>
      <w:tr>
        <w:trPr>
          <w:trHeight w:val="34"/>
        </w:trPr>
        <w:tc>
          <w:tcPr>
            <w:tcW w:w="14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7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400" w:type="dxa"/>
            <w:vAlign w:val="bottom"/>
            <w:gridSpan w:val="2"/>
            <w:shd w:val="clear" w:color="auto" w:fill="CCEEFF"/>
          </w:tcPr>
          <w:p>
            <w:pPr>
              <w:spacing w:after="0"/>
              <w:rPr>
                <w:sz w:val="16"/>
                <w:szCs w:val="16"/>
                <w:color w:val="auto"/>
              </w:rPr>
            </w:pP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shd w:val="clear" w:color="auto" w:fill="CCEEFF"/>
          </w:tcPr>
          <w:p>
            <w:pPr>
              <w:spacing w:after="0"/>
              <w:rPr>
                <w:sz w:val="16"/>
                <w:szCs w:val="16"/>
                <w:color w:val="auto"/>
              </w:rPr>
            </w:pPr>
          </w:p>
        </w:tc>
      </w:tr>
      <w:tr>
        <w:trPr>
          <w:trHeight w:val="34"/>
        </w:trPr>
        <w:tc>
          <w:tcPr>
            <w:tcW w:w="14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7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SECTION 16(a) BENEFICIAL OWNERSHIP REPORTING COMPLIANCE</w:t>
            </w:r>
          </w:p>
        </w:tc>
        <w:tc>
          <w:tcPr>
            <w:tcW w:w="1400" w:type="dxa"/>
            <w:vAlign w:val="bottom"/>
            <w:gridSpan w:val="2"/>
          </w:tcPr>
          <w:p>
            <w:pPr>
              <w:spacing w:after="0"/>
              <w:rPr>
                <w:sz w:val="16"/>
                <w:szCs w:val="16"/>
                <w:color w:val="auto"/>
              </w:rPr>
            </w:pP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tcPr>
          <w:p>
            <w:pPr>
              <w:spacing w:after="0"/>
              <w:rPr>
                <w:sz w:val="16"/>
                <w:szCs w:val="16"/>
                <w:color w:val="auto"/>
              </w:rPr>
            </w:pPr>
          </w:p>
        </w:tc>
      </w:tr>
      <w:tr>
        <w:trPr>
          <w:trHeight w:val="34"/>
        </w:trPr>
        <w:tc>
          <w:tcPr>
            <w:tcW w:w="14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1 ELECTION OF DIRECTORS</w:t>
            </w:r>
          </w:p>
        </w:tc>
        <w:tc>
          <w:tcPr>
            <w:tcW w:w="4480" w:type="dxa"/>
            <w:vAlign w:val="bottom"/>
            <w:gridSpan w:val="8"/>
            <w:shd w:val="clear" w:color="auto" w:fill="CCEEFF"/>
          </w:tcPr>
          <w:p>
            <w:pPr>
              <w:spacing w:after="0"/>
              <w:rPr>
                <w:sz w:val="16"/>
                <w:szCs w:val="16"/>
                <w:color w:val="auto"/>
              </w:rPr>
            </w:pP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shd w:val="clear" w:color="auto" w:fill="CCEEFF"/>
          </w:tcPr>
          <w:p>
            <w:pPr>
              <w:spacing w:after="0"/>
              <w:rPr>
                <w:sz w:val="16"/>
                <w:szCs w:val="16"/>
                <w:color w:val="auto"/>
              </w:rPr>
            </w:pPr>
          </w:p>
        </w:tc>
      </w:tr>
      <w:tr>
        <w:trPr>
          <w:trHeight w:val="34"/>
        </w:trPr>
        <w:tc>
          <w:tcPr>
            <w:tcW w:w="14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EXECUTIVE OFFICERS</w:t>
            </w:r>
          </w:p>
        </w:tc>
        <w:tc>
          <w:tcPr>
            <w:tcW w:w="4480" w:type="dxa"/>
            <w:vAlign w:val="bottom"/>
            <w:gridSpan w:val="8"/>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4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4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DIRECTOR COMPENSATION</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4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4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5680" w:type="dxa"/>
            <w:vAlign w:val="bottom"/>
            <w:gridSpan w:val="12"/>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4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14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08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OUTSTANDING EQUITY AWARDS AT FISCAL YEAR-END 2023</w:t>
            </w:r>
          </w:p>
        </w:tc>
        <w:tc>
          <w:tcPr>
            <w:tcW w:w="3040" w:type="dxa"/>
            <w:vAlign w:val="bottom"/>
            <w:gridSpan w:val="6"/>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29</w:t>
            </w:r>
          </w:p>
        </w:tc>
      </w:tr>
      <w:tr>
        <w:trPr>
          <w:trHeight w:val="34"/>
        </w:trPr>
        <w:tc>
          <w:tcPr>
            <w:tcW w:w="14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PROPOSAL NO. 2 RATIFICATION OF APPOINTMENT OF INDEPENDENT AUDITORS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14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1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FEES PAID TO CHERRY BEKAERT LLP</w:t>
            </w:r>
          </w:p>
        </w:tc>
        <w:tc>
          <w:tcPr>
            <w:tcW w:w="4980" w:type="dxa"/>
            <w:vAlign w:val="bottom"/>
            <w:gridSpan w:val="9"/>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14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1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PROPOSALS OF STOCKHOLDERS</w:t>
            </w:r>
          </w:p>
        </w:tc>
        <w:tc>
          <w:tcPr>
            <w:tcW w:w="4980" w:type="dxa"/>
            <w:vAlign w:val="bottom"/>
            <w:gridSpan w:val="9"/>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14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ANNUAL REPORT</w:t>
            </w:r>
          </w:p>
        </w:tc>
        <w:tc>
          <w:tcPr>
            <w:tcW w:w="6640" w:type="dxa"/>
            <w:vAlign w:val="bottom"/>
            <w:gridSpan w:val="15"/>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37</w:t>
            </w:r>
          </w:p>
        </w:tc>
      </w:tr>
      <w:tr>
        <w:trPr>
          <w:trHeight w:val="34"/>
        </w:trPr>
        <w:tc>
          <w:tcPr>
            <w:tcW w:w="14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HOW TO ATTEND THE 2024 ANNUAL MEETING</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r>
      <w:tr>
        <w:trPr>
          <w:trHeight w:val="20"/>
        </w:trPr>
        <w:tc>
          <w:tcPr>
            <w:tcW w:w="1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4960 Peachtree Industrial Blvd., Suite 240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Norcross, Georgia 30071</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January 23, 2025</w:t>
      </w:r>
    </w:p>
    <w:p>
      <w:pPr>
        <w:spacing w:after="0" w:line="31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This proxy statement contains information about the 2024 annual meeting of stockholders (“2024 Annual Meeting”) of Galectin Therapeutics Inc. (referred to in this proxy statement as “Galectin”, “Galectin Therapeutics”, “the Company”, “we”, “our” or “us”). The 2024 Annual Meeting will be held virtually over the internet on Thursday, January 23, 2025, beginning at 11:00 a.m. Eastern Standard Time, at www.virtualshareholdermeeting.com/GALT2024. Online access begins at 10:45 a.m. on the date of the 2024 Annual Meeting. Due to the cost savings and other efficiencies resulting from conducting a virtual meeting, the Company is conducting an online-only format for the 2024 annual meeting. Stockholders will be able to listen, vote, and submit questions from their home or any remote location with internet connectivity. The 2024 Annual Meeting has been designed to provide the same rights to participate as you would have at an in-person meeting. Information on how to participate in this year’s virtual meeting can be found on page </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our Board of Directors for use at the 2024 Annual Meeting. All proxies will be voted in accordance with the instructions they contain. If you do not specify your voting instructions on your proxy, it will be voted in accordance with the recommendations of our Board of Directors.</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These proxy materials, together with our Annual Report to stockholders on Form 10-K for our 2023 fiscal year, are first being made available to stockholders on or about December 13, 2024 and are also available online at www.proxyvote.com and at www.galectintherapeutics.com. For ease of voting, stockholders are encouraged to vote using the Internet. We encourage you to access and review all of the important information in the proxy materials before voting.</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Instructions on How to Attend the 2024 Annual Meeting</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year our annual meeting will be a virtual online-only meeting. There will be no physical meeting location. The meeting will only be conducted via live webcast. To participate in the 2024 Annual Meeting, visit www.virtualshareholdermeeting.com/GALT2024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January 23, 2025. The meeting will begin promptly at 11:00 a.m. Eastern Standard Time on January 23, 2025.</w:t>
      </w:r>
    </w:p>
    <w:p>
      <w:pPr>
        <w:spacing w:after="0" w:line="7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If you want to submit question during the meeting, log into the virtual meeting platform at www.virtualshareholdermeeting.com/GALT2024,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2024 Annual Meeting has been designed to provide the same rights to participate as you would have at an in-person meeting. If you encounter any difficulties accessing the 2024 Annual Meeting during the check-in or meeting time, please call the technical support number that will be posted on the Virtual Shareholder Meeting log in page at www.virtualshareholdermeeting.com/GALT2024.</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 AND VOTING</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annual meeting held in a virtual, online-only format this year?</w:t>
      </w:r>
    </w:p>
    <w:p>
      <w:pPr>
        <w:spacing w:after="0" w:line="121"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We are holding our 2024 annual meeting in a virtual, online-only format this year due cost savings and other efficiencies resulting from conducting a virtual meeting. We believe that the virtual meeting format will facilitate stockholder attendance and participation at the annual meeting during the COVID-19 pandemic by enabling stockholders to participate remotely from any location without incurring the travel costs and time of attending the meeting in-person.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2024 Annual Meeting will be held for the following purposes:</w:t>
      </w:r>
    </w:p>
    <w:p>
      <w:pPr>
        <w:spacing w:after="0" w:line="117" w:lineRule="exact"/>
        <w:rPr>
          <w:sz w:val="20"/>
          <w:szCs w:val="20"/>
          <w:color w:val="auto"/>
        </w:rPr>
      </w:pPr>
    </w:p>
    <w:p>
      <w:pPr>
        <w:ind w:left="1000" w:right="7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eleven nominees named in this proxy statement for director to hold office until the 2024 annual meeting of our stockholders.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2024.</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2024 Annual Meeting.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You may vote if you were a stockholder of Galectin Therapeutics as of the close of business on the record date,</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November 25, 2024. Shares outstanding on the record date are the following:</w:t>
      </w:r>
    </w:p>
    <w:p>
      <w:pPr>
        <w:spacing w:after="0" w:line="99"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62,308,075 shares of common stock, par value $0.001 per share (“Common Stock”)</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1,260,000 shares of Series A 12% Convertible Preferred Stock, par value $0.01 per share (“Series A Preferred Stock”).</w:t>
      </w:r>
    </w:p>
    <w:p>
      <w:pPr>
        <w:spacing w:after="0" w:line="54" w:lineRule="exact"/>
        <w:rPr>
          <w:sz w:val="20"/>
          <w:szCs w:val="20"/>
          <w:color w:val="auto"/>
        </w:rPr>
      </w:pPr>
    </w:p>
    <w:p>
      <w:pPr>
        <w:jc w:val="both"/>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shares of Series A Preferred Stock vote on an as-converted basis with the shares of Common Stock. The shares of our Series C Super Dividend Convertible Preferred Stock, par value $0.01 per share (“Series C Preferred Stock”) do not have voting rights prior to conversion to Common Stock. The shares of the Series A Preferred Stock and the Series C Preferred Stock are hereafter referred to as the “Preferred Stock”.</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w:t>
      </w:r>
    </w:p>
    <w:p>
      <w:pPr>
        <w:spacing w:after="0" w:line="72"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Directors and executive officers of Galectin Therapeutics own or control the voting of 12,474,642 shares of Common Stock or the common equivalent of voting Preferred Stock, representing approximately 20% of the total outstanding voting shares at the record date. We expect all of these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of the proposals as described in this proxy statement.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If you are the record holder of your shares, meaning that you own your shares in your own name and not through a bank or brokerage firm, you may vote as follows:</w:t>
      </w:r>
    </w:p>
    <w:p>
      <w:pPr>
        <w:spacing w:after="0" w:line="50" w:lineRule="exact"/>
        <w:rPr>
          <w:sz w:val="20"/>
          <w:szCs w:val="20"/>
          <w:color w:val="auto"/>
        </w:rPr>
      </w:pPr>
    </w:p>
    <w:p>
      <w:pPr>
        <w:ind w:left="1000" w:right="359" w:hanging="348"/>
        <w:spacing w:after="0" w:line="25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by mail</w:t>
      </w:r>
      <w:r>
        <w:rPr>
          <w:rFonts w:ascii="Times New Roman" w:cs="Times New Roman" w:eastAsia="Times New Roman" w:hAnsi="Times New Roman"/>
          <w:sz w:val="18"/>
          <w:szCs w:val="18"/>
          <w:color w:val="auto"/>
        </w:rPr>
        <w:t>. You may vote by completing and signing the proxy card enclosed with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(or by requesting a paper copy of the materials if you only received an electronic 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000" w:right="419" w:hanging="348"/>
        <w:spacing w:after="0" w:line="257"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by Internet prior to the 2024 Annual Meeting</w:t>
      </w:r>
      <w:r>
        <w:rPr>
          <w:rFonts w:ascii="Times New Roman" w:cs="Times New Roman" w:eastAsia="Times New Roman" w:hAnsi="Times New Roman"/>
          <w:sz w:val="18"/>
          <w:szCs w:val="18"/>
          <w:color w:val="auto"/>
        </w:rPr>
        <w:t>. You may vote over the Internet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instructed on the proxy card enclosed with this proxy statement and accessing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The shares you own will be voted according to your instructions on the proxy card submitted electronically. If you return the proxy card, but do not give any instructions on a particular matter described in this proxy statement, the shares you own will be voted in accordance with the recommendations of our Board of Directors.</w:t>
      </w:r>
    </w:p>
    <w:p>
      <w:pPr>
        <w:spacing w:after="0" w:line="74" w:lineRule="exact"/>
        <w:rPr>
          <w:rFonts w:ascii="Times New Roman" w:cs="Times New Roman" w:eastAsia="Times New Roman" w:hAnsi="Times New Roman"/>
          <w:sz w:val="18"/>
          <w:szCs w:val="18"/>
          <w:color w:val="auto"/>
        </w:rPr>
      </w:pPr>
    </w:p>
    <w:p>
      <w:pPr>
        <w:ind w:left="1000" w:right="559" w:hanging="348"/>
        <w:spacing w:after="0" w:line="259"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during the 2024 Annual Meeting</w:t>
      </w:r>
      <w:r>
        <w:rPr>
          <w:rFonts w:ascii="Times New Roman" w:cs="Times New Roman" w:eastAsia="Times New Roman" w:hAnsi="Times New Roman"/>
          <w:sz w:val="18"/>
          <w:szCs w:val="18"/>
          <w:color w:val="auto"/>
        </w:rPr>
        <w:t>. If you attend the 2024 Annual Meeting virtually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visiting www.virtualshareholdermeeting.com/GALT2024 at 11:00 a.m. Eastern Standard Time on January 23, 2025, you may vote during the 2024 Annual Meeting. You will need the 16-digit control number included on your notice of Internet availability of the proxy materials, on your proxy card or on the instructions that accompanied your proxy materials.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113" w:lineRule="exact"/>
        <w:rPr>
          <w:sz w:val="20"/>
          <w:szCs w:val="20"/>
          <w:color w:val="auto"/>
        </w:rPr>
      </w:pPr>
    </w:p>
    <w:p>
      <w:pPr>
        <w:ind w:left="300" w:right="7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eleven nominees to serve as directors on the Board of Directors until our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stockholders.</w:t>
      </w:r>
    </w:p>
    <w:p>
      <w:pPr>
        <w:spacing w:after="0" w:line="47" w:lineRule="exact"/>
        <w:rPr>
          <w:sz w:val="20"/>
          <w:szCs w:val="20"/>
          <w:color w:val="auto"/>
        </w:rPr>
      </w:pPr>
    </w:p>
    <w:p>
      <w:pPr>
        <w:ind w:left="300" w:right="5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Cherry Bekaert LLP, as our independent registered public accounting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2024 fiscal year.</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my vote important?</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17" w:lineRule="exact"/>
        <w:rPr>
          <w:sz w:val="20"/>
          <w:szCs w:val="20"/>
          <w:color w:val="auto"/>
        </w:rPr>
      </w:pPr>
    </w:p>
    <w:p>
      <w:pPr>
        <w:ind w:left="300" w:right="379" w:firstLine="360"/>
        <w:spacing w:after="0" w:line="259" w:lineRule="auto"/>
        <w:rPr>
          <w:sz w:val="20"/>
          <w:szCs w:val="20"/>
          <w:color w:val="auto"/>
        </w:rPr>
      </w:pPr>
      <w:r>
        <w:rPr>
          <w:rFonts w:ascii="Times New Roman" w:cs="Times New Roman" w:eastAsia="Times New Roman" w:hAnsi="Times New Roman"/>
          <w:sz w:val="18"/>
          <w:szCs w:val="18"/>
          <w:color w:val="auto"/>
        </w:rPr>
        <w:t>Any proxy card returned without directions given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nominees presented in this proxy statement to the Board of Directors,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Cherry Bekaert LLP as our independent registered public accounting firm to audit the financial statements for our 2024 fiscal year, and (3) as to any other business that may come before the 2024 Annual Meeting, in accordance with the judgment of the person or persons named in the proxy.</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provide my proxy?</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Your shares may be voted if they are held in the name of a brokerage firm, even if you do not provide the brokerage firm with voting instructions. Brokerage firms have the authority to vote shares for which their customers do not provide voting instructions on certain “routine” matters.</w:t>
      </w:r>
    </w:p>
    <w:p>
      <w:pPr>
        <w:spacing w:after="0" w:line="68"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The proposal relating to the election of directors is considered not a routine matter. When a proposal is not a routine matter and the brokerage firm has not received voting instructions from the beneficial owner of the shares with respect to that proposal, the brokerage firm cannot vote the shares on this proposal. This is called a “broker non-vote.”</w:t>
      </w:r>
    </w:p>
    <w:p>
      <w:pPr>
        <w:spacing w:after="0" w:line="72"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proposal to ratify the selection of Cherry Bekaert LLP as our independent auditor for fiscal year 2024, is considered a routine matter for which brokerage firms may (or may not) vote shares for which they have not received voting instructions. Several large brokerage firms, such as Charles Schwab have announced that they have eliminated discretionary voting for even “routine” matters. Therefore, if you hold your shares through such brokerage firms, then your shares might not be voted, even for “routine” matters if you do not give voting instruction to your broker. Therefore, we urge every shareholder to vote their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have mailed my proxy card or after I have voted my shares?</w:t>
      </w:r>
    </w:p>
    <w:p>
      <w:pPr>
        <w:spacing w:after="0" w:line="121"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Yes. You can change your vote and revoke your proxy at any time before the polls close at the meeting by doing any one of the following things:</w:t>
      </w:r>
    </w:p>
    <w:p>
      <w:pPr>
        <w:spacing w:after="0" w:line="54"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another proxy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our Corporate Secretary, Jack W. Callicutt, written notice to that effect. He may be contacted at</w:t>
      </w:r>
    </w:p>
    <w:p>
      <w:pPr>
        <w:spacing w:after="0" w:line="27" w:lineRule="exact"/>
        <w:rPr>
          <w:rFonts w:ascii="Times New Roman" w:cs="Times New Roman" w:eastAsia="Times New Roman" w:hAnsi="Times New Roman"/>
          <w:sz w:val="18"/>
          <w:szCs w:val="18"/>
          <w:color w:val="auto"/>
        </w:rPr>
      </w:pPr>
    </w:p>
    <w:p>
      <w:pPr>
        <w:ind w:left="1000" w:right="8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4960 Peachtree Industrial Blvd., Suite 240, Norcross, GA 30071; telephone: 678-620-3186; e-mail: callicutt@galectintherapeutics.com;</w:t>
      </w:r>
    </w:p>
    <w:p>
      <w:pPr>
        <w:spacing w:after="0" w:line="7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prior to the time at which the Internet voting facilities close by following the procedures applicable to that method of voting, as directed on the enclosed proxy card;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2024 Annual Meeting virtually via the Internet and voting during the meeting.</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access the proxy materials over the internet?</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You may view and also download our proxy materials, including the 2023 Annual Report, our Form 10-K for the year ended December 31, 2023, and the Notice by accessing www.proxyvote.com and on our website at www.galectintherapeutics.com</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pays for the solicitation of Proxies?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solicitation of proxies in the enclosed form is made on behalf of the Board of Directors.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at least one-third of the outstanding shares entitled to vote are represented by stockholders present at the meeting or by proxy. On the record date, there were 62,513,909 shares of Common Stock outstanding or deemed outstanding based on voting rights of Series A Preferred Stock on an as-converted basis. Thus, 20,837,970 shares must be represented by stockholders present at the meeting or by proxy to have a quorum.</w:t>
      </w:r>
    </w:p>
    <w:p>
      <w:pPr>
        <w:spacing w:after="0" w:line="75"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vote is required for each item to pass?</w:t>
      </w:r>
    </w:p>
    <w:p>
      <w:pPr>
        <w:spacing w:after="0" w:line="117" w:lineRule="exact"/>
        <w:rPr>
          <w:sz w:val="20"/>
          <w:szCs w:val="20"/>
          <w:color w:val="auto"/>
        </w:rPr>
      </w:pPr>
    </w:p>
    <w:p>
      <w:pPr>
        <w:ind w:left="300" w:right="499" w:firstLine="3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of Directors. </w:t>
      </w:r>
      <w:r>
        <w:rPr>
          <w:rFonts w:ascii="Times New Roman" w:cs="Times New Roman" w:eastAsia="Times New Roman" w:hAnsi="Times New Roman"/>
          <w:sz w:val="18"/>
          <w:szCs w:val="18"/>
          <w:color w:val="auto"/>
        </w:rPr>
        <w:t>Directors are elected by a plurality of the votes cast by the holders of shares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in the election. There are eleven nominees and eleven positions to be filled; this means that the</w:t>
      </w:r>
    </w:p>
    <w:p>
      <w:pPr>
        <w:spacing w:after="0" w:line="1" w:lineRule="exact"/>
        <w:rPr>
          <w:sz w:val="20"/>
          <w:szCs w:val="20"/>
          <w:color w:val="auto"/>
        </w:rPr>
      </w:pPr>
    </w:p>
    <w:p>
      <w:pPr>
        <w:ind w:left="300" w:right="379"/>
        <w:spacing w:after="0" w:line="260" w:lineRule="auto"/>
        <w:rPr>
          <w:sz w:val="20"/>
          <w:szCs w:val="20"/>
          <w:color w:val="auto"/>
        </w:rPr>
      </w:pPr>
      <w:r>
        <w:rPr>
          <w:rFonts w:ascii="Times New Roman" w:cs="Times New Roman" w:eastAsia="Times New Roman" w:hAnsi="Times New Roman"/>
          <w:sz w:val="18"/>
          <w:szCs w:val="18"/>
          <w:color w:val="auto"/>
        </w:rPr>
        <w:t>eleven individuals receiving the most votes will be elected. Abstentions and broker non-votes will not be relevant to the outcome, but abstentions and votes “withheld” are counted for the purpose of establishing a quorum.</w:t>
      </w:r>
    </w:p>
    <w:p>
      <w:pPr>
        <w:spacing w:after="0" w:line="69" w:lineRule="exact"/>
        <w:rPr>
          <w:sz w:val="20"/>
          <w:szCs w:val="20"/>
          <w:color w:val="auto"/>
        </w:rPr>
      </w:pPr>
    </w:p>
    <w:p>
      <w:pPr>
        <w:ind w:left="300" w:right="33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Ratification of independent registered public accounting firm. </w:t>
      </w:r>
      <w:r>
        <w:rPr>
          <w:rFonts w:ascii="Times New Roman" w:cs="Times New Roman" w:eastAsia="Times New Roman" w:hAnsi="Times New Roman"/>
          <w:sz w:val="17"/>
          <w:szCs w:val="17"/>
          <w:color w:val="auto"/>
        </w:rPr>
        <w:t>The votes cast “for” must exceed the votes cast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“against” in order to ratify the selection of Cherry Bekaert LLP, as our independent registered public accounting firm. Abstentions will be counted for the purpose of establishing a quorum but will not be relevant to the outcome.</w:t>
      </w:r>
    </w:p>
    <w:p>
      <w:pPr>
        <w:spacing w:after="0" w:line="4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proposals relating to the election of directors is not considered “routine” under applicable rules. When a proposal is not a routine matter and the brokerage firm has not received voting instructions from the beneficial owner of the shares with respect to that proposal, the brokerage firm cannot vote the shares on this proposal. This is called a “broker non-vote.”</w:t>
      </w:r>
    </w:p>
    <w:p>
      <w:pPr>
        <w:spacing w:after="0" w:line="72"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and you do not provide voting instructions to your broker, bank or other nominee, your broker is entitled to vote your shares with respect to the proposals to ratify the selection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Cherry Bekaert LLP as our independent auditor for fiscal year 2024, because these proposals are considered routine matters for which brokerage firms may (or may not) vote shares for which they have not received voting instructions. Several large brokerage firms, such as Charles Schwab have announced that they have eliminated discretionary voting for even “routine” matters. Therefore, we urge every shareholder to vote their shares.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“householding”?</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84"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and when may I submit a stockholder proposal for next year’s annual meeting?</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“Exchange Act”), the proposal must be received by our Corporate Secretary by August 5, 2025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October 25, 2025 nor earlier than September 25, 2025, in order to be considered timely.</w:t>
      </w:r>
    </w:p>
    <w:p>
      <w:pPr>
        <w:spacing w:after="0" w:line="84"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date of the 2025 annual meeting of stockholders is scheduled to take place on a date that is more than 30 calendar days from the one year anniversary of the 2024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79"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about advance notice of stockholder proposals and director nominations.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We will report the voting results on Form 8-K within four business days after the end of our 2024 Annual Meeting of stockholders. If final voting results are not available to us in time to file a current report on Form 8-K within four business days after the 2024 Annual Meeting, we intend to file a current report on Form 8-K to publish preliminary results and, within four business days after the final results are known to us, file an additional current report on Form 8-K to publish the final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as of October 1, 2024, certain information concerning the beneficial ownership of our Common Stock and Series A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2024 Annual Meeting.</w:t>
      </w:r>
    </w:p>
    <w:p>
      <w:pPr>
        <w:spacing w:after="0" w:line="7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October 1, 2024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3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0" w:type="dxa"/>
            <w:vAlign w:val="bottom"/>
          </w:tcPr>
          <w:p>
            <w:pPr>
              <w:spacing w:after="0"/>
              <w:rPr>
                <w:sz w:val="1"/>
                <w:szCs w:val="1"/>
                <w:color w:val="auto"/>
              </w:rPr>
            </w:pPr>
          </w:p>
        </w:tc>
      </w:tr>
      <w:tr>
        <w:trPr>
          <w:trHeight w:val="148"/>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r>
              <w:rPr>
                <w:rFonts w:ascii="Times New Roman" w:cs="Times New Roman" w:eastAsia="Times New Roman" w:hAnsi="Times New Roman"/>
                <w:sz w:val="23"/>
                <w:szCs w:val="23"/>
                <w:b w:val="1"/>
                <w:bCs w:val="1"/>
                <w:color w:val="auto"/>
                <w:vertAlign w:val="superscript"/>
              </w:rPr>
              <w:t>(1)</w:t>
            </w:r>
          </w:p>
        </w:tc>
        <w:tc>
          <w:tcPr>
            <w:tcW w:w="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300" w:type="dxa"/>
            <w:vAlign w:val="bottom"/>
          </w:tcPr>
          <w:p>
            <w:pPr>
              <w:spacing w:after="0"/>
              <w:rPr>
                <w:sz w:val="18"/>
                <w:szCs w:val="18"/>
                <w:color w:val="auto"/>
              </w:rPr>
            </w:pPr>
          </w:p>
        </w:tc>
        <w:tc>
          <w:tcPr>
            <w:tcW w:w="6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(3)</w:t>
            </w:r>
          </w:p>
        </w:tc>
        <w:tc>
          <w:tcPr>
            <w:tcW w:w="30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00" w:type="dxa"/>
            <w:vAlign w:val="bottom"/>
          </w:tcPr>
          <w:p>
            <w:pPr>
              <w:spacing w:after="0"/>
              <w:rPr>
                <w:sz w:val="18"/>
                <w:szCs w:val="18"/>
                <w:color w:val="auto"/>
              </w:rPr>
            </w:pPr>
          </w:p>
        </w:tc>
        <w:tc>
          <w:tcPr>
            <w:tcW w:w="6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(4)</w:t>
            </w:r>
          </w:p>
        </w:tc>
        <w:tc>
          <w:tcPr>
            <w:tcW w:w="0" w:type="dxa"/>
            <w:vAlign w:val="bottom"/>
          </w:tcPr>
          <w:p>
            <w:pPr>
              <w:spacing w:after="0"/>
              <w:rPr>
                <w:sz w:val="1"/>
                <w:szCs w:val="1"/>
                <w:color w:val="auto"/>
              </w:rPr>
            </w:pPr>
          </w:p>
        </w:tc>
      </w:tr>
      <w:tr>
        <w:trPr>
          <w:trHeight w:val="25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360" w:type="dxa"/>
            <w:vAlign w:val="bottom"/>
            <w:gridSpan w:val="2"/>
          </w:tcPr>
          <w:p>
            <w:pPr>
              <w:jc w:val="right"/>
              <w:ind w:right="3"/>
              <w:spacing w:after="0" w:line="284" w:lineRule="exact"/>
              <w:rPr>
                <w:sz w:val="20"/>
                <w:szCs w:val="20"/>
                <w:color w:val="auto"/>
              </w:rPr>
            </w:pPr>
            <w:r>
              <w:rPr>
                <w:rFonts w:ascii="Times New Roman" w:cs="Times New Roman" w:eastAsia="Times New Roman" w:hAnsi="Times New Roman"/>
                <w:sz w:val="18"/>
                <w:szCs w:val="18"/>
                <w:color w:val="auto"/>
              </w:rPr>
              <w:t>12,749,868</w:t>
            </w:r>
            <w:r>
              <w:rPr>
                <w:rFonts w:ascii="Times New Roman" w:cs="Times New Roman" w:eastAsia="Times New Roman" w:hAnsi="Times New Roman"/>
                <w:sz w:val="29"/>
                <w:szCs w:val="29"/>
                <w:color w:val="auto"/>
                <w:vertAlign w:val="superscript"/>
              </w:rPr>
              <w:t>(5)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1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100,000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83"/>
        </w:trPr>
        <w:tc>
          <w:tcPr>
            <w:tcW w:w="40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10X Fund, L.P.</w:t>
            </w:r>
            <w:r>
              <w:rPr>
                <w:rFonts w:ascii="Times New Roman" w:cs="Times New Roman" w:eastAsia="Times New Roman" w:hAnsi="Times New Roman"/>
                <w:sz w:val="29"/>
                <w:szCs w:val="29"/>
                <w:color w:val="auto"/>
                <w:vertAlign w:val="superscript"/>
              </w:rPr>
              <w:t>(8)</w:t>
            </w:r>
          </w:p>
        </w:tc>
        <w:tc>
          <w:tcPr>
            <w:tcW w:w="1360" w:type="dxa"/>
            <w:vAlign w:val="bottom"/>
            <w:gridSpan w:val="2"/>
            <w:shd w:val="clear" w:color="auto" w:fill="CCEEFF"/>
          </w:tcPr>
          <w:p>
            <w:pPr>
              <w:jc w:val="right"/>
              <w:ind w:right="3"/>
              <w:spacing w:after="0" w:line="284" w:lineRule="exact"/>
              <w:rPr>
                <w:sz w:val="20"/>
                <w:szCs w:val="20"/>
                <w:color w:val="auto"/>
              </w:rPr>
            </w:pPr>
            <w:r>
              <w:rPr>
                <w:rFonts w:ascii="Times New Roman" w:cs="Times New Roman" w:eastAsia="Times New Roman" w:hAnsi="Times New Roman"/>
                <w:sz w:val="18"/>
                <w:szCs w:val="18"/>
                <w:color w:val="auto"/>
              </w:rPr>
              <w:t>11,654,460</w:t>
            </w:r>
            <w:r>
              <w:rPr>
                <w:rFonts w:ascii="Times New Roman" w:cs="Times New Roman" w:eastAsia="Times New Roman" w:hAnsi="Times New Roman"/>
                <w:sz w:val="29"/>
                <w:szCs w:val="29"/>
                <w:color w:val="auto"/>
                <w:vertAlign w:val="superscript"/>
              </w:rPr>
              <w:t>(6)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0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David Smith</w:t>
            </w:r>
            <w:r>
              <w:rPr>
                <w:rFonts w:ascii="Times New Roman" w:cs="Times New Roman" w:eastAsia="Times New Roman" w:hAnsi="Times New Roman"/>
                <w:sz w:val="29"/>
                <w:szCs w:val="29"/>
                <w:color w:val="auto"/>
                <w:vertAlign w:val="superscript"/>
              </w:rPr>
              <w:t>(7)</w:t>
            </w:r>
          </w:p>
        </w:tc>
        <w:tc>
          <w:tcPr>
            <w:tcW w:w="300" w:type="dxa"/>
            <w:vAlign w:val="bottom"/>
          </w:tcPr>
          <w:p>
            <w:pPr>
              <w:spacing w:after="0"/>
              <w:rPr>
                <w:sz w:val="24"/>
                <w:szCs w:val="24"/>
                <w:color w:val="auto"/>
              </w:rPr>
            </w:pPr>
          </w:p>
        </w:tc>
        <w:tc>
          <w:tcPr>
            <w:tcW w:w="1060" w:type="dxa"/>
            <w:vAlign w:val="bottom"/>
          </w:tcPr>
          <w:p>
            <w:pPr>
              <w:jc w:val="right"/>
              <w:ind w:right="18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175,000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83"/>
        </w:trPr>
        <w:tc>
          <w:tcPr>
            <w:tcW w:w="40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Early Equities LLC</w:t>
            </w:r>
            <w:r>
              <w:rPr>
                <w:rFonts w:ascii="Times New Roman" w:cs="Times New Roman" w:eastAsia="Times New Roman" w:hAnsi="Times New Roman"/>
                <w:sz w:val="29"/>
                <w:szCs w:val="29"/>
                <w:color w:val="auto"/>
                <w:vertAlign w:val="superscript"/>
              </w:rPr>
              <w:t>(9)</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9"/>
                <w:szCs w:val="29"/>
                <w:color w:val="auto"/>
                <w:vertAlign w:val="superscript"/>
              </w:rPr>
              <w:t>(8)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84"/>
        </w:trPr>
        <w:tc>
          <w:tcPr>
            <w:tcW w:w="40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Richard E. Uihlein</w:t>
            </w:r>
            <w:r>
              <w:rPr>
                <w:rFonts w:ascii="Times New Roman" w:cs="Times New Roman" w:eastAsia="Times New Roman" w:hAnsi="Times New Roman"/>
                <w:sz w:val="29"/>
                <w:szCs w:val="29"/>
                <w:color w:val="auto"/>
                <w:vertAlign w:val="superscript"/>
              </w:rPr>
              <w:t>(11)</w:t>
            </w:r>
          </w:p>
        </w:tc>
        <w:tc>
          <w:tcPr>
            <w:tcW w:w="136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44,447,300</w:t>
            </w:r>
            <w:r>
              <w:rPr>
                <w:rFonts w:ascii="Times New Roman" w:cs="Times New Roman" w:eastAsia="Times New Roman" w:hAnsi="Times New Roman"/>
                <w:sz w:val="29"/>
                <w:szCs w:val="29"/>
                <w:color w:val="auto"/>
                <w:vertAlign w:val="superscript"/>
              </w:rPr>
              <w:t>(13)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00" w:type="dxa"/>
            <w:vAlign w:val="bottom"/>
          </w:tcPr>
          <w:p>
            <w:pPr>
              <w:spacing w:after="0"/>
              <w:rPr>
                <w:sz w:val="24"/>
                <w:szCs w:val="24"/>
                <w:color w:val="auto"/>
              </w:rPr>
            </w:pP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Directors, New Director Nominee and Other Named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36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255,614</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13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100,000</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36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714,139</w:t>
            </w:r>
            <w:r>
              <w:rPr>
                <w:rFonts w:ascii="Times New Roman" w:cs="Times New Roman" w:eastAsia="Times New Roman" w:hAnsi="Times New Roman"/>
                <w:sz w:val="29"/>
                <w:szCs w:val="29"/>
                <w:color w:val="auto"/>
                <w:vertAlign w:val="superscript"/>
              </w:rPr>
              <w:t>(13)</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1.1 %</w:t>
            </w:r>
          </w:p>
        </w:tc>
        <w:tc>
          <w:tcPr>
            <w:tcW w:w="300" w:type="dxa"/>
            <w:vAlign w:val="bottom"/>
          </w:tcPr>
          <w:p>
            <w:pPr>
              <w:spacing w:after="0"/>
              <w:rPr>
                <w:sz w:val="24"/>
                <w:szCs w:val="24"/>
                <w:color w:val="auto"/>
              </w:rPr>
            </w:pP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136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949,200</w:t>
            </w:r>
            <w:r>
              <w:rPr>
                <w:rFonts w:ascii="Times New Roman" w:cs="Times New Roman" w:eastAsia="Times New Roman" w:hAnsi="Times New Roman"/>
                <w:sz w:val="29"/>
                <w:szCs w:val="29"/>
                <w:color w:val="auto"/>
                <w:vertAlign w:val="superscript"/>
              </w:rPr>
              <w:t>(10)</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1.5 %</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Joel Lewis</w:t>
            </w:r>
          </w:p>
        </w:tc>
        <w:tc>
          <w:tcPr>
            <w:tcW w:w="136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1,549,724</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0"/>
                <w:szCs w:val="20"/>
                <w:color w:val="auto"/>
              </w:rPr>
            </w:pP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3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380,990</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36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238,146</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3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121,000</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36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483,706</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360" w:type="dxa"/>
            <w:vAlign w:val="bottom"/>
            <w:gridSpan w:val="2"/>
            <w:shd w:val="clear" w:color="auto" w:fill="CCEEFF"/>
          </w:tcPr>
          <w:p>
            <w:pPr>
              <w:jc w:val="right"/>
              <w:spacing w:after="0" w:line="288" w:lineRule="exact"/>
              <w:rPr>
                <w:sz w:val="20"/>
                <w:szCs w:val="20"/>
                <w:color w:val="auto"/>
              </w:rPr>
            </w:pPr>
            <w:r>
              <w:rPr>
                <w:rFonts w:ascii="Times New Roman" w:cs="Times New Roman" w:eastAsia="Times New Roman" w:hAnsi="Times New Roman"/>
                <w:sz w:val="18"/>
                <w:szCs w:val="18"/>
                <w:color w:val="auto"/>
              </w:rPr>
              <w:t>44,447,300</w:t>
            </w:r>
            <w:r>
              <w:rPr>
                <w:rFonts w:ascii="Times New Roman" w:cs="Times New Roman" w:eastAsia="Times New Roman" w:hAnsi="Times New Roman"/>
                <w:sz w:val="29"/>
                <w:szCs w:val="29"/>
                <w:color w:val="auto"/>
                <w:vertAlign w:val="superscript"/>
              </w:rPr>
              <w:t>(12)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36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154,853</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Khurram Jamil, M.D.</w:t>
            </w:r>
          </w:p>
        </w:tc>
        <w:tc>
          <w:tcPr>
            <w:tcW w:w="13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65,000</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36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490,655</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(13 persons)</w:t>
            </w:r>
          </w:p>
        </w:tc>
        <w:tc>
          <w:tcPr>
            <w:tcW w:w="13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49,950,327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1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54"/>
        </w:trPr>
        <w:tc>
          <w:tcPr>
            <w:tcW w:w="40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ind w:left="640" w:right="43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indicated, the address for each named person is c/o Galectin Therapeutics Inc., 4960 Peachtree Industrial Blvd., Suite 240, Norcross, GA 30071.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479" w:hanging="348"/>
        <w:spacing w:after="0" w:line="26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number of shares of our Common Stock issuable upon exercise of outstanding stock options granted to our named executive officers and directors that are exercisable within 60 days after October 1, 2024.</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Nominees and Named Executive Officers</w:t>
            </w:r>
          </w:p>
        </w:tc>
        <w:tc>
          <w:tcPr>
            <w:tcW w:w="100" w:type="dxa"/>
            <w:vAlign w:val="bottom"/>
          </w:tcPr>
          <w:p>
            <w:pPr>
              <w:spacing w:after="0"/>
              <w:rPr>
                <w:sz w:val="16"/>
                <w:szCs w:val="16"/>
                <w:color w:val="auto"/>
              </w:rPr>
            </w:pPr>
          </w:p>
        </w:tc>
        <w:tc>
          <w:tcPr>
            <w:tcW w:w="2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Options Exercisable Within 60 Days</w:t>
            </w:r>
          </w:p>
        </w:tc>
      </w:tr>
      <w:tr>
        <w:trPr>
          <w:trHeight w:val="23"/>
        </w:trPr>
        <w:tc>
          <w:tcPr>
            <w:tcW w:w="5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Gilbert F. Amelio, Ph.D.</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840" w:type="dxa"/>
            <w:vAlign w:val="bottom"/>
            <w:shd w:val="clear" w:color="auto" w:fill="CCEEFF"/>
          </w:tcPr>
          <w:p>
            <w:pPr>
              <w:spacing w:after="0"/>
              <w:rPr>
                <w:sz w:val="17"/>
                <w:szCs w:val="17"/>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Benjamin S. Carson, Sr., M.D.</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40" w:type="dxa"/>
            <w:vAlign w:val="bottom"/>
          </w:tcPr>
          <w:p>
            <w:pPr>
              <w:spacing w:after="0"/>
              <w:rPr>
                <w:sz w:val="16"/>
                <w:szCs w:val="16"/>
                <w:color w:val="auto"/>
              </w:rPr>
            </w:pPr>
          </w:p>
        </w:tc>
      </w:tr>
      <w:tr>
        <w:trPr>
          <w:trHeight w:val="19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Kary Eldred</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221,875</w:t>
            </w:r>
          </w:p>
        </w:tc>
        <w:tc>
          <w:tcPr>
            <w:tcW w:w="840" w:type="dxa"/>
            <w:vAlign w:val="bottom"/>
            <w:shd w:val="clear" w:color="auto" w:fill="CCEEFF"/>
          </w:tcPr>
          <w:p>
            <w:pPr>
              <w:spacing w:after="0"/>
              <w:rPr>
                <w:sz w:val="16"/>
                <w:szCs w:val="16"/>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Kevin Freeman</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283,125</w:t>
            </w:r>
          </w:p>
        </w:tc>
        <w:tc>
          <w:tcPr>
            <w:tcW w:w="840" w:type="dxa"/>
            <w:vAlign w:val="bottom"/>
          </w:tcPr>
          <w:p>
            <w:pPr>
              <w:spacing w:after="0"/>
              <w:rPr>
                <w:sz w:val="16"/>
                <w:szCs w:val="16"/>
                <w:color w:val="auto"/>
              </w:rPr>
            </w:pPr>
          </w:p>
        </w:tc>
      </w:tr>
      <w:tr>
        <w:trPr>
          <w:trHeight w:val="19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Joel Lewis</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594,500</w:t>
            </w:r>
          </w:p>
        </w:tc>
        <w:tc>
          <w:tcPr>
            <w:tcW w:w="840" w:type="dxa"/>
            <w:vAlign w:val="bottom"/>
            <w:shd w:val="clear" w:color="auto" w:fill="CCEEFF"/>
          </w:tcPr>
          <w:p>
            <w:pPr>
              <w:spacing w:after="0"/>
              <w:rPr>
                <w:sz w:val="16"/>
                <w:szCs w:val="16"/>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Gilbert S. Omenn, M.D., Ph.D.</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298,750</w:t>
            </w:r>
          </w:p>
        </w:tc>
        <w:tc>
          <w:tcPr>
            <w:tcW w:w="840" w:type="dxa"/>
            <w:vAlign w:val="bottom"/>
          </w:tcPr>
          <w:p>
            <w:pPr>
              <w:spacing w:after="0"/>
              <w:rPr>
                <w:sz w:val="16"/>
                <w:szCs w:val="16"/>
                <w:color w:val="auto"/>
              </w:rPr>
            </w:pPr>
          </w:p>
        </w:tc>
      </w:tr>
      <w:tr>
        <w:trPr>
          <w:trHeight w:val="19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 Rubin, M.D.</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224,565</w:t>
            </w:r>
          </w:p>
        </w:tc>
        <w:tc>
          <w:tcPr>
            <w:tcW w:w="840" w:type="dxa"/>
            <w:vAlign w:val="bottom"/>
            <w:shd w:val="clear" w:color="auto" w:fill="CCEEFF"/>
          </w:tcPr>
          <w:p>
            <w:pPr>
              <w:spacing w:after="0"/>
              <w:rPr>
                <w:sz w:val="16"/>
                <w:szCs w:val="16"/>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Elissa J. Schwartz</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840" w:type="dxa"/>
            <w:vAlign w:val="bottom"/>
          </w:tcPr>
          <w:p>
            <w:pPr>
              <w:spacing w:after="0"/>
              <w:rPr>
                <w:sz w:val="16"/>
                <w:szCs w:val="16"/>
                <w:color w:val="auto"/>
              </w:rPr>
            </w:pPr>
          </w:p>
        </w:tc>
      </w:tr>
      <w:tr>
        <w:trPr>
          <w:trHeight w:val="19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Harold Shlevin, Ph.D.</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475,000</w:t>
            </w:r>
          </w:p>
        </w:tc>
        <w:tc>
          <w:tcPr>
            <w:tcW w:w="840" w:type="dxa"/>
            <w:vAlign w:val="bottom"/>
            <w:shd w:val="clear" w:color="auto" w:fill="CCEEFF"/>
          </w:tcPr>
          <w:p>
            <w:pPr>
              <w:spacing w:after="0"/>
              <w:rPr>
                <w:sz w:val="16"/>
                <w:szCs w:val="16"/>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Richard E. Uihlein</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186,362</w:t>
            </w:r>
          </w:p>
        </w:tc>
        <w:tc>
          <w:tcPr>
            <w:tcW w:w="840" w:type="dxa"/>
            <w:vAlign w:val="bottom"/>
          </w:tcPr>
          <w:p>
            <w:pPr>
              <w:spacing w:after="0"/>
              <w:rPr>
                <w:sz w:val="16"/>
                <w:szCs w:val="16"/>
                <w:color w:val="auto"/>
              </w:rPr>
            </w:pPr>
          </w:p>
        </w:tc>
      </w:tr>
      <w:tr>
        <w:trPr>
          <w:trHeight w:val="19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Richard A. Zordani</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840" w:type="dxa"/>
            <w:vAlign w:val="bottom"/>
            <w:shd w:val="clear" w:color="auto" w:fill="CCEEFF"/>
          </w:tcPr>
          <w:p>
            <w:pPr>
              <w:spacing w:after="0"/>
              <w:rPr>
                <w:sz w:val="16"/>
                <w:szCs w:val="16"/>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Khurram Jamil, M.D.</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40" w:type="dxa"/>
            <w:vAlign w:val="bottom"/>
          </w:tcPr>
          <w:p>
            <w:pPr>
              <w:spacing w:after="0"/>
              <w:rPr>
                <w:sz w:val="16"/>
                <w:szCs w:val="16"/>
                <w:color w:val="auto"/>
              </w:rPr>
            </w:pPr>
          </w:p>
        </w:tc>
      </w:tr>
      <w:tr>
        <w:trPr>
          <w:trHeight w:val="189"/>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Jack Callicutt</w:t>
            </w:r>
          </w:p>
        </w:tc>
        <w:tc>
          <w:tcPr>
            <w:tcW w:w="940" w:type="dxa"/>
            <w:vAlign w:val="bottom"/>
            <w:tcBorders>
              <w:bottom w:val="single" w:sz="8" w:color="CCEEFF"/>
            </w:tcBorders>
            <w:gridSpan w:val="2"/>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442,456</w:t>
            </w:r>
          </w:p>
        </w:tc>
        <w:tc>
          <w:tcPr>
            <w:tcW w:w="840" w:type="dxa"/>
            <w:vAlign w:val="bottom"/>
            <w:tcBorders>
              <w:bottom w:val="single" w:sz="8" w:color="CCEEFF"/>
            </w:tcBorders>
            <w:shd w:val="clear" w:color="auto" w:fill="CCEEFF"/>
          </w:tcPr>
          <w:p>
            <w:pPr>
              <w:spacing w:after="0"/>
              <w:rPr>
                <w:sz w:val="16"/>
                <w:szCs w:val="16"/>
                <w:color w:val="auto"/>
              </w:rPr>
            </w:pP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All executive officers and directors as a group</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3,286,633</w:t>
            </w:r>
          </w:p>
        </w:tc>
        <w:tc>
          <w:tcPr>
            <w:tcW w:w="840" w:type="dxa"/>
            <w:vAlign w:val="bottom"/>
          </w:tcPr>
          <w:p>
            <w:pPr>
              <w:spacing w:after="0"/>
              <w:rPr>
                <w:sz w:val="17"/>
                <w:szCs w:val="17"/>
                <w:color w:val="auto"/>
              </w:rPr>
            </w:pPr>
          </w:p>
        </w:tc>
      </w:tr>
    </w:tbl>
    <w:p>
      <w:pPr>
        <w:spacing w:after="0" w:line="68" w:lineRule="exact"/>
        <w:rPr>
          <w:sz w:val="20"/>
          <w:szCs w:val="20"/>
          <w:color w:val="auto"/>
        </w:rPr>
      </w:pPr>
    </w:p>
    <w:p>
      <w:pPr>
        <w:ind w:left="640" w:right="399" w:hanging="348"/>
        <w:spacing w:after="0" w:line="236"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named person and group included in this table, percentage ownership of our Common Stock is calculated by dividing the number of shares of our Common Stock beneficially owned by such person or group by the sum of (i) 62,308,075 shares of our Common Stock outstanding as of October 1, 2024 and (ii) the number of shares of our Common Stock that such person has the right to acquire within 60 days after October 1, 2024.</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1,260,000 shares of Series A preferred stock outstanding as of October 1, 2024.</w:t>
      </w:r>
    </w:p>
    <w:p>
      <w:pPr>
        <w:spacing w:after="0" w:line="41" w:lineRule="exact"/>
        <w:rPr>
          <w:rFonts w:ascii="Times New Roman" w:cs="Times New Roman" w:eastAsia="Times New Roman" w:hAnsi="Times New Roman"/>
          <w:sz w:val="14"/>
          <w:szCs w:val="14"/>
          <w:color w:val="auto"/>
        </w:rPr>
      </w:pPr>
    </w:p>
    <w:p>
      <w:pPr>
        <w:ind w:left="640" w:right="439" w:hanging="348"/>
        <w:spacing w:after="0" w:line="233"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5,922,207 common shares, and (ii) 5,732,253 common shares issuable upon exercise of warrants,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764,616 shares of Common Stock owned by Mr. Czirr, 314,125 shares issuable upon the exercise of vested stock options owned by Mr. Czirr, and 16,667 shares of our Common Stock issuable upon conversion of Series A preferred stock owned by Mr. Czirr.</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5,922,207 common shares, and (ii) 5,732,253 common shares issuable upon exercise of warrants.</w:t>
      </w:r>
    </w:p>
    <w:p>
      <w:pPr>
        <w:spacing w:after="0" w:line="41" w:lineRule="exact"/>
        <w:rPr>
          <w:rFonts w:ascii="Times New Roman" w:cs="Times New Roman" w:eastAsia="Times New Roman" w:hAnsi="Times New Roman"/>
          <w:sz w:val="14"/>
          <w:szCs w:val="14"/>
          <w:color w:val="auto"/>
        </w:rPr>
      </w:pPr>
    </w:p>
    <w:p>
      <w:pPr>
        <w:ind w:left="640" w:right="93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Smith is the manager of Early Equities LLC, a Connecticut limited liability company, and may be deemed to have voting and investment control over, but disclaims beneficial ownership of, the shares of Series A preferred stock.</w:t>
      </w:r>
    </w:p>
    <w:p>
      <w:pPr>
        <w:ind w:left="640" w:right="45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 c/o 10X Capital Management, LLC at Davis Gillett Mottern &amp; Sims LLC attn: Bob Mottern 545 Dutch Valley Road, N.E., Suite A, Atlanta, GA 30309.</w:t>
      </w: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 c/o David Smith 34 Shorehaven Road E., Norwalk, CT 06855.</w:t>
      </w:r>
    </w:p>
    <w:p>
      <w:pPr>
        <w:spacing w:after="0" w:line="41" w:lineRule="exact"/>
        <w:rPr>
          <w:rFonts w:ascii="Times New Roman" w:cs="Times New Roman" w:eastAsia="Times New Roman" w:hAnsi="Times New Roman"/>
          <w:sz w:val="14"/>
          <w:szCs w:val="14"/>
          <w:color w:val="auto"/>
        </w:rPr>
      </w:pPr>
    </w:p>
    <w:p>
      <w:pPr>
        <w:ind w:left="640" w:right="399" w:hanging="348"/>
        <w:spacing w:after="0" w:line="236"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469,111 shares of the Company’s Common Stock and warrants for the purchase of 75,432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 c/o Uline Corporation, 12575 Uline Drive, Pleasant Prairie, WI 53158</w:t>
      </w:r>
    </w:p>
    <w:p>
      <w:pPr>
        <w:spacing w:after="0" w:line="41" w:lineRule="exact"/>
        <w:rPr>
          <w:rFonts w:ascii="Times New Roman" w:cs="Times New Roman" w:eastAsia="Times New Roman" w:hAnsi="Times New Roman"/>
          <w:sz w:val="14"/>
          <w:szCs w:val="14"/>
          <w:color w:val="auto"/>
        </w:rPr>
      </w:pPr>
    </w:p>
    <w:p>
      <w:pPr>
        <w:ind w:left="640" w:right="639" w:hanging="348"/>
        <w:spacing w:after="0" w:line="236"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10,306,461 shares of common stock, (ii) 2,300,180 common shares issuable upon the exercise of Common Stock purchase warrants, (iii) 6,872,504 common shares issuable upon conversion of notes payable, (iv) 24,698,459 common shares issuable upon conversion of notes payable from line of credit, (v) 83,334 common shares issuable upon conversion of Series C preferred non-voting stock, and (vi) 186,362 common shares issuable upon the exercise of common stock options.</w:t>
      </w:r>
    </w:p>
    <w:p>
      <w:pPr>
        <w:spacing w:after="0" w:line="14"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54,138 shares of Common Stock and 6,599 Common Stock purchase warrants personally owned by Mr. Eldred, 431,527 shares of Common Stock, and 4,425 shares of Common Stock held in a trust or for a minor child; however, Mr. Eldred disclaims beneficial ownership of the shares and warrants owned by such private foundations or trusts.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or “Board”, has nominated eleven members currently serving on our Board, identified below, to be re-elected at the 2024 Annual Meeting to serve until the 2025 annual meeting of stockholders and until their respective successors are elected and qualified. Each of the director nominees has agreed to serve on the Board, if elected.</w:t>
      </w:r>
    </w:p>
    <w:p>
      <w:pPr>
        <w:spacing w:after="0" w:line="72"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the nominees, as of January 23, 2025, including their ages, positions with Galectin Therapeutics, recent employment and other directorships.</w:t>
      </w:r>
    </w:p>
    <w:p>
      <w:pPr>
        <w:spacing w:after="0" w:line="2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A VOTE “FOR”</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i w:val="1"/>
          <w:iCs w:val="1"/>
          <w:color w:val="auto"/>
        </w:rPr>
        <w:t>THE ELECTION TO THE BOARD OF EACH NOMINEE.</w:t>
      </w:r>
    </w:p>
    <w:p>
      <w:pPr>
        <w:spacing w:after="0" w:line="99"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persons who have been nominated for election at the 2024 Annual Meeting to serve on our Board of Directors are named in the table below. Proxies cannot be voted for a greater number of persons than the number of nominees named.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Nominees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3"/>
        </w:trPr>
        <w:tc>
          <w:tcPr>
            <w:tcW w:w="6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0"/>
        </w:trPr>
        <w:tc>
          <w:tcPr>
            <w:tcW w:w="672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Gilbert F. Amelio, Ph.D.</w:t>
            </w:r>
            <w:r>
              <w:rPr>
                <w:rFonts w:ascii="Times New Roman" w:cs="Times New Roman" w:eastAsia="Times New Roman" w:hAnsi="Times New Roman"/>
                <w:sz w:val="29"/>
                <w:szCs w:val="29"/>
                <w:color w:val="auto"/>
                <w:vertAlign w:val="superscript"/>
              </w:rPr>
              <w:t>(2)(3)</w:t>
            </w:r>
          </w:p>
        </w:tc>
        <w:tc>
          <w:tcPr>
            <w:tcW w:w="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81</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4"/>
              </w:rPr>
              <w:t>2009</w:t>
            </w:r>
          </w:p>
        </w:tc>
      </w:tr>
      <w:tr>
        <w:trPr>
          <w:trHeight w:val="23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72</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88"/>
        </w:trPr>
        <w:tc>
          <w:tcPr>
            <w:tcW w:w="672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Kary Eldred</w:t>
            </w:r>
            <w:r>
              <w:rPr>
                <w:rFonts w:ascii="Times New Roman" w:cs="Times New Roman" w:eastAsia="Times New Roman" w:hAnsi="Times New Roman"/>
                <w:sz w:val="29"/>
                <w:szCs w:val="29"/>
                <w:color w:val="auto"/>
                <w:vertAlign w:val="superscript"/>
              </w:rPr>
              <w:t>(1)</w:t>
            </w:r>
          </w:p>
        </w:tc>
        <w:tc>
          <w:tcPr>
            <w:tcW w:w="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50</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4"/>
              </w:rPr>
              <w:t>2018</w:t>
            </w:r>
          </w:p>
        </w:tc>
      </w:tr>
      <w:tr>
        <w:trPr>
          <w:trHeight w:val="283"/>
        </w:trPr>
        <w:tc>
          <w:tcPr>
            <w:tcW w:w="67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Kevin D. Freeman</w:t>
            </w:r>
            <w:r>
              <w:rPr>
                <w:rFonts w:ascii="Times New Roman" w:cs="Times New Roman" w:eastAsia="Times New Roman" w:hAnsi="Times New Roman"/>
                <w:sz w:val="29"/>
                <w:szCs w:val="29"/>
                <w:color w:val="auto"/>
                <w:vertAlign w:val="superscript"/>
              </w:rPr>
              <w:t>(1)(2)(3)</w:t>
            </w:r>
          </w:p>
        </w:tc>
        <w:tc>
          <w:tcPr>
            <w:tcW w:w="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63</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4"/>
              </w:rPr>
              <w:t>2011</w:t>
            </w:r>
          </w:p>
        </w:tc>
      </w:tr>
      <w:tr>
        <w:trPr>
          <w:trHeight w:val="243"/>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54</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4"/>
              </w:rPr>
              <w:t>2017</w:t>
            </w:r>
          </w:p>
        </w:tc>
      </w:tr>
      <w:tr>
        <w:trPr>
          <w:trHeight w:val="283"/>
        </w:trPr>
        <w:tc>
          <w:tcPr>
            <w:tcW w:w="67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Gilbert S. Omenn, M.D., Ph.D.</w:t>
            </w:r>
            <w:r>
              <w:rPr>
                <w:rFonts w:ascii="Times New Roman" w:cs="Times New Roman" w:eastAsia="Times New Roman" w:hAnsi="Times New Roman"/>
                <w:sz w:val="29"/>
                <w:szCs w:val="29"/>
                <w:color w:val="auto"/>
                <w:vertAlign w:val="superscript"/>
              </w:rPr>
              <w:t>(2)</w:t>
            </w:r>
          </w:p>
        </w:tc>
        <w:tc>
          <w:tcPr>
            <w:tcW w:w="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83</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4"/>
              </w:rPr>
              <w:t>2014</w:t>
            </w:r>
          </w:p>
        </w:tc>
      </w:tr>
      <w:tr>
        <w:trPr>
          <w:trHeight w:val="283"/>
        </w:trPr>
        <w:tc>
          <w:tcPr>
            <w:tcW w:w="67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Marc Rubin, M.D.</w:t>
            </w:r>
            <w:r>
              <w:rPr>
                <w:rFonts w:ascii="Times New Roman" w:cs="Times New Roman" w:eastAsia="Times New Roman" w:hAnsi="Times New Roman"/>
                <w:sz w:val="29"/>
                <w:szCs w:val="29"/>
                <w:color w:val="auto"/>
                <w:vertAlign w:val="superscript"/>
              </w:rPr>
              <w:t>(3)</w:t>
            </w:r>
          </w:p>
        </w:tc>
        <w:tc>
          <w:tcPr>
            <w:tcW w:w="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69</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4"/>
              </w:rPr>
              <w:t>2011</w:t>
            </w:r>
          </w:p>
        </w:tc>
      </w:tr>
      <w:tr>
        <w:trPr>
          <w:trHeight w:val="283"/>
        </w:trPr>
        <w:tc>
          <w:tcPr>
            <w:tcW w:w="67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Elissa J. Schwartz, Ph.D.</w:t>
            </w:r>
            <w:r>
              <w:rPr>
                <w:rFonts w:ascii="Times New Roman" w:cs="Times New Roman" w:eastAsia="Times New Roman" w:hAnsi="Times New Roman"/>
                <w:sz w:val="29"/>
                <w:szCs w:val="29"/>
                <w:color w:val="auto"/>
                <w:vertAlign w:val="superscript"/>
              </w:rPr>
              <w:t>(3)</w:t>
            </w:r>
          </w:p>
        </w:tc>
        <w:tc>
          <w:tcPr>
            <w:tcW w:w="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54</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4"/>
              </w:rPr>
              <w:t>2020</w:t>
            </w:r>
          </w:p>
        </w:tc>
      </w:tr>
      <w:tr>
        <w:trPr>
          <w:trHeight w:val="243"/>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75</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4"/>
              </w:rPr>
              <w:t>2019</w:t>
            </w:r>
          </w:p>
        </w:tc>
      </w:tr>
      <w:tr>
        <w:trPr>
          <w:trHeight w:val="23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Richard E. Uihlein, Chairman</w:t>
            </w:r>
          </w:p>
        </w:tc>
        <w:tc>
          <w:tcPr>
            <w:tcW w:w="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79</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4"/>
              </w:rPr>
              <w:t>2017</w:t>
            </w:r>
          </w:p>
        </w:tc>
      </w:tr>
      <w:tr>
        <w:trPr>
          <w:trHeight w:val="274"/>
        </w:trPr>
        <w:tc>
          <w:tcPr>
            <w:tcW w:w="6720" w:type="dxa"/>
            <w:vAlign w:val="bottom"/>
            <w:shd w:val="clear" w:color="auto" w:fill="CCEEFF"/>
          </w:tcPr>
          <w:p>
            <w:pPr>
              <w:spacing w:after="0" w:line="274" w:lineRule="exact"/>
              <w:rPr>
                <w:sz w:val="20"/>
                <w:szCs w:val="20"/>
                <w:color w:val="auto"/>
              </w:rPr>
            </w:pPr>
            <w:r>
              <w:rPr>
                <w:rFonts w:ascii="Times New Roman" w:cs="Times New Roman" w:eastAsia="Times New Roman" w:hAnsi="Times New Roman"/>
                <w:sz w:val="18"/>
                <w:szCs w:val="18"/>
                <w:color w:val="auto"/>
              </w:rPr>
              <w:t>Richard A. Zordani</w:t>
            </w:r>
            <w:r>
              <w:rPr>
                <w:rFonts w:ascii="Times New Roman" w:cs="Times New Roman" w:eastAsia="Times New Roman" w:hAnsi="Times New Roman"/>
                <w:sz w:val="29"/>
                <w:szCs w:val="29"/>
                <w:color w:val="auto"/>
                <w:vertAlign w:val="superscript"/>
              </w:rPr>
              <w:t>(1)</w:t>
            </w:r>
          </w:p>
        </w:tc>
        <w:tc>
          <w:tcPr>
            <w:tcW w:w="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52</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4"/>
              </w:rPr>
              <w:t>2020</w:t>
            </w:r>
          </w:p>
        </w:tc>
      </w:tr>
      <w:tr>
        <w:trPr>
          <w:trHeight w:val="54"/>
        </w:trPr>
        <w:tc>
          <w:tcPr>
            <w:tcW w:w="67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audit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compensation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nominating and governance committee</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Gilbert F. Amelio, Ph.D</w:t>
      </w:r>
      <w:r>
        <w:rPr>
          <w:rFonts w:ascii="Times New Roman" w:cs="Times New Roman" w:eastAsia="Times New Roman" w:hAnsi="Times New Roman"/>
          <w:sz w:val="18"/>
          <w:szCs w:val="18"/>
          <w:color w:val="auto"/>
        </w:rPr>
        <w:t>., a director since February 2009, began his career at Bell Labs in Murray Hill,</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Jersey. Since January 1, 2012, Dr. Amelio has provided consulting and advisory services through GFA, LLC,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California limited liability company. He was a Senior Partner of Sienna Ventures (a privately held venture capital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firm in Sausalito, California) from April 2001 until the fund closed per plan on December 31, 2011. Dr. Amelio was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and Chief Executive Officer of Jazz Technologies, Inc. (now a wholly owned subsidiary of Tower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Semiconductor Ltd., an independent specialty wafer foundry) from August 2005 until his retirement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2008 (when he was named Chairman Emeritus). Dr. Amelio was Chairman and Chief Executive Officer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Beneventure Capital, LLC (a full-service venture capital firm in San Francisco, California) from 1999 to 2005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was Principal of Aircraft Ventures, LLC (a consulting firm in Newport Beach, California) from April 1997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2004. Dr. Amelio was elected a Director of AT&amp;T in February 2001 and had previously served as 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Advisory Director of AT&amp;T (then known as SBC Communications Inc.) from April 1997 to February 2001. 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served as a Director of Pacific Telesis Group from 1995 until the company was acquired by AT&amp;T in 1997. Prior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1997, he served as Chairman, President and CEO of National Semiconductor (1991-1996) and Apple Computer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(1996-1997). We believe Dr. Amelio’s qualifications to sit on our Board of Directors include his executive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leadership and management experience, as well as his extensive experience with global companies, his financial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expertise and his years of experience providing strategic advisory services to organizations.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00" w:right="3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Dr. Benjamin S. Carson, Sr., </w:t>
      </w:r>
      <w:r>
        <w:rPr>
          <w:rFonts w:ascii="Times New Roman" w:cs="Times New Roman" w:eastAsia="Times New Roman" w:hAnsi="Times New Roman"/>
          <w:sz w:val="18"/>
          <w:szCs w:val="18"/>
          <w:color w:val="auto"/>
        </w:rPr>
        <w:t>71, is a new nominee for this year. Dr. Carson served as the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Department of Housing and Urban Development (“HUD”) from 2017 to 2021. Dr. Carson is a world-renowned neurosurgeon who prior to serving as HUD Secretary was involved with more than 15,000 surgical procedures and was the recipient of numerous awards, including the Presidential Medal of Freedom, more than 70 honorary doctorate degrees and the Spingarn Medal, the NAACP’s highest honor. Dr. Carson serves on the Board of Directors for D.R. Horton, Inc. (NYSE: DHI), Covenant Logistics Group, Inc. (NASDAQ: CVLG), and Sinclair Broadcast Group, Inc. (NASDAQ: SBGI). In addition, Dr. Carson previously served on the Board of Directors of both The Kellogg Company (NYSE: K) and Costco Wholesale Corporation (NASDAQ: COST). Dr. Carson is the founder and current Chairman of the American Cornerstone Institute. Dr. Carson is on the Board of Directors of the Carson Scholars Fund, an organization he and his wife, Mrs. Candy Carson, founded in 1994. Throughout his distinguished career, Dr. Carson contributed to the field of medicine through the thousands of surgeries he performed and the many leadership positions he held, including serving as Director of the Division of Pediatric Neurosurgery at The Johns Hopkins Medical Institutions from 1984 to 2013 as well a Professor of Neurological Surgery, Oncology, Plastic Surgery, and Pediatrics at The Johns Hopkins Medical Institutions from 1999 to 2013. The Board believes that Dr. Carson’s extensive medical, management, director, leadership, financial, and information security experience make him highly qualified to serve as a member of our Board.</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Kary Eldred, </w:t>
      </w:r>
      <w:r>
        <w:rPr>
          <w:rFonts w:ascii="Times New Roman" w:cs="Times New Roman" w:eastAsia="Times New Roman" w:hAnsi="Times New Roman"/>
          <w:sz w:val="18"/>
          <w:szCs w:val="18"/>
          <w:color w:val="auto"/>
        </w:rPr>
        <w:t>is a director since 2018 and Chief Investment Officer for the Living Stones Foundation since</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July 2015 and has been an active private equity investor for many years. In these capacities, he serves and has served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a number of corporate boards of companies with potential for and driving toward initial public offerings and 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currently serving as a board member in Buy It Installed (since 2017), Babywise and Wise King Media (since 2015).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Kary Eldred also served on the board and audit committee of GCT Semiconductor. From January 2011 through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2014, Mr. Eldred was CEO &amp; Chairman of Altadona, S.A. a software integration company based in Europe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prior to that was a principal in Parakletos Ventures, an institutional venture capital firm with several investments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companies that went on to be acquired or become publicly listed on different exchanges around the world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including the NASDAQ, KOSDAQ and the GEM market. Mr. Eldred has an Executive MBA from IE Business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School and a BA in Foreign Service from Baylor University. We believe that Mr. Eldred’s qualifications to sit on our</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include his experience serving on boards of several companies and experience in venture capital and private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equity investing.</w:t>
      </w:r>
    </w:p>
    <w:p>
      <w:pPr>
        <w:spacing w:after="0" w:line="97" w:lineRule="exact"/>
        <w:rPr>
          <w:sz w:val="20"/>
          <w:szCs w:val="20"/>
          <w:color w:val="auto"/>
        </w:rPr>
      </w:pPr>
    </w:p>
    <w:p>
      <w:pPr>
        <w:ind w:left="300" w:right="399" w:firstLine="3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Kevin D. Freeman, </w:t>
      </w:r>
      <w:r>
        <w:rPr>
          <w:rFonts w:ascii="Times New Roman" w:cs="Times New Roman" w:eastAsia="Times New Roman" w:hAnsi="Times New Roman"/>
          <w:sz w:val="17"/>
          <w:szCs w:val="17"/>
          <w:color w:val="auto"/>
        </w:rPr>
        <w:t>a director since May 2011, holds the Chartered Financial Analyst designation and is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of Cross 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w:t>
      </w:r>
    </w:p>
    <w:p>
      <w:pPr>
        <w:spacing w:after="0" w:line="2" w:lineRule="exact"/>
        <w:rPr>
          <w:sz w:val="20"/>
          <w:szCs w:val="20"/>
          <w:color w:val="auto"/>
        </w:rPr>
      </w:pPr>
    </w:p>
    <w:p>
      <w:pPr>
        <w:ind w:left="300" w:right="439"/>
        <w:spacing w:after="0" w:line="260" w:lineRule="auto"/>
        <w:rPr>
          <w:sz w:val="20"/>
          <w:szCs w:val="20"/>
          <w:color w:val="auto"/>
        </w:rPr>
      </w:pPr>
      <w:r>
        <w:rPr>
          <w:rFonts w:ascii="Times New Roman" w:cs="Times New Roman" w:eastAsia="Times New Roman" w:hAnsi="Times New Roman"/>
          <w:sz w:val="18"/>
          <w:szCs w:val="18"/>
          <w:color w:val="auto"/>
        </w:rPr>
        <w:t>Mr. Freeman’s qualifications to sit on our Board of Directors include his extensive financial expertise and his years of experience providing financial advisory services.</w:t>
      </w:r>
    </w:p>
    <w:p>
      <w:pPr>
        <w:spacing w:after="0" w:line="7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Joel Lewis</w:t>
      </w:r>
      <w:r>
        <w:rPr>
          <w:rFonts w:ascii="Times New Roman" w:cs="Times New Roman" w:eastAsia="Times New Roman" w:hAnsi="Times New Roman"/>
          <w:sz w:val="18"/>
          <w:szCs w:val="18"/>
          <w:color w:val="auto"/>
        </w:rPr>
        <w:t>, a director since 2017, became our President and Chief Executive Officer on September 2,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he was the Managing 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8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Gilbert S. Omenn, M.D., Ph.D.</w:t>
      </w:r>
      <w:r>
        <w:rPr>
          <w:rFonts w:ascii="Times New Roman" w:cs="Times New Roman" w:eastAsia="Times New Roman" w:hAnsi="Times New Roman"/>
          <w:sz w:val="18"/>
          <w:szCs w:val="18"/>
          <w:color w:val="auto"/>
        </w:rPr>
        <w:t>, a director since September 2014, served on the board of directors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Amgen Inc. for 27 years and of Rohm &amp; Haas Company for 22 years. He currently serves on the boards of Oncofusion Therapeutics and MedsynBio LLC of Ann Arbor, MI. Dr. Omenn is the Harold T. Shapiro Distinguished University Professor of Computational Medicine &amp; Bioinformatics, Internal Medicine, Human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82" w:lineRule="exact"/>
        <w:rPr>
          <w:sz w:val="20"/>
          <w:szCs w:val="20"/>
          <w:color w:val="auto"/>
        </w:rPr>
      </w:pPr>
    </w:p>
    <w:p>
      <w:pPr>
        <w:ind w:left="300" w:right="539" w:firstLine="3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Marc Rubin, M.D, </w:t>
      </w:r>
      <w:r>
        <w:rPr>
          <w:rFonts w:ascii="Times New Roman" w:cs="Times New Roman" w:eastAsia="Times New Roman" w:hAnsi="Times New Roman"/>
          <w:sz w:val="17"/>
          <w:szCs w:val="17"/>
          <w:color w:val="auto"/>
        </w:rPr>
        <w:t>a director since October 2011 and Chairman of the Board from January 2016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2018, is Executive Chairman of the Board of Directors of Titan Pharmaceuticals, Inc. (TTNP: OTC BB) and served as its President and Chief Executive Officer from October 2007 to January 2009. Until February 2007,</w:t>
      </w:r>
    </w:p>
    <w:p>
      <w:pPr>
        <w:spacing w:after="0" w:line="1" w:lineRule="exact"/>
        <w:rPr>
          <w:sz w:val="20"/>
          <w:szCs w:val="20"/>
          <w:color w:val="auto"/>
        </w:rPr>
      </w:pPr>
    </w:p>
    <w:p>
      <w:pPr>
        <w:ind w:left="300" w:right="319"/>
        <w:spacing w:after="0" w:line="250" w:lineRule="auto"/>
        <w:rPr>
          <w:sz w:val="20"/>
          <w:szCs w:val="20"/>
          <w:color w:val="auto"/>
        </w:rPr>
      </w:pPr>
      <w:r>
        <w:rPr>
          <w:rFonts w:ascii="Times New Roman" w:cs="Times New Roman" w:eastAsia="Times New Roman" w:hAnsi="Times New Roman"/>
          <w:sz w:val="18"/>
          <w:szCs w:val="18"/>
          <w:color w:val="auto"/>
        </w:rPr>
        <w:t>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w:t>
      </w:r>
    </w:p>
    <w:p>
      <w:pPr>
        <w:spacing w:after="0" w:line="3"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77"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Elissa J. Schwartz, Ph.D., </w:t>
      </w:r>
      <w:r>
        <w:rPr>
          <w:rFonts w:ascii="Times New Roman" w:cs="Times New Roman" w:eastAsia="Times New Roman" w:hAnsi="Times New Roman"/>
          <w:sz w:val="18"/>
          <w:szCs w:val="18"/>
          <w:color w:val="auto"/>
        </w:rPr>
        <w:t>a director appointed by the board in September 2020, is a disease modeler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a professor of biological 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and she is currently on the WSU COVID-19 modeling task force. Dr. Schwartz is the author of over 30 scientific publications on infectious disease, the immune response, and biological modeling. She serves on the Board of Directors for the Society for Mathematical Biology, and she previously served as a consultant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pacing w:after="0" w:line="79"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Harold Shlevin, Ph.D.</w:t>
      </w:r>
      <w:r>
        <w:rPr>
          <w:rFonts w:ascii="Times New Roman" w:cs="Times New Roman" w:eastAsia="Times New Roman" w:hAnsi="Times New Roman"/>
          <w:sz w:val="18"/>
          <w:szCs w:val="18"/>
          <w:color w:val="auto"/>
        </w:rPr>
        <w:t>, retired from being our President and Chief Executive Officer on September 2, 2020,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he had held since June 14, 2018; however, Dr. Shlevin has entered into a consulting agreement with the Company which ran through December 31, 2021.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Dr. Shlevin currently serves on the Board of Directors of Moonlight Therapeutics. We believe Dr. Shlevin’s qualifications to sit on our Board of Directors include his extensive executive leadership and management experience in the pharmaceutical industry.</w:t>
      </w:r>
    </w:p>
    <w:p>
      <w:pPr>
        <w:spacing w:after="0" w:line="78"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Richard E. Uihlein</w:t>
      </w:r>
      <w:r>
        <w:rPr>
          <w:rFonts w:ascii="Times New Roman" w:cs="Times New Roman" w:eastAsia="Times New Roman" w:hAnsi="Times New Roman"/>
          <w:sz w:val="18"/>
          <w:szCs w:val="18"/>
          <w:color w:val="auto"/>
        </w:rPr>
        <w:t>, a director since 2017 and Chairman since May 2018, co-founded Uline, Inc.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of shipping, packaging and 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 his extensive executive leadership and management experience.</w:t>
      </w:r>
    </w:p>
    <w:p>
      <w:pPr>
        <w:spacing w:after="0" w:line="7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Richard A. Zordani, </w:t>
      </w:r>
      <w:r>
        <w:rPr>
          <w:rFonts w:ascii="Times New Roman" w:cs="Times New Roman" w:eastAsia="Times New Roman" w:hAnsi="Times New Roman"/>
          <w:sz w:val="18"/>
          <w:szCs w:val="18"/>
          <w:color w:val="auto"/>
        </w:rPr>
        <w:t>a director appointed by the board in September 2020, has been the Director of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at Uline, Inc. (a distributor 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Joel Lewis, </w:t>
      </w:r>
      <w:r>
        <w:rPr>
          <w:rFonts w:ascii="Times New Roman" w:cs="Times New Roman" w:eastAsia="Times New Roman" w:hAnsi="Times New Roman"/>
          <w:sz w:val="18"/>
          <w:szCs w:val="18"/>
          <w:color w:val="auto"/>
        </w:rPr>
        <w:t>see above under Nominees.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Jack W. Callicutt, </w:t>
      </w:r>
      <w:r>
        <w:rPr>
          <w:rFonts w:ascii="Times New Roman" w:cs="Times New Roman" w:eastAsia="Times New Roman" w:hAnsi="Times New Roman"/>
          <w:sz w:val="18"/>
          <w:szCs w:val="18"/>
          <w:color w:val="auto"/>
        </w:rPr>
        <w:t>age 56, became our Chief Financial Officer on July 1, 2013. From August 2012 through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Mr. Callicutt was the Chief 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the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77"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Khurram Jamil, M.D</w:t>
      </w:r>
      <w:r>
        <w:rPr>
          <w:rFonts w:ascii="Times New Roman" w:cs="Times New Roman" w:eastAsia="Times New Roman" w:hAnsi="Times New Roman"/>
          <w:sz w:val="18"/>
          <w:szCs w:val="18"/>
          <w:color w:val="auto"/>
        </w:rPr>
        <w:t>. age 49, become the Company’s Chief Medical Officer on August 1, 2024.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joining the Company, Dr. Jamil was employed at Mallinckrodt Pharmaceuticals from July 2015 to February 2024, where he was Vice President Hepatology and led the development teams that achieved approval of two compounds in the U.S. and Japan, conducted trials in liver cirrhosis and its complications, and designed and executed the largest trial in Hepatorenal Syndrome. Earlier in his career he held positions in medical affairs in Ikaria Inc and Organon Pharmaceuticals USA where he led successful launches of first-in-class therapies and developed strategies to assess disease burden, cost-effectiveness, and value proposition of approved drugs in new therapeutic areas. He holds 7 patents, has given over 95 poster and oral presentations and published over 40 manuscripts, including in the prestigious New England Journal of Medicine. Dr. Jamil is board certified in General Surgery. He completed his residency in Seaton Hall University, NJ, and earned his M.B.B.S. from King Edward Medical University at Lahore, Pakistan.</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Medical Officer and Chief Financial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Our Board has a standing Audit Committee, Compensation Committee, and Nominating and Corporate Governance Committee.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of the Audit Committee, the Compensation Committee, the Nominating and Corporate Governance Committee are available on the Company’s website at </w:t>
      </w:r>
      <w:r>
        <w:rPr>
          <w:rFonts w:ascii="Times New Roman" w:cs="Times New Roman" w:eastAsia="Times New Roman" w:hAnsi="Times New Roman"/>
          <w:sz w:val="18"/>
          <w:szCs w:val="18"/>
          <w:u w:val="single" w:color="auto"/>
          <w:color w:val="auto"/>
        </w:rPr>
        <w:t>www.galectintherapeutics.com</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met twice in 2023. Dr. Gilbert S. Omenn (chair), Gilbert F. Amelio, Ph.D. and Kevin F. Freeman are the members of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Compensation Committee is responsible for the administration of grants and awards to directors, officers, employees, consultants and advisors under our equity plan.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met 4 times in 2023. 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Nominating and Corporate Governance Committee met four times in 2023. Gilbert F. Amelio,</w:t>
      </w:r>
    </w:p>
    <w:p>
      <w:pPr>
        <w:spacing w:after="0" w:line="27" w:lineRule="exact"/>
        <w:rPr>
          <w:sz w:val="20"/>
          <w:szCs w:val="20"/>
          <w:color w:val="auto"/>
        </w:rPr>
      </w:pPr>
    </w:p>
    <w:p>
      <w:pPr>
        <w:ind w:left="300" w:right="379"/>
        <w:spacing w:after="0" w:line="251" w:lineRule="auto"/>
        <w:rPr>
          <w:sz w:val="20"/>
          <w:szCs w:val="20"/>
          <w:color w:val="auto"/>
        </w:rPr>
      </w:pPr>
      <w:r>
        <w:rPr>
          <w:rFonts w:ascii="Times New Roman" w:cs="Times New Roman" w:eastAsia="Times New Roman" w:hAnsi="Times New Roman"/>
          <w:sz w:val="18"/>
          <w:szCs w:val="18"/>
          <w:color w:val="auto"/>
        </w:rPr>
        <w:t>Ph.D. (chair), Marc Rubin, Kevin Freeman and Elissa Schwartz are the members of the Nominating and Corporate Governance Committee. The Nominating and Corporate Governance Committee is responsible for identifying individuals qualified to become members of the Board, recommending candidates for election or re-election as directors to the Board, and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Nominating and Corporate Governance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Determination of Director Independence</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the Company, either directly or indirectly. Based upon this review, our board has determined that all of our current directors and the director nominees other than Mr. Lewis and Dr. Carson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 Mr. Zordani is an “audit committee financial expert” within the meaning of SEC rules. With respect to our compensation committee, our board of directors has determined that Drs. Omenn and Amelio and Mr. Freeman satisfy the independence standards for such committee established by Rule 10C-1 under the Exchange Act, the SEC and the NASDAQ Marketplace Rules, as applicable.</w:t>
      </w:r>
    </w:p>
    <w:p>
      <w:pPr>
        <w:spacing w:after="0" w:line="7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SEC adopted final rules implementing the incentive-based compensation recovery provisions of the Dodd-Frank Act, and Nasdaq has adopted listing standards consistent with the SEC rules. In compliance with those standards, we have adopted an incentive compensation recoupment policy, or “clawback” policy, which applies to our executive officers, within the meaning of Section 10D of the Exchange Act and Rule 10D-1 promulgated thereunder, who were employed by the Company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Company may not indemnify any such covered officer against the loss of such recovered compensation.</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with Respect to Transactions with Related Persons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executive officers and the Board are also required to complete a questionnaire on an annual basis that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jc w:val="both"/>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Except as set forth below, since the beginning of fiscal year 2023,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72"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2022.</w:t>
      </w:r>
    </w:p>
    <w:p>
      <w:pPr>
        <w:spacing w:after="0" w:line="72"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On April 16, 2021, the Company and Richard E. Uihlein entered into a debt financing arrangement whereby Mr. Uihlein loaned ten million dollars to Company. In consideration for the loan, the Company issued a convertible promissory note (the “April 2021 Note”) in the principal amount of ten million dollars. The April 2021 Note has maturity date of April 16, 2025 and is convertible into the Company’s common stock at a conversion price equal to $5.00 per share at the option of the noteholder, which was 228% of the closing price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58" w:lineRule="auto"/>
        <w:rPr>
          <w:sz w:val="20"/>
          <w:szCs w:val="20"/>
          <w:color w:val="auto"/>
        </w:rPr>
      </w:pPr>
      <w:r>
        <w:rPr>
          <w:rFonts w:ascii="Times New Roman" w:cs="Times New Roman" w:eastAsia="Times New Roman" w:hAnsi="Times New Roman"/>
          <w:sz w:val="18"/>
          <w:szCs w:val="18"/>
          <w:color w:val="auto"/>
        </w:rPr>
        <w:t>our stock on April 16, 2021. The April 2021 Note bears interest on at the rate of two percent (2%) per annum, compounded annually, and accrues additional interest at a rate of two and one-half percent (2.5%) per quarter (the “Additional Interest”) beginning on the date of issuance of the April 2021 Note and ending on the maturity date, provided however, that such Additional Interest is payable if and only if the noteholder elects to convert the entire balance of the April 2021 Note into the Company’s common stock.</w:t>
      </w:r>
    </w:p>
    <w:p>
      <w:pPr>
        <w:spacing w:after="0" w:line="75"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On September 17, 2021, the Company and Richard E. Uihlein entered into an additional debt financing arrangement for $20 million whereby Mr. Uihlein loaned ten million dollars to Company upon signing the agreement with an additional ten million dollar loan to close in December 2021. In consideration for the initial loan, the Company issued a convertible promissory note (the “September 2021 Note”) in the principal amount of ten million dollars. The September 2021 Note has maturity date of September 17, 2025 and is convertible into the Company’s common stock at a conversion price equal to $8.64 per share at the option of the noteholder, which is 228% of the closing price of our stock on September 16, 2021. The September 2021 Note bears interest on at the rate of two percent (2%) per annum, compounded annually, and accrues additional interest at a rate of two and one-half percent (2.5%) per quarter (the “Additional Interest”) beginning on the date of issuance of the September 2021 Note and ending on the maturity date, provided however, that such Additional Interest is payable if and only if the noteholder elects to convert the entire balance of the September 2021 Note into the Company’s common stock. The second additional note for $10 million is expected to close on December 17, 2021. The terms of the second additional note will be the same as for the September 2021 Note, and the conversion price will be the greater of 228% of the closing price of our common stock the day prior to closing or $5.00, whichever is greater.</w:t>
      </w:r>
    </w:p>
    <w:p>
      <w:pPr>
        <w:spacing w:after="0" w:line="8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Company had a $10 million line of credit (“Line of Credit”) arrangement with Richard E. Uihlein that was entered into in December 2017. The Line of Credit was most recently extended in January 2019 to make one or more borrowings available until December 31, 2021, with repayment due on December 31, 2022. There have been no borrowings under the Line of Credit, and it will be terminated in connection with the December 17, 2021 additional debt financing described above.</w:t>
      </w:r>
    </w:p>
    <w:p>
      <w:pPr>
        <w:spacing w:after="0" w:line="7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On July 25, 2022, the Company and Richard E. Uihlein (the “Lender”) entered into a Line of Credit Letter Agreement (the “Credit Agreement”), pursuant to which the Lender shall provide the Company a line of credit of up to $60.00 million (the “Line of Credit”) to finance the Company’s working capital needs. The Company may draw upon the Line of Credit through July 31, 2024.</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for short term loans (currently 2.84%),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79"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On March 29, 2024, the Company and Richard E. Uihlein (the “Lender”) entered into a Supplemental Line of Credit Letter Agreement (the “Supplemental Credit Agreement”), pursuant to which the Lender shall provide the Company a line of credit of up to $10.0 million (the “Supplemental Line of Credit”) to finance the Company’s working capital needs. The Company may draw upon the Supplemental Line of Credit through March 31, 2025.</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Each advance made pursuant to the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w:t>
      </w:r>
    </w:p>
    <w:p>
      <w:pPr>
        <w:spacing w:after="0" w:line="7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Only with the consent of the Lender, may the Promissory Notes be prepaid, in whole or in part, at any time without premium or penalty, but with interest on the amount or amounts prepaid. 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7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or Nominating Committee, is responsible for, among other things, selection of candidates for the annual slate of directors other than nominees, if any, nominated by parties that have a contractual right to nominate persons for election.</w:t>
      </w:r>
    </w:p>
    <w:p>
      <w:pPr>
        <w:spacing w:after="0" w:line="68"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2024 Annual Meeting.</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to the Chairman of the Nominating and Corporate Governance Committee of the Board, currently Dr.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Our Board structure, which separates the positions of Chairman and Chief Executive Officer,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121"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During 2023, there were 8 meetings of the Board. Each currently serving director attended at least 75% of the total meetings of the Board and committees of the Board of which the director was a member, during the time such person was a director.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79"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We do not have a formal policy requiring members of the Board to attend the annual meeting, although all directors are strongly encouraged to attend. At the 2023 annual meeting of stockholders, which was held virtually online, all of the then current board members were present.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54" w:lineRule="exact"/>
        <w:rPr>
          <w:sz w:val="20"/>
          <w:szCs w:val="20"/>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multiple compensation vehicles that provide a balance of long- and short-term incentives with fixed and variable components;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awards that generally vest over several years, so while the potential compensation payable for equity incentive awards is tied directly to appreciation of our stock price, taking excessive risk for a short-term gain is discouraged because it would not maximize the value of equity incentive awards over the long-term.</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Criteria and Diversity</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In considering whether to recommend any candidate for inclusion in the Board’s slate of recommended director nominees (other than the candidate nominated by 10X Fund L.P.),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97155</wp:posOffset>
            </wp:positionV>
            <wp:extent cx="5349240" cy="31203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31203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iversity</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atrix</w:t>
      </w:r>
    </w:p>
    <w:p>
      <w:pPr>
        <w:spacing w:after="0" w:line="33" w:lineRule="exact"/>
        <w:rPr>
          <w:sz w:val="20"/>
          <w:szCs w:val="20"/>
          <w:color w:val="auto"/>
        </w:rPr>
      </w:pPr>
    </w:p>
    <w:tbl>
      <w:tblPr>
        <w:tblLayout w:type="fixed"/>
        <w:tblInd w:w="300" w:type="dxa"/>
        <w:tblCellMar>
          <w:top w:w="0" w:type="dxa"/>
          <w:left w:w="0" w:type="dxa"/>
          <w:bottom w:w="0" w:type="dxa"/>
          <w:right w:w="0" w:type="dxa"/>
        </w:tblCellMar>
      </w:tblPr>
      <w:tr>
        <w:trPr>
          <w:trHeight w:val="305"/>
        </w:trPr>
        <w:tc>
          <w:tcPr>
            <w:tcW w:w="41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8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center"/>
              <w:spacing w:after="0" w:line="305" w:lineRule="exact"/>
              <w:rPr>
                <w:sz w:val="20"/>
                <w:szCs w:val="20"/>
                <w:color w:val="auto"/>
              </w:rPr>
            </w:pPr>
            <w:r>
              <w:rPr>
                <w:rFonts w:ascii="Times New Roman" w:cs="Times New Roman" w:eastAsia="Times New Roman" w:hAnsi="Times New Roman"/>
                <w:sz w:val="18"/>
                <w:szCs w:val="18"/>
                <w:b w:val="1"/>
                <w:bCs w:val="1"/>
                <w:color w:val="auto"/>
                <w:w w:val="90"/>
              </w:rPr>
              <w:t>Eleven</w:t>
            </w:r>
            <w:r>
              <w:rPr>
                <w:rFonts w:ascii="Times New Roman" w:cs="Times New Roman" w:eastAsia="Times New Roman" w:hAnsi="Times New Roman"/>
                <w:sz w:val="29"/>
                <w:szCs w:val="29"/>
                <w:b w:val="1"/>
                <w:bCs w:val="1"/>
                <w:color w:val="auto"/>
                <w:w w:val="90"/>
                <w:vertAlign w:val="superscript"/>
              </w:rPr>
              <w:t>(11)</w:t>
            </w:r>
          </w:p>
        </w:tc>
        <w:tc>
          <w:tcPr>
            <w:tcW w:w="14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r>
      <w:tr>
        <w:trPr>
          <w:trHeight w:val="214"/>
        </w:trPr>
        <w:tc>
          <w:tcPr>
            <w:tcW w:w="4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Did Not Disclose</w:t>
            </w:r>
          </w:p>
        </w:tc>
      </w:tr>
      <w:tr>
        <w:trPr>
          <w:trHeight w:val="238"/>
        </w:trPr>
        <w:tc>
          <w:tcPr>
            <w:tcW w:w="412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Binary</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7"/>
        </w:trPr>
        <w:tc>
          <w:tcPr>
            <w:tcW w:w="41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4120" w:type="dxa"/>
            <w:vAlign w:val="bottom"/>
            <w:tcBorders>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70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4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0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
        </w:trPr>
        <w:tc>
          <w:tcPr>
            <w:tcW w:w="41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4120" w:type="dxa"/>
            <w:vAlign w:val="bottom"/>
            <w:tcBorders>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70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4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88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
        </w:trPr>
        <w:tc>
          <w:tcPr>
            <w:tcW w:w="41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700" w:type="dxa"/>
            <w:vAlign w:val="bottom"/>
            <w:tcBorders>
              <w:bottom w:val="single" w:sz="8" w:color="CCEEFF"/>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Borders>
              <w:bottom w:val="single" w:sz="8" w:color="CCEEFF"/>
              <w:right w:val="single" w:sz="8" w:color="auto"/>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4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Asian</w:t>
            </w:r>
          </w:p>
        </w:tc>
        <w:tc>
          <w:tcPr>
            <w:tcW w:w="88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
        </w:trPr>
        <w:tc>
          <w:tcPr>
            <w:tcW w:w="41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4120" w:type="dxa"/>
            <w:vAlign w:val="bottom"/>
            <w:tcBorders>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Asian American</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70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4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Hispanic or Latinx</w:t>
            </w:r>
          </w:p>
        </w:tc>
        <w:tc>
          <w:tcPr>
            <w:tcW w:w="88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
        </w:trPr>
        <w:tc>
          <w:tcPr>
            <w:tcW w:w="41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4120" w:type="dxa"/>
            <w:vAlign w:val="bottom"/>
            <w:tcBorders>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70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4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White</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0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
        </w:trPr>
        <w:tc>
          <w:tcPr>
            <w:tcW w:w="41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70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4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LGBTQ+</w:t>
            </w:r>
          </w:p>
        </w:tc>
        <w:tc>
          <w:tcPr>
            <w:tcW w:w="88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
        </w:trPr>
        <w:tc>
          <w:tcPr>
            <w:tcW w:w="41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700" w:type="dxa"/>
            <w:vAlign w:val="bottom"/>
            <w:tcBorders>
              <w:bottom w:val="single" w:sz="8" w:color="CCEEFF"/>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Borders>
              <w:bottom w:val="single" w:sz="8" w:color="CCEEFF"/>
              <w:right w:val="single" w:sz="8" w:color="auto"/>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412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of our directors identify as belonging to “Two or More Races or Ethnicities” within the Nasdaq Diversity Rules.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Times New Roman" w:cs="Times New Roman" w:eastAsia="Times New Roman" w:hAnsi="Times New Roman"/>
          <w:sz w:val="18"/>
          <w:szCs w:val="18"/>
          <w:i w:val="1"/>
          <w:iCs w:val="1"/>
          <w:color w:val="auto"/>
        </w:rPr>
        <w:t xml:space="preserve">Communication With Audit Committees </w:t>
      </w:r>
      <w:r>
        <w:rPr>
          <w:rFonts w:ascii="Times New Roman" w:cs="Times New Roman" w:eastAsia="Times New Roman" w:hAnsi="Times New Roman"/>
          <w:sz w:val="18"/>
          <w:szCs w:val="18"/>
          <w:color w:val="auto"/>
        </w:rPr>
        <w:t>(as amended), which includes, among other items, matters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the annual audit of our 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86"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Based upon the review and discussions referred to above, the Audit Committee recommended to our Board of Directors that the audited financial statements of Galectin Therapeutics for the 2023 fiscal year be included in the Annual Report filed on Form 10-K for the year ended December 31, 2023.</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the Audit Committee of the Board of Directors of Galectin Therapeutic Inc.</w:t>
      </w:r>
    </w:p>
    <w:p>
      <w:pPr>
        <w:spacing w:after="0" w:line="18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Richard A. Zordani, Chair</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Kevin D. Freeman</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Kary Eldred</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300" w:right="359" w:firstLine="360"/>
        <w:spacing w:after="0" w:line="278" w:lineRule="auto"/>
        <w:rPr>
          <w:sz w:val="20"/>
          <w:szCs w:val="20"/>
          <w:color w:val="auto"/>
        </w:rPr>
      </w:pPr>
      <w:r>
        <w:rPr>
          <w:rFonts w:ascii="Times New Roman" w:cs="Times New Roman" w:eastAsia="Times New Roman" w:hAnsi="Times New Roman"/>
          <w:sz w:val="18"/>
          <w:szCs w:val="18"/>
          <w:color w:val="auto"/>
        </w:rPr>
        <w:t>The following table details the total compensation earned by our non-employee directors during the year ended December 31, 2023.</w:t>
      </w:r>
    </w:p>
    <w:tbl>
      <w:tblPr>
        <w:tblLayout w:type="fixed"/>
        <w:tblInd w:w="30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w:t>
            </w:r>
          </w:p>
        </w:tc>
        <w:tc>
          <w:tcPr>
            <w:tcW w:w="800" w:type="dxa"/>
            <w:vAlign w:val="bottom"/>
            <w:gridSpan w:val="2"/>
          </w:tcPr>
          <w:p>
            <w:pPr>
              <w:jc w:val="center"/>
              <w:ind w:left="9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0"/>
                <w:szCs w:val="10"/>
                <w:b w:val="1"/>
                <w:bCs w:val="1"/>
                <w:color w:val="auto"/>
              </w:rPr>
              <w:t>(1)</w:t>
            </w:r>
          </w:p>
        </w:tc>
        <w:tc>
          <w:tcPr>
            <w:tcW w:w="660" w:type="dxa"/>
            <w:vAlign w:val="bottom"/>
            <w:gridSpan w:val="2"/>
          </w:tcPr>
          <w:p>
            <w:pPr>
              <w:jc w:val="center"/>
              <w:ind w:left="74"/>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0"/>
                <w:szCs w:val="10"/>
                <w:b w:val="1"/>
                <w:bCs w:val="1"/>
                <w:color w:val="auto"/>
              </w:rPr>
              <w:t>(2)</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left="11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0"/>
                <w:szCs w:val="10"/>
                <w:b w:val="1"/>
                <w:bCs w:val="1"/>
                <w:color w:val="auto"/>
              </w:rPr>
              <w:t>(3)</w:t>
            </w:r>
          </w:p>
        </w:tc>
        <w:tc>
          <w:tcPr>
            <w:tcW w:w="680" w:type="dxa"/>
            <w:vAlign w:val="bottom"/>
            <w:gridSpan w:val="2"/>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3"/>
        </w:trPr>
        <w:tc>
          <w:tcPr>
            <w:tcW w:w="3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60" w:type="dxa"/>
            <w:vAlign w:val="bottom"/>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55,500</w:t>
            </w:r>
          </w:p>
        </w:tc>
        <w:tc>
          <w:tcPr>
            <w:tcW w:w="160" w:type="dxa"/>
            <w:vAlign w:val="bottom"/>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31,735</w:t>
            </w:r>
          </w:p>
        </w:tc>
        <w:tc>
          <w:tcPr>
            <w:tcW w:w="16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87,235</w:t>
            </w:r>
          </w:p>
        </w:tc>
        <w:tc>
          <w:tcPr>
            <w:tcW w:w="0" w:type="dxa"/>
            <w:vAlign w:val="bottom"/>
          </w:tcPr>
          <w:p>
            <w:pPr>
              <w:spacing w:after="0"/>
              <w:rPr>
                <w:sz w:val="1"/>
                <w:szCs w:val="1"/>
                <w:color w:val="auto"/>
              </w:rPr>
            </w:pPr>
          </w:p>
        </w:tc>
      </w:tr>
      <w:tr>
        <w:trPr>
          <w:trHeight w:val="257"/>
        </w:trPr>
        <w:tc>
          <w:tcPr>
            <w:tcW w:w="32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Benjamin S. Carson, Sr., M.D.</w:t>
            </w:r>
            <w:r>
              <w:rPr>
                <w:rFonts w:ascii="Times New Roman" w:cs="Times New Roman" w:eastAsia="Times New Roman" w:hAnsi="Times New Roman"/>
                <w:sz w:val="29"/>
                <w:szCs w:val="29"/>
                <w:color w:val="auto"/>
                <w:vertAlign w:val="superscript"/>
              </w:rPr>
              <w:t>(4)</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2,717</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C. Czirr</w:t>
            </w:r>
            <w:r>
              <w:rPr>
                <w:rFonts w:ascii="Times New Roman" w:cs="Times New Roman" w:eastAsia="Times New Roman" w:hAnsi="Times New Roman"/>
                <w:sz w:val="29"/>
                <w:szCs w:val="29"/>
                <w:color w:val="auto"/>
                <w:vertAlign w:val="superscript"/>
              </w:rPr>
              <w:t>(5)</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71,735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Kary Eldred</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47,500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60" w:type="dxa"/>
            <w:vAlign w:val="bottom"/>
          </w:tcPr>
          <w:p>
            <w:pPr>
              <w:spacing w:after="0"/>
              <w:rPr>
                <w:sz w:val="18"/>
                <w:szCs w:val="18"/>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79,235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87,735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60" w:type="dxa"/>
            <w:vAlign w:val="bottom"/>
          </w:tcPr>
          <w:p>
            <w:pPr>
              <w:spacing w:after="0"/>
              <w:rPr>
                <w:sz w:val="18"/>
                <w:szCs w:val="18"/>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81,735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43,500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75,235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43,500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60" w:type="dxa"/>
            <w:vAlign w:val="bottom"/>
          </w:tcPr>
          <w:p>
            <w:pPr>
              <w:spacing w:after="0"/>
              <w:rPr>
                <w:sz w:val="18"/>
                <w:szCs w:val="18"/>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75,235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71,735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160" w:type="dxa"/>
            <w:vAlign w:val="bottom"/>
          </w:tcPr>
          <w:p>
            <w:pPr>
              <w:spacing w:after="0"/>
              <w:rPr>
                <w:sz w:val="18"/>
                <w:szCs w:val="18"/>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60" w:type="dxa"/>
            <w:vAlign w:val="bottom"/>
          </w:tcPr>
          <w:p>
            <w:pPr>
              <w:spacing w:after="0"/>
              <w:rPr>
                <w:sz w:val="18"/>
                <w:szCs w:val="18"/>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71,735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86,735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1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Uihlein elected to receive restricted stock in lieu of cash retainer for their service. The restricted shares vested in full on December 31, 2023.</w:t>
      </w:r>
    </w:p>
    <w:p>
      <w:pPr>
        <w:ind w:left="640" w:right="339" w:hanging="348"/>
        <w:spacing w:after="0" w:line="236"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of option awards based upon the Black Scholes valuation model made in 2023. The option grants were made on January 26, 2023. Each non-employee director received one grant of 40,000 options which will vest in full on December 31, 2023. For a description of the assumptions used to determine these amounts, see Note 9 to the Notes to the Consolidated Financial Statements herein our Annual Report on Form 10-K for the fiscal year ended December 31, 2023.</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travel expense reimbursements.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Carson joined the Board of Directors in December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Czirr retired from the Board of Directors in December 2023.</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to Option</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Held as of</w:t>
            </w:r>
          </w:p>
        </w:tc>
        <w:tc>
          <w:tcPr>
            <w:tcW w:w="0" w:type="dxa"/>
            <w:vAlign w:val="bottom"/>
          </w:tcPr>
          <w:p>
            <w:pPr>
              <w:spacing w:after="0"/>
              <w:rPr>
                <w:sz w:val="1"/>
                <w:szCs w:val="1"/>
                <w:color w:val="auto"/>
              </w:rPr>
            </w:pPr>
          </w:p>
        </w:tc>
      </w:tr>
      <w:tr>
        <w:trPr>
          <w:trHeight w:val="148"/>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700" w:type="dxa"/>
            <w:vAlign w:val="bottom"/>
            <w:vMerge w:val="continue"/>
          </w:tcPr>
          <w:p>
            <w:pPr>
              <w:spacing w:after="0"/>
              <w:rPr>
                <w:sz w:val="16"/>
                <w:szCs w:val="16"/>
                <w:color w:val="auto"/>
              </w:rPr>
            </w:pPr>
          </w:p>
        </w:tc>
        <w:tc>
          <w:tcPr>
            <w:tcW w:w="106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70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Gilbert F. Amelio, Ph.D.</w:t>
            </w:r>
          </w:p>
        </w:tc>
        <w:tc>
          <w:tcPr>
            <w:tcW w:w="200" w:type="dxa"/>
            <w:vAlign w:val="bottom"/>
            <w:shd w:val="clear" w:color="auto" w:fill="CCEEFF"/>
          </w:tcPr>
          <w:p>
            <w:pPr>
              <w:spacing w:after="0"/>
              <w:rPr>
                <w:sz w:val="13"/>
                <w:szCs w:val="13"/>
                <w:color w:val="auto"/>
              </w:rPr>
            </w:pPr>
          </w:p>
        </w:tc>
        <w:tc>
          <w:tcPr>
            <w:tcW w:w="86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255,000</w:t>
            </w:r>
          </w:p>
        </w:tc>
        <w:tc>
          <w:tcPr>
            <w:tcW w:w="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Benjamin S. Carson, Sr., M.D.</w:t>
            </w:r>
          </w:p>
        </w:tc>
        <w:tc>
          <w:tcPr>
            <w:tcW w:w="10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James C. Czirr</w:t>
            </w:r>
          </w:p>
        </w:tc>
        <w:tc>
          <w:tcPr>
            <w:tcW w:w="10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455,125</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Kary Eldred</w:t>
            </w:r>
          </w:p>
        </w:tc>
        <w:tc>
          <w:tcPr>
            <w:tcW w:w="10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291,875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Kevin D. Freeman</w:t>
            </w:r>
          </w:p>
        </w:tc>
        <w:tc>
          <w:tcPr>
            <w:tcW w:w="10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353,125</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Gilbert S. Omenn, M.D., Ph.D.</w:t>
            </w:r>
          </w:p>
        </w:tc>
        <w:tc>
          <w:tcPr>
            <w:tcW w:w="10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368,750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 Rubin, M.D.</w:t>
            </w:r>
          </w:p>
        </w:tc>
        <w:tc>
          <w:tcPr>
            <w:tcW w:w="10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294,565</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Elissa J. Schwartz, Ph.D.</w:t>
            </w:r>
          </w:p>
        </w:tc>
        <w:tc>
          <w:tcPr>
            <w:tcW w:w="10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190,000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Harold H. Shlevin, Ph.D.</w:t>
            </w:r>
          </w:p>
        </w:tc>
        <w:tc>
          <w:tcPr>
            <w:tcW w:w="10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583,000</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Richard Uihlein</w:t>
            </w:r>
          </w:p>
        </w:tc>
        <w:tc>
          <w:tcPr>
            <w:tcW w:w="10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256,362</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Richard A. Zordani</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gridSpan w:val="2"/>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70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3,337,802</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For a more detailed description of the assumptions used for purposes of determining grant date fair value, see Note 9 to the Consolidated Financial Statements and “Management’s Discussion and Analysis of Financial Condition and Results of Operations — Critical Accounting Policies and Estimates — Stock-Based Compensation” included herein the Form 10-K for the 2023 fiscal year.</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reimburse our directors for reasonable travel and other related expenses.</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Pursuant to the Company’s cash compensation program for directors, non-employee directors of the Company will receive an annual cash retainer of $35,000. Each Nominating and Corporate Governance Committee member will receive an additional cash retainer of $3,500; each Compensation Committee member will receive an additional cash retainer of $5,000; and each Audit Committee member will receive an additional cash retainer of $7,500. In addition to the annual fee and committee membership retainers, the Nominating and Corporate Governance Committee Chairman will receive an annual cash retainer of $3,500; the Compensation Committee Chairman will receive an annual cash retainer of $5,000; and the Audit Committee Chairman will receive an annual cash retainer of $7,500. Additionally, in December 2016, the Board approved cash retainers of $3,500 to be paid to each member of the Board’s investor relation/public relations committee.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2023, about the securities issued, or authorized for future issuance, under our equity compensation plans, consisting of our 2001 Stock Incentive Plan, our 2003 Non-Employee Director Stock Incentive Plan, our 2009 Incentive Compensation Plan and our 2019 Omnibus Equity Incentive Plan at December 31, 2023.</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3"/>
        </w:trPr>
        <w:tc>
          <w:tcPr>
            <w:tcW w:w="4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shd w:val="clear" w:color="auto" w:fill="CCEEFF"/>
              </w:rPr>
              <w:t>Equity compensation plans approved by security holders</w:t>
            </w:r>
          </w:p>
        </w:tc>
        <w:tc>
          <w:tcPr>
            <w:tcW w:w="15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6,333,841</w:t>
            </w:r>
          </w:p>
        </w:tc>
        <w:tc>
          <w:tcPr>
            <w:tcW w:w="11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$2.66</w:t>
            </w:r>
          </w:p>
        </w:tc>
        <w:tc>
          <w:tcPr>
            <w:tcW w:w="1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3,954,727</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PHILOSOPHY DISCUSSION</w:t>
      </w:r>
    </w:p>
    <w:p>
      <w:pPr>
        <w:spacing w:after="0" w:line="99" w:lineRule="exact"/>
        <w:rPr>
          <w:sz w:val="20"/>
          <w:szCs w:val="20"/>
          <w:color w:val="auto"/>
        </w:rPr>
      </w:pPr>
    </w:p>
    <w:p>
      <w:pPr>
        <w:ind w:left="300" w:right="49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2023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530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5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0" w:type="dxa"/>
            <w:vAlign w:val="bottom"/>
            <w:shd w:val="clear" w:color="auto" w:fill="CCEEFF"/>
          </w:tcPr>
          <w:p>
            <w:pPr>
              <w:spacing w:after="0"/>
              <w:rPr>
                <w:sz w:val="21"/>
                <w:szCs w:val="21"/>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8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00" w:type="dxa"/>
            <w:vAlign w:val="bottom"/>
          </w:tcPr>
          <w:p>
            <w:pPr>
              <w:spacing w:after="0"/>
              <w:rPr>
                <w:sz w:val="24"/>
                <w:szCs w:val="24"/>
                <w:color w:val="auto"/>
              </w:rPr>
            </w:pPr>
          </w:p>
        </w:tc>
        <w:tc>
          <w:tcPr>
            <w:tcW w:w="53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Former Chief Medical Officer</w:t>
            </w:r>
            <w:r>
              <w:rPr>
                <w:rFonts w:ascii="Times New Roman" w:cs="Times New Roman" w:eastAsia="Times New Roman" w:hAnsi="Times New Roman"/>
                <w:sz w:val="29"/>
                <w:szCs w:val="29"/>
                <w:color w:val="auto"/>
                <w:vertAlign w:val="superscript"/>
              </w:rPr>
              <w:t>(1)</w:t>
            </w:r>
          </w:p>
        </w:tc>
      </w:tr>
      <w:tr>
        <w:trPr>
          <w:trHeight w:val="23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00" w:type="dxa"/>
            <w:vAlign w:val="bottom"/>
            <w:shd w:val="clear" w:color="auto" w:fill="CCEEFF"/>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3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3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jc w:val="both"/>
        <w:ind w:left="640" w:right="379" w:hanging="348"/>
        <w:spacing w:after="0" w:line="24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August 1, 2024, Pol F. Boudes was no longer employed by the Company. As Dr. Boudes was the Chief Medical Officer as of the last day of the fiscal year ending December 31, 2023, he is a Named Executive Officer for purposes of the Company’s executive compensation discussion proxy statement for the 2024 Annual Meeting.</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68"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that will help attract, retain and reward qualified executives;</w:t>
      </w:r>
    </w:p>
    <w:p>
      <w:pPr>
        <w:spacing w:after="0" w:line="117"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our success by making a portion of the executive’s compensation dependent upon corporate performance;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the interests of stockholders by including long-term equity incentives.</w:t>
      </w:r>
    </w:p>
    <w:p>
      <w:pPr>
        <w:spacing w:after="0" w:line="11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Review and Design</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72"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At our last “Say-on-Pay vote” held at our 2022 annual meeting of stockholders approximately 90% of votes cast were in favor of the compensation of our NEOs, as disclosed in the proxy materials for the 2022 annual meeting. At our 2019 annual meeting, the holders of approximately 78%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2025 annual meeting of stockholders.</w:t>
      </w:r>
    </w:p>
    <w:p>
      <w:pPr>
        <w:spacing w:after="0" w:line="7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Several years ago,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76" w:lineRule="auto"/>
        <w:rPr>
          <w:sz w:val="20"/>
          <w:szCs w:val="20"/>
          <w:color w:val="auto"/>
        </w:rPr>
      </w:pPr>
      <w:r>
        <w:rPr>
          <w:rFonts w:ascii="Times New Roman" w:cs="Times New Roman" w:eastAsia="Times New Roman" w:hAnsi="Times New Roman"/>
          <w:sz w:val="17"/>
          <w:szCs w:val="17"/>
          <w:color w:val="auto"/>
        </w:rPr>
        <w:t>compete, to gauge the competitiveness of our compensation programs. Barney &amp; Barney LLC then reported its findings to the Compensation Committee, with recommendations to bring the Company’s executive compensation</w:t>
      </w:r>
    </w:p>
    <w:p>
      <w:pPr>
        <w:spacing w:after="0" w:line="1" w:lineRule="exact"/>
        <w:rPr>
          <w:sz w:val="20"/>
          <w:szCs w:val="20"/>
          <w:color w:val="auto"/>
        </w:rPr>
      </w:pPr>
    </w:p>
    <w:p>
      <w:pPr>
        <w:ind w:left="300" w:right="679"/>
        <w:spacing w:after="0" w:line="209" w:lineRule="auto"/>
        <w:rPr>
          <w:sz w:val="20"/>
          <w:szCs w:val="20"/>
          <w:color w:val="auto"/>
        </w:rPr>
      </w:pPr>
      <w:r>
        <w:rPr>
          <w:rFonts w:ascii="Times New Roman" w:cs="Times New Roman" w:eastAsia="Times New Roman" w:hAnsi="Times New Roman"/>
          <w:sz w:val="18"/>
          <w:szCs w:val="18"/>
          <w:color w:val="auto"/>
        </w:rPr>
        <w:t>closer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of our competitor companies. These findings continued to inform the Compensation Committee’s decisions on compensation in subsequent years, including 2023.</w:t>
      </w:r>
    </w:p>
    <w:p>
      <w:pPr>
        <w:spacing w:after="0" w:line="92"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The Compensation Committee may use a compensation consultant in the future and will take into account publicly-available data relating to the compensation practices and policies of other companies within and outside our industry. The Compensation Committee intends to benchmark its executive compensation program to target at least</w:t>
      </w:r>
    </w:p>
    <w:p>
      <w:pPr>
        <w:spacing w:after="0" w:line="2" w:lineRule="exact"/>
        <w:rPr>
          <w:sz w:val="20"/>
          <w:szCs w:val="20"/>
          <w:color w:val="auto"/>
        </w:rPr>
      </w:pPr>
    </w:p>
    <w:p>
      <w:pPr>
        <w:ind w:left="300" w:right="319"/>
        <w:spacing w:after="0" w:line="209" w:lineRule="auto"/>
        <w:rPr>
          <w:sz w:val="20"/>
          <w:szCs w:val="20"/>
          <w:color w:val="auto"/>
        </w:rPr>
      </w:pPr>
      <w:r>
        <w:rPr>
          <w:rFonts w:ascii="Times New Roman" w:cs="Times New Roman" w:eastAsia="Times New Roman" w:hAnsi="Times New Roman"/>
          <w:sz w:val="18"/>
          <w:szCs w:val="18"/>
          <w:color w:val="auto"/>
        </w:rPr>
        <w:t>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programs of our competitor companies; however, adjusted as deemed to be in the best interest of the Company to assure retention of key employees during the NAVIGATE trial.</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program for the Company’s NEOs consists principally of three components:</w:t>
      </w:r>
    </w:p>
    <w:p>
      <w:pPr>
        <w:spacing w:after="0" w:line="117"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retention bonuses;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compensation in the form of equity-based awards.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 Base Salary</w:t>
            </w:r>
          </w:p>
        </w:tc>
        <w:tc>
          <w:tcPr>
            <w:tcW w:w="32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 Base Salary</w:t>
            </w:r>
          </w:p>
        </w:tc>
      </w:tr>
      <w:tr>
        <w:trPr>
          <w:trHeight w:val="23"/>
        </w:trPr>
        <w:tc>
          <w:tcPr>
            <w:tcW w:w="5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400" w:type="dxa"/>
            <w:vAlign w:val="bottom"/>
            <w:gridSpan w:val="2"/>
            <w:shd w:val="clear" w:color="auto" w:fill="CCEEFF"/>
          </w:tcPr>
          <w:p>
            <w:pPr>
              <w:ind w:left="520"/>
              <w:spacing w:after="0" w:line="291" w:lineRule="exact"/>
              <w:rPr>
                <w:sz w:val="20"/>
                <w:szCs w:val="20"/>
                <w:color w:val="auto"/>
              </w:rPr>
            </w:pPr>
            <w:r>
              <w:rPr>
                <w:rFonts w:ascii="Times New Roman" w:cs="Times New Roman" w:eastAsia="Times New Roman" w:hAnsi="Times New Roman"/>
                <w:sz w:val="18"/>
                <w:szCs w:val="18"/>
                <w:color w:val="auto"/>
                <w:w w:val="95"/>
              </w:rPr>
              <w:t>$578,000</w:t>
            </w:r>
            <w:r>
              <w:rPr>
                <w:rFonts w:ascii="Times New Roman" w:cs="Times New Roman" w:eastAsia="Times New Roman" w:hAnsi="Times New Roman"/>
                <w:sz w:val="29"/>
                <w:szCs w:val="29"/>
                <w:color w:val="auto"/>
                <w:w w:val="95"/>
                <w:vertAlign w:val="superscript"/>
              </w:rPr>
              <w:t>(1)</w:t>
            </w:r>
          </w:p>
        </w:tc>
        <w:tc>
          <w:tcPr>
            <w:tcW w:w="1400" w:type="dxa"/>
            <w:vAlign w:val="bottom"/>
            <w:gridSpan w:val="2"/>
            <w:shd w:val="clear" w:color="auto" w:fill="CCEEFF"/>
          </w:tcPr>
          <w:p>
            <w:pPr>
              <w:ind w:left="520"/>
              <w:spacing w:after="0" w:line="291" w:lineRule="exact"/>
              <w:rPr>
                <w:sz w:val="20"/>
                <w:szCs w:val="20"/>
                <w:color w:val="auto"/>
              </w:rPr>
            </w:pPr>
            <w:r>
              <w:rPr>
                <w:rFonts w:ascii="Times New Roman" w:cs="Times New Roman" w:eastAsia="Times New Roman" w:hAnsi="Times New Roman"/>
                <w:sz w:val="18"/>
                <w:szCs w:val="18"/>
                <w:color w:val="auto"/>
                <w:w w:val="95"/>
              </w:rPr>
              <w:t>$525,000</w:t>
            </w:r>
            <w:r>
              <w:rPr>
                <w:rFonts w:ascii="Times New Roman" w:cs="Times New Roman" w:eastAsia="Times New Roman" w:hAnsi="Times New Roman"/>
                <w:sz w:val="29"/>
                <w:szCs w:val="29"/>
                <w:color w:val="auto"/>
                <w:w w:val="95"/>
                <w:vertAlign w:val="superscript"/>
              </w:rPr>
              <w:t>(1)</w:t>
            </w: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$535,000</w:t>
            </w:r>
          </w:p>
        </w:tc>
        <w:tc>
          <w:tcPr>
            <w:tcW w:w="1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$475,000</w:t>
            </w:r>
          </w:p>
        </w:tc>
      </w:tr>
      <w:tr>
        <w:trPr>
          <w:trHeight w:val="23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$368,000</w:t>
            </w:r>
          </w:p>
        </w:tc>
        <w:tc>
          <w:tcPr>
            <w:tcW w:w="1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$320,000</w:t>
            </w:r>
          </w:p>
        </w:tc>
      </w:tr>
      <w:tr>
        <w:trPr>
          <w:trHeight w:val="54"/>
        </w:trPr>
        <w:tc>
          <w:tcPr>
            <w:tcW w:w="56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5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Mr. Lewis’s Employment Agreement and Deferred Stock Unit Agreement, 20% of Mr. Lewis’ base salary will be paid in cash and 80% will be paid in the form of deferred-stock units in accordance with the terms and subject to the provisions of the DSU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5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2023 performance bonuses were paid in February 2024.</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Bonus</w:t>
            </w:r>
          </w:p>
        </w:tc>
        <w:tc>
          <w:tcPr>
            <w:tcW w:w="340" w:type="dxa"/>
            <w:vAlign w:val="bottom"/>
          </w:tcPr>
          <w:p>
            <w:pPr>
              <w:spacing w:after="0"/>
              <w:rPr>
                <w:sz w:val="13"/>
                <w:szCs w:val="13"/>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Awarded Amount</w:t>
            </w:r>
          </w:p>
        </w:tc>
        <w:tc>
          <w:tcPr>
            <w:tcW w:w="0" w:type="dxa"/>
            <w:vAlign w:val="bottom"/>
          </w:tcPr>
          <w:p>
            <w:pPr>
              <w:spacing w:after="0"/>
              <w:rPr>
                <w:sz w:val="1"/>
                <w:szCs w:val="1"/>
                <w:color w:val="auto"/>
              </w:rPr>
            </w:pPr>
          </w:p>
        </w:tc>
      </w:tr>
      <w:tr>
        <w:trPr>
          <w:trHeight w:val="190"/>
        </w:trPr>
        <w:tc>
          <w:tcPr>
            <w:tcW w:w="5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 of Base Salary</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5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$289.000</w:t>
            </w:r>
          </w:p>
        </w:tc>
        <w:tc>
          <w:tcPr>
            <w:tcW w:w="16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5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$160,500</w:t>
            </w:r>
          </w:p>
        </w:tc>
        <w:tc>
          <w:tcPr>
            <w:tcW w:w="16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5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$110,400</w:t>
            </w:r>
          </w:p>
        </w:tc>
        <w:tc>
          <w:tcPr>
            <w:tcW w:w="16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54"/>
        </w:trPr>
        <w:tc>
          <w:tcPr>
            <w:tcW w:w="51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7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w:t>
      </w:r>
    </w:p>
    <w:p>
      <w:pPr>
        <w:spacing w:after="0" w:line="72" w:lineRule="exact"/>
        <w:rPr>
          <w:sz w:val="20"/>
          <w:szCs w:val="20"/>
          <w:color w:val="auto"/>
        </w:rPr>
      </w:pPr>
    </w:p>
    <w:p>
      <w:pPr>
        <w:jc w:val="both"/>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On January 26, 2023, the NEOs were awarded the options noted below based on 2022 performance. For the performance options, 25% vest on each of June 30, 2023, December 31, 2023, June 30, 2024, and December 31, 2024. The exercise price of the options is set at the closing price of our stock as of the grant date.</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 Options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1/26/2023</w:t>
            </w:r>
          </w:p>
        </w:tc>
        <w:tc>
          <w:tcPr>
            <w:tcW w:w="15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70,000</w:t>
            </w:r>
          </w:p>
        </w:tc>
        <w:tc>
          <w:tcPr>
            <w:tcW w:w="11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$1.11</w:t>
            </w:r>
          </w:p>
        </w:tc>
        <w:tc>
          <w:tcPr>
            <w:tcW w:w="0" w:type="dxa"/>
            <w:vAlign w:val="bottom"/>
          </w:tcPr>
          <w:p>
            <w:pPr>
              <w:spacing w:after="0"/>
              <w:rPr>
                <w:sz w:val="1"/>
                <w:szCs w:val="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Pol Boudes, M.D.</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8"/>
              </w:rPr>
              <w:t>1/26/2023</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50,000</w:t>
            </w:r>
          </w:p>
        </w:tc>
        <w:tc>
          <w:tcPr>
            <w:tcW w:w="11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$1.11</w:t>
            </w: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1/26/2023</w:t>
            </w:r>
          </w:p>
        </w:tc>
        <w:tc>
          <w:tcPr>
            <w:tcW w:w="15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50,000</w:t>
            </w:r>
          </w:p>
        </w:tc>
        <w:tc>
          <w:tcPr>
            <w:tcW w:w="11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$1.11</w:t>
            </w:r>
          </w:p>
        </w:tc>
        <w:tc>
          <w:tcPr>
            <w:tcW w:w="0" w:type="dxa"/>
            <w:vAlign w:val="bottom"/>
          </w:tcPr>
          <w:p>
            <w:pPr>
              <w:spacing w:after="0"/>
              <w:rPr>
                <w:sz w:val="1"/>
                <w:szCs w:val="1"/>
                <w:color w:val="auto"/>
              </w:rPr>
            </w:pPr>
          </w:p>
        </w:tc>
      </w:tr>
      <w:tr>
        <w:trPr>
          <w:trHeight w:val="54"/>
        </w:trPr>
        <w:tc>
          <w:tcPr>
            <w:tcW w:w="47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Material Terms of Employment Contracts of Named Executive Officers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Joel Lewis, Chief Executive Officer</w:t>
      </w:r>
    </w:p>
    <w:p>
      <w:pPr>
        <w:spacing w:after="0" w:line="119"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appointment of Mr. Lewis, the Company and Mr. Lewis entered into an employment agreement, dated August 31, 2020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 a Deferred Stock Unit Agreement, dated August 31, 2020 (the “</w:t>
      </w:r>
      <w:r>
        <w:rPr>
          <w:rFonts w:ascii="Times New Roman" w:cs="Times New Roman" w:eastAsia="Times New Roman" w:hAnsi="Times New Roman"/>
          <w:sz w:val="18"/>
          <w:szCs w:val="18"/>
          <w:u w:val="single" w:color="auto"/>
          <w:color w:val="auto"/>
        </w:rPr>
        <w:t>DSU Agreement</w:t>
      </w:r>
      <w:r>
        <w:rPr>
          <w:rFonts w:ascii="Times New Roman" w:cs="Times New Roman" w:eastAsia="Times New Roman" w:hAnsi="Times New Roman"/>
          <w:sz w:val="18"/>
          <w:szCs w:val="18"/>
          <w:color w:val="auto"/>
        </w:rPr>
        <w:t>”). The Employment Agreement has an initial term of two years and automatically renews for additional one-year terms thereafter, unless either Mr. Lewis or the Company elects not to renew. Mr. Lewis will serve as Chief Executive Officer of the Company effective as of September 2, 2020 (the “</w:t>
      </w:r>
      <w:r>
        <w:rPr>
          <w:rFonts w:ascii="Times New Roman" w:cs="Times New Roman" w:eastAsia="Times New Roman" w:hAnsi="Times New Roman"/>
          <w:sz w:val="18"/>
          <w:szCs w:val="18"/>
          <w:u w:val="single" w:color="auto"/>
          <w:color w:val="auto"/>
        </w:rPr>
        <w:t>Start Date</w:t>
      </w:r>
      <w:r>
        <w:rPr>
          <w:rFonts w:ascii="Times New Roman" w:cs="Times New Roman" w:eastAsia="Times New Roman" w:hAnsi="Times New Roman"/>
          <w:sz w:val="18"/>
          <w:szCs w:val="18"/>
          <w:color w:val="auto"/>
        </w:rPr>
        <w:t>”), and will be paid an annual base salary of $500,000. Under the terms of the Employment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Agreement, 20% of his base salary will be paid in cash, and 80% will be paid in the form of deferred-stock-units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in accordance with the terms and subject to the provisions set forth in the DSU Agreement. In addition, Mr. Lewis is entitled to participate in the Company’s performance bonus plan with a potential of up to 50% of his annual base salary, which will also be paid 20% in cash and 80% in DSU’s. Further, Mr. Lewis received on the date of the agreement an initial grant of options to purchase 250,000 shares of the Company’s common stock, par value $0.001 per share, which options shall vest one-twelfth on a quarterly basis for twelve consecutive quarters, such that the options shall be fully vested twelve quarters following the date of grant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options under the Award shall be issued pursuant to the Company’s 2019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Pursuant to the Employment Agreement, Mr. Lewis is also eligible to receive healthcare benefits as may be provided from time to time by the Company to its employees generally, to participate in the Company’s 401(k) plan and to receive paid time off annually in accordance with the Company’s policies in effect from time to time. Finally, pursuant to the Employment Agreement, the Company will be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 The Employment Agreement includes customary intellectual property, assignment, and other representations by Mr. Lewis.</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25, 2022, we entered into amendments to the Employment Agreement and DSU Agreement with</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Mr. Lewis. Pursuant to the amendments, Mr. Lewis’ base salary earned in 2023 will be paid 20% in cash and 80% in DSUs. Additionally, the term of the Employment Agreement was extended until December 31, 2024. Unless either party gives written notice of non-renewal at least 60 days prior to December 31, 2024, the amended employment agreement will automatically renew for an additional twelve months. Also, 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w:t>
      </w:r>
    </w:p>
    <w:p>
      <w:pPr>
        <w:spacing w:after="0" w:line="82"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Deferred Stock Unit Agreement with Mr. Lewis specifies that 20% of his base salary and performance bonuses will be paid in cash, and 80% will be paid in the form of deferred stock units (“DSUs”) through 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 On March 1, 2023, twenty five percent of the DSU’s were issued to Mr. Lewis in accordance with the DSU Agreement. A total of 183,900 shares were due to be issued; however, 75,529 shares were withheld to cover income tax withholding of $156,345 resulting in 108,371 shares actually issued. Additionally, a 2023 DSU Agreement was executed in July 2022, whereby Mr. Lewis would continue to receive 20% of salary in cash and 80% in DSUs for 2023. The shares under the 2023 DSU Agreement are to be issued fifty percent on March 1, 2025 and fifty percent on January 5, 2026.</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Pol F. Boudes, M.D., Chief Medical Officer</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19, 2020, the Company entered into an Employment Agreement with Dr. Boudes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which governs the terms of Dr. Boudes’ employment in his position as the Company’s Chief Medical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Officer. Dr. Boudes will serve as the Chief Medical Officer of the Company during an initial term that commences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March 2, 2020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expires on February 28, 2021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Following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Initial Term, the term of the Agreement automatically renews for successive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twelve (12) month terms unless either party provides the other party with notice of non-renewal at least sixty (60) days prior to the expiration of the then-current term. Under the Agreement, the Company has agreed to pay</w:t>
      </w:r>
    </w:p>
    <w:p>
      <w:pPr>
        <w:ind w:left="300" w:right="379"/>
        <w:spacing w:after="0" w:line="251" w:lineRule="auto"/>
        <w:rPr>
          <w:sz w:val="20"/>
          <w:szCs w:val="20"/>
          <w:color w:val="auto"/>
        </w:rPr>
      </w:pPr>
      <w:r>
        <w:rPr>
          <w:rFonts w:ascii="Times New Roman" w:cs="Times New Roman" w:eastAsia="Times New Roman" w:hAnsi="Times New Roman"/>
          <w:sz w:val="18"/>
          <w:szCs w:val="18"/>
          <w:color w:val="auto"/>
        </w:rPr>
        <w:t>Dr. Boudes a base salary of $444,500 per year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Provided that certain performance objectives are met, Dr. Boudes will also be entitled to receive an annual performance bonus equal to thirty percent (30%) of the Base Salary (the “</w:t>
      </w:r>
      <w:r>
        <w:rPr>
          <w:rFonts w:ascii="Times New Roman" w:cs="Times New Roman" w:eastAsia="Times New Roman" w:hAnsi="Times New Roman"/>
          <w:sz w:val="18"/>
          <w:szCs w:val="18"/>
          <w:u w:val="single" w:color="auto"/>
          <w:color w:val="auto"/>
        </w:rPr>
        <w:t>Performance Bonus</w:t>
      </w:r>
      <w:r>
        <w:rPr>
          <w:rFonts w:ascii="Times New Roman" w:cs="Times New Roman" w:eastAsia="Times New Roman" w:hAnsi="Times New Roman"/>
          <w:sz w:val="18"/>
          <w:szCs w:val="18"/>
          <w:color w:val="auto"/>
        </w:rPr>
        <w:t>”). Subject to certain restrictions described in the Agreement, Dr. Boudes will receive a $100,000 signing bonus pursuant to the Agreement. Dr. Boudes will also be granted options to purchase 300,000 shares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of the Company’s common stock pursuant to the Company’s 2019 Omnibus Equity Incentive Plan. The Options vest as follows: twenty percent (20%) of the Options shall vest upon one (1) year of employment, twenty percent (20%) of the Options shall vest upon two (2) years of employment, twenty percent (20%) of the Options shall vest upon three (3) years of employment, and the remaining forty percent (40%) of the Options shall vest upon four (4) years of employment.</w:t>
      </w: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Jack W. Callicutt, Chief Financial Officer</w:t>
      </w:r>
    </w:p>
    <w:p>
      <w:pPr>
        <w:spacing w:after="0" w:line="119"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 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7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&amp; Perquisites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our NEOs for the fiscal years ended December 31,</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2023 and 2022.</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6"/>
                <w:szCs w:val="16"/>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00" w:type="dxa"/>
            <w:vAlign w:val="bottom"/>
          </w:tcPr>
          <w:p>
            <w:pPr>
              <w:spacing w:after="0"/>
              <w:rPr>
                <w:sz w:val="16"/>
                <w:szCs w:val="16"/>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8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580" w:type="dxa"/>
            <w:vAlign w:val="bottom"/>
            <w:tcBorders>
              <w:bottom w:val="single" w:sz="8" w:color="auto"/>
            </w:tcBorders>
          </w:tcPr>
          <w:p>
            <w:pPr>
              <w:jc w:val="center"/>
              <w:ind w:right="48"/>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6"/>
                <w:szCs w:val="16"/>
                <w:color w:val="auto"/>
              </w:rPr>
              <w:t>2023</w:t>
            </w:r>
            <w:r>
              <w:rPr>
                <w:rFonts w:ascii="Times New Roman" w:cs="Times New Roman" w:eastAsia="Times New Roman" w:hAnsi="Times New Roman"/>
                <w:sz w:val="25"/>
                <w:szCs w:val="25"/>
                <w:color w:val="auto"/>
                <w:vertAlign w:val="superscript"/>
              </w:rPr>
              <w:t>(2)</w:t>
            </w:r>
          </w:p>
        </w:tc>
        <w:tc>
          <w:tcPr>
            <w:tcW w:w="9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573,583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55,924</w:t>
            </w:r>
          </w:p>
        </w:tc>
        <w:tc>
          <w:tcPr>
            <w:tcW w:w="1200" w:type="dxa"/>
            <w:vAlign w:val="bottom"/>
            <w:gridSpan w:val="2"/>
            <w:shd w:val="clear" w:color="auto" w:fill="CCEEFF"/>
          </w:tcPr>
          <w:p>
            <w:pPr>
              <w:jc w:val="right"/>
              <w:ind w:right="28"/>
              <w:spacing w:after="0" w:line="223" w:lineRule="exact"/>
              <w:rPr>
                <w:sz w:val="20"/>
                <w:szCs w:val="20"/>
                <w:color w:val="auto"/>
              </w:rPr>
            </w:pPr>
            <w:r>
              <w:rPr>
                <w:rFonts w:ascii="Times New Roman" w:cs="Times New Roman" w:eastAsia="Times New Roman" w:hAnsi="Times New Roman"/>
                <w:sz w:val="16"/>
                <w:szCs w:val="16"/>
                <w:color w:val="auto"/>
              </w:rPr>
              <w:t>45,140</w:t>
            </w:r>
            <w:r>
              <w:rPr>
                <w:rFonts w:ascii="Times New Roman" w:cs="Times New Roman" w:eastAsia="Times New Roman" w:hAnsi="Times New Roman"/>
                <w:sz w:val="25"/>
                <w:szCs w:val="25"/>
                <w:color w:val="auto"/>
                <w:vertAlign w:val="superscript"/>
              </w:rPr>
              <w:t>(3)</w:t>
            </w:r>
          </w:p>
        </w:tc>
        <w:tc>
          <w:tcPr>
            <w:tcW w:w="7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963,647</w:t>
            </w: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 &amp; President</w:t>
            </w:r>
          </w:p>
        </w:tc>
        <w:tc>
          <w:tcPr>
            <w:tcW w:w="18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2022</w:t>
            </w:r>
            <w:r>
              <w:rPr>
                <w:rFonts w:ascii="Times New Roman" w:cs="Times New Roman" w:eastAsia="Times New Roman" w:hAnsi="Times New Roman"/>
                <w:sz w:val="29"/>
                <w:szCs w:val="29"/>
                <w:color w:val="auto"/>
                <w:w w:val="92"/>
                <w:vertAlign w:val="superscript"/>
              </w:rPr>
              <w:t>(2)</w:t>
            </w:r>
          </w:p>
        </w:tc>
        <w:tc>
          <w:tcPr>
            <w:tcW w:w="900" w:type="dxa"/>
            <w:vAlign w:val="bottom"/>
            <w:gridSpan w:val="2"/>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522,917</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103,517</w:t>
            </w:r>
          </w:p>
        </w:tc>
        <w:tc>
          <w:tcPr>
            <w:tcW w:w="120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85,247</w:t>
            </w:r>
            <w:r>
              <w:rPr>
                <w:rFonts w:ascii="Times New Roman" w:cs="Times New Roman" w:eastAsia="Times New Roman" w:hAnsi="Times New Roman"/>
                <w:sz w:val="29"/>
                <w:szCs w:val="29"/>
                <w:color w:val="auto"/>
                <w:vertAlign w:val="superscript"/>
              </w:rPr>
              <w:t>(4)</w:t>
            </w:r>
          </w:p>
        </w:tc>
        <w:tc>
          <w:tcPr>
            <w:tcW w:w="780" w:type="dxa"/>
            <w:vAlign w:val="bottom"/>
            <w:gridSpan w:val="2"/>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974,181</w:t>
            </w: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Pol F. Boudes,</w:t>
            </w:r>
          </w:p>
        </w:tc>
        <w:tc>
          <w:tcPr>
            <w:tcW w:w="180" w:type="dxa"/>
            <w:vAlign w:val="bottom"/>
          </w:tcPr>
          <w:p>
            <w:pPr>
              <w:spacing w:after="0"/>
              <w:rPr>
                <w:sz w:val="18"/>
                <w:szCs w:val="18"/>
                <w:color w:val="auto"/>
              </w:rPr>
            </w:pPr>
          </w:p>
        </w:tc>
        <w:tc>
          <w:tcPr>
            <w:tcW w:w="5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2023</w:t>
            </w:r>
            <w:r>
              <w:rPr>
                <w:rFonts w:ascii="Times New Roman" w:cs="Times New Roman" w:eastAsia="Times New Roman" w:hAnsi="Times New Roman"/>
                <w:sz w:val="25"/>
                <w:szCs w:val="25"/>
                <w:color w:val="auto"/>
                <w:vertAlign w:val="superscript"/>
              </w:rPr>
              <w:t>(5)</w:t>
            </w:r>
          </w:p>
        </w:tc>
        <w:tc>
          <w:tcPr>
            <w:tcW w:w="9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530,000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160,500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6"/>
              </w:rPr>
              <w:t>39,946</w:t>
            </w:r>
          </w:p>
        </w:tc>
        <w:tc>
          <w:tcPr>
            <w:tcW w:w="1200" w:type="dxa"/>
            <w:vAlign w:val="bottom"/>
            <w:gridSpan w:val="2"/>
          </w:tcPr>
          <w:p>
            <w:pPr>
              <w:jc w:val="right"/>
              <w:ind w:right="28"/>
              <w:spacing w:after="0" w:line="216" w:lineRule="exact"/>
              <w:rPr>
                <w:sz w:val="20"/>
                <w:szCs w:val="20"/>
                <w:color w:val="auto"/>
              </w:rPr>
            </w:pPr>
            <w:r>
              <w:rPr>
                <w:rFonts w:ascii="Times New Roman" w:cs="Times New Roman" w:eastAsia="Times New Roman" w:hAnsi="Times New Roman"/>
                <w:sz w:val="16"/>
                <w:szCs w:val="16"/>
                <w:color w:val="auto"/>
              </w:rPr>
              <w:t>39,834</w:t>
            </w:r>
            <w:r>
              <w:rPr>
                <w:rFonts w:ascii="Times New Roman" w:cs="Times New Roman" w:eastAsia="Times New Roman" w:hAnsi="Times New Roman"/>
                <w:sz w:val="25"/>
                <w:szCs w:val="25"/>
                <w:color w:val="auto"/>
                <w:vertAlign w:val="superscript"/>
              </w:rPr>
              <w:t>(6)</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770,280</w:t>
            </w:r>
          </w:p>
        </w:tc>
        <w:tc>
          <w:tcPr>
            <w:tcW w:w="0" w:type="dxa"/>
            <w:vAlign w:val="bottom"/>
          </w:tcPr>
          <w:p>
            <w:pPr>
              <w:spacing w:after="0"/>
              <w:rPr>
                <w:sz w:val="1"/>
                <w:szCs w:val="1"/>
                <w:color w:val="auto"/>
              </w:rPr>
            </w:pPr>
          </w:p>
        </w:tc>
      </w:tr>
      <w:tr>
        <w:trPr>
          <w:trHeight w:val="351"/>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M.D., Former Chief Medical Officer</w:t>
            </w:r>
            <w:r>
              <w:rPr>
                <w:rFonts w:ascii="Times New Roman" w:cs="Times New Roman" w:eastAsia="Times New Roman" w:hAnsi="Times New Roman"/>
                <w:sz w:val="29"/>
                <w:szCs w:val="29"/>
                <w:color w:val="auto"/>
                <w:vertAlign w:val="superscript"/>
              </w:rPr>
              <w:t>(11)</w:t>
            </w:r>
          </w:p>
        </w:tc>
        <w:tc>
          <w:tcPr>
            <w:tcW w:w="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2"/>
              </w:rPr>
              <w:t>2022</w:t>
            </w:r>
            <w:r>
              <w:rPr>
                <w:rFonts w:ascii="Times New Roman" w:cs="Times New Roman" w:eastAsia="Times New Roman" w:hAnsi="Times New Roman"/>
                <w:sz w:val="29"/>
                <w:szCs w:val="29"/>
                <w:color w:val="auto"/>
                <w:w w:val="92"/>
                <w:vertAlign w:val="superscript"/>
              </w:rPr>
              <w:t>(5)</w:t>
            </w:r>
          </w:p>
        </w:tc>
        <w:tc>
          <w:tcPr>
            <w:tcW w:w="9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473,333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142,500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6"/>
              </w:rPr>
              <w:t>73,940</w:t>
            </w: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104,804</w:t>
            </w:r>
            <w:r>
              <w:rPr>
                <w:rFonts w:ascii="Times New Roman" w:cs="Times New Roman" w:eastAsia="Times New Roman" w:hAnsi="Times New Roman"/>
                <w:sz w:val="29"/>
                <w:szCs w:val="29"/>
                <w:color w:val="auto"/>
                <w:vertAlign w:val="superscript"/>
              </w:rPr>
              <w:t>(7)</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794,577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2023</w:t>
            </w:r>
            <w:r>
              <w:rPr>
                <w:rFonts w:ascii="Times New Roman" w:cs="Times New Roman" w:eastAsia="Times New Roman" w:hAnsi="Times New Roman"/>
                <w:sz w:val="25"/>
                <w:szCs w:val="25"/>
                <w:color w:val="auto"/>
                <w:vertAlign w:val="superscript"/>
              </w:rPr>
              <w:t>(8)</w:t>
            </w:r>
          </w:p>
        </w:tc>
        <w:tc>
          <w:tcPr>
            <w:tcW w:w="9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364,000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110,400</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39,946</w:t>
            </w:r>
          </w:p>
        </w:tc>
        <w:tc>
          <w:tcPr>
            <w:tcW w:w="1200" w:type="dxa"/>
            <w:vAlign w:val="bottom"/>
            <w:gridSpan w:val="2"/>
            <w:shd w:val="clear" w:color="auto" w:fill="CCEEFF"/>
          </w:tcPr>
          <w:p>
            <w:pPr>
              <w:jc w:val="right"/>
              <w:ind w:right="28"/>
              <w:spacing w:after="0" w:line="216" w:lineRule="exact"/>
              <w:rPr>
                <w:sz w:val="20"/>
                <w:szCs w:val="20"/>
                <w:color w:val="auto"/>
              </w:rPr>
            </w:pPr>
            <w:r>
              <w:rPr>
                <w:rFonts w:ascii="Times New Roman" w:cs="Times New Roman" w:eastAsia="Times New Roman" w:hAnsi="Times New Roman"/>
                <w:sz w:val="16"/>
                <w:szCs w:val="16"/>
                <w:color w:val="auto"/>
              </w:rPr>
              <w:t>47,073</w:t>
            </w:r>
            <w:r>
              <w:rPr>
                <w:rFonts w:ascii="Times New Roman" w:cs="Times New Roman" w:eastAsia="Times New Roman" w:hAnsi="Times New Roman"/>
                <w:sz w:val="25"/>
                <w:szCs w:val="25"/>
                <w:color w:val="auto"/>
                <w:vertAlign w:val="superscript"/>
              </w:rPr>
              <w:t>(9)</w:t>
            </w:r>
          </w:p>
        </w:tc>
        <w:tc>
          <w:tcPr>
            <w:tcW w:w="7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561,419</w:t>
            </w: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shd w:val="clear" w:color="auto" w:fill="CCEEFF"/>
              </w:rPr>
              <w:t>2022</w:t>
            </w:r>
            <w:r>
              <w:rPr>
                <w:rFonts w:ascii="Times New Roman" w:cs="Times New Roman" w:eastAsia="Times New Roman" w:hAnsi="Times New Roman"/>
                <w:sz w:val="29"/>
                <w:szCs w:val="29"/>
                <w:color w:val="auto"/>
                <w:w w:val="92"/>
                <w:vertAlign w:val="superscript"/>
                <w:shd w:val="clear" w:color="auto" w:fill="CCEEFF"/>
              </w:rPr>
              <w:t>(8)</w:t>
            </w:r>
          </w:p>
        </w:tc>
        <w:tc>
          <w:tcPr>
            <w:tcW w:w="900" w:type="dxa"/>
            <w:vAlign w:val="bottom"/>
            <w:gridSpan w:val="2"/>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318,508</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7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73,940</w:t>
            </w: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78,116</w:t>
            </w:r>
            <w:r>
              <w:rPr>
                <w:rFonts w:ascii="Times New Roman" w:cs="Times New Roman" w:eastAsia="Times New Roman" w:hAnsi="Times New Roman"/>
                <w:sz w:val="29"/>
                <w:szCs w:val="29"/>
                <w:color w:val="auto"/>
                <w:vertAlign w:val="superscript"/>
              </w:rPr>
              <w:t>(10)</w:t>
            </w:r>
          </w:p>
        </w:tc>
        <w:tc>
          <w:tcPr>
            <w:tcW w:w="780" w:type="dxa"/>
            <w:vAlign w:val="bottom"/>
            <w:gridSpan w:val="2"/>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566,564</w:t>
            </w:r>
          </w:p>
        </w:tc>
        <w:tc>
          <w:tcPr>
            <w:tcW w:w="0" w:type="dxa"/>
            <w:vAlign w:val="bottom"/>
          </w:tcPr>
          <w:p>
            <w:pPr>
              <w:spacing w:after="0"/>
              <w:rPr>
                <w:sz w:val="1"/>
                <w:szCs w:val="1"/>
                <w:color w:val="auto"/>
              </w:rPr>
            </w:pPr>
          </w:p>
        </w:tc>
      </w:tr>
      <w:tr>
        <w:trPr>
          <w:trHeight w:val="103"/>
        </w:trPr>
        <w:tc>
          <w:tcPr>
            <w:tcW w:w="3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519" w:hanging="348"/>
        <w:spacing w:after="0" w:line="236"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of option awards made during 2023 and 2022 computed in accordance with the Stock Compensation Topic of the FASB ASC, as modified of supplemented. Fair value was calculated using the Black-Scholes options pricing model. For a description of the assumptions used to determine these amounts, see Note 9 of the Notes to the Consolidated Financial Statements in our Annual Reports on Form 10-K for the fiscal years ended December 31, 2023 and 2022.</w:t>
      </w:r>
    </w:p>
    <w:p>
      <w:pPr>
        <w:spacing w:after="0" w:line="14" w:lineRule="exact"/>
        <w:rPr>
          <w:rFonts w:ascii="Times New Roman" w:cs="Times New Roman" w:eastAsia="Times New Roman" w:hAnsi="Times New Roman"/>
          <w:sz w:val="14"/>
          <w:szCs w:val="14"/>
          <w:color w:val="auto"/>
        </w:rPr>
      </w:pPr>
    </w:p>
    <w:p>
      <w:pPr>
        <w:ind w:left="640" w:right="759" w:hanging="348"/>
        <w:spacing w:after="0" w:line="24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Lewis’s performance bonuses for 2023 and 2022 were approved in January 2023 and January 2024, respectively. Pursuant to his employment agreement 20% of his salary and bonus were paid in cash and 80% were awarded in deferred stock units through December 31, 2023.</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$33,244 for health and other insurance and $11,896 for 401(k) plan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$73,047 for health and other insurance and $12,200 for 401(k) plan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Boudes’ performance bonuses for 2023 and 2022 were approved in January 2023 and January 2022, respectively.</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$26,634 for health and other insurance and $13,200 for 401(k) plan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$92,604 for health and other insurance and $11,200 for 401(k) plan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Callicutt’s performance bonuses for 2023 and 2022 were approved in January 2023 and January 2022, respectively.</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$33,873 for health and other insurance and $12,200 for 401(k) plan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$65,916 for health and other insurance and $12,200 for 401(k) plan contributions.</w:t>
      </w:r>
    </w:p>
    <w:p>
      <w:pPr>
        <w:spacing w:after="0" w:line="41" w:lineRule="exact"/>
        <w:rPr>
          <w:rFonts w:ascii="Times New Roman" w:cs="Times New Roman" w:eastAsia="Times New Roman" w:hAnsi="Times New Roman"/>
          <w:sz w:val="14"/>
          <w:szCs w:val="14"/>
          <w:color w:val="auto"/>
        </w:rPr>
      </w:pPr>
    </w:p>
    <w:p>
      <w:pPr>
        <w:jc w:val="both"/>
        <w:ind w:left="640" w:right="379" w:hanging="348"/>
        <w:spacing w:after="0" w:line="24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August 1, 2024, Pol F. Boudes was no longer employed by the Company. As Dr. Boudes was the Chief Medical Officer as of the last day of the fiscal year ending December 31, 2023, he is a Named Executive Officer for purposes of the Company’s executive compensation discussion proxy statement for the 2024 Annual Meeting.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2023</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equity awards held by the NEOs at December 31, 2023. The exercise price of the options is set at the closing price of our stock at the date prior to or as of the date of grant. Outstanding options have been approved by our Compensation Committee and our Board.</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78"/>
        </w:trPr>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ind w:left="66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8"/>
        </w:trPr>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52"/>
        </w:trPr>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49"/>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r>
      <w:tr>
        <w:trPr>
          <w:trHeight w:val="148"/>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r>
      <w:tr>
        <w:trPr>
          <w:trHeight w:val="148"/>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r>
      <w:tr>
        <w:trPr>
          <w:trHeight w:val="148"/>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r>
      <w:tr>
        <w:trPr>
          <w:trHeight w:val="148"/>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Payout</w:t>
            </w:r>
          </w:p>
        </w:tc>
      </w:tr>
      <w:tr>
        <w:trPr>
          <w:trHeight w:val="149"/>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 of</w:t>
            </w:r>
          </w:p>
        </w:tc>
      </w:tr>
      <w:tr>
        <w:trPr>
          <w:trHeight w:val="148"/>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r>
      <w:tr>
        <w:trPr>
          <w:trHeight w:val="148"/>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or</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r>
      <w:tr>
        <w:trPr>
          <w:trHeight w:val="148"/>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or</w:t>
            </w:r>
          </w:p>
        </w:tc>
      </w:tr>
      <w:tr>
        <w:trPr>
          <w:trHeight w:val="148"/>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48"/>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w:t>
            </w:r>
          </w:p>
        </w:tc>
      </w:tr>
      <w:tr>
        <w:trPr>
          <w:trHeight w:val="149"/>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That</w:t>
            </w: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That</w:t>
            </w:r>
          </w:p>
        </w:tc>
      </w:tr>
      <w:tr>
        <w:trPr>
          <w:trHeight w:val="148"/>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Not</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r>
      <w:tr>
        <w:trPr>
          <w:trHeight w:val="148"/>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r>
      <w:tr>
        <w:trPr>
          <w:trHeight w:val="178"/>
        </w:trPr>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82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00" w:type="dxa"/>
            <w:vAlign w:val="bottom"/>
            <w:gridSpan w:val="2"/>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8"/>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77"/>
        </w:trPr>
        <w:tc>
          <w:tcPr>
            <w:tcW w:w="1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Joel Lewis</w:t>
            </w:r>
          </w:p>
        </w:tc>
        <w:tc>
          <w:tcPr>
            <w:tcW w:w="880" w:type="dxa"/>
            <w:vAlign w:val="bottom"/>
            <w:shd w:val="clear" w:color="auto" w:fill="CCEEFF"/>
          </w:tcPr>
          <w:p>
            <w:pPr>
              <w:jc w:val="right"/>
              <w:ind w:right="19"/>
              <w:spacing w:after="0" w:line="277" w:lineRule="exact"/>
              <w:rPr>
                <w:sz w:val="20"/>
                <w:szCs w:val="20"/>
                <w:color w:val="auto"/>
              </w:rPr>
            </w:pPr>
            <w:r>
              <w:rPr>
                <w:rFonts w:ascii="Times New Roman" w:cs="Times New Roman" w:eastAsia="Times New Roman" w:hAnsi="Times New Roman"/>
                <w:sz w:val="17"/>
                <w:szCs w:val="17"/>
                <w:color w:val="auto"/>
              </w:rPr>
              <w:t>54,250</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12/14/2027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ind w:right="19"/>
              <w:spacing w:after="0" w:line="270" w:lineRule="exact"/>
              <w:rPr>
                <w:sz w:val="20"/>
                <w:szCs w:val="20"/>
                <w:color w:val="auto"/>
              </w:rPr>
            </w:pPr>
            <w:r>
              <w:rPr>
                <w:rFonts w:ascii="Times New Roman" w:cs="Times New Roman" w:eastAsia="Times New Roman" w:hAnsi="Times New Roman"/>
                <w:sz w:val="17"/>
                <w:szCs w:val="17"/>
                <w:color w:val="auto"/>
              </w:rPr>
              <w:t>35,000</w:t>
            </w:r>
            <w:r>
              <w:rPr>
                <w:rFonts w:ascii="Times New Roman" w:cs="Times New Roman" w:eastAsia="Times New Roman" w:hAnsi="Times New Roman"/>
                <w:sz w:val="28"/>
                <w:szCs w:val="28"/>
                <w:color w:val="auto"/>
                <w:vertAlign w:val="superscript"/>
              </w:rPr>
              <w:t>(2)</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01/16/2029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ind w:right="19"/>
              <w:spacing w:after="0" w:line="270" w:lineRule="exact"/>
              <w:rPr>
                <w:sz w:val="20"/>
                <w:szCs w:val="20"/>
                <w:color w:val="auto"/>
              </w:rPr>
            </w:pPr>
            <w:r>
              <w:rPr>
                <w:rFonts w:ascii="Times New Roman" w:cs="Times New Roman" w:eastAsia="Times New Roman" w:hAnsi="Times New Roman"/>
                <w:sz w:val="17"/>
                <w:szCs w:val="17"/>
                <w:color w:val="auto"/>
              </w:rPr>
              <w:t>40,000</w:t>
            </w:r>
            <w:r>
              <w:rPr>
                <w:rFonts w:ascii="Times New Roman" w:cs="Times New Roman" w:eastAsia="Times New Roman" w:hAnsi="Times New Roman"/>
                <w:sz w:val="28"/>
                <w:szCs w:val="28"/>
                <w:color w:val="auto"/>
                <w:vertAlign w:val="superscript"/>
              </w:rPr>
              <w:t>(3)</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01/09/2030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250,000</w:t>
            </w:r>
            <w:r>
              <w:rPr>
                <w:rFonts w:ascii="Times New Roman" w:cs="Times New Roman" w:eastAsia="Times New Roman" w:hAnsi="Times New Roman"/>
                <w:sz w:val="28"/>
                <w:szCs w:val="28"/>
                <w:color w:val="auto"/>
                <w:vertAlign w:val="superscript"/>
              </w:rPr>
              <w:t>(4)</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08/31/2030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ind w:right="19"/>
              <w:spacing w:after="0" w:line="270" w:lineRule="exact"/>
              <w:rPr>
                <w:sz w:val="20"/>
                <w:szCs w:val="20"/>
                <w:color w:val="auto"/>
              </w:rPr>
            </w:pPr>
            <w:r>
              <w:rPr>
                <w:rFonts w:ascii="Times New Roman" w:cs="Times New Roman" w:eastAsia="Times New Roman" w:hAnsi="Times New Roman"/>
                <w:sz w:val="17"/>
                <w:szCs w:val="17"/>
                <w:color w:val="auto"/>
              </w:rPr>
              <w:t>70,000</w:t>
            </w:r>
            <w:r>
              <w:rPr>
                <w:rFonts w:ascii="Times New Roman" w:cs="Times New Roman" w:eastAsia="Times New Roman" w:hAnsi="Times New Roman"/>
                <w:sz w:val="28"/>
                <w:szCs w:val="28"/>
                <w:color w:val="auto"/>
                <w:vertAlign w:val="superscript"/>
              </w:rPr>
              <w:t>(5)</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2.11</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140,000</w:t>
            </w:r>
            <w:r>
              <w:rPr>
                <w:rFonts w:ascii="Times New Roman" w:cs="Times New Roman" w:eastAsia="Times New Roman" w:hAnsi="Times New Roman"/>
                <w:sz w:val="28"/>
                <w:szCs w:val="28"/>
                <w:color w:val="auto"/>
                <w:vertAlign w:val="superscript"/>
              </w:rPr>
              <w:t>(6)</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2.11</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ind w:right="19"/>
              <w:spacing w:after="0" w:line="270" w:lineRule="exact"/>
              <w:rPr>
                <w:sz w:val="20"/>
                <w:szCs w:val="20"/>
                <w:color w:val="auto"/>
              </w:rPr>
            </w:pPr>
            <w:r>
              <w:rPr>
                <w:rFonts w:ascii="Times New Roman" w:cs="Times New Roman" w:eastAsia="Times New Roman" w:hAnsi="Times New Roman"/>
                <w:sz w:val="17"/>
                <w:szCs w:val="17"/>
                <w:color w:val="auto"/>
              </w:rPr>
              <w:t>70,000</w:t>
            </w:r>
            <w:r>
              <w:rPr>
                <w:rFonts w:ascii="Times New Roman" w:cs="Times New Roman" w:eastAsia="Times New Roman" w:hAnsi="Times New Roman"/>
                <w:sz w:val="28"/>
                <w:szCs w:val="28"/>
                <w:color w:val="auto"/>
                <w:vertAlign w:val="superscript"/>
              </w:rPr>
              <w:t>(7)</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01/24/2032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ind w:right="19"/>
              <w:spacing w:after="0" w:line="270" w:lineRule="exact"/>
              <w:rPr>
                <w:sz w:val="20"/>
                <w:szCs w:val="20"/>
                <w:color w:val="auto"/>
              </w:rPr>
            </w:pPr>
            <w:r>
              <w:rPr>
                <w:rFonts w:ascii="Times New Roman" w:cs="Times New Roman" w:eastAsia="Times New Roman" w:hAnsi="Times New Roman"/>
                <w:sz w:val="17"/>
                <w:szCs w:val="17"/>
                <w:color w:val="auto"/>
              </w:rPr>
              <w:t>35,000</w:t>
            </w:r>
            <w:r>
              <w:rPr>
                <w:rFonts w:ascii="Times New Roman" w:cs="Times New Roman" w:eastAsia="Times New Roman" w:hAnsi="Times New Roman"/>
                <w:sz w:val="28"/>
                <w:szCs w:val="28"/>
                <w:color w:val="auto"/>
                <w:vertAlign w:val="superscript"/>
              </w:rPr>
              <w:t>(8)</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35,000</w:t>
            </w:r>
            <w:r>
              <w:rPr>
                <w:rFonts w:ascii="Times New Roman" w:cs="Times New Roman" w:eastAsia="Times New Roman" w:hAnsi="Times New Roman"/>
                <w:sz w:val="28"/>
                <w:szCs w:val="28"/>
                <w:color w:val="auto"/>
                <w:vertAlign w:val="superscript"/>
              </w:rPr>
              <w:t>(8)</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1.11</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01/26/2033</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6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Pol F. Boudes, M.D.</w:t>
            </w:r>
          </w:p>
        </w:tc>
        <w:tc>
          <w:tcPr>
            <w:tcW w:w="880" w:type="dxa"/>
            <w:vAlign w:val="bottom"/>
          </w:tcPr>
          <w:p>
            <w:pPr>
              <w:jc w:val="right"/>
              <w:spacing w:after="0" w:line="262" w:lineRule="exact"/>
              <w:rPr>
                <w:sz w:val="20"/>
                <w:szCs w:val="20"/>
                <w:color w:val="auto"/>
              </w:rPr>
            </w:pPr>
            <w:r>
              <w:rPr>
                <w:rFonts w:ascii="Times New Roman" w:cs="Times New Roman" w:eastAsia="Times New Roman" w:hAnsi="Times New Roman"/>
                <w:sz w:val="17"/>
                <w:szCs w:val="17"/>
                <w:color w:val="auto"/>
              </w:rPr>
              <w:t>180,000</w:t>
            </w:r>
            <w:r>
              <w:rPr>
                <w:rFonts w:ascii="Times New Roman" w:cs="Times New Roman" w:eastAsia="Times New Roman" w:hAnsi="Times New Roman"/>
                <w:sz w:val="28"/>
                <w:szCs w:val="28"/>
                <w:color w:val="auto"/>
                <w:vertAlign w:val="superscript"/>
              </w:rPr>
              <w:t>(9)</w:t>
            </w:r>
          </w:p>
        </w:tc>
        <w:tc>
          <w:tcPr>
            <w:tcW w:w="100" w:type="dxa"/>
            <w:vAlign w:val="bottom"/>
          </w:tcPr>
          <w:p>
            <w:pPr>
              <w:spacing w:after="0"/>
              <w:rPr>
                <w:sz w:val="22"/>
                <w:szCs w:val="22"/>
                <w:color w:val="auto"/>
              </w:rPr>
            </w:pPr>
          </w:p>
        </w:tc>
        <w:tc>
          <w:tcPr>
            <w:tcW w:w="860" w:type="dxa"/>
            <w:vAlign w:val="bottom"/>
          </w:tcPr>
          <w:p>
            <w:pPr>
              <w:jc w:val="right"/>
              <w:spacing w:after="0" w:line="262" w:lineRule="exact"/>
              <w:rPr>
                <w:sz w:val="20"/>
                <w:szCs w:val="20"/>
                <w:color w:val="auto"/>
              </w:rPr>
            </w:pPr>
            <w:r>
              <w:rPr>
                <w:rFonts w:ascii="Times New Roman" w:cs="Times New Roman" w:eastAsia="Times New Roman" w:hAnsi="Times New Roman"/>
                <w:sz w:val="17"/>
                <w:szCs w:val="17"/>
                <w:color w:val="auto"/>
              </w:rPr>
              <w:t>120,000</w:t>
            </w:r>
            <w:r>
              <w:rPr>
                <w:rFonts w:ascii="Times New Roman" w:cs="Times New Roman" w:eastAsia="Times New Roman" w:hAnsi="Times New Roman"/>
                <w:sz w:val="28"/>
                <w:szCs w:val="28"/>
                <w:color w:val="auto"/>
                <w:vertAlign w:val="superscript"/>
              </w:rPr>
              <w:t>(9)</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03/12/2030</w:t>
            </w:r>
          </w:p>
        </w:tc>
        <w:tc>
          <w:tcPr>
            <w:tcW w:w="100" w:type="dxa"/>
            <w:vAlign w:val="bottom"/>
          </w:tcPr>
          <w:p>
            <w:pPr>
              <w:spacing w:after="0"/>
              <w:rPr>
                <w:sz w:val="22"/>
                <w:szCs w:val="22"/>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9"/>
              <w:spacing w:after="0" w:line="270"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(5)</w:t>
            </w:r>
          </w:p>
        </w:tc>
        <w:tc>
          <w:tcPr>
            <w:tcW w:w="10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7"/>
                <w:szCs w:val="17"/>
                <w:color w:val="auto"/>
              </w:rPr>
              <w:t>2.11</w:t>
            </w:r>
          </w:p>
        </w:tc>
        <w:tc>
          <w:tcPr>
            <w:tcW w:w="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8"/>
                <w:szCs w:val="28"/>
                <w:color w:val="auto"/>
                <w:vertAlign w:val="superscript"/>
              </w:rPr>
              <w:t>(6)</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7"/>
                <w:szCs w:val="17"/>
                <w:color w:val="auto"/>
              </w:rPr>
              <w:t>2.11</w:t>
            </w:r>
          </w:p>
        </w:tc>
        <w:tc>
          <w:tcPr>
            <w:tcW w:w="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9"/>
              <w:spacing w:after="0" w:line="270"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(7)</w:t>
            </w:r>
          </w:p>
        </w:tc>
        <w:tc>
          <w:tcPr>
            <w:tcW w:w="10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01/24/2032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78"/>
        </w:trPr>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9"/>
              <w:spacing w:after="0" w:line="278" w:lineRule="exact"/>
              <w:rPr>
                <w:sz w:val="20"/>
                <w:szCs w:val="20"/>
                <w:color w:val="auto"/>
              </w:rPr>
            </w:pPr>
            <w:r>
              <w:rPr>
                <w:rFonts w:ascii="Times New Roman" w:cs="Times New Roman" w:eastAsia="Times New Roman" w:hAnsi="Times New Roman"/>
                <w:sz w:val="17"/>
                <w:szCs w:val="17"/>
                <w:color w:val="auto"/>
              </w:rPr>
              <w:t>25,000</w:t>
            </w:r>
            <w:r>
              <w:rPr>
                <w:rFonts w:ascii="Times New Roman" w:cs="Times New Roman" w:eastAsia="Times New Roman" w:hAnsi="Times New Roman"/>
                <w:sz w:val="28"/>
                <w:szCs w:val="28"/>
                <w:color w:val="auto"/>
                <w:vertAlign w:val="superscript"/>
              </w:rPr>
              <w:t>(8)</w:t>
            </w:r>
          </w:p>
        </w:tc>
        <w:tc>
          <w:tcPr>
            <w:tcW w:w="960" w:type="dxa"/>
            <w:vAlign w:val="bottom"/>
            <w:gridSpan w:val="2"/>
          </w:tcPr>
          <w:p>
            <w:pPr>
              <w:jc w:val="right"/>
              <w:spacing w:after="0" w:line="278" w:lineRule="exact"/>
              <w:rPr>
                <w:sz w:val="20"/>
                <w:szCs w:val="20"/>
                <w:color w:val="auto"/>
              </w:rPr>
            </w:pPr>
            <w:r>
              <w:rPr>
                <w:rFonts w:ascii="Times New Roman" w:cs="Times New Roman" w:eastAsia="Times New Roman" w:hAnsi="Times New Roman"/>
                <w:sz w:val="17"/>
                <w:szCs w:val="17"/>
                <w:color w:val="auto"/>
              </w:rPr>
              <w:t>25,000</w:t>
            </w:r>
            <w:r>
              <w:rPr>
                <w:rFonts w:ascii="Times New Roman" w:cs="Times New Roman" w:eastAsia="Times New Roman" w:hAnsi="Times New Roman"/>
                <w:sz w:val="28"/>
                <w:szCs w:val="28"/>
                <w:color w:val="auto"/>
                <w:vertAlign w:val="superscript"/>
              </w:rPr>
              <w:t>(8)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7"/>
                <w:szCs w:val="17"/>
                <w:color w:val="auto"/>
              </w:rPr>
              <w:t>1.11</w:t>
            </w:r>
          </w:p>
        </w:tc>
        <w:tc>
          <w:tcPr>
            <w:tcW w:w="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01/26/2033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Jack W. Callicutt</w:t>
            </w: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26,000</w:t>
            </w:r>
            <w:r>
              <w:rPr>
                <w:rFonts w:ascii="Times New Roman" w:cs="Times New Roman" w:eastAsia="Times New Roman" w:hAnsi="Times New Roman"/>
                <w:sz w:val="28"/>
                <w:szCs w:val="28"/>
                <w:color w:val="auto"/>
                <w:vertAlign w:val="superscript"/>
              </w:rPr>
              <w:t>(10)</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01/21/2024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8,706</w:t>
            </w:r>
            <w:r>
              <w:rPr>
                <w:rFonts w:ascii="Times New Roman" w:cs="Times New Roman" w:eastAsia="Times New Roman" w:hAnsi="Times New Roman"/>
                <w:sz w:val="28"/>
                <w:szCs w:val="28"/>
                <w:color w:val="auto"/>
                <w:vertAlign w:val="superscript"/>
              </w:rPr>
              <w:t>(11)</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01/20/2026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90,000</w:t>
            </w:r>
            <w:r>
              <w:rPr>
                <w:rFonts w:ascii="Times New Roman" w:cs="Times New Roman" w:eastAsia="Times New Roman" w:hAnsi="Times New Roman"/>
                <w:sz w:val="28"/>
                <w:szCs w:val="28"/>
                <w:color w:val="auto"/>
                <w:vertAlign w:val="superscript"/>
              </w:rPr>
              <w:t>(12)</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01/15/2028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90,000</w:t>
            </w:r>
            <w:r>
              <w:rPr>
                <w:rFonts w:ascii="Times New Roman" w:cs="Times New Roman" w:eastAsia="Times New Roman" w:hAnsi="Times New Roman"/>
                <w:sz w:val="28"/>
                <w:szCs w:val="28"/>
                <w:color w:val="auto"/>
                <w:vertAlign w:val="superscript"/>
              </w:rPr>
              <w:t>(13)</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05/22/2028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(14)</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01/16/2029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(15)</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01/09/2030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ind w:right="19"/>
              <w:spacing w:after="0" w:line="270" w:lineRule="exact"/>
              <w:rPr>
                <w:sz w:val="20"/>
                <w:szCs w:val="20"/>
                <w:color w:val="auto"/>
              </w:rPr>
            </w:pPr>
            <w:r>
              <w:rPr>
                <w:rFonts w:ascii="Times New Roman" w:cs="Times New Roman" w:eastAsia="Times New Roman" w:hAnsi="Times New Roman"/>
                <w:sz w:val="17"/>
                <w:szCs w:val="17"/>
                <w:color w:val="auto"/>
              </w:rPr>
              <w:t>50,500</w:t>
            </w:r>
            <w:r>
              <w:rPr>
                <w:rFonts w:ascii="Times New Roman" w:cs="Times New Roman" w:eastAsia="Times New Roman" w:hAnsi="Times New Roman"/>
                <w:sz w:val="28"/>
                <w:szCs w:val="28"/>
                <w:color w:val="auto"/>
                <w:vertAlign w:val="superscript"/>
              </w:rPr>
              <w:t>(5)</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2.11</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8"/>
                <w:szCs w:val="28"/>
                <w:color w:val="auto"/>
                <w:vertAlign w:val="superscript"/>
              </w:rPr>
              <w:t>(6)</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2.11</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14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80" w:type="dxa"/>
            <w:vAlign w:val="bottom"/>
            <w:shd w:val="clear" w:color="auto" w:fill="CCEEFF"/>
          </w:tcPr>
          <w:p>
            <w:pPr>
              <w:jc w:val="right"/>
              <w:ind w:right="19"/>
              <w:spacing w:after="0" w:line="270"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(7)</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01/24/2032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56"/>
        </w:trPr>
        <w:tc>
          <w:tcPr>
            <w:tcW w:w="14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880" w:type="dxa"/>
            <w:vAlign w:val="bottom"/>
            <w:shd w:val="clear" w:color="auto" w:fill="CCEEFF"/>
          </w:tcPr>
          <w:p>
            <w:pPr>
              <w:jc w:val="right"/>
              <w:ind w:right="19"/>
              <w:spacing w:after="0" w:line="257" w:lineRule="exact"/>
              <w:rPr>
                <w:sz w:val="20"/>
                <w:szCs w:val="20"/>
                <w:color w:val="auto"/>
              </w:rPr>
            </w:pPr>
            <w:r>
              <w:rPr>
                <w:rFonts w:ascii="Times New Roman" w:cs="Times New Roman" w:eastAsia="Times New Roman" w:hAnsi="Times New Roman"/>
                <w:sz w:val="17"/>
                <w:szCs w:val="17"/>
                <w:color w:val="auto"/>
              </w:rPr>
              <w:t>25,000</w:t>
            </w:r>
            <w:r>
              <w:rPr>
                <w:rFonts w:ascii="Times New Roman" w:cs="Times New Roman" w:eastAsia="Times New Roman" w:hAnsi="Times New Roman"/>
                <w:sz w:val="28"/>
                <w:szCs w:val="28"/>
                <w:color w:val="auto"/>
                <w:vertAlign w:val="superscript"/>
              </w:rPr>
              <w:t>(8)</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line="257" w:lineRule="exact"/>
              <w:rPr>
                <w:sz w:val="20"/>
                <w:szCs w:val="20"/>
                <w:color w:val="auto"/>
              </w:rPr>
            </w:pPr>
            <w:r>
              <w:rPr>
                <w:rFonts w:ascii="Times New Roman" w:cs="Times New Roman" w:eastAsia="Times New Roman" w:hAnsi="Times New Roman"/>
                <w:sz w:val="17"/>
                <w:szCs w:val="17"/>
                <w:color w:val="auto"/>
              </w:rPr>
              <w:t>25,000</w:t>
            </w:r>
            <w:r>
              <w:rPr>
                <w:rFonts w:ascii="Times New Roman" w:cs="Times New Roman" w:eastAsia="Times New Roman" w:hAnsi="Times New Roman"/>
                <w:sz w:val="28"/>
                <w:szCs w:val="28"/>
                <w:color w:val="auto"/>
                <w:vertAlign w:val="superscript"/>
              </w:rPr>
              <w:t>(8)</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1.11</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01/26/2033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54"/>
        </w:trPr>
        <w:tc>
          <w:tcPr>
            <w:tcW w:w="1400" w:type="dxa"/>
            <w:vAlign w:val="bottom"/>
            <w:shd w:val="clear" w:color="auto" w:fill="CCEEFF"/>
          </w:tcPr>
          <w:p>
            <w:pPr>
              <w:spacing w:after="0"/>
              <w:rPr>
                <w:sz w:val="4"/>
                <w:szCs w:val="4"/>
                <w:color w:val="auto"/>
              </w:rPr>
            </w:pPr>
          </w:p>
        </w:tc>
        <w:tc>
          <w:tcPr>
            <w:tcW w:w="120" w:type="dxa"/>
            <w:vAlign w:val="bottom"/>
            <w:tcBorders>
              <w:right w:val="single" w:sz="8" w:color="CCEEFF"/>
            </w:tcBorders>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-33655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vested in full on December 14, 2018.</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vested in full on January 16, 2020.</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vested in full on December 31, 2020.</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One-twelfth of the total options vest quarterly from August 31, 2020, which was the grant date.</w:t>
      </w:r>
    </w:p>
    <w:p>
      <w:pPr>
        <w:spacing w:after="0" w:line="41" w:lineRule="exact"/>
        <w:rPr>
          <w:rFonts w:ascii="Times New Roman" w:cs="Times New Roman" w:eastAsia="Times New Roman" w:hAnsi="Times New Roman"/>
          <w:sz w:val="14"/>
          <w:szCs w:val="14"/>
          <w:color w:val="auto"/>
        </w:rPr>
      </w:pPr>
    </w:p>
    <w:p>
      <w:pPr>
        <w:ind w:left="640" w:right="7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September 30, 2021, 25% vested on March 31, 2022, 25% vested on September 30, 2022, 25% vest on March 31, 2023.</w:t>
      </w:r>
    </w:p>
    <w:p>
      <w:pPr>
        <w:ind w:left="640" w:right="97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 when the Company has received the interim results of the NAVIGATE clinical trial and makes a public announcement that it has received the interim results.</w:t>
      </w:r>
    </w:p>
    <w:p>
      <w:pPr>
        <w:ind w:left="640" w:right="5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2022, 25% vested on December 31, 2022, 25% vest on June 30, 2023, 25% vest on December 31, 2023.</w:t>
      </w:r>
    </w:p>
    <w:p>
      <w:pPr>
        <w:ind w:left="640" w:right="5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2023, 25% vested on December 31, 2023, 25% vest on June 30, 2024, 25% vest on December 31, 2024.</w:t>
      </w: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of the options vest on each of March 2, 2021, March 2, 2022, and March 2023 and 40% of the options vest on March 2,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73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January 21, 2014, the grant date with the remainder vested ratably on a monthly basis over a three-year period.</w:t>
      </w:r>
    </w:p>
    <w:p>
      <w:pPr>
        <w:ind w:left="640" w:right="73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January 29, 2015, the grant date with the remainder vested ratably on a monthly basis over a three-year period.</w:t>
      </w: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January 15, 2018 (grant date), 25% vested on June 30, 2018, and 50% vested on December 31, 2018.</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2018, 25% vested on September 30, 2018, and 50% vested on December 31, 2018.</w:t>
      </w:r>
    </w:p>
    <w:p>
      <w:pPr>
        <w:spacing w:after="0" w:line="41" w:lineRule="exact"/>
        <w:rPr>
          <w:rFonts w:ascii="Times New Roman" w:cs="Times New Roman" w:eastAsia="Times New Roman" w:hAnsi="Times New Roman"/>
          <w:sz w:val="14"/>
          <w:szCs w:val="14"/>
          <w:color w:val="auto"/>
        </w:rPr>
      </w:pPr>
    </w:p>
    <w:p>
      <w:pPr>
        <w:ind w:left="640" w:right="85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2019, 25% vested on December 31, 2019, 25% vested on June 30, 2020, and 25% vested on December 31, 2020.</w:t>
      </w:r>
    </w:p>
    <w:p>
      <w:pPr>
        <w:ind w:left="640" w:right="85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2020, 25% vested on December 31, 2020, 25% vested on June 30, 2021, and 25% vested on December 31, 2021.</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2019 Omnibus Equity Incentive Plan</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Joel Lewis:</w:t>
      </w:r>
    </w:p>
    <w:p>
      <w:pPr>
        <w:spacing w:after="0" w:line="11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Under Mr. Lewis’ Employment Agreement, the Company is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w:t>
      </w:r>
    </w:p>
    <w:p>
      <w:pPr>
        <w:spacing w:after="0" w:line="72"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Pol Boudes:</w:t>
      </w:r>
    </w:p>
    <w:p>
      <w:pPr>
        <w:spacing w:after="0" w:line="119"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Under the Employment Agreement with Dr. Boudes, if (i) Dr. Boudes terminates the Agreement for Good Reason (as defined in the Agreement) or the Company terminates the Agreement without Cause (as defined in the Agreement), then the Company shall pay to Dr. Boudes: (1) the Base Salary accrued through the date of termination,</w:t>
      </w:r>
    </w:p>
    <w:p>
      <w:pPr>
        <w:spacing w:after="0" w:line="2" w:lineRule="exact"/>
        <w:rPr>
          <w:sz w:val="20"/>
          <w:szCs w:val="20"/>
          <w:color w:val="auto"/>
        </w:rPr>
      </w:pPr>
    </w:p>
    <w:p>
      <w:pPr>
        <w:ind w:left="300" w:right="579"/>
        <w:spacing w:after="0" w:line="260" w:lineRule="auto"/>
        <w:rPr>
          <w:sz w:val="20"/>
          <w:szCs w:val="20"/>
          <w:color w:val="auto"/>
        </w:rPr>
      </w:pPr>
      <w:r>
        <w:rPr>
          <w:rFonts w:ascii="Times New Roman" w:cs="Times New Roman" w:eastAsia="Times New Roman" w:hAnsi="Times New Roman"/>
          <w:sz w:val="18"/>
          <w:szCs w:val="18"/>
          <w:color w:val="auto"/>
        </w:rPr>
        <w:t>(2)(A) if termination occurs within twelve (12) months of the Commencement Date, an amount equal to three (3) months of the Base Salary, or (B) if such termination occurs after the twelve-month</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anniversary of the Commencement Date, but prior to the eighteen-month anniversary of the Commencement Date, an amount equal to six (6) months of the Base Salary or (C) if termination occurs after the eighteen-</w:t>
      </w:r>
    </w:p>
    <w:p>
      <w:pPr>
        <w:ind w:left="300" w:right="659"/>
        <w:spacing w:after="0" w:line="273" w:lineRule="auto"/>
        <w:rPr>
          <w:sz w:val="20"/>
          <w:szCs w:val="20"/>
          <w:color w:val="auto"/>
        </w:rPr>
      </w:pPr>
      <w:r>
        <w:rPr>
          <w:rFonts w:ascii="Times New Roman" w:cs="Times New Roman" w:eastAsia="Times New Roman" w:hAnsi="Times New Roman"/>
          <w:sz w:val="17"/>
          <w:szCs w:val="17"/>
          <w:color w:val="auto"/>
        </w:rPr>
        <w:t>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w:t>
      </w:r>
    </w:p>
    <w:p>
      <w:pPr>
        <w:spacing w:after="0" w:line="6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If, within the period ending twelve (12) months after the date of a Change of Control, Dr. Boudes’ employment with the Company is (i) terminated without Cause or (ii) terminated for Good Reason by Dr. Boudes, the Company shall pay to Dr. Boudes (A) the Base Salary accrued through the date of termination, to the extent not theretofore paid, (B) reimbursement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Boudes’ unvested Options shall be one hundred percent (100%) vested, but shall otherwise continue to be governed by the terms and conditions of the Plan and the applicable stock option agreement.</w:t>
      </w:r>
    </w:p>
    <w:p>
      <w:pPr>
        <w:spacing w:after="0" w:line="3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Jack Callicutt:</w:t>
      </w:r>
    </w:p>
    <w:p>
      <w:pPr>
        <w:spacing w:after="0" w:line="11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 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(“SEC”) pursuant to the Dodd-Frank Wall Street Reform and Consumer Protection Act of 2010, we provide the following disclosure regarding executive “Compensation Actually Paid” (“CAP”) and certain performance measures required for Smaller Reporting Companies. The following table provides the information required for our NEOs for each of the fiscal years ended December 31, 2023, December 31, 2022 and December 31, 2021, along with the financial information required for each fiscal year:</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 Total</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CEO</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non-CEO NEOs</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1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41"/>
              <w:spacing w:after="0" w:line="216" w:lineRule="exact"/>
              <w:rPr>
                <w:sz w:val="20"/>
                <w:szCs w:val="20"/>
                <w:color w:val="auto"/>
              </w:rPr>
            </w:pPr>
            <w:r>
              <w:rPr>
                <w:rFonts w:ascii="Times New Roman" w:cs="Times New Roman" w:eastAsia="Times New Roman" w:hAnsi="Times New Roman"/>
                <w:sz w:val="25"/>
                <w:szCs w:val="25"/>
                <w:b w:val="1"/>
                <w:bCs w:val="1"/>
                <w:color w:val="auto"/>
                <w:w w:val="97"/>
                <w:vertAlign w:val="subscript"/>
              </w:rPr>
              <w:t>($)</w:t>
            </w:r>
            <w:r>
              <w:rPr>
                <w:rFonts w:ascii="Times New Roman" w:cs="Times New Roman" w:eastAsia="Times New Roman" w:hAnsi="Times New Roman"/>
                <w:sz w:val="11"/>
                <w:szCs w:val="11"/>
                <w:b w:val="1"/>
                <w:bCs w:val="1"/>
                <w:color w:val="auto"/>
                <w:w w:val="97"/>
              </w:rPr>
              <w:t>(1)(2)</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3"/>
                <w:vertAlign w:val="subscript"/>
              </w:rPr>
              <w:t>CEO ($)</w:t>
            </w:r>
            <w:r>
              <w:rPr>
                <w:rFonts w:ascii="Times New Roman" w:cs="Times New Roman" w:eastAsia="Times New Roman" w:hAnsi="Times New Roman"/>
                <w:sz w:val="11"/>
                <w:szCs w:val="11"/>
                <w:b w:val="1"/>
                <w:bCs w:val="1"/>
                <w:color w:val="auto"/>
                <w:w w:val="93"/>
              </w:rPr>
              <w:t>(1)(3)</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7"/>
                <w:vertAlign w:val="subscript"/>
              </w:rPr>
              <w:t>($)</w:t>
            </w:r>
            <w:r>
              <w:rPr>
                <w:rFonts w:ascii="Times New Roman" w:cs="Times New Roman" w:eastAsia="Times New Roman" w:hAnsi="Times New Roman"/>
                <w:sz w:val="11"/>
                <w:szCs w:val="11"/>
                <w:b w:val="1"/>
                <w:bCs w:val="1"/>
                <w:color w:val="auto"/>
                <w:w w:val="97"/>
              </w:rPr>
              <w:t>(2)(4)</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6"/>
                <w:vertAlign w:val="subscript"/>
              </w:rPr>
              <w:t>NEOs</w:t>
            </w:r>
            <w:r>
              <w:rPr>
                <w:rFonts w:ascii="Times New Roman" w:cs="Times New Roman" w:eastAsia="Times New Roman" w:hAnsi="Times New Roman"/>
                <w:sz w:val="11"/>
                <w:szCs w:val="11"/>
                <w:b w:val="1"/>
                <w:bCs w:val="1"/>
                <w:color w:val="auto"/>
                <w:w w:val="96"/>
              </w:rPr>
              <w:t>(3)(4)</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963,647</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$1,058,522</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$665,850</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$757,280</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$146.90</w:t>
            </w:r>
          </w:p>
        </w:tc>
        <w:tc>
          <w:tcPr>
            <w:tcW w:w="8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$(44.8)</w:t>
            </w:r>
          </w:p>
        </w:tc>
        <w:tc>
          <w:tcPr>
            <w:tcW w:w="0" w:type="dxa"/>
            <w:vAlign w:val="bottom"/>
          </w:tcPr>
          <w:p>
            <w:pPr>
              <w:spacing w:after="0"/>
              <w:rPr>
                <w:sz w:val="1"/>
                <w:szCs w:val="1"/>
                <w:color w:val="auto"/>
              </w:rPr>
            </w:pPr>
          </w:p>
        </w:tc>
      </w:tr>
      <w:tr>
        <w:trPr>
          <w:trHeight w:val="23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974,181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  665,811</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$680,571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$468,319</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$ 54.59</w:t>
            </w:r>
          </w:p>
        </w:tc>
        <w:tc>
          <w:tcPr>
            <w:tcW w:w="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$(38.9)</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$1,167,621</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$1,118,630</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$814,801</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$742,387</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$ 92.41</w:t>
            </w:r>
          </w:p>
        </w:tc>
        <w:tc>
          <w:tcPr>
            <w:tcW w:w="8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$(30.7)</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year shown the CEO was Joel Lewis.</w:t>
      </w:r>
    </w:p>
    <w:p>
      <w:pPr>
        <w:spacing w:after="0" w:line="41" w:lineRule="exact"/>
        <w:rPr>
          <w:rFonts w:ascii="Times New Roman" w:cs="Times New Roman" w:eastAsia="Times New Roman" w:hAnsi="Times New Roman"/>
          <w:sz w:val="14"/>
          <w:szCs w:val="14"/>
          <w:color w:val="auto"/>
        </w:rPr>
      </w:pPr>
    </w:p>
    <w:p>
      <w:pPr>
        <w:ind w:left="640" w:right="35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in this column represent the “Total” column set forth in the Summary Compensation Table (“SCT”) on page </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 See the footnotes to the SCT for further detail regarding the amounts in these columns.</w:t>
      </w:r>
    </w:p>
    <w:p>
      <w:pPr>
        <w:ind w:left="640" w:right="539" w:hanging="348"/>
        <w:spacing w:after="0" w:line="236"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these columns represent the amounts of “compensation actually paid.” The Amounts are computed in accordance with Item 402(v) of Regulation S-K by deducting and adding the following amounts from the “Total” column of the SCT (pursuant to SEC rules, fair value at each measurement date is computed in a manner consistent with the fair value methodology used to account for share-based payments in our financial statements under GAAP).</w:t>
      </w:r>
    </w:p>
    <w:p>
      <w:pPr>
        <w:spacing w:after="0" w:line="14" w:lineRule="exact"/>
        <w:rPr>
          <w:rFonts w:ascii="Times New Roman" w:cs="Times New Roman" w:eastAsia="Times New Roman" w:hAnsi="Times New Roman"/>
          <w:sz w:val="14"/>
          <w:szCs w:val="14"/>
          <w:color w:val="auto"/>
        </w:rPr>
      </w:pPr>
    </w:p>
    <w:p>
      <w:pPr>
        <w:ind w:left="640" w:right="73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Non-CEO NEOs reflect the compensation of Pol Boudes, CMO, and Jack Callicutt, CFO, who were the only Non-CEO NEO for the periods indicated.</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Joel Lewis</w:t>
            </w:r>
          </w:p>
        </w:tc>
        <w:tc>
          <w:tcPr>
            <w:tcW w:w="2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Non-CEO</w:t>
            </w:r>
          </w:p>
        </w:tc>
        <w:tc>
          <w:tcPr>
            <w:tcW w:w="200" w:type="dxa"/>
            <w:vAlign w:val="bottom"/>
          </w:tcPr>
          <w:p>
            <w:pPr>
              <w:spacing w:after="0"/>
              <w:rPr>
                <w:sz w:val="12"/>
                <w:szCs w:val="12"/>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Joel Lewis</w:t>
            </w:r>
          </w:p>
        </w:tc>
        <w:tc>
          <w:tcPr>
            <w:tcW w:w="16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10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Joel Lewis</w:t>
            </w:r>
          </w:p>
        </w:tc>
        <w:tc>
          <w:tcPr>
            <w:tcW w:w="18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NEOs</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Total Compensation from Summary Compensation</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963,647</w:t>
            </w:r>
          </w:p>
        </w:tc>
        <w:tc>
          <w:tcPr>
            <w:tcW w:w="740" w:type="dxa"/>
            <w:vAlign w:val="bottom"/>
            <w:tcBorders>
              <w:left w:val="single" w:sz="8" w:color="CCEEFF"/>
            </w:tcBorders>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5"/>
              </w:rPr>
              <w:t>$665,850</w:t>
            </w:r>
          </w:p>
        </w:tc>
        <w:tc>
          <w:tcPr>
            <w:tcW w:w="300" w:type="dxa"/>
            <w:vAlign w:val="bottom"/>
            <w:tcBorders>
              <w:left w:val="single" w:sz="8" w:color="CCEEFF"/>
            </w:tcBorders>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974,181</w:t>
            </w:r>
          </w:p>
        </w:tc>
        <w:tc>
          <w:tcPr>
            <w:tcW w:w="260" w:type="dxa"/>
            <w:vAlign w:val="bottom"/>
            <w:tcBorders>
              <w:left w:val="single" w:sz="8" w:color="CCEEFF"/>
            </w:tcBorders>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680,571</w:t>
            </w:r>
          </w:p>
        </w:tc>
        <w:tc>
          <w:tcPr>
            <w:tcW w:w="8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$1,167,621</w:t>
            </w:r>
          </w:p>
        </w:tc>
        <w:tc>
          <w:tcPr>
            <w:tcW w:w="280" w:type="dxa"/>
            <w:vAlign w:val="bottom"/>
            <w:tcBorders>
              <w:left w:val="single" w:sz="8" w:color="CCEEFF"/>
            </w:tcBorders>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Table</w:t>
            </w:r>
          </w:p>
        </w:tc>
        <w:tc>
          <w:tcPr>
            <w:tcW w:w="22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740" w:type="dxa"/>
            <w:vAlign w:val="bottom"/>
            <w:tcBorders>
              <w:left w:val="single" w:sz="8" w:color="CCEEFF"/>
            </w:tcBorders>
            <w:gridSpan w:val="3"/>
            <w:vMerge w:val="continue"/>
            <w:shd w:val="clear" w:color="auto" w:fill="CCEEFF"/>
          </w:tcPr>
          <w:p>
            <w:pPr>
              <w:spacing w:after="0"/>
              <w:rPr>
                <w:sz w:val="17"/>
                <w:szCs w:val="17"/>
                <w:color w:val="auto"/>
              </w:rPr>
            </w:pPr>
          </w:p>
        </w:tc>
        <w:tc>
          <w:tcPr>
            <w:tcW w:w="300" w:type="dxa"/>
            <w:vAlign w:val="bottom"/>
            <w:tcBorders>
              <w:left w:val="single" w:sz="8" w:color="CCEEFF"/>
            </w:tcBorders>
            <w:gridSpan w:val="2"/>
            <w:vMerge w:val="continue"/>
            <w:shd w:val="clear" w:color="auto" w:fill="CCEEFF"/>
          </w:tcPr>
          <w:p>
            <w:pPr>
              <w:spacing w:after="0"/>
              <w:rPr>
                <w:sz w:val="17"/>
                <w:szCs w:val="17"/>
                <w:color w:val="auto"/>
              </w:rPr>
            </w:pPr>
          </w:p>
        </w:tc>
        <w:tc>
          <w:tcPr>
            <w:tcW w:w="500" w:type="dxa"/>
            <w:vAlign w:val="bottom"/>
            <w:tcBorders>
              <w:right w:val="single" w:sz="8" w:color="CCEEFF"/>
            </w:tcBorders>
            <w:vMerge w:val="continue"/>
            <w:shd w:val="clear" w:color="auto" w:fill="CCEEFF"/>
          </w:tcPr>
          <w:p>
            <w:pPr>
              <w:spacing w:after="0"/>
              <w:rPr>
                <w:sz w:val="17"/>
                <w:szCs w:val="17"/>
                <w:color w:val="auto"/>
              </w:rPr>
            </w:pPr>
          </w:p>
        </w:tc>
        <w:tc>
          <w:tcPr>
            <w:tcW w:w="260" w:type="dxa"/>
            <w:vAlign w:val="bottom"/>
            <w:tcBorders>
              <w:left w:val="single" w:sz="8" w:color="CCEEFF"/>
            </w:tcBorders>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280" w:type="dxa"/>
            <w:vAlign w:val="bottom"/>
            <w:tcBorders>
              <w:left w:val="single" w:sz="8" w:color="CCEEFF"/>
            </w:tcBorders>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for Equity Awards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Adjustment for grant date values in the Summary</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(55,923)</w:t>
            </w:r>
          </w:p>
        </w:tc>
        <w:tc>
          <w:tcPr>
            <w:tcW w:w="280" w:type="dxa"/>
            <w:vAlign w:val="bottom"/>
            <w:tcBorders>
              <w:left w:val="single" w:sz="8" w:color="CCEEFF"/>
            </w:tcBorders>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(39,945)</w:t>
            </w:r>
          </w:p>
        </w:tc>
        <w:tc>
          <w:tcPr>
            <w:tcW w:w="800" w:type="dxa"/>
            <w:vAlign w:val="bottom"/>
            <w:tcBorders>
              <w:left w:val="single" w:sz="8" w:color="CCEEFF"/>
              <w:right w:val="single" w:sz="8" w:color="CCEEFF"/>
            </w:tcBorders>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0"/>
              </w:rPr>
              <w:t>$(103,517)</w:t>
            </w:r>
          </w:p>
        </w:tc>
        <w:tc>
          <w:tcPr>
            <w:tcW w:w="260" w:type="dxa"/>
            <w:vAlign w:val="bottom"/>
            <w:tcBorders>
              <w:left w:val="single" w:sz="8" w:color="CCEEFF"/>
            </w:tcBorders>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(73,940)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(329,177)</w:t>
            </w:r>
          </w:p>
        </w:tc>
        <w:tc>
          <w:tcPr>
            <w:tcW w:w="840" w:type="dxa"/>
            <w:vAlign w:val="bottom"/>
            <w:tcBorders>
              <w:left w:val="single" w:sz="8" w:color="CCEEFF"/>
            </w:tcBorders>
            <w:gridSpan w:val="4"/>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$(235,126)</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Compensation Table</w:t>
            </w:r>
          </w:p>
        </w:tc>
        <w:tc>
          <w:tcPr>
            <w:tcW w:w="22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80" w:type="dxa"/>
            <w:vAlign w:val="bottom"/>
            <w:tcBorders>
              <w:left w:val="single" w:sz="8" w:color="CCEEFF"/>
            </w:tcBorders>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0" w:type="dxa"/>
            <w:vAlign w:val="bottom"/>
            <w:tcBorders>
              <w:left w:val="single" w:sz="8" w:color="CCEEFF"/>
              <w:right w:val="single" w:sz="8" w:color="CCEEFF"/>
            </w:tcBorders>
            <w:gridSpan w:val="3"/>
            <w:vMerge w:val="continue"/>
            <w:shd w:val="clear" w:color="auto" w:fill="CCEEFF"/>
          </w:tcPr>
          <w:p>
            <w:pPr>
              <w:spacing w:after="0"/>
              <w:rPr>
                <w:sz w:val="17"/>
                <w:szCs w:val="17"/>
                <w:color w:val="auto"/>
              </w:rPr>
            </w:pPr>
          </w:p>
        </w:tc>
        <w:tc>
          <w:tcPr>
            <w:tcW w:w="260" w:type="dxa"/>
            <w:vAlign w:val="bottom"/>
            <w:tcBorders>
              <w:left w:val="single" w:sz="8" w:color="CCEEFF"/>
            </w:tcBorders>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40" w:type="dxa"/>
            <w:vAlign w:val="bottom"/>
            <w:tcBorders>
              <w:left w:val="single" w:sz="8" w:color="CCEEFF"/>
            </w:tcBorders>
            <w:gridSpan w:val="4"/>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Year-end fair value of unvested awards granted in the</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43,050</w:t>
            </w:r>
          </w:p>
        </w:tc>
        <w:tc>
          <w:tcPr>
            <w:tcW w:w="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30,750</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21,350</w:t>
            </w:r>
          </w:p>
        </w:tc>
        <w:tc>
          <w:tcPr>
            <w:tcW w:w="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15,250</w:t>
            </w:r>
          </w:p>
        </w:tc>
        <w:tc>
          <w:tcPr>
            <w:tcW w:w="8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208,072</w:t>
            </w:r>
          </w:p>
        </w:tc>
        <w:tc>
          <w:tcPr>
            <w:tcW w:w="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148,623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year</w:t>
            </w:r>
          </w:p>
        </w:tc>
        <w:tc>
          <w:tcPr>
            <w:tcW w:w="2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Year-over-year difference of year-end fair values for</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36,400</w:t>
            </w:r>
          </w:p>
        </w:tc>
        <w:tc>
          <w:tcPr>
            <w:tcW w:w="280" w:type="dxa"/>
            <w:vAlign w:val="bottom"/>
            <w:tcBorders>
              <w:left w:val="single" w:sz="8" w:color="CCEEFF"/>
            </w:tcBorders>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800" w:type="dxa"/>
            <w:vAlign w:val="bottom"/>
            <w:tcBorders>
              <w:left w:val="single" w:sz="8" w:color="CCEEFF"/>
              <w:right w:val="single" w:sz="8" w:color="CCEEFF"/>
            </w:tcBorders>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0"/>
              </w:rPr>
              <w:t>$(201,028)</w:t>
            </w:r>
          </w:p>
        </w:tc>
        <w:tc>
          <w:tcPr>
            <w:tcW w:w="820" w:type="dxa"/>
            <w:vAlign w:val="bottom"/>
            <w:tcBorders>
              <w:left w:val="single" w:sz="8" w:color="CCEEFF"/>
            </w:tcBorders>
            <w:gridSpan w:val="4"/>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$(150,625)</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(44,873)</w:t>
            </w:r>
          </w:p>
        </w:tc>
        <w:tc>
          <w:tcPr>
            <w:tcW w:w="280" w:type="dxa"/>
            <w:vAlign w:val="bottom"/>
            <w:tcBorders>
              <w:left w:val="single" w:sz="8" w:color="CCEEFF"/>
            </w:tcBorders>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(28,280)</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unvested awards granted in prior years</w:t>
            </w:r>
          </w:p>
        </w:tc>
        <w:tc>
          <w:tcPr>
            <w:tcW w:w="22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80" w:type="dxa"/>
            <w:vAlign w:val="bottom"/>
            <w:tcBorders>
              <w:left w:val="single" w:sz="8" w:color="CCEEFF"/>
            </w:tcBorders>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0" w:type="dxa"/>
            <w:vAlign w:val="bottom"/>
            <w:tcBorders>
              <w:left w:val="single" w:sz="8" w:color="CCEEFF"/>
              <w:right w:val="single" w:sz="8" w:color="CCEEFF"/>
            </w:tcBorders>
            <w:gridSpan w:val="3"/>
            <w:vMerge w:val="continue"/>
            <w:shd w:val="clear" w:color="auto" w:fill="CCEEFF"/>
          </w:tcPr>
          <w:p>
            <w:pPr>
              <w:spacing w:after="0"/>
              <w:rPr>
                <w:sz w:val="17"/>
                <w:szCs w:val="17"/>
                <w:color w:val="auto"/>
              </w:rPr>
            </w:pPr>
          </w:p>
        </w:tc>
        <w:tc>
          <w:tcPr>
            <w:tcW w:w="820" w:type="dxa"/>
            <w:vAlign w:val="bottom"/>
            <w:tcBorders>
              <w:left w:val="single" w:sz="8" w:color="CCEEFF"/>
            </w:tcBorders>
            <w:gridSpan w:val="4"/>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280" w:type="dxa"/>
            <w:vAlign w:val="bottom"/>
            <w:tcBorders>
              <w:left w:val="single" w:sz="8" w:color="CCEEFF"/>
            </w:tcBorders>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Fair values at vest date for awards granted and vested</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39,725</w:t>
            </w:r>
          </w:p>
        </w:tc>
        <w:tc>
          <w:tcPr>
            <w:tcW w:w="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28,375</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25,200</w:t>
            </w:r>
          </w:p>
        </w:tc>
        <w:tc>
          <w:tcPr>
            <w:tcW w:w="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21,813</w:t>
            </w:r>
          </w:p>
        </w:tc>
        <w:tc>
          <w:tcPr>
            <w:tcW w:w="8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54,950</w:t>
            </w:r>
          </w:p>
        </w:tc>
        <w:tc>
          <w:tcPr>
            <w:tcW w:w="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39,250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 current year</w:t>
            </w:r>
          </w:p>
        </w:tc>
        <w:tc>
          <w:tcPr>
            <w:tcW w:w="2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Difference in fair values between prior year-end fair</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values and vest date fair values for awards granted</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31,623</w:t>
            </w:r>
          </w:p>
        </w:tc>
        <w:tc>
          <w:tcPr>
            <w:tcW w:w="280" w:type="dxa"/>
            <w:vAlign w:val="bottom"/>
            <w:tcBorders>
              <w:left w:val="single" w:sz="8" w:color="CCEEFF"/>
            </w:tcBorders>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46,250</w:t>
            </w:r>
          </w:p>
        </w:tc>
        <w:tc>
          <w:tcPr>
            <w:tcW w:w="300" w:type="dxa"/>
            <w:vAlign w:val="bottom"/>
            <w:tcBorders>
              <w:left w:val="single" w:sz="8" w:color="CCEEFF"/>
            </w:tcBorders>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(50,375)</w:t>
            </w:r>
          </w:p>
        </w:tc>
        <w:tc>
          <w:tcPr>
            <w:tcW w:w="260" w:type="dxa"/>
            <w:vAlign w:val="bottom"/>
            <w:tcBorders>
              <w:left w:val="single" w:sz="8" w:color="CCEEFF"/>
            </w:tcBorders>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(24,750)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62,037</w:t>
            </w:r>
          </w:p>
        </w:tc>
        <w:tc>
          <w:tcPr>
            <w:tcW w:w="280" w:type="dxa"/>
            <w:vAlign w:val="bottom"/>
            <w:tcBorders>
              <w:left w:val="single" w:sz="8" w:color="CCEEFF"/>
            </w:tcBorders>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 prior years</w:t>
            </w:r>
          </w:p>
        </w:tc>
        <w:tc>
          <w:tcPr>
            <w:tcW w:w="22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80" w:type="dxa"/>
            <w:vAlign w:val="bottom"/>
            <w:tcBorders>
              <w:left w:val="single" w:sz="8" w:color="CCEEFF"/>
            </w:tcBorders>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300" w:type="dxa"/>
            <w:vAlign w:val="bottom"/>
            <w:tcBorders>
              <w:left w:val="single" w:sz="8" w:color="CCEEFF"/>
            </w:tcBorders>
            <w:gridSpan w:val="2"/>
            <w:vMerge w:val="continue"/>
            <w:shd w:val="clear" w:color="auto" w:fill="CCEEFF"/>
          </w:tcPr>
          <w:p>
            <w:pPr>
              <w:spacing w:after="0"/>
              <w:rPr>
                <w:sz w:val="17"/>
                <w:szCs w:val="17"/>
                <w:color w:val="auto"/>
              </w:rPr>
            </w:pPr>
          </w:p>
        </w:tc>
        <w:tc>
          <w:tcPr>
            <w:tcW w:w="500" w:type="dxa"/>
            <w:vAlign w:val="bottom"/>
            <w:tcBorders>
              <w:right w:val="single" w:sz="8" w:color="CCEEFF"/>
            </w:tcBorders>
            <w:vMerge w:val="continue"/>
            <w:shd w:val="clear" w:color="auto" w:fill="CCEEFF"/>
          </w:tcPr>
          <w:p>
            <w:pPr>
              <w:spacing w:after="0"/>
              <w:rPr>
                <w:sz w:val="17"/>
                <w:szCs w:val="17"/>
                <w:color w:val="auto"/>
              </w:rPr>
            </w:pPr>
          </w:p>
        </w:tc>
        <w:tc>
          <w:tcPr>
            <w:tcW w:w="260" w:type="dxa"/>
            <w:vAlign w:val="bottom"/>
            <w:tcBorders>
              <w:left w:val="single" w:sz="8" w:color="CCEEFF"/>
            </w:tcBorders>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280" w:type="dxa"/>
            <w:vAlign w:val="bottom"/>
            <w:tcBorders>
              <w:left w:val="single" w:sz="8" w:color="CCEEFF"/>
            </w:tcBorders>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Forfeitures during current year equal to prior year-end</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fair value</w:t>
            </w:r>
          </w:p>
        </w:tc>
        <w:tc>
          <w:tcPr>
            <w:tcW w:w="2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Dividends or dividend equivalents not otherwise</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left w:val="single" w:sz="8" w:color="CCEEFF"/>
            </w:tcBorders>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tcBorders>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left w:val="single" w:sz="8" w:color="CCEEFF"/>
            </w:tcBorders>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left w:val="single" w:sz="8" w:color="CCEEFF"/>
            </w:tcBorders>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included in total compensation</w:t>
            </w:r>
          </w:p>
        </w:tc>
        <w:tc>
          <w:tcPr>
            <w:tcW w:w="22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80" w:type="dxa"/>
            <w:vAlign w:val="bottom"/>
            <w:tcBorders>
              <w:left w:val="single" w:sz="8" w:color="CCEEFF"/>
            </w:tcBorders>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300" w:type="dxa"/>
            <w:vAlign w:val="bottom"/>
            <w:tcBorders>
              <w:left w:val="single" w:sz="8" w:color="CCEEFF"/>
            </w:tcBorders>
            <w:gridSpan w:val="2"/>
            <w:vMerge w:val="continue"/>
            <w:shd w:val="clear" w:color="auto" w:fill="CCEEFF"/>
          </w:tcPr>
          <w:p>
            <w:pPr>
              <w:spacing w:after="0"/>
              <w:rPr>
                <w:sz w:val="17"/>
                <w:szCs w:val="17"/>
                <w:color w:val="auto"/>
              </w:rPr>
            </w:pPr>
          </w:p>
        </w:tc>
        <w:tc>
          <w:tcPr>
            <w:tcW w:w="500" w:type="dxa"/>
            <w:vAlign w:val="bottom"/>
            <w:tcBorders>
              <w:right w:val="single" w:sz="8" w:color="CCEEFF"/>
            </w:tcBorders>
            <w:vMerge w:val="continue"/>
            <w:shd w:val="clear" w:color="auto" w:fill="CCEEFF"/>
          </w:tcPr>
          <w:p>
            <w:pPr>
              <w:spacing w:after="0"/>
              <w:rPr>
                <w:sz w:val="17"/>
                <w:szCs w:val="17"/>
                <w:color w:val="auto"/>
              </w:rPr>
            </w:pPr>
          </w:p>
        </w:tc>
        <w:tc>
          <w:tcPr>
            <w:tcW w:w="260" w:type="dxa"/>
            <w:vAlign w:val="bottom"/>
            <w:tcBorders>
              <w:left w:val="single" w:sz="8" w:color="CCEEFF"/>
            </w:tcBorders>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280" w:type="dxa"/>
            <w:vAlign w:val="bottom"/>
            <w:tcBorders>
              <w:left w:val="single" w:sz="8" w:color="CCEEFF"/>
            </w:tcBorders>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Adjustments for Equity Awards</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94,875</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91,430</w:t>
            </w: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w w:val="90"/>
              </w:rPr>
              <w:t>$(308,370)</w:t>
            </w: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$(212,253)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(48,991)</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(72,414)</w:t>
            </w: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 (as calculated)</w:t>
            </w:r>
          </w:p>
        </w:tc>
        <w:tc>
          <w:tcPr>
            <w:tcW w:w="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1,058,522</w:t>
            </w:r>
          </w:p>
        </w:tc>
        <w:tc>
          <w:tcPr>
            <w:tcW w:w="740" w:type="dxa"/>
            <w:vAlign w:val="bottom"/>
            <w:tcBorders>
              <w:left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757,280</w:t>
            </w:r>
          </w:p>
        </w:tc>
        <w:tc>
          <w:tcPr>
            <w:tcW w:w="300" w:type="dxa"/>
            <w:vAlign w:val="bottom"/>
            <w:tcBorders>
              <w:lef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665,811</w:t>
            </w:r>
          </w:p>
        </w:tc>
        <w:tc>
          <w:tcPr>
            <w:tcW w:w="260" w:type="dxa"/>
            <w:vAlign w:val="bottom"/>
            <w:tcBorders>
              <w:lef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468,319</w:t>
            </w: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1,118,630</w:t>
            </w:r>
          </w:p>
        </w:tc>
        <w:tc>
          <w:tcPr>
            <w:tcW w:w="280" w:type="dxa"/>
            <w:vAlign w:val="bottom"/>
            <w:tcBorders>
              <w:lef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742,387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Disclosure: Pay Versus Performance Table</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The illustrations below provide a graphical description of CAP (as calculated in accordance with the SEC rules) and the following measures:</w:t>
      </w:r>
    </w:p>
    <w:p>
      <w:pPr>
        <w:spacing w:after="0" w:line="54"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Galectin’s cumulative TSR;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Galectin Net Income</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182880</wp:posOffset>
            </wp:positionV>
            <wp:extent cx="5263515" cy="3591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63515"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182880</wp:posOffset>
            </wp:positionV>
            <wp:extent cx="5263515" cy="3497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6351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AUDITORS</w:t>
      </w:r>
    </w:p>
    <w:p>
      <w:pPr>
        <w:spacing w:after="0" w:line="99"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has appointed Cherry Bekaert LLP as our independent auditors for the fiscal year ending December 31, 2024.</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majority of the votes cast of this Proposal. Accordingly, abstentions and broker non-votes will have no effect on the outcome of this Proposal.</w:t>
      </w:r>
    </w:p>
    <w:p>
      <w:pPr>
        <w:spacing w:after="0" w:line="306" w:lineRule="exact"/>
        <w:rPr>
          <w:sz w:val="20"/>
          <w:szCs w:val="20"/>
          <w:color w:val="auto"/>
        </w:rPr>
      </w:pPr>
    </w:p>
    <w:p>
      <w:pPr>
        <w:jc w:val="center"/>
        <w:ind w:left="292" w:right="35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2024.</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 PAID TO CHERRY BEKAERT LLP</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80" w:type="dxa"/>
            <w:vAlign w:val="bottom"/>
          </w:tcPr>
          <w:p>
            <w:pPr>
              <w:spacing w:after="0"/>
              <w:rPr>
                <w:sz w:val="13"/>
                <w:szCs w:val="13"/>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190"/>
        </w:trPr>
        <w:tc>
          <w:tcPr>
            <w:tcW w:w="6760" w:type="dxa"/>
            <w:vAlign w:val="bottom"/>
          </w:tcPr>
          <w:p>
            <w:pPr>
              <w:spacing w:after="0"/>
              <w:rPr>
                <w:sz w:val="16"/>
                <w:szCs w:val="16"/>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91"/>
        </w:trPr>
        <w:tc>
          <w:tcPr>
            <w:tcW w:w="676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$177,000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20" w:type="dxa"/>
            <w:vAlign w:val="bottom"/>
            <w:shd w:val="clear" w:color="auto" w:fill="CCEEFF"/>
          </w:tcPr>
          <w:p>
            <w:pPr>
              <w:spacing w:after="0"/>
              <w:rPr>
                <w:sz w:val="24"/>
                <w:szCs w:val="24"/>
                <w:color w:val="auto"/>
              </w:rPr>
            </w:pPr>
          </w:p>
        </w:tc>
      </w:tr>
      <w:tr>
        <w:trPr>
          <w:trHeight w:val="283"/>
        </w:trPr>
        <w:tc>
          <w:tcPr>
            <w:tcW w:w="67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Pr>
          <w:p>
            <w:pPr>
              <w:spacing w:after="0"/>
              <w:rPr>
                <w:sz w:val="24"/>
                <w:szCs w:val="24"/>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48,812</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35,750</w:t>
            </w:r>
          </w:p>
        </w:tc>
        <w:tc>
          <w:tcPr>
            <w:tcW w:w="20" w:type="dxa"/>
            <w:vAlign w:val="bottom"/>
            <w:shd w:val="clear" w:color="auto" w:fill="CCEEFF"/>
          </w:tcPr>
          <w:p>
            <w:pPr>
              <w:spacing w:after="0"/>
              <w:rPr>
                <w:sz w:val="21"/>
                <w:szCs w:val="2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6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Fees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233,812</w:t>
            </w: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205,750</w:t>
            </w: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6" w:lineRule="exact"/>
        <w:rPr>
          <w:sz w:val="20"/>
          <w:szCs w:val="20"/>
          <w:color w:val="auto"/>
        </w:rPr>
      </w:pPr>
    </w:p>
    <w:p>
      <w:pPr>
        <w:ind w:left="640" w:right="619" w:hanging="348"/>
        <w:spacing w:after="0" w:line="243"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Audit Fees. </w:t>
      </w:r>
      <w:r>
        <w:rPr>
          <w:rFonts w:ascii="Times New Roman" w:cs="Times New Roman" w:eastAsia="Times New Roman" w:hAnsi="Times New Roman"/>
          <w:sz w:val="14"/>
          <w:szCs w:val="14"/>
          <w:color w:val="auto"/>
        </w:rPr>
        <w:t>These are fees for professional services for the audit of our annual financial statements dated December 31, 2023 and 2022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included in our Annual Reports on Form 10-K for fiscal years then ended, and review of financial statements included in our Quarterly Reports on Form 10-Q for each fiscal quarter during the 2023 and 2022 fiscal years.</w:t>
      </w:r>
    </w:p>
    <w:p>
      <w:pPr>
        <w:spacing w:after="0" w:line="10" w:lineRule="exact"/>
        <w:rPr>
          <w:rFonts w:ascii="Times New Roman" w:cs="Times New Roman" w:eastAsia="Times New Roman" w:hAnsi="Times New Roman"/>
          <w:sz w:val="14"/>
          <w:szCs w:val="14"/>
          <w:color w:val="auto"/>
        </w:rPr>
      </w:pPr>
    </w:p>
    <w:p>
      <w:pPr>
        <w:ind w:left="640" w:right="299" w:hanging="348"/>
        <w:spacing w:after="0" w:line="236"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Audit-Related Fees</w:t>
      </w:r>
      <w:r>
        <w:rPr>
          <w:rFonts w:ascii="Times New Roman" w:cs="Times New Roman" w:eastAsia="Times New Roman" w:hAnsi="Times New Roman"/>
          <w:sz w:val="14"/>
          <w:szCs w:val="14"/>
          <w:color w:val="auto"/>
        </w:rPr>
        <w:t>. These are fees for assurance and related services that are reasonably related to the performance of the audit or review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75"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non-core audit services to Galectin Therapeutics by Cherry Bekaert LLP is compatible with maintaining independence.</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Pre-Approval Policy and Procedures</w:t>
      </w:r>
    </w:p>
    <w:p>
      <w:pPr>
        <w:spacing w:after="0" w:line="119"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72" w:lineRule="exact"/>
        <w:rPr>
          <w:sz w:val="20"/>
          <w:szCs w:val="20"/>
          <w:color w:val="auto"/>
        </w:rPr>
      </w:pPr>
    </w:p>
    <w:p>
      <w:pPr>
        <w:ind w:left="300" w:right="559" w:firstLine="360"/>
        <w:spacing w:after="0" w:line="312" w:lineRule="auto"/>
        <w:rPr>
          <w:sz w:val="20"/>
          <w:szCs w:val="20"/>
          <w:color w:val="auto"/>
        </w:rPr>
      </w:pPr>
      <w:r>
        <w:rPr>
          <w:rFonts w:ascii="Times New Roman" w:cs="Times New Roman" w:eastAsia="Times New Roman" w:hAnsi="Times New Roman"/>
          <w:sz w:val="17"/>
          <w:szCs w:val="17"/>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OF STOCKHOLDERS</w:t>
      </w:r>
    </w:p>
    <w:p>
      <w:pPr>
        <w:spacing w:after="0" w:line="121"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August 5, 2025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October 25, 2025 nor earlier than September 25, 2025, in order to be considered timely.</w:t>
      </w:r>
    </w:p>
    <w:p>
      <w:pPr>
        <w:spacing w:after="0" w:line="63"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date of the 2025 annual meeting of stockholders is scheduled to take place on a date that is more than 30 calendar days from the one year anniversary of the 2024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79"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about advance notice of stockholder proposals and director nominations.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ind w:left="300" w:right="619" w:firstLine="360"/>
        <w:spacing w:after="0" w:line="261" w:lineRule="auto"/>
        <w:rPr>
          <w:sz w:val="20"/>
          <w:szCs w:val="20"/>
          <w:color w:val="auto"/>
        </w:rPr>
      </w:pPr>
      <w:r>
        <w:rPr>
          <w:rFonts w:ascii="Times New Roman" w:cs="Times New Roman" w:eastAsia="Times New Roman" w:hAnsi="Times New Roman"/>
          <w:sz w:val="18"/>
          <w:szCs w:val="18"/>
          <w:color w:val="auto"/>
        </w:rPr>
        <w:t>Our Annual Report on Form 10-K, filed with the SEC for the fiscal year ended December 31, 2023, may be obtained by our stockholders without charge, upon written request to our Corporate Secretary. You may also download a copy of our Annual Report on Form 10-K by vising our corporate website at investor.galectintherapeutics.com/financial-information or at www.proxyvote.com.</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84"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34290</wp:posOffset>
            </wp:positionV>
            <wp:extent cx="1157605" cy="3689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57605" cy="36893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 TO ATTEND THE 2024 ANNUAL MEETING</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year our annual meeting will be a virtual online-only meeting. There will be no physical meeting location. The meeting will only be conducted via live webcast. To participate in the 2024 Annual Meeting, visit www.virtualshareholdermeeting.com/GALT2024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January 23, 2025. The meeting will begin promptly at 11:00 a.m. Eastern Standard Time on January 23, 2025.</w:t>
      </w:r>
    </w:p>
    <w:p>
      <w:pPr>
        <w:spacing w:after="0" w:line="7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If you want to submit question during the meeting, log into the virtual meeting platform at www.virtualshareholdermeeting.com/GALT2024,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2024 Annual Meeting has been designed to provide the same rights to participate as you would have at an in-person meeting. If you encounter any difficulties accessing the 2024 Annual Meeting during the check-in or meeting time, please call the technical support number that will be posted on the Virtual Shareholder Meeting log in page at www.virtualshareholdermeeting.com/GALT2024.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
      <w:numFmt w:val="bullet"/>
      <w:start w:val="1"/>
    </w:lvl>
  </w:abstractNum>
  <w:abstractNum w:abstractNumId="1">
    <w:nsid w:val="7FDCC233"/>
    <w:multiLevelType w:val="hybridMultilevel"/>
    <w:lvl w:ilvl="0">
      <w:lvlJc w:val="left"/>
      <w:lvlText w:val="☒"/>
      <w:numFmt w:val="bullet"/>
      <w:start w:val="1"/>
    </w:lvl>
    <w:lvl w:ilvl="1">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2"/>
    </w:lvl>
  </w:abstractNum>
  <w:abstractNum w:abstractNumId="12">
    <w:nsid w:val="62BBD95A"/>
    <w:multiLevelType w:val="hybridMultilevel"/>
    <w:lvl w:ilvl="0">
      <w:lvlJc w:val="left"/>
      <w:lvlText w:val="(%1)"/>
      <w:numFmt w:val="decimal"/>
      <w:start w:val="3"/>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0"/>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2024-12-03T07:07:45Z</dcterms:created>
  <dcterms:modified xsi:type="dcterms:W3CDTF">2024-12-03T07:07:45Z</dcterms:modified>
</cp:coreProperties>
</file>