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19"/>
        <w:spacing w:after="0" w:line="237" w:lineRule="auto"/>
        <w:rPr>
          <w:sz w:val="20"/>
          <w:szCs w:val="20"/>
          <w:color w:val="auto"/>
        </w:rPr>
      </w:pPr>
      <w:r>
        <w:rPr>
          <w:rFonts w:ascii="Arial" w:cs="Arial" w:eastAsia="Arial" w:hAnsi="Arial"/>
          <w:sz w:val="32"/>
          <w:szCs w:val="32"/>
          <w:b w:val="1"/>
          <w:bCs w:val="1"/>
          <w:color w:val="auto"/>
        </w:rPr>
        <w:t>Washington, D.C. 20549</w:t>
      </w:r>
    </w:p>
    <w:p>
      <w:pPr>
        <w:jc w:val="center"/>
        <w:ind w:right="-719"/>
        <w:spacing w:after="0"/>
        <w:rPr>
          <w:sz w:val="20"/>
          <w:szCs w:val="20"/>
          <w:color w:val="auto"/>
        </w:rPr>
      </w:pPr>
      <w:r>
        <w:rPr>
          <w:rFonts w:ascii="Arial" w:cs="Arial" w:eastAsia="Arial" w:hAnsi="Arial"/>
          <w:sz w:val="32"/>
          <w:szCs w:val="32"/>
          <w:b w:val="1"/>
          <w:bCs w:val="1"/>
          <w:color w:val="auto"/>
        </w:rPr>
        <w:t>SCHEDULE 14A</w:t>
      </w:r>
    </w:p>
    <w:p>
      <w:pPr>
        <w:jc w:val="center"/>
        <w:ind w:right="-719"/>
        <w:spacing w:after="0"/>
        <w:rPr>
          <w:sz w:val="20"/>
          <w:szCs w:val="20"/>
          <w:color w:val="auto"/>
        </w:rPr>
      </w:pPr>
      <w:r>
        <w:rPr>
          <w:rFonts w:ascii="Arial" w:cs="Arial" w:eastAsia="Arial" w:hAnsi="Arial"/>
          <w:sz w:val="22"/>
          <w:szCs w:val="22"/>
          <w:b w:val="1"/>
          <w:bCs w:val="1"/>
          <w:color w:val="auto"/>
        </w:rPr>
        <w:t>(Rule 14a-101)</w:t>
      </w:r>
    </w:p>
    <w:p>
      <w:pPr>
        <w:spacing w:after="0" w:line="277"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Securities Exchange Act of 1934</w:t>
      </w:r>
    </w:p>
    <w:p>
      <w:pPr>
        <w:ind w:left="4820"/>
        <w:spacing w:after="0"/>
        <w:tabs>
          <w:tab w:leader="none" w:pos="6500" w:val="left"/>
        </w:tabs>
        <w:rPr>
          <w:sz w:val="20"/>
          <w:szCs w:val="20"/>
          <w:color w:val="auto"/>
        </w:rPr>
      </w:pPr>
      <w:r>
        <w:rPr>
          <w:rFonts w:ascii="Arial" w:cs="Arial" w:eastAsia="Arial" w:hAnsi="Arial"/>
          <w:sz w:val="22"/>
          <w:szCs w:val="22"/>
          <w:b w:val="1"/>
          <w:bCs w:val="1"/>
          <w:color w:val="auto"/>
        </w:rPr>
        <w:t>(Amendment</w:t>
      </w:r>
      <w:r>
        <w:rPr>
          <w:sz w:val="20"/>
          <w:szCs w:val="20"/>
          <w:color w:val="auto"/>
        </w:rPr>
        <w:tab/>
      </w:r>
      <w:r>
        <w:rPr>
          <w:rFonts w:ascii="Arial" w:cs="Arial" w:eastAsia="Arial" w:hAnsi="Arial"/>
          <w:sz w:val="22"/>
          <w:szCs w:val="22"/>
          <w:b w:val="1"/>
          <w:bCs w:val="1"/>
          <w:color w:val="auto"/>
        </w:rPr>
        <w:t>)</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454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right="2720" w:hanging="466"/>
        <w:spacing w:after="0" w:line="332" w:lineRule="auto"/>
        <w:tabs>
          <w:tab w:leader="none" w:pos="898"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-4533265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-4053205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-3435985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-2955290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-2475230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-1300480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-768985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242570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0720"/>
          </w:cols>
          <w:pgMar w:left="240" w:top="206" w:right="939" w:bottom="904"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the 2008 Annual Meeting of Stockholders of Pro-Pharmaceuticals, Inc. The meeting will be held at 2:00 p.m. on Wednesday, May 21, 2008, at the Sheraton Needham Hotel, 100 Cabot Street, Needham, Massachusetts.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the following pages, you will find the Notice of our 2008 Annual Meeting of Stockholders and the Proxy Statement that describes the matters to be considered at the Annual Meeting. We also have enclosed your Proxy Card and our Annual Report for the year ended December 31, 2007.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Wednesday, May 21, 2008 at 2:00 p.m., local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nine members of the Board of Directors to one-year terms.</w:t>
      </w:r>
    </w:p>
    <w:p>
      <w:pPr>
        <w:spacing w:after="0" w:line="90" w:lineRule="exact"/>
        <w:rPr>
          <w:sz w:val="20"/>
          <w:szCs w:val="20"/>
          <w:color w:val="auto"/>
        </w:rPr>
      </w:pPr>
    </w:p>
    <w:p>
      <w:pPr>
        <w:ind w:left="780" w:right="720" w:hanging="324"/>
        <w:spacing w:after="0" w:line="268" w:lineRule="auto"/>
        <w:rPr>
          <w:sz w:val="20"/>
          <w:szCs w:val="20"/>
          <w:color w:val="auto"/>
        </w:rPr>
      </w:pPr>
      <w:r>
        <w:rPr>
          <w:rFonts w:ascii="Arial" w:cs="Arial" w:eastAsia="Arial" w:hAnsi="Arial"/>
          <w:sz w:val="18"/>
          <w:szCs w:val="18"/>
          <w:color w:val="auto"/>
        </w:rPr>
        <w:t>— To approve an amendment to our Articles of Incorporation increasing the number of authorized shares of common stock from 100,000,000 to 200,000,000.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11, 2008.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21, 2008</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21, 2008</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2008 ANNUAL MEETING OF STOCKHOLDERS</w:t>
      </w:r>
    </w:p>
    <w:p>
      <w:pPr>
        <w:spacing w:after="0" w:line="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May 21, 2008, 2:00 p.m. local time,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Proxy Statement is being provided to you by Pro-Pharmaceuticals’ Board of Directors in connection with our 2008 Annual Meeting of Stockholders. The Annual Meeting will be held at 2:00 p.m. on Wednesday, May 21, 2008 at the Sheraton Needham Hotel, 100 Cabot Street, Needham, Massachusetts 02494, for the purposes set forth in the accompanying Notice of Annual Meeting. We intend to mail this Proxy Statement and the accompanying Notice of Annual Meeting on or about April 21, 2008, to all stockholders entitled to vote at the Annual Meeting.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At the Annual Meeting, stockholders will consider and act upon proposals (1) to elect nine directors to one-year terms, (2) to consider a management proposal to amend our articles of incorporation increasing the number of authorized shares of common stock from 100,000,000 to 200,000,000, and (3) to consider such other business as may properly come before the meeting.</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urge you to sign the enclosed Proxy Card and return it promptly in the return envelope by following the instructions on the proxy card (both are enclosed with these materials). Proxies will be voted as directed. Any Proxy Card returned without directions given will be voted “FOR” (i) the election of directors, (ii) the increase in the number of authorized shares of our common stock, and (iv) as to any other business that may come before the Annual Meeting, in accordance with the judgment of the person or persons named in the proxy. You may revoke your proxy at any time before the Annual Meeting by sending a notice of revocation to Pro-Pharmaceuticals, Inc. at 7 Wells Avenue, Newton, Massachusetts 02459, Attention: Anthony D. Squeglia, Chief Financial Officer. You may also revoke it by submitting a more recently dated proxy to us before the Annual Meeting or by attending the meeting and voting in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Stockholders of record at the close of business on April 11, 2008 will be entitled to notice of the Annual Meeting and to vote at the meeting. Our voting stock is our common stock of which 47,864,792 shares were issued and outstanding on April 11, 2008, and our Series A 12% Convertible Preferred Stock (which votes in accordance with the formula set forth in the Certificate of Designation of Preferences, Rights and Limitations of the Series A 12% Convertible Preferred Stock), of which 1,742,500 shares were issued and outstanding as of April 11, 2008. The shares of Series A 12% Convertible Preferred Stock vote with the shares of our common stock as a single class. Neither the common stock nor the Series A 12% Convertible Preferred Stock is entitled to cumulative voting.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 and Votes Required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representation in person or by proxy of at least one third of the shares of capital stock entitled to vote is necessary to establish a quorum for the transaction of business. Shares which abstain from voting as to a particular matter, and shares held in “street name” by brokers or nominees who indicate on their proxies that they do not have discretionary authority to vote as to a particular matter (“broker non-votes”), will be counted for purposes of determining whether a quorum is present for the transaction of business at the Annual Meeting, but will not be considered as voting on such matters. Accordingly, neither abstentions nor broker non-votes will have any effect with respect to the election of directors or the ratification of our independent registered public accounting firm, each of which requires an affirmative vote of a majority of the voting shares present or represented by proxy and voting on the matter, or the proposal to increase the number of our authorized shares of common stock, which requires an affirmative vote of a majority of the voting shares outstanding.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table sets forth, as of April 11, 2008, certain information concerning the beneficial ownership of each class of our voting securities by</w:t>
      </w:r>
    </w:p>
    <w:p>
      <w:pPr>
        <w:spacing w:after="0" w:line="38" w:lineRule="exact"/>
        <w:rPr>
          <w:sz w:val="20"/>
          <w:szCs w:val="20"/>
          <w:color w:val="auto"/>
        </w:rPr>
      </w:pPr>
    </w:p>
    <w:p>
      <w:pPr>
        <w:ind w:right="440" w:firstLine="8"/>
        <w:spacing w:after="0" w:line="323"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person known by us to own beneficially five per cent (5%) or more of the outstanding shares of our common stock or our Series A 12% Convertible Preferred Stock (“Series A Preferred”), (ii) each of our directors and named executive officers, and (iii) all executive officers and directors as a group.</w:t>
      </w:r>
    </w:p>
    <w:p>
      <w:pPr>
        <w:spacing w:after="0" w:line="9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number of shares beneficially owned by each 5% stockholder, director or executive officer is determined under rules of the United States Securities and Exchange Commission (SEC) and the information is not necessarily indicative of beneficial ownership for any other purpose. Under those rules, beneficial ownership includes any shares to which the individual or entity has sole or shared voting power or investment power and also any shares that the individual or entity has the right to acquire within 60 days after April 11, 2008 through the exercise of any stock option, warrant or other right, or conversion of any security. Unless otherwise indicated, each person or entity has sole investment and voting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93"/>
        </w:trPr>
        <w:tc>
          <w:tcPr>
            <w:tcW w:w="436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3780" w:type="dxa"/>
            <w:vAlign w:val="bottom"/>
          </w:tcPr>
          <w:p>
            <w:pPr>
              <w:spacing w:after="0"/>
              <w:rPr>
                <w:sz w:val="16"/>
                <w:szCs w:val="16"/>
                <w:color w:val="auto"/>
              </w:rPr>
            </w:pPr>
          </w:p>
        </w:tc>
        <w:tc>
          <w:tcPr>
            <w:tcW w:w="2480" w:type="dxa"/>
            <w:vAlign w:val="bottom"/>
            <w:gridSpan w:val="2"/>
          </w:tcPr>
          <w:p>
            <w:pPr>
              <w:jc w:val="right"/>
              <w:ind w:right="110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5% Stockholders</w:t>
            </w:r>
          </w:p>
        </w:tc>
        <w:tc>
          <w:tcPr>
            <w:tcW w:w="30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4,686,468</w:t>
            </w:r>
            <w:r>
              <w:rPr>
                <w:rFonts w:ascii="Arial" w:cs="Arial" w:eastAsia="Arial" w:hAnsi="Arial"/>
                <w:sz w:val="11"/>
                <w:szCs w:val="11"/>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22"/>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Mildred S. Christian,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192,208</w:t>
            </w:r>
            <w:r>
              <w:rPr>
                <w:rFonts w:ascii="Arial" w:cs="Arial" w:eastAsia="Arial" w:hAnsi="Arial"/>
                <w:sz w:val="11"/>
                <w:szCs w:val="11"/>
                <w:color w:val="auto"/>
              </w:rPr>
              <w:t>(6)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98,306</w:t>
            </w:r>
            <w:r>
              <w:rPr>
                <w:rFonts w:ascii="Arial" w:cs="Arial" w:eastAsia="Arial" w:hAnsi="Arial"/>
                <w:sz w:val="11"/>
                <w:szCs w:val="11"/>
                <w:color w:val="auto"/>
              </w:rPr>
              <w:t>(7)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3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93"/>
        </w:trPr>
        <w:tc>
          <w:tcPr>
            <w:tcW w:w="83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300" w:type="dxa"/>
            <w:vAlign w:val="bottom"/>
            <w:gridSpan w:val="2"/>
          </w:tcPr>
          <w:p>
            <w:pPr>
              <w:jc w:val="right"/>
              <w:ind w:right="92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33,000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215,844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Theodore D. Zucconi,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296,343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916,668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686,668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(12 persons)</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6,253,552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7 Wells Avenue, Newton, MA 02459 except Mr. Czirr whose address is 425 Janish Drive, Sandpoint, ID 83864.</w:t>
      </w: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each person and group included in this table, percentage ownership is calculated by dividing the number of shares beneficially owned by such person or group by the sum of 47,864,792 shares of common stock outstanding as of April 11, 2008, plus the number of shares of common stock that such person has the right to acquire within 60 days after April 11, 2008.</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that were exercisable within 60 days after April 11, 2008:</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000" w:type="dxa"/>
            <w:vAlign w:val="bottom"/>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Options Exercisable Within 60 Days</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Platt: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Christian:</w:t>
            </w:r>
          </w:p>
        </w:tc>
        <w:tc>
          <w:tcPr>
            <w:tcW w:w="2080" w:type="dxa"/>
            <w:vAlign w:val="bottom"/>
          </w:tcPr>
          <w:p>
            <w:pPr>
              <w:jc w:val="right"/>
              <w:spacing w:after="0"/>
              <w:rPr>
                <w:sz w:val="20"/>
                <w:szCs w:val="20"/>
                <w:color w:val="auto"/>
              </w:rPr>
            </w:pPr>
            <w:r>
              <w:rPr>
                <w:rFonts w:ascii="Arial" w:cs="Arial" w:eastAsia="Arial" w:hAnsi="Arial"/>
                <w:sz w:val="18"/>
                <w:szCs w:val="18"/>
                <w:color w:val="auto"/>
              </w:rPr>
              <w:t>114,354</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Conaway: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Esber:</w:t>
            </w:r>
          </w:p>
        </w:tc>
        <w:tc>
          <w:tcPr>
            <w:tcW w:w="2080" w:type="dxa"/>
            <w:vAlign w:val="bottom"/>
          </w:tcPr>
          <w:p>
            <w:pPr>
              <w:jc w:val="right"/>
              <w:spacing w:after="0"/>
              <w:rPr>
                <w:sz w:val="20"/>
                <w:szCs w:val="20"/>
                <w:color w:val="auto"/>
              </w:rPr>
            </w:pPr>
            <w:r>
              <w:rPr>
                <w:rFonts w:ascii="Arial" w:cs="Arial" w:eastAsia="Arial" w:hAnsi="Arial"/>
                <w:sz w:val="18"/>
                <w:szCs w:val="18"/>
                <w:color w:val="auto"/>
              </w:rPr>
              <w:t>35,500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Gourzis: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Neill:</w:t>
            </w:r>
          </w:p>
        </w:tc>
        <w:tc>
          <w:tcPr>
            <w:tcW w:w="20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Prelack: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Rome:</w:t>
            </w:r>
          </w:p>
        </w:tc>
        <w:tc>
          <w:tcPr>
            <w:tcW w:w="2080" w:type="dxa"/>
            <w:vAlign w:val="bottom"/>
          </w:tcPr>
          <w:p>
            <w:pPr>
              <w:jc w:val="right"/>
              <w:spacing w:after="0"/>
              <w:rPr>
                <w:sz w:val="20"/>
                <w:szCs w:val="20"/>
                <w:color w:val="auto"/>
              </w:rPr>
            </w:pPr>
            <w:r>
              <w:rPr>
                <w:rFonts w:ascii="Arial" w:cs="Arial" w:eastAsia="Arial" w:hAnsi="Arial"/>
                <w:sz w:val="18"/>
                <w:szCs w:val="18"/>
                <w:color w:val="auto"/>
              </w:rPr>
              <w:t>56,500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Zucconi:</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Ms. Foley:</w:t>
            </w:r>
          </w:p>
        </w:tc>
        <w:tc>
          <w:tcPr>
            <w:tcW w:w="2080" w:type="dxa"/>
            <w:vAlign w:val="bottom"/>
          </w:tcPr>
          <w:p>
            <w:pPr>
              <w:jc w:val="right"/>
              <w:spacing w:after="0"/>
              <w:rPr>
                <w:sz w:val="20"/>
                <w:szCs w:val="20"/>
                <w:color w:val="auto"/>
              </w:rPr>
            </w:pPr>
            <w:r>
              <w:rPr>
                <w:rFonts w:ascii="Arial" w:cs="Arial" w:eastAsia="Arial" w:hAnsi="Arial"/>
                <w:sz w:val="18"/>
                <w:szCs w:val="18"/>
                <w:color w:val="auto"/>
              </w:rPr>
              <w:t>911,667</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686,668</w:t>
            </w: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All named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2,215,189</w:t>
            </w:r>
          </w:p>
        </w:tc>
      </w:tr>
    </w:tbl>
    <w:p>
      <w:pPr>
        <w:spacing w:after="0" w:line="66" w:lineRule="exact"/>
        <w:rPr>
          <w:sz w:val="20"/>
          <w:szCs w:val="20"/>
          <w:color w:val="auto"/>
        </w:rPr>
      </w:pPr>
    </w:p>
    <w:p>
      <w:pPr>
        <w:ind w:left="460" w:right="16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7,379 shares of common stock owned by Dr. Platt’s wife as to which he disclaims beneficial ownership, and (ii) 100,000 shares of Series A Preferred convertible into 100,000 shares of common stock. Such number of shares of Series A Preferred represents 5% or more of the outstanding shares of this class of securities.</w:t>
      </w:r>
    </w:p>
    <w:p>
      <w:pPr>
        <w:ind w:left="460" w:right="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28,200 shares owned by a child of Mr. Czirr as to which Mr. Czirr disclaims beneficial ownership, and (ii) 100,000 shares of Series A Preferred convertible into 100,000 shares of common stock. Such number of shares of Series A Preferred represents 5% or more of the outstanding shares of this class of securities.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25,000 shares of Series A Preferred convertible into 25,000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10,000 shares of Series A Preferred convertible into 10,000 shares of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nine members of our current Board of Directors to be re-elected at the Annual Meeting to serve one-year terms until the 2009 annual meeting of stockholders and until their respective successors are elected and shall qualify. Each nominee has agreed to serve if elected.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11, 2008, including their ages, positions with Pro-Pharmaceuticals, recent employment and other directorships.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nominee.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members of the Board of Directors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Age as of 3/22/08</w:t>
            </w:r>
          </w:p>
        </w:tc>
        <w:tc>
          <w:tcPr>
            <w:tcW w:w="32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David Platt, Ph.D.</w:t>
            </w: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3760" w:type="dxa"/>
            <w:vAlign w:val="bottom"/>
            <w:gridSpan w:val="2"/>
          </w:tcPr>
          <w:p>
            <w:pPr>
              <w:ind w:left="740"/>
              <w:spacing w:after="0" w:line="201" w:lineRule="exact"/>
              <w:rPr>
                <w:sz w:val="20"/>
                <w:szCs w:val="20"/>
                <w:color w:val="auto"/>
              </w:rPr>
            </w:pPr>
            <w:r>
              <w:rPr>
                <w:rFonts w:ascii="Arial" w:cs="Arial" w:eastAsia="Arial" w:hAnsi="Arial"/>
                <w:sz w:val="18"/>
                <w:szCs w:val="18"/>
                <w:color w:val="auto"/>
                <w:w w:val="99"/>
              </w:rPr>
              <w:t>Chief Executive Officer and Chairman</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Mildred S. Christian, Ph.D.</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Dale H. Conaway, D.V.M.</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Henry J. Esber, Ph.D.</w:t>
            </w: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James T. Gourzis, M.D., Ph.D.</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 Colin Neill</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Jerald K. Rome</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Theodore D. Zucconi, Ph.D.</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President and Director</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Dr. Platt, Chief Executive Officer and Chairman of the Board of Directors, is a co-founder of the Company and co-developer of our core technology. From 1995 to 2000, Dr. Platt was Chief Executive Officer and Chairman of the Board of Directors of SafeScience Inc., a company he founded. From 1992 to 1995, Dr. Platt was the Chief Executive Officer, Chairman of the Board and a founder of International Gene Group, Inc., the predecessor company to SafeScience.</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Dr. Platt received a Ph.D. in Chemistry in 1988 from Hebrew University in Jerusalem. In 1989, Dr. Platt was a research fellow at the Weizmann Institute of Science, Rehovot, Israel, and from 1989 to 1991, was a research fellow at the Michigan Cancer Foundation (re-named Barbara Ann Karmanos Cancer Institute). From 1991 to 1992, Dr. Platt was a research scientist with the Department of Internal Medicine at the University of Michigan. Dr. Platt has published peer-reviewed articles and holds many patents, primarily in the field of carbohydrate chemistry.</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Dr. Christian, a Director of the Company since 2002, is President and CEO of Argus International, Inc., a provider of consulting services in regulatory affairs, and Chairman and CEO of Argus Health Products, LLC, a developer and distributor of preventive and maintenance healthcare products. Until 2002, Dr. Christian was Executive Director, Science and Compliance, of Charles River Laboratories and Primedica Corporation.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more than 1,800 pre-clinical studies, from protocol to final report. Dr. Christian is a member of several professional organizations, including service as Councilor of the European Teratology Society and Secretary/Treasurer of the Academy of Toxicological Sciences. She has authored more than 120 papers and abstracts published in U.S. and international journals. Dr. Christian earned her Ph.D. from Thomas Jefferson University in developmental anatomy and pharmacology.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Dr. Conaway, a Director of the Company since May 2001, is the Chief Veterinary Medical Officer for the Office of Research Oversight, an office within the Veterans Health Administration under the U.S. Department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Veterans Affairs. From 2001 to 2006, Dr. Conway was the Deputy Regional Director (Southern Region). From 1998 to 2001, Dr. Conaway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 and an M.S. degree in pathology from the College of Veterinary Medicine at Michigan State University.</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Dr. Esber, a Director of the Company since April 2006, has been a Principal in Esber D&amp;D consulting since 2005. From 2003 to 2005, Dr. Esber was a Senior Consultant, Business Development at Charles River Labs, Discovery and Development Services. From 2005 to 2006, Dr. Esber was a consultant and from 2006, he was Senior Vice President and Chief Business Officer for Bio-Quant. Dr. Esber is the co-founder of BioSignature Diagnostics, Inc. and Advanced Drug Delivery, Inc. He serves on the Scientific Advisory Boards of several biotechnology companies and is the author of more than 130 technical publications.</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Dr. Esber has more than 25 years of experience in the areas of oncology/tumor immunology and immunotherapy as well as strong knowledge in the field of toxicology and regulatory affairs. Dr. Esber received a B.S. degree in biology/pre-med from the College of William and Mary, an M.S. degree in public health and parasitology from the University of North Carolina, and a Ph.D. in immunology/microbiology from West Virginia University Medical Center.</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Gourzis, a Director of the Company since December 2006, has extensive experience in formulating scientific and regulatory strategy and heading clinical development teams for pharmaceutical and biotechnology products, small molecules and biologics. Therapeutic area experience includes: oncology, cardiovascular, virology, immunology, central nervous system, allergy, anti-inflammatory, infectious disease, pain management and gastrointestinal disease. Dr. Gourzis is Principal, MEDRAND Associates from 2002 to present, providing consulting services with respect to scientific, strategic and regulatory considerations associated with the development of drugs and biologics. Dr. Gourzis received an A.B. degree in biology from Harvard University, an A.M. degree in pharmacology from Boston University and an M.D., Ph.D. in pharmacology/medicine from the University of Manitoba.</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Neill, a Director of the Company since May 2007, became President of Pharmos Corp. (Nasdaq: PARS) in January 2008, and since October 2006, was its Senior Vice President, Chief Financial Officer, Secretary, and Treasurer. From 2003 to 2006, Mr. Neill served as Chief Financial Officer, Treasurer and Secretary of Axonyx Inc., a biopharmaceutical company that develops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 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 Mr. Neill serves on the board of OXIS International, Inc. (OXIS:BB).</w:t>
      </w:r>
    </w:p>
    <w:p>
      <w:pPr>
        <w:spacing w:after="0" w:line="121"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Mr. Prelack, a Director of the Company since April 2003, has served as Senior Vice President, Chief Financial Officer and Treasurer of VelQuest Corporation since 2001,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Mr. Prelack is a director of Codeco Corporation,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designer and manufacturer of custom resisters and switches, and of Sight Code, Inc., which specializes in OPM, a systems design and architecture platform.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Prelack, a Certified Public Accountant, received a B.B.A. degree from the University of Massachusetts at Amherst in 1979.</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a Director of the Company since March 2004, has been a private investor since 1996. Mr. Rome founded Amberline Pharmaceutical Care Corp., a marketer of 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Zucconi, a Director and President of the Company since October 2007, was formerly, since 2002, President of Implementation Edge, a management consulting firm that specializes in organizational performance improvement. From 1994 until 2002, Dr. Zucconi served in various capacities at Motorola, including Director of Motorola University. Prior to Motorola, Dr. Zucconi held technical, operational, and scientific positions at various high technology companies. Dr. Zucconi received his Ph.D. in analytical chemistry from State University of New York in 1977. Dr. Zucconi also received a Master’s Certificate in international management from Thunderbird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Ph.D., Chief Executive Officer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Theodore Zucconi, Ph.D., President (see Board of Directors)</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Eliezer Zomer, Ph.D., is Executive Vice President of Manufacturing and Product Development. Prior to joining the company in 2002, Dr. Zomer was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Anatole Klyosov, Ph.D., D.Sc., is Chief Scientist, a co-inventor of our patented technology, and a founder of the Company.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230 peer-reviewed articles in scientific journals, authored books on enzymes, carbohydrates, and biotechnology,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Anthony Squeglia became Chief Financial Officer in October 2007 and from 2003 served as Vice President of Investor Relations. From 2001 to 2003, Mr. Squeglia was a Partner in JFS Advisors, a management consulting firm that delivered strategic services to entrepreneurial businesses that includes raising funds, business planning, positioning, branding, marketing and sales channel development. From 1996 to 2001, Mr. Squeglia was Director of Investor Relations and Corporate Communications for Quentra/Coyote Networks. Previously, Mr. Squeglia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management positions with Summa Four, Unisys, AT&amp;T, Timeplex, Colonial Penn and ITT. Mr. Squeglia received an M.B.A. from Pepperdine University and a B.B.A. from The Wharton School, University of Pennsylvania.</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Maureen Foley is Chief Operating Officer since October 2001 and formerly Manager of Operations. Ms. Foley’s experience with start-up companies includes: From June 2000 to December 2000, she provided business operations services for eHealthDirect, Inc., a developer of medical records processing software. From October 1999 to May 2000, Ms. Foley managed business operations services for ArsDigita, Inc., a developer of business software and programs. From June 1996 to August 1999, Ms. Foley served with Thermo Fibergen, Inc., a subsidiary of Thermo Electron Corporation, a developer of composite materials. Ms. Foley is a graduate of The Wyndham School, Boston, Massachusetts, with a major in Mechanical Engineering.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the year ended December 31, 2007, our Board of Directors held 18 meetings. During 2007, the Board had three standing committees: the Compensation Committee, the Audit Committee and the Nominating and Corporate Governance Committee. Our Board of Directors has determined that, other than Dr. Platt and Dr. Zucconi, neither of whom serves on a standing committee, all of the directors are “independent” within the meaning of American Stock Exchange listing standards. As required by the stock exchange rules, we held at least one meeting of the Board attended only by the independent (non-management) directors. During 2007, one director, James Gourzis, attended fewer than 75% of the combined total number of meetings of the Board.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Compensation Committee, whose members are Mildred Christian (chair) and Henry Esber, met three times during 2007.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Audit Committee, whose members are Steven Prelack (chair), Dale Conaway and Jerald Rome, met seven times during 2007.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w:t>
      </w:r>
    </w:p>
    <w:p>
      <w:pPr>
        <w:spacing w:after="0" w:line="2" w:lineRule="exact"/>
        <w:rPr>
          <w:sz w:val="20"/>
          <w:szCs w:val="20"/>
          <w:color w:val="auto"/>
        </w:rPr>
      </w:pPr>
    </w:p>
    <w:p>
      <w:pPr>
        <w:ind w:right="20" w:firstLine="8"/>
        <w:spacing w:after="0" w:line="261"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Nominating and Corporate Governance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five times during 2007.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Anthony D. Squeglia, Chief Financial Officer, Pro-Pharmaceuticals, Inc., 7 Wells Avenue, Newton, Massachusetts 02459, or by calling (617) 559-0033. All communications will be received and reviewed by our Chief Financial Officer. Stockholder concerns about our accounting, internal controls, auditing matters or business practices will be reported to the Audit Committee. All other concerns will be reported to the appropriate committee(s) of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Six members of the Board attended our 2007 annual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3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 ended December 31, 2007.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4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4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86,250</w:t>
            </w:r>
          </w:p>
        </w:tc>
        <w:tc>
          <w:tcPr>
            <w:tcW w:w="94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4"/>
              </w:rPr>
              <w:t>49,850</w:t>
            </w:r>
            <w:r>
              <w:rPr>
                <w:rFonts w:ascii="Arial" w:cs="Arial" w:eastAsia="Arial" w:hAnsi="Arial"/>
                <w:sz w:val="22"/>
                <w:szCs w:val="22"/>
                <w:color w:val="auto"/>
                <w:w w:val="84"/>
                <w:vertAlign w:val="superscript"/>
              </w:rPr>
              <w:t>(2)</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331,100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260,000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45,832</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50,917</w:t>
            </w:r>
            <w:r>
              <w:rPr>
                <w:rFonts w:ascii="Arial" w:cs="Arial" w:eastAsia="Arial" w:hAnsi="Arial"/>
                <w:sz w:val="22"/>
                <w:szCs w:val="22"/>
                <w:color w:val="auto"/>
                <w:w w:val="84"/>
                <w:vertAlign w:val="superscript"/>
              </w:rPr>
              <w:t>(3)</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356,749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165,000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tcPr>
          <w:p>
            <w:pPr>
              <w:jc w:val="center"/>
              <w:spacing w:after="0" w:line="208" w:lineRule="exact"/>
              <w:rPr>
                <w:sz w:val="20"/>
                <w:szCs w:val="20"/>
                <w:color w:val="auto"/>
              </w:rPr>
            </w:pPr>
            <w:r>
              <w:rPr>
                <w:rFonts w:ascii="Arial" w:cs="Arial" w:eastAsia="Arial" w:hAnsi="Arial"/>
                <w:sz w:val="18"/>
                <w:szCs w:val="18"/>
                <w:color w:val="auto"/>
                <w:w w:val="84"/>
              </w:rPr>
              <w:t>26,870</w:t>
            </w:r>
            <w:r>
              <w:rPr>
                <w:rFonts w:ascii="Arial" w:cs="Arial" w:eastAsia="Arial" w:hAnsi="Arial"/>
                <w:sz w:val="22"/>
                <w:szCs w:val="22"/>
                <w:color w:val="auto"/>
                <w:w w:val="84"/>
                <w:vertAlign w:val="superscript"/>
              </w:rPr>
              <w:t>(4)</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277,521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220,000</w:t>
            </w:r>
          </w:p>
        </w:tc>
        <w:tc>
          <w:tcPr>
            <w:tcW w:w="400" w:type="dxa"/>
            <w:vAlign w:val="bottom"/>
          </w:tcPr>
          <w:p>
            <w:pPr>
              <w:spacing w:after="0"/>
              <w:rPr>
                <w:sz w:val="19"/>
                <w:szCs w:val="19"/>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tcPr>
          <w:p>
            <w:pPr>
              <w:jc w:val="center"/>
              <w:spacing w:after="0" w:line="224" w:lineRule="exact"/>
              <w:rPr>
                <w:sz w:val="20"/>
                <w:szCs w:val="20"/>
                <w:color w:val="auto"/>
              </w:rPr>
            </w:pPr>
            <w:r>
              <w:rPr>
                <w:rFonts w:ascii="Arial" w:cs="Arial" w:eastAsia="Arial" w:hAnsi="Arial"/>
                <w:sz w:val="18"/>
                <w:szCs w:val="18"/>
                <w:color w:val="auto"/>
                <w:w w:val="84"/>
              </w:rPr>
              <w:t>29,194</w:t>
            </w:r>
            <w:r>
              <w:rPr>
                <w:rFonts w:ascii="Arial" w:cs="Arial" w:eastAsia="Arial" w:hAnsi="Arial"/>
                <w:sz w:val="22"/>
                <w:szCs w:val="22"/>
                <w:color w:val="auto"/>
                <w:w w:val="84"/>
                <w:vertAlign w:val="superscript"/>
              </w:rPr>
              <w:t>(5)</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w w:val="89"/>
              </w:rPr>
              <w:t>308,678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138,750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18,620</w:t>
            </w:r>
            <w:r>
              <w:rPr>
                <w:rFonts w:ascii="Arial" w:cs="Arial" w:eastAsia="Arial" w:hAnsi="Arial"/>
                <w:sz w:val="22"/>
                <w:szCs w:val="22"/>
                <w:color w:val="auto"/>
                <w:w w:val="84"/>
                <w:vertAlign w:val="superscript"/>
              </w:rPr>
              <w:t>(6)</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243,021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185,000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22,372</w:t>
            </w:r>
            <w:r>
              <w:rPr>
                <w:rFonts w:ascii="Arial" w:cs="Arial" w:eastAsia="Arial" w:hAnsi="Arial"/>
                <w:sz w:val="22"/>
                <w:szCs w:val="22"/>
                <w:color w:val="auto"/>
                <w:w w:val="84"/>
                <w:vertAlign w:val="superscript"/>
              </w:rPr>
              <w:t>(7)</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266,856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is made to Note 8 “Stock Based Compensation” in our Form 10-K for the year ended December 31, 2007 filed with the SEC on March 28, 2008, which identifies assumptions made in the valuation of option awards in accordance with SFAS No. 123(R). The amounts listed in this column represent the amount of stock based compensation recognized for financial statement reporting purposes for the year ended December 31, 2007, in accordance with SFAS No. 123(R) and thus may include amounts from awards granted in or prior to 2007 in our operating expenses for the named executive officers for the year ended December 31, 2007.</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$22,220 for health insurance, $17,795 for automobile expenses, $7,800 for company 401(k) contributions and $2,035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$21,785 for health insurance, $15,956 for automobile expenses, $8,800 for company 401(k) contributions and $4,376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$19,937 for health insurance expenses, $6,533 for company 401(k) contributions and $400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$19,572 for health insurance expenses, $8,800 for company 401(k) contributions and $822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$13,070 for health insurance expenses and $5,550 for company 401(k)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$13,572 for health insurance expenses and $8,800 for company 401(k) contributions.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beginning in July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Chief Executive Officer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an employment contract with Dr. Platt that was filed as an exhibit to our Annual Report on Form 10-K for the year ended December 31, 2003 on March 30, 2004. The agreement, which became effective on January 2, 2004, provides that Dr. Platt shall serve as President and Chief Executive Officer at an initial base salary of $220,000 per year, subject to annual review, and shall receive our standard employee life, disability and health insurance benefits. Dr. Platt is also entitled to receive bonus compensation as follows:</w:t>
      </w:r>
    </w:p>
    <w:p>
      <w:pPr>
        <w:spacing w:after="0" w:line="62" w:lineRule="exact"/>
        <w:rPr>
          <w:sz w:val="20"/>
          <w:szCs w:val="20"/>
          <w:color w:val="auto"/>
        </w:rPr>
      </w:pPr>
    </w:p>
    <w:p>
      <w:pPr>
        <w:ind w:left="900" w:right="1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a transaction with a pharmaceutical company expected to result in at least $10,000,000 of equity investment or $50,000,000 of royalty revenue or other substantial benefit as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may determine, a cash bonus of $200,000 and fully vested 10-year stock options exercisable at not less than the market value to purchase at least 200,000 of our shares of common stock;</w:t>
      </w:r>
    </w:p>
    <w:p>
      <w:pPr>
        <w:spacing w:after="0" w:line="64" w:lineRule="exact"/>
        <w:rPr>
          <w:sz w:val="20"/>
          <w:szCs w:val="20"/>
          <w:color w:val="auto"/>
        </w:rPr>
      </w:pPr>
    </w:p>
    <w:p>
      <w:pPr>
        <w:ind w:left="900" w:right="3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stock options;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approval by the FDA of each new drug application filed by us for any drug, a cash bonus of $400,000 and 400,000 of stock options; and</w:t>
      </w:r>
    </w:p>
    <w:p>
      <w:pPr>
        <w:spacing w:after="0" w:line="11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to practice during employment and for such period as the company pays severance, contains protective provisions concerning confidential information, non-competition and non-solicitation of employees, and provides for indemnification of Dr. Platt.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annual review provided for in his employment agreement, Dr. Platt’s salary was adjusted to $260,000 for 2005.</w:t>
      </w:r>
    </w:p>
    <w:p>
      <w:pPr>
        <w:spacing w:after="0" w:line="252" w:lineRule="exact"/>
        <w:rPr>
          <w:sz w:val="20"/>
          <w:szCs w:val="20"/>
          <w:color w:val="auto"/>
        </w:rPr>
      </w:pPr>
    </w:p>
    <w:p>
      <w:pPr>
        <w:ind w:left="460" w:right="122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and Maureen Foley, Chief Operating Officer </w:t>
      </w:r>
      <w:r>
        <w:rPr>
          <w:rFonts w:ascii="Arial" w:cs="Arial" w:eastAsia="Arial" w:hAnsi="Arial"/>
          <w:sz w:val="18"/>
          <w:szCs w:val="18"/>
          <w:color w:val="auto"/>
        </w:rPr>
        <w:t>We do not have a written employment agreement with Dr. Zomer or Ms. Foley.</w:t>
      </w:r>
    </w:p>
    <w:p>
      <w:pPr>
        <w:spacing w:after="0" w:line="132" w:lineRule="exact"/>
        <w:rPr>
          <w:sz w:val="20"/>
          <w:szCs w:val="20"/>
          <w:color w:val="auto"/>
        </w:rPr>
      </w:pPr>
    </w:p>
    <w:p>
      <w:pPr>
        <w:ind w:left="460" w:right="4840"/>
        <w:spacing w:after="0" w:line="344" w:lineRule="auto"/>
        <w:rPr>
          <w:sz w:val="20"/>
          <w:szCs w:val="20"/>
          <w:color w:val="auto"/>
        </w:rPr>
      </w:pPr>
      <w:r>
        <w:rPr>
          <w:rFonts w:ascii="Arial" w:cs="Arial" w:eastAsia="Arial" w:hAnsi="Arial"/>
          <w:sz w:val="18"/>
          <w:szCs w:val="18"/>
          <w:i w:val="1"/>
          <w:iCs w:val="1"/>
          <w:color w:val="auto"/>
        </w:rPr>
        <w:t>Material Terms of Employment Agreements with Other Key Employees and Executives Theodore D. Zucconi, President</w:t>
      </w:r>
    </w:p>
    <w:p>
      <w:pPr>
        <w:spacing w:after="0" w:line="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entered into an employment agreement with Dr. Zucconi on December 19, 2007, which amends and restates his prior employment agreement effective October 1, 2007, and was filed as an exhibit to our Form 8-K Current Report on December 26, 2007. The agreement provides for a monthly salary of $9,167 in 2007, and an annual salary of $220,000 in 2008, payment of 50% of which is deferred until October 1, 2008. He shall be paid a cash bonus of $27,500 before June 1, 2008. Dr. Zucconi is entitled to insurance and other employee benefits, as well as $54,000 for relocation costs and airfare reimbursement for up to 14 round trips to his home in Phoenix, Arizona. The agreement provided for a “sign-on” bonus of 200,000 stock options, which were granted in December 2007. It also entitles him to 10,000 incentive stock options for each $1 million of financing received by us from investors identified by him, as well as 100,000 options if the trading price of our common stock exceeds $5.00 for 20 consecutive trading days prior to October 3, 2008. The agreement provides that all stock options are fully vested on the applicable grant date, have an exercise price equal to the fair market value of our common stock on the grant date, and are exercisable for five years, whether or not Dr. Zucconi is then employed by us. If we enter into a partnership or joint venture with another company resulting in payment to us of upfront fees and milestone payments in excess of $20 million, Dr. Zucconi is entitled to a cash bonus equal to 1% of such fees and payments. The employment agreement has a term of one year, and contains provisions for compensation if Dr. Zucconi’s employment is terminated with or without cause. The agreement requires Dr. Zucconi to assign intellectual property and contains protective provisions including non-competition and non-solicitation.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Anthony D. Squeglia, Chief Financial Officer</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connection with Mr. Squeglia’s appointment effective October 1, 2007 as our Chief Financial Officer, we entered into an employment agreement with him dated December 20, 2007, which was filed as an exhibit to our Form 8-K Current Report on December 20, 2007. Mr. Squeglia’s employment agreement provides for an initial base salary of $180,000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Chief Scientist</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Dr. Klyosov’s employment agreement provides for an initial base salary of $220,000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6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5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tcPr>
          <w:p>
            <w:pPr>
              <w:jc w:val="right"/>
              <w:spacing w:after="0"/>
              <w:rPr>
                <w:sz w:val="20"/>
                <w:szCs w:val="20"/>
                <w:color w:val="auto"/>
              </w:rPr>
            </w:pPr>
            <w:r>
              <w:rPr>
                <w:rFonts w:ascii="Arial" w:cs="Arial" w:eastAsia="Arial" w:hAnsi="Arial"/>
                <w:sz w:val="18"/>
                <w:szCs w:val="18"/>
                <w:color w:val="auto"/>
              </w:rPr>
              <w:t>425,000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03/08/2012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12/14/2011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11/14/2012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Options vest annually, in equal increments, over three years beginning the first anniversary of the grant date, provided the grantee is then an employee. The exercise price of the options is set at the closing price of our stock on the date of grant. Grants of options are recommended by the Compensation Committee and adopted by the Board of Directors. No options were exercised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or Paid</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3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60" w:type="dxa"/>
            <w:vAlign w:val="bottom"/>
            <w:gridSpan w:val="3"/>
            <w:vMerge w:val="continue"/>
          </w:tcPr>
          <w:p>
            <w:pPr>
              <w:spacing w:after="0"/>
              <w:rPr>
                <w:sz w:val="15"/>
                <w:szCs w:val="15"/>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215"/>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1"/>
              </w:rPr>
              <w:t>($)</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$19,436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Dale H. Conaway, D.V.M.</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89"/>
              </w:rPr>
              <w:t>$18,983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$15,008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$ 3,076</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96"/>
              </w:rPr>
              <w:t>$ 2,471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  71,200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$ 3,333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$19,755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David Platt and Theodore Zucconi who are employees.</w:t>
      </w:r>
    </w:p>
    <w:p>
      <w:pPr>
        <w:spacing w:after="0" w:line="15" w:lineRule="exact"/>
        <w:rPr>
          <w:rFonts w:ascii="Arial" w:cs="Arial" w:eastAsia="Arial" w:hAnsi="Arial"/>
          <w:sz w:val="18"/>
          <w:szCs w:val="18"/>
          <w:color w:val="auto"/>
        </w:rPr>
      </w:pPr>
    </w:p>
    <w:p>
      <w:pPr>
        <w:ind w:left="460" w:right="28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dollar amount recognized for financial statement reporting purposes for the fiscal year ended December 31, 2007, in accordance with SFAS No. 123(R) for awards granted in 2007. Reference is made to Note 8 “Stock Based Compensation” in our Form 10-K for the year ended December 31, 2007 filed with the SEC on March 28, 2008, which identifies the assumptions made in the calculation of these amounts.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for in our 2003 Non-employee Directors Stock Incentive Plan, each non-employee director receives a grant of 500 non-qualified stock options for each meeting of our Board, and each meeting of a standing committee of the Board, that such director attended during a year of service. We paid Mr. Prelack $68,000 for service as Chair of the Audit Committee and $3,200 for service on a special committee of the Board providing oversight of our litigation. In March 2007, we made the following supplemental grants of stock options to members of the Board for services provided during 2006: Mildred S. Christian, 18,000; Dale H. Conaway, 17,000; Henry J. Esber, 15,000; and Jerald K. Rome, 17,000.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COMMON STOCK FROM 100,000,000 TO 200,000,000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has approved and has recommended that our stockholders approve, an amendment to our Articles of Incorporation providing for an increase in the number of authorized shares of our common stock from 100,000,000 to 200,000,000. This amendment is attached as an Appendix to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11, 2008:</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47,864,792 shares of our common stock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were 6,000,000 shares of our common stock reserved for future issuance under our stock incentive plans and outstanding options,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1,742,500 shares of our common stock reserved for future issuance upon the conversion of outstanding shares of our Series A 12% Convertible Preferred Stock,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28,762,354 shares of our common stock reserved for issuance upon exercise of outstanding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as of April 11, 2008, there were an aggregate of 82,047,500 shares outstanding or reserved for issuance.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additional 100,000,000 authorized shares of common stock would be available for issuance in the future for corporate purposes, such as financings, acquisitions, stock splits, stock dividends and management incentive and employee benefit plans, as our Board of Directors may deem advisable, without the necessity of further stockholder action.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issue any of the additional shares of common stock that will become available as a result of this amendment to our Articles of Incorporation.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issuance of additional shares of our common stock would have the effect of diluting our current stockholders and could have the effect of making it more difficult for a third party to acquire, or discouraging a third party from attempting to acquire, control of us. We are not aware of any attempts on the part of a third party to effect a change of control of us and the amendment has been proposed for the reasons stated above and not for any possible anti-takeover effects it may have.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shareholder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1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Board of Directors recommends you vote FOR the proposal to approve an amendment to our Articles of Incorporation providing for an increase in the number of authorized shares of our common stock from 100,000,000 to 200,000,000.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INDEPENDENT REGISTERED PUBLIC ACCOUNTING FIRM</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April 10, 2008, based on the decision of the Audit Committee of our Board of Directors, we dismissed Deloitte &amp; Touche LLP as our independent registered public accounting firm and engaged Vitale Caturano &amp; Company, Ltd. to serve as our independent registered public accounting firm for the fiscal year ending December 31, 2008.</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reports of Deloitte &amp; Touche LLP on our financial statements for the years ended December 31, 2007 and 2006 did not contain an adverse opinion or disclaimer of opinion, nor were they qualified or modified as to uncertainty, audit scope or accounting principles.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years ended December 31, 2007 and 2006 and through the date of dismissal, there were no disagreements with Deloitte &amp; Touche LLP on any matter of accounting principles or practices, financial statement disclosure, or auditing scope or procedure which, if not resolved to the satisfaction of Deloitte &amp; Touche LLP, would have caused them to make reference to the subject matter in connection with their report on our consolidated financial statements for such years; and there were no reportable events, as listed in Item 304(a)(1)(v) of Regulation S-K.</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years ended December 31, 2007 and 2006 and through the date of the Audit Committee’s decision, we did not consult Vitale Caturano &amp; Company, Ltd. with respect to the application of accounting principles to a specified transaction, either completed or proposed, or the type of audit opinion that might be rendered on our consolidated financial statements, or any other matter or reportable events listed in Items 304(a)(2)(i) and (ii) of Regulation S-K.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expect a representative of Deloitte &amp; Touche LLP or Vitale Caturano &amp; Company Ltd. to be present at the 2008 Annual Meeting.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94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522,494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350,068</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26,500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0" w:type="dxa"/>
            <w:vAlign w:val="bottom"/>
          </w:tcPr>
          <w:p>
            <w:pPr>
              <w:spacing w:after="0"/>
              <w:rPr>
                <w:sz w:val="18"/>
                <w:szCs w:val="18"/>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392,308</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392,308</w:t>
            </w:r>
          </w:p>
        </w:tc>
      </w:tr>
      <w:tr>
        <w:trPr>
          <w:trHeight w:val="20"/>
        </w:trPr>
        <w:tc>
          <w:tcPr>
            <w:tcW w:w="11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jc w:val="both"/>
        <w:ind w:left="460" w:right="10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included in our Annual Report on Form 10-K,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statements included in our Quarterly Reports on Form 10-Q, the restatement of financial statements for the periods ended September 30, 2006 and June 30, 2006 filed on Form 10-Q/A and services that are normally in connection with statutory and regulatory filings or engagements for such fiscal year.</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Deloitte &amp; Touche LLP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Audit Committees, As Amended, </w:t>
      </w:r>
      <w:r>
        <w:rPr>
          <w:rFonts w:ascii="Arial" w:cs="Arial" w:eastAsia="Arial" w:hAnsi="Arial"/>
          <w:sz w:val="16"/>
          <w:szCs w:val="16"/>
          <w:color w:val="auto"/>
        </w:rPr>
        <w:t>which includes, among other items, matters related to the conduct of the annual audit of our company’s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has also received and reviewed the written disclosures and the letter from Deloitte &amp; Touche LLP required by the securities acts administered by the Securities and Exchange Commission, concerning their independence, as required under applicable independence standards for auditors of public companies, and has discussed with Deloitte &amp; Touche LLP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2007 fiscal year be included in the Annual Report filed on Form 10-K for the year ended December 31, 2007.</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2007.</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 Based on a review of our records, we believe a Form 3 was filed late with respect to Mr. Neill.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2009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2009 annual meeting of stockholders, the proposal must be received by us, attention: Anthony D. Squeglia, Chief Financial Officer, at our principal executive offices by December 21, 2008. Also in accordance with SEC guidelines, if a stockholder notifies us of that stockholder’s intent to present a proposal at our 2009 annual meeting of stockholders after March 5, 2009, we may, acting through the persons named as proxies in the proxy materials for that meeting, exercise discretionary voting authority with respect to the proposal without including information about the proposal in our proxy materials. However, in either case, if the date of the 2009 annual meeting is changed by more than 30 days from the date of the 2008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2007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Chief Financial Officer;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21, 2008</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Appendix contains a copy of the Certificate of Amendment, to be filed with the Secretary of State of the State of Nevada,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amendment described in the proxy statement to which this Appendix is attached.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 of Amendment to Articles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Nevada Profit Corporations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NRS 78.385 and 78.390—After Issuance of Stock)</w:t>
      </w:r>
    </w:p>
    <w:p>
      <w:pPr>
        <w:spacing w:after="0" w:line="20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corporation: Pro-Pharmaceuticals,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1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Article III of the Articles of Incorporation of Pro-Pharmaceuticals, Inc. has been amended to increase the number of authorized common voting shares to 200,000,000, and shall read in its entirety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Authorized Shares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corporation shall have authority to issue an aggregate of 200,000,000 shares, which shall be common voting shares having a par value of $0.001 per share, and 10,000,000 undesignated shares having a par value of $0.01 per share. The Board of Directors may, from time to time, prescribe by resolution different classes or series of the undesignated shares, the number of shares of such class or series within the limit of the authorized undesignated shares, and the voting powers, designations, rights, preferences, restrictions and the relative rights of said shares in each such class or series.</w:t>
      </w:r>
    </w:p>
    <w:p>
      <w:pPr>
        <w:spacing w:after="0" w:line="153" w:lineRule="exact"/>
        <w:rPr>
          <w:sz w:val="20"/>
          <w:szCs w:val="20"/>
          <w:color w:val="auto"/>
        </w:rPr>
      </w:pPr>
    </w:p>
    <w:p>
      <w:pPr>
        <w:ind w:left="460" w:right="44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[to be completed]</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-13970</wp:posOffset>
            </wp:positionV>
            <wp:extent cx="1923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0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 Signature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-13970</wp:posOffset>
            </wp:positionV>
            <wp:extent cx="2146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8"/>
          <w:szCs w:val="18"/>
          <w:color w:val="auto"/>
        </w:rPr>
        <w:t>Theodore D. Zucconi, President</w:t>
      </w:r>
    </w:p>
    <w:p>
      <w:pPr>
        <w:sectPr>
          <w:pgSz w:w="11900" w:h="16838" w:orient="portrait"/>
          <w:cols w:equalWidth="0" w:num="1">
            <w:col w:w="11420"/>
          </w:cols>
          <w:pgMar w:left="240" w:top="27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231"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11, 2008 at the 2008 Annual Meeting of Stockholders of Pro-Pharmaceuticals, Inc. to be held on May 21, 2008 or at any adjournment thereof.</w:t>
      </w:r>
    </w:p>
    <w:p>
      <w:pPr>
        <w:spacing w:after="0" w:line="200" w:lineRule="exact"/>
        <w:rPr>
          <w:sz w:val="20"/>
          <w:szCs w:val="20"/>
          <w:color w:val="auto"/>
        </w:rPr>
      </w:pPr>
    </w:p>
    <w:p>
      <w:pPr>
        <w:spacing w:after="0" w:line="279"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21" w:name="page22"/>
    <w:bookmarkEnd w:id="21"/>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PRO-PHARMACEUTICALS, INC.</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340"/>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PROXY</w:t>
      </w:r>
    </w:p>
    <w:p>
      <w:pPr>
        <w:spacing w:after="0" w:line="92"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THIS PROXY WILL BE VOTED AS DIRECTED. IF NO DIRECTION IS INDICATED FOR PROPOSALS 1 &amp; 2, EACH WILL BE VOTED “FOR”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220" w:right="140" w:hanging="303"/>
        <w:spacing w:after="0" w:line="355" w:lineRule="exact"/>
        <w:rPr>
          <w:sz w:val="20"/>
          <w:szCs w:val="20"/>
          <w:color w:val="auto"/>
        </w:rPr>
      </w:pPr>
      <w:r>
        <w:rPr>
          <w:rFonts w:ascii="Arial" w:cs="Arial" w:eastAsia="Arial" w:hAnsi="Arial"/>
          <w:sz w:val="14"/>
          <w:szCs w:val="14"/>
          <w:color w:val="auto"/>
        </w:rPr>
        <w:t>your votes like</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this</w:t>
      </w:r>
    </w:p>
    <w:p>
      <w:pPr>
        <w:spacing w:after="0" w:line="256" w:lineRule="exact"/>
        <w:rPr>
          <w:sz w:val="20"/>
          <w:szCs w:val="20"/>
          <w:color w:val="auto"/>
        </w:rPr>
      </w:pPr>
    </w:p>
    <w:p>
      <w:pPr>
        <w:sectPr>
          <w:pgSz w:w="11900" w:h="16838" w:orient="portrait"/>
          <w:cols w:equalWidth="0" w:num="2">
            <w:col w:w="9080" w:space="720"/>
            <w:col w:w="162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WITHHOLD</w:t>
            </w:r>
          </w:p>
        </w:tc>
        <w:tc>
          <w:tcPr>
            <w:tcW w:w="0" w:type="dxa"/>
            <w:vAlign w:val="bottom"/>
          </w:tcPr>
          <w:p>
            <w:pPr>
              <w:spacing w:after="0"/>
              <w:rPr>
                <w:sz w:val="1"/>
                <w:szCs w:val="1"/>
                <w:color w:val="auto"/>
              </w:rPr>
            </w:pPr>
          </w:p>
        </w:tc>
      </w:tr>
      <w:tr>
        <w:trPr>
          <w:trHeight w:val="172"/>
        </w:trPr>
        <w:tc>
          <w:tcPr>
            <w:tcW w:w="1880" w:type="dxa"/>
            <w:vAlign w:val="bottom"/>
            <w:vMerge w:val="restart"/>
          </w:tcPr>
          <w:p>
            <w:pPr>
              <w:spacing w:after="0"/>
              <w:rPr>
                <w:sz w:val="20"/>
                <w:szCs w:val="20"/>
                <w:color w:val="auto"/>
              </w:rPr>
            </w:pPr>
            <w:r>
              <w:rPr>
                <w:rFonts w:ascii="Arial" w:cs="Arial" w:eastAsia="Arial" w:hAnsi="Arial"/>
                <w:sz w:val="14"/>
                <w:szCs w:val="14"/>
                <w:color w:val="auto"/>
                <w:w w:val="95"/>
              </w:rPr>
              <w:t>1. ELECTION OF DIRECTORS</w:t>
            </w: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AUTHORITY</w:t>
            </w:r>
          </w:p>
        </w:tc>
        <w:tc>
          <w:tcPr>
            <w:tcW w:w="0" w:type="dxa"/>
            <w:vAlign w:val="bottom"/>
          </w:tcPr>
          <w:p>
            <w:pPr>
              <w:spacing w:after="0"/>
              <w:rPr>
                <w:sz w:val="1"/>
                <w:szCs w:val="1"/>
                <w:color w:val="auto"/>
              </w:rPr>
            </w:pPr>
          </w:p>
        </w:tc>
      </w:tr>
      <w:tr>
        <w:trPr>
          <w:trHeight w:val="28"/>
        </w:trPr>
        <w:tc>
          <w:tcPr>
            <w:tcW w:w="188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The Board of Directors recommends a vote “FOR” the listed</w:t>
            </w:r>
          </w:p>
        </w:tc>
        <w:tc>
          <w:tcPr>
            <w:tcW w:w="11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b w:val="1"/>
                <w:bCs w:val="1"/>
                <w:color w:val="auto"/>
              </w:rPr>
              <w:t>nominees.</w:t>
            </w:r>
          </w:p>
        </w:tc>
        <w:tc>
          <w:tcPr>
            <w:tcW w:w="18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To withhold authority to vote for any individual nominee, strike</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a line through that nominee’s name below:</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Mildred S. Christian, Ph.D.</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Dale H. Conaway, D.V.M.</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7"/>
              </w:rPr>
              <w:t>Henry J. Esber,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7"/>
              </w:rPr>
              <w:t>James T. Gourzis, M.D., Ph.D.</w:t>
            </w:r>
          </w:p>
        </w:tc>
        <w:tc>
          <w:tcPr>
            <w:tcW w:w="1800" w:type="dxa"/>
            <w:vAlign w:val="bottom"/>
          </w:tcPr>
          <w:p>
            <w:pPr>
              <w:ind w:left="100"/>
              <w:spacing w:after="0" w:line="149" w:lineRule="exact"/>
              <w:rPr>
                <w:sz w:val="20"/>
                <w:szCs w:val="20"/>
                <w:color w:val="auto"/>
              </w:rPr>
            </w:pPr>
            <w:r>
              <w:rPr>
                <w:rFonts w:ascii="Arial" w:cs="Arial" w:eastAsia="Arial" w:hAnsi="Arial"/>
                <w:sz w:val="14"/>
                <w:szCs w:val="14"/>
                <w:color w:val="auto"/>
              </w:rPr>
              <w:t>S. Colin Neill</w:t>
            </w: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David Platt,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Steven Prelack</w:t>
            </w:r>
          </w:p>
        </w:tc>
        <w:tc>
          <w:tcPr>
            <w:tcW w:w="1800" w:type="dxa"/>
            <w:vAlign w:val="bottom"/>
          </w:tcPr>
          <w:p>
            <w:pPr>
              <w:ind w:left="80"/>
              <w:spacing w:after="0"/>
              <w:rPr>
                <w:sz w:val="20"/>
                <w:szCs w:val="20"/>
                <w:color w:val="auto"/>
              </w:rPr>
            </w:pPr>
            <w:r>
              <w:rPr>
                <w:rFonts w:ascii="Arial" w:cs="Arial" w:eastAsia="Arial" w:hAnsi="Arial"/>
                <w:sz w:val="14"/>
                <w:szCs w:val="14"/>
                <w:color w:val="auto"/>
              </w:rPr>
              <w:t>Jerald K. Rome</w:t>
            </w:r>
          </w:p>
        </w:tc>
        <w:tc>
          <w:tcPr>
            <w:tcW w:w="1980" w:type="dxa"/>
            <w:vAlign w:val="bottom"/>
            <w:gridSpan w:val="2"/>
          </w:tcPr>
          <w:p>
            <w:pPr>
              <w:ind w:left="40"/>
              <w:spacing w:after="0"/>
              <w:rPr>
                <w:sz w:val="20"/>
                <w:szCs w:val="20"/>
                <w:color w:val="auto"/>
              </w:rPr>
            </w:pPr>
            <w:r>
              <w:rPr>
                <w:rFonts w:ascii="Arial" w:cs="Arial" w:eastAsia="Arial" w:hAnsi="Arial"/>
                <w:sz w:val="14"/>
                <w:szCs w:val="14"/>
                <w:color w:val="auto"/>
              </w:rPr>
              <w:t>Theodore Zucconi,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25" w:hanging="225"/>
        <w:spacing w:after="0" w:line="270" w:lineRule="auto"/>
        <w:tabs>
          <w:tab w:leader="none" w:pos="137"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APPROVAL OF AN AMENDMENT TO THE ARTICLES OF INCORPORATION OF PRO-PHARMACEUTICALS INCREASING THE NUMBER OF AUTHORIZED SHARES OF COMMON STOCK FROM 100,000,000 TO 200,000,000. </w:t>
      </w:r>
      <w:r>
        <w:rPr>
          <w:rFonts w:ascii="Arial" w:cs="Arial" w:eastAsia="Arial" w:hAnsi="Arial"/>
          <w:sz w:val="12"/>
          <w:szCs w:val="12"/>
          <w:b w:val="1"/>
          <w:bCs w:val="1"/>
          <w:color w:val="auto"/>
        </w:rPr>
        <w:t>The Board of Directors recommends a</w:t>
      </w:r>
      <w:r>
        <w:rPr>
          <w:rFonts w:ascii="Arial" w:cs="Arial" w:eastAsia="Arial" w:hAnsi="Arial"/>
          <w:sz w:val="12"/>
          <w:szCs w:val="12"/>
          <w:color w:val="auto"/>
        </w:rPr>
        <w:t xml:space="preserve"> </w:t>
      </w:r>
      <w:r>
        <w:rPr>
          <w:rFonts w:ascii="Arial" w:cs="Arial" w:eastAsia="Arial" w:hAnsi="Arial"/>
          <w:sz w:val="12"/>
          <w:szCs w:val="12"/>
          <w:b w:val="1"/>
          <w:bCs w:val="1"/>
          <w:color w:val="auto"/>
        </w:rPr>
        <w:t>vote “FOR” this proposal.</w:t>
      </w:r>
    </w:p>
    <w:p>
      <w:pPr>
        <w:spacing w:after="0" w:line="41" w:lineRule="exact"/>
        <w:rPr>
          <w:sz w:val="20"/>
          <w:szCs w:val="20"/>
          <w:color w:val="auto"/>
        </w:rPr>
      </w:pPr>
    </w:p>
    <w:p>
      <w:pPr>
        <w:ind w:left="5" w:right="20"/>
        <w:spacing w:after="0" w:line="318" w:lineRule="auto"/>
        <w:rPr>
          <w:sz w:val="20"/>
          <w:szCs w:val="20"/>
          <w:color w:val="auto"/>
        </w:rPr>
      </w:pPr>
      <w:r>
        <w:rPr>
          <w:rFonts w:ascii="Arial" w:cs="Arial" w:eastAsia="Arial" w:hAnsi="Arial"/>
          <w:sz w:val="12"/>
          <w:szCs w:val="12"/>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1152" w:lineRule="exact"/>
        <w:rPr>
          <w:sz w:val="20"/>
          <w:szCs w:val="20"/>
          <w:color w:val="auto"/>
        </w:rPr>
      </w:pPr>
    </w:p>
    <w:p>
      <w:pPr>
        <w:sectPr>
          <w:pgSz w:w="11900" w:h="16838" w:orient="portrait"/>
          <w:cols w:equalWidth="0" w:num="3">
            <w:col w:w="5660" w:space="115"/>
            <w:col w:w="3385" w:space="300"/>
            <w:col w:w="1960"/>
          </w:cols>
          <w:pgMar w:left="240" w:top="1440" w:right="239" w:bottom="1440" w:gutter="0" w:footer="0" w:header="0"/>
          <w:type w:val="continuous"/>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40" w:type="dxa"/>
            <w:vAlign w:val="bottom"/>
            <w:gridSpan w:val="3"/>
          </w:tcPr>
          <w:p>
            <w:pPr>
              <w:jc w:val="center"/>
              <w:ind w:left="2772"/>
              <w:spacing w:after="0"/>
              <w:rPr>
                <w:sz w:val="20"/>
                <w:szCs w:val="20"/>
                <w:color w:val="auto"/>
              </w:rPr>
            </w:pPr>
            <w:r>
              <w:rPr>
                <w:rFonts w:ascii="Arial" w:cs="Arial" w:eastAsia="Arial" w:hAnsi="Arial"/>
                <w:sz w:val="18"/>
                <w:szCs w:val="18"/>
                <w:b w:val="1"/>
                <w:bCs w:val="1"/>
                <w:color w:val="auto"/>
                <w:w w:val="99"/>
              </w:rPr>
              <w:t>COMPANY ID:</w:t>
            </w:r>
          </w:p>
        </w:tc>
        <w:tc>
          <w:tcPr>
            <w:tcW w:w="20" w:type="dxa"/>
            <w:vAlign w:val="bottom"/>
          </w:tcPr>
          <w:p>
            <w:pPr>
              <w:spacing w:after="0"/>
              <w:rPr>
                <w:sz w:val="19"/>
                <w:szCs w:val="19"/>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PROXY NUMBER:</w:t>
            </w:r>
          </w:p>
        </w:tc>
        <w:tc>
          <w:tcPr>
            <w:tcW w:w="20" w:type="dxa"/>
            <w:vAlign w:val="bottom"/>
          </w:tcPr>
          <w:p>
            <w:pPr>
              <w:spacing w:after="0"/>
              <w:rPr>
                <w:sz w:val="24"/>
                <w:szCs w:val="24"/>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ACCOUNT NUMBER:</w:t>
            </w:r>
          </w:p>
        </w:tc>
        <w:tc>
          <w:tcPr>
            <w:tcW w:w="20" w:type="dxa"/>
            <w:vAlign w:val="bottom"/>
          </w:tcPr>
          <w:p>
            <w:pPr>
              <w:spacing w:after="0"/>
              <w:rPr>
                <w:sz w:val="24"/>
                <w:szCs w:val="24"/>
                <w:color w:val="auto"/>
              </w:rPr>
            </w:pPr>
          </w:p>
        </w:tc>
      </w:tr>
      <w:tr>
        <w:trPr>
          <w:trHeight w:val="515"/>
        </w:trPr>
        <w:tc>
          <w:tcPr>
            <w:tcW w:w="64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2008</w:t>
            </w:r>
          </w:p>
        </w:tc>
        <w:tc>
          <w:tcPr>
            <w:tcW w:w="30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0" w:lineRule="exact"/>
        <w:rPr>
          <w:sz w:val="20"/>
          <w:szCs w:val="20"/>
          <w:color w:val="auto"/>
        </w:rPr>
      </w:pPr>
    </w:p>
    <w:p>
      <w:pPr>
        <w:jc w:val="both"/>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emdash "/>
      <w:numFmt w:val="bullet"/>
      <w:start w:val="1"/>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1)"/>
      <w:numFmt w:val="lowerRoman"/>
      <w:start w:val="5"/>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4"/>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2019-12-15T03:40:27Z</dcterms:created>
  <dcterms:modified xsi:type="dcterms:W3CDTF">2019-12-15T03:40:27Z</dcterms:modified>
</cp:coreProperties>
</file>