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254000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7020" w:type="dxa"/>
            <w:vAlign w:val="bottom"/>
          </w:tcPr>
          <w:p>
            <w:pPr>
              <w:jc w:val="center"/>
              <w:ind w:right="2600"/>
              <w:spacing w:after="0"/>
              <w:rPr>
                <w:sz w:val="20"/>
                <w:szCs w:val="20"/>
                <w:color w:val="auto"/>
              </w:rPr>
            </w:pPr>
            <w:r>
              <w:rPr>
                <w:rFonts w:ascii="Arial" w:cs="Arial" w:eastAsia="Arial" w:hAnsi="Arial"/>
                <w:sz w:val="18"/>
                <w:szCs w:val="18"/>
                <w:b w:val="1"/>
                <w:bCs w:val="1"/>
                <w:color w:val="auto"/>
                <w:w w:val="90"/>
              </w:rPr>
              <w:t>Nevada</w:t>
            </w:r>
          </w:p>
        </w:tc>
        <w:tc>
          <w:tcPr>
            <w:tcW w:w="1480" w:type="dxa"/>
            <w:vAlign w:val="bottom"/>
          </w:tcPr>
          <w:p>
            <w:pPr>
              <w:jc w:val="right"/>
              <w:ind w:right="61"/>
              <w:spacing w:after="0"/>
              <w:rPr>
                <w:sz w:val="20"/>
                <w:szCs w:val="20"/>
                <w:color w:val="auto"/>
              </w:rPr>
            </w:pPr>
            <w:r>
              <w:rPr>
                <w:rFonts w:ascii="Arial" w:cs="Arial" w:eastAsia="Arial" w:hAnsi="Arial"/>
                <w:sz w:val="18"/>
                <w:szCs w:val="18"/>
                <w:b w:val="1"/>
                <w:bCs w:val="1"/>
                <w:color w:val="auto"/>
              </w:rPr>
              <w:t>04-3562325</w:t>
            </w:r>
          </w:p>
        </w:tc>
      </w:tr>
      <w:tr>
        <w:trPr>
          <w:trHeight w:val="149"/>
        </w:trPr>
        <w:tc>
          <w:tcPr>
            <w:tcW w:w="7020" w:type="dxa"/>
            <w:vAlign w:val="bottom"/>
          </w:tcPr>
          <w:p>
            <w:pPr>
              <w:jc w:val="center"/>
              <w:ind w:right="2580"/>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8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020" w:type="dxa"/>
            <w:vAlign w:val="bottom"/>
          </w:tcPr>
          <w:p>
            <w:pPr>
              <w:jc w:val="center"/>
              <w:ind w:right="2600"/>
              <w:spacing w:after="0"/>
              <w:rPr>
                <w:sz w:val="20"/>
                <w:szCs w:val="20"/>
                <w:color w:val="auto"/>
              </w:rPr>
            </w:pPr>
            <w:r>
              <w:rPr>
                <w:rFonts w:ascii="Arial" w:cs="Arial" w:eastAsia="Arial" w:hAnsi="Arial"/>
                <w:sz w:val="14"/>
                <w:szCs w:val="14"/>
                <w:b w:val="1"/>
                <w:bCs w:val="1"/>
                <w:color w:val="auto"/>
                <w:w w:val="94"/>
              </w:rPr>
              <w:t>of incorporation)</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7020" w:type="dxa"/>
            <w:vAlign w:val="bottom"/>
          </w:tcPr>
          <w:p>
            <w:pPr>
              <w:jc w:val="center"/>
              <w:ind w:right="2600"/>
              <w:spacing w:after="0"/>
              <w:rPr>
                <w:sz w:val="20"/>
                <w:szCs w:val="20"/>
                <w:color w:val="auto"/>
              </w:rPr>
            </w:pPr>
            <w:r>
              <w:rPr>
                <w:rFonts w:ascii="Arial" w:cs="Arial" w:eastAsia="Arial" w:hAnsi="Arial"/>
                <w:sz w:val="18"/>
                <w:szCs w:val="18"/>
                <w:b w:val="1"/>
                <w:bCs w:val="1"/>
                <w:color w:val="auto"/>
                <w:w w:val="90"/>
              </w:rPr>
              <w:t>4960 Peachtree Industrial Blvd., Suite 240, Norcross, GA</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30071</w:t>
            </w:r>
          </w:p>
        </w:tc>
      </w:tr>
      <w:tr>
        <w:trPr>
          <w:trHeight w:val="186"/>
        </w:trPr>
        <w:tc>
          <w:tcPr>
            <w:tcW w:w="7020" w:type="dxa"/>
            <w:vAlign w:val="bottom"/>
          </w:tcPr>
          <w:p>
            <w:pPr>
              <w:jc w:val="center"/>
              <w:ind w:right="26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7020" w:type="dxa"/>
            <w:vAlign w:val="bottom"/>
          </w:tcPr>
          <w:p>
            <w:pPr>
              <w:jc w:val="right"/>
              <w:ind w:right="1380"/>
              <w:spacing w:after="0"/>
              <w:rPr>
                <w:sz w:val="20"/>
                <w:szCs w:val="20"/>
                <w:color w:val="auto"/>
              </w:rPr>
            </w:pPr>
            <w:r>
              <w:rPr>
                <w:rFonts w:ascii="Arial" w:cs="Arial" w:eastAsia="Arial" w:hAnsi="Arial"/>
                <w:sz w:val="18"/>
                <w:szCs w:val="18"/>
                <w:b w:val="1"/>
                <w:bCs w:val="1"/>
                <w:color w:val="auto"/>
              </w:rPr>
              <w:t>(678) 620-3186</w:t>
            </w:r>
          </w:p>
        </w:tc>
        <w:tc>
          <w:tcPr>
            <w:tcW w:w="1480" w:type="dxa"/>
            <w:vAlign w:val="bottom"/>
          </w:tcPr>
          <w:p>
            <w:pPr>
              <w:spacing w:after="0"/>
              <w:rPr>
                <w:sz w:val="24"/>
                <w:szCs w:val="24"/>
                <w:color w:val="auto"/>
              </w:rPr>
            </w:pPr>
          </w:p>
        </w:tc>
      </w:tr>
      <w:tr>
        <w:trPr>
          <w:trHeight w:val="186"/>
        </w:trPr>
        <w:tc>
          <w:tcPr>
            <w:tcW w:w="7020" w:type="dxa"/>
            <w:vAlign w:val="bottom"/>
          </w:tcPr>
          <w:p>
            <w:pPr>
              <w:jc w:val="center"/>
              <w:ind w:left="290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4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524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20" w:type="dxa"/>
            <w:vAlign w:val="bottom"/>
          </w:tcPr>
          <w:p>
            <w:pPr>
              <w:ind w:left="14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3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May 8, 2017 was 34,670,684.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 ENDED MARCH 31, 2017</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520" w:type="dxa"/>
            <w:vAlign w:val="bottom"/>
            <w:gridSpan w:val="13"/>
            <w:vMerge w:val="restart"/>
          </w:tcPr>
          <w:p>
            <w:pPr>
              <w:jc w:val="center"/>
              <w:ind w:right="2680"/>
              <w:spacing w:after="0"/>
              <w:rPr>
                <w:sz w:val="20"/>
                <w:szCs w:val="20"/>
                <w:color w:val="auto"/>
              </w:rPr>
            </w:pPr>
            <w:r>
              <w:rPr>
                <w:rFonts w:ascii="Arial" w:cs="Arial" w:eastAsia="Arial" w:hAnsi="Arial"/>
                <w:sz w:val="18"/>
                <w:szCs w:val="18"/>
                <w:b w:val="1"/>
                <w:bCs w:val="1"/>
                <w:color w:val="0000EE"/>
              </w:rPr>
              <w:t>PART I — FINANCIAL INFORMATION</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520" w:type="dxa"/>
            <w:vAlign w:val="bottom"/>
            <w:gridSpan w:val="13"/>
            <w:vMerge w:val="continue"/>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860" w:type="dxa"/>
            <w:vAlign w:val="bottom"/>
            <w:gridSpan w:val="19"/>
          </w:tcPr>
          <w:p>
            <w:pPr>
              <w:spacing w:after="0"/>
              <w:rPr>
                <w:sz w:val="20"/>
                <w:szCs w:val="20"/>
                <w:color w:val="auto"/>
              </w:rPr>
            </w:pPr>
            <w:r>
              <w:rPr>
                <w:rFonts w:ascii="Arial" w:cs="Arial" w:eastAsia="Arial" w:hAnsi="Arial"/>
                <w:sz w:val="18"/>
                <w:szCs w:val="18"/>
                <w:color w:val="0000EE"/>
              </w:rPr>
              <w:t>Unaudited Condensed Consolidated Financial Statements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2017 and December 31, 2016 (unaudited)</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2017 and 2016 (unaudited)</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Three Months Ended March 31, 2017 and 2016 (unaudited)</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Unaudited Condensed Consolidated Financial Statements</w:t>
              </w:r>
            </w:hyperlink>
          </w:p>
        </w:tc>
        <w:tc>
          <w:tcPr>
            <w:tcW w:w="3780" w:type="dxa"/>
            <w:vAlign w:val="bottom"/>
            <w:tcBorders>
              <w:top w:val="single" w:sz="8" w:color="0000EE"/>
            </w:tcBorders>
            <w:gridSpan w:val="6"/>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860" w:type="dxa"/>
            <w:vAlign w:val="bottom"/>
            <w:gridSpan w:val="19"/>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5"/>
          </w:tcPr>
          <w:p>
            <w:pPr>
              <w:spacing w:after="0"/>
              <w:rPr>
                <w:sz w:val="24"/>
                <w:szCs w:val="24"/>
                <w:color w:val="auto"/>
              </w:rPr>
            </w:pPr>
          </w:p>
        </w:tc>
        <w:tc>
          <w:tcPr>
            <w:tcW w:w="340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86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 — OTHER INFORMATION</w:t>
              </w:r>
            </w:hyperlink>
          </w:p>
        </w:tc>
        <w:tc>
          <w:tcPr>
            <w:tcW w:w="362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860" w:type="dxa"/>
            <w:vAlign w:val="bottom"/>
            <w:gridSpan w:val="1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520" w:type="dxa"/>
            <w:vAlign w:val="bottom"/>
            <w:gridSpan w:val="1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Unregistered Sales of Equity Securities and Use of Proceeds</w:t>
              </w:r>
            </w:hyperlink>
          </w:p>
        </w:tc>
        <w:tc>
          <w:tcPr>
            <w:tcW w:w="550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Defaults Upon Senior Securities</w:t>
              </w:r>
            </w:hyperlink>
          </w:p>
        </w:tc>
        <w:tc>
          <w:tcPr>
            <w:tcW w:w="752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Mine Safety Disclosures</w:t>
              </w:r>
            </w:hyperlink>
          </w:p>
        </w:tc>
        <w:tc>
          <w:tcPr>
            <w:tcW w:w="808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860" w:type="dxa"/>
            <w:vAlign w:val="bottom"/>
            <w:gridSpan w:val="1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854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rFonts w:ascii="Arial" w:cs="Arial" w:eastAsia="Arial" w:hAnsi="Arial"/>
                <w:sz w:val="18"/>
                <w:szCs w:val="18"/>
                <w:color w:val="0000EE"/>
                <w:w w:val="93"/>
              </w:rPr>
            </w:pPr>
            <w:hyperlink w:anchor="page21">
              <w:r>
                <w:rPr>
                  <w:rFonts w:ascii="Arial" w:cs="Arial" w:eastAsia="Arial" w:hAnsi="Arial"/>
                  <w:sz w:val="18"/>
                  <w:szCs w:val="18"/>
                  <w:color w:val="0000EE"/>
                  <w:w w:val="93"/>
                </w:rPr>
                <w:t>SIGNATURES</w:t>
              </w:r>
            </w:hyperlink>
          </w:p>
        </w:tc>
        <w:tc>
          <w:tcPr>
            <w:tcW w:w="6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85"/>
        </w:trPr>
        <w:tc>
          <w:tcPr>
            <w:tcW w:w="1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gridSpan w:val="12"/>
          </w:tcPr>
          <w:p>
            <w:pPr>
              <w:ind w:left="4540"/>
              <w:spacing w:after="0"/>
              <w:rPr>
                <w:sz w:val="20"/>
                <w:szCs w:val="20"/>
                <w:color w:val="auto"/>
              </w:rPr>
            </w:pPr>
            <w:r>
              <w:rPr>
                <w:rFonts w:ascii="Arial" w:cs="Arial" w:eastAsia="Arial" w:hAnsi="Arial"/>
                <w:sz w:val="18"/>
                <w:szCs w:val="18"/>
                <w:color w:val="auto"/>
              </w:rPr>
              <w:t>2</w:t>
            </w: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2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4"/>
          </w:tcPr>
          <w:p>
            <w:pPr>
              <w:jc w:val="right"/>
              <w:ind w:right="531"/>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13,644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353</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13,997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26,400</w:t>
            </w:r>
          </w:p>
        </w:tc>
        <w:tc>
          <w:tcPr>
            <w:tcW w:w="0" w:type="dxa"/>
            <w:vAlign w:val="bottom"/>
          </w:tcPr>
          <w:p>
            <w:pPr>
              <w:spacing w:after="0"/>
              <w:rPr>
                <w:sz w:val="1"/>
                <w:szCs w:val="1"/>
                <w:color w:val="auto"/>
              </w:rPr>
            </w:pP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13,997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15,795</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1,346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3,016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Accrued dividends payable</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4,362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4,362</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9200" w:type="dxa"/>
            <w:vAlign w:val="bottom"/>
            <w:gridSpan w:val="2"/>
          </w:tcPr>
          <w:p>
            <w:pPr>
              <w:spacing w:after="0"/>
              <w:rPr>
                <w:sz w:val="20"/>
                <w:szCs w:val="20"/>
                <w:color w:val="auto"/>
              </w:rPr>
            </w:pPr>
            <w:r>
              <w:rPr>
                <w:rFonts w:ascii="Arial" w:cs="Arial" w:eastAsia="Arial" w:hAnsi="Arial"/>
                <w:sz w:val="18"/>
                <w:szCs w:val="18"/>
                <w:color w:val="auto"/>
                <w:w w:val="99"/>
              </w:rPr>
              <w:t>Series C super dividend convertible preferred stock; 1,000 shares authorized, 176 shares issued and outstanding at</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w w:val="98"/>
              </w:rPr>
              <w:t>March 31, 2017 and December 31, 2016, redemption value: $6,408,000, liquidation value: $1,760,000 at March 31,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0" w:type="dxa"/>
            <w:vAlign w:val="bottom"/>
            <w:gridSpan w:val="2"/>
          </w:tcPr>
          <w:p>
            <w:pPr>
              <w:ind w:left="18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1,723</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tcPr>
          <w:p>
            <w:pPr>
              <w:ind w:left="700"/>
              <w:spacing w:after="0" w:line="201" w:lineRule="exact"/>
              <w:rPr>
                <w:sz w:val="20"/>
                <w:szCs w:val="20"/>
                <w:color w:val="auto"/>
              </w:rPr>
            </w:pPr>
            <w:r>
              <w:rPr>
                <w:rFonts w:ascii="Arial" w:cs="Arial" w:eastAsia="Arial" w:hAnsi="Arial"/>
                <w:sz w:val="18"/>
                <w:szCs w:val="18"/>
                <w:color w:val="auto"/>
                <w:w w:val="95"/>
              </w:rPr>
              <w:t>Undesignated stock, $0.01 par value; 20,000,000 shares authorized, 20,000,000 and 14,001,000 designated at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880"/>
              <w:spacing w:after="0"/>
              <w:rPr>
                <w:sz w:val="20"/>
                <w:szCs w:val="20"/>
                <w:color w:val="auto"/>
              </w:rPr>
            </w:pPr>
            <w:r>
              <w:rPr>
                <w:rFonts w:ascii="Arial" w:cs="Arial" w:eastAsia="Arial" w:hAnsi="Arial"/>
                <w:sz w:val="18"/>
                <w:szCs w:val="18"/>
                <w:color w:val="auto"/>
              </w:rPr>
              <w:t>March 31, 2017 and December 31, 2016, respectively</w:t>
            </w:r>
          </w:p>
        </w:tc>
        <w:tc>
          <w:tcPr>
            <w:tcW w:w="100" w:type="dxa"/>
            <w:vAlign w:val="bottom"/>
          </w:tcPr>
          <w:p>
            <w:pPr>
              <w:spacing w:after="0"/>
              <w:rPr>
                <w:sz w:val="20"/>
                <w:szCs w:val="20"/>
                <w:color w:val="auto"/>
              </w:rPr>
            </w:pPr>
          </w:p>
        </w:tc>
        <w:tc>
          <w:tcPr>
            <w:tcW w:w="11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7"/>
              </w:rPr>
              <w:t>Series A 12% convertible preferred stock; 5,000,000 shares authorized, 1,377,500 issued and outstanding at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March 31, 2017 and December 31, 2016, liquidation value $1,377,500 at March 31, 2017</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557</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tcPr>
          <w:p>
            <w:pPr>
              <w:ind w:left="700"/>
              <w:spacing w:after="0" w:line="201" w:lineRule="exact"/>
              <w:rPr>
                <w:sz w:val="20"/>
                <w:szCs w:val="20"/>
                <w:color w:val="auto"/>
              </w:rPr>
            </w:pPr>
            <w:r>
              <w:rPr>
                <w:rFonts w:ascii="Arial" w:cs="Arial" w:eastAsia="Arial" w:hAnsi="Arial"/>
                <w:sz w:val="18"/>
                <w:szCs w:val="18"/>
                <w:color w:val="auto"/>
                <w:w w:val="97"/>
              </w:rPr>
              <w:t>Series B-1 12% convertible preferred stock; 900,000 shares authorized, issued and outstanding at March 31,</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880"/>
              <w:spacing w:after="0"/>
              <w:rPr>
                <w:sz w:val="20"/>
                <w:szCs w:val="20"/>
                <w:color w:val="auto"/>
              </w:rPr>
            </w:pPr>
            <w:r>
              <w:rPr>
                <w:rFonts w:ascii="Arial" w:cs="Arial" w:eastAsia="Arial" w:hAnsi="Arial"/>
                <w:sz w:val="18"/>
                <w:szCs w:val="18"/>
                <w:color w:val="auto"/>
              </w:rPr>
              <w:t>2017 and December 31, 2016, liquidation value $1,800,000 at March 31, 2017</w:t>
            </w:r>
          </w:p>
        </w:tc>
        <w:tc>
          <w:tcPr>
            <w:tcW w:w="10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1,761</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6"/>
              </w:rPr>
              <w:t>Series B-2 12% convertible preferred stock; 2,100,000 shares authorized, issued and outstanding at March 31,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2017 and December 31, 2016, liquidation value $4,200,000 at March 31, 2017</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3,697</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tcPr>
          <w:p>
            <w:pPr>
              <w:ind w:left="700"/>
              <w:spacing w:after="0" w:line="201" w:lineRule="exact"/>
              <w:rPr>
                <w:sz w:val="20"/>
                <w:szCs w:val="20"/>
                <w:color w:val="auto"/>
              </w:rPr>
            </w:pPr>
            <w:r>
              <w:rPr>
                <w:rFonts w:ascii="Arial" w:cs="Arial" w:eastAsia="Arial" w:hAnsi="Arial"/>
                <w:sz w:val="18"/>
                <w:szCs w:val="18"/>
                <w:color w:val="auto"/>
                <w:w w:val="97"/>
              </w:rPr>
              <w:t>Series B-3 8% convertible preferred stock; 6,000,000 shares authorized, 2,508,000 issued and outstanding at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880"/>
              <w:spacing w:after="0"/>
              <w:rPr>
                <w:sz w:val="20"/>
                <w:szCs w:val="20"/>
                <w:color w:val="auto"/>
              </w:rPr>
            </w:pPr>
            <w:r>
              <w:rPr>
                <w:rFonts w:ascii="Arial" w:cs="Arial" w:eastAsia="Arial" w:hAnsi="Arial"/>
                <w:sz w:val="18"/>
                <w:szCs w:val="18"/>
                <w:color w:val="auto"/>
              </w:rPr>
              <w:t>March 31, 2017 and December 31, 2016, liquidation value $2,508,000 at March 31, 2017</w:t>
            </w:r>
          </w:p>
        </w:tc>
        <w:tc>
          <w:tcPr>
            <w:tcW w:w="10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1,224</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7"/>
              </w:rPr>
              <w:t>Common stock, $0.001 par value; 50,000,000 shares authorized at March 31, 2017 and December 31, 2016,</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5"/>
              </w:rPr>
              <w:t>34,670,684 and 32,912,942 issued and outstanding at March 31, 2017 and December 31, 2016, respectively</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169,548</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166,721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Retained deficit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(168,910)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(163,701)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10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7,912</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13,997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48"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jc w:val="right"/>
              <w:ind w:right="31"/>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3,772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4,377</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1,174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2,437</w:t>
            </w:r>
          </w:p>
        </w:tc>
      </w:tr>
      <w:tr>
        <w:trPr>
          <w:trHeight w:val="230"/>
        </w:trPr>
        <w:tc>
          <w:tcPr>
            <w:tcW w:w="20" w:type="dxa"/>
            <w:vAlign w:val="bottom"/>
          </w:tcPr>
          <w:p>
            <w:pPr>
              <w:spacing w:after="0"/>
              <w:rPr>
                <w:sz w:val="20"/>
                <w:szCs w:val="20"/>
                <w:color w:val="auto"/>
              </w:rPr>
            </w:pPr>
          </w:p>
        </w:tc>
        <w:tc>
          <w:tcPr>
            <w:tcW w:w="68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4,946</w:t>
            </w:r>
          </w:p>
        </w:tc>
        <w:tc>
          <w:tcPr>
            <w:tcW w:w="4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loss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(4,946)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(6,814)</w:t>
            </w: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30"/>
        </w:trPr>
        <w:tc>
          <w:tcPr>
            <w:tcW w:w="20" w:type="dxa"/>
            <w:vAlign w:val="bottom"/>
          </w:tcPr>
          <w:p>
            <w:pPr>
              <w:spacing w:after="0"/>
              <w:rPr>
                <w:sz w:val="20"/>
                <w:szCs w:val="20"/>
                <w:color w:val="auto"/>
              </w:rPr>
            </w:pPr>
          </w:p>
        </w:tc>
        <w:tc>
          <w:tcPr>
            <w:tcW w:w="6800" w:type="dxa"/>
            <w:vAlign w:val="bottom"/>
          </w:tcPr>
          <w:p>
            <w:pPr>
              <w:ind w:left="700"/>
              <w:spacing w:after="0"/>
              <w:rPr>
                <w:sz w:val="20"/>
                <w:szCs w:val="20"/>
                <w:color w:val="auto"/>
              </w:rPr>
            </w:pPr>
            <w:r>
              <w:rPr>
                <w:rFonts w:ascii="Arial" w:cs="Arial" w:eastAsia="Arial" w:hAnsi="Arial"/>
                <w:sz w:val="18"/>
                <w:szCs w:val="18"/>
                <w:color w:val="auto"/>
              </w:rPr>
              <w:t>Total other income (expense)</w:t>
            </w:r>
          </w:p>
        </w:tc>
        <w:tc>
          <w:tcPr>
            <w:tcW w:w="2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(4,937)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(6,800)</w:t>
            </w: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Preferred stock dividends</w:t>
            </w:r>
          </w:p>
        </w:tc>
        <w:tc>
          <w:tcPr>
            <w:tcW w:w="2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4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accretion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20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(5,209)</w:t>
            </w:r>
          </w:p>
        </w:tc>
        <w:tc>
          <w:tcPr>
            <w:tcW w:w="4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 basic and diluted</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(0.24)</w:t>
            </w:r>
          </w:p>
        </w:tc>
      </w:tr>
      <w:tr>
        <w:trPr>
          <w:trHeight w:val="230"/>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33,928</w:t>
            </w:r>
          </w:p>
        </w:tc>
        <w:tc>
          <w:tcPr>
            <w:tcW w:w="2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28,827</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26"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Three Months Ended</w:t>
      </w:r>
    </w:p>
    <w:p>
      <w:pPr>
        <w:jc w:val="center"/>
        <w:ind w:left="97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5"/>
          </w:tcPr>
          <w:p>
            <w:pPr>
              <w:jc w:val="right"/>
              <w:ind w:right="231"/>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(4,937)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(6,800)</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w:t>
            </w: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Issuance of common stock for services</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106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w:t>
            </w:r>
          </w:p>
        </w:tc>
      </w:tr>
      <w:tr>
        <w:trPr>
          <w:trHeight w:val="230"/>
        </w:trPr>
        <w:tc>
          <w:tcPr>
            <w:tcW w:w="20" w:type="dxa"/>
            <w:vAlign w:val="bottom"/>
          </w:tcPr>
          <w:p>
            <w:pPr>
              <w:spacing w:after="0"/>
              <w:rPr>
                <w:sz w:val="20"/>
                <w:szCs w:val="20"/>
                <w:color w:val="auto"/>
              </w:rPr>
            </w:pPr>
          </w:p>
        </w:tc>
        <w:tc>
          <w:tcPr>
            <w:tcW w:w="9780" w:type="dxa"/>
            <w:vAlign w:val="bottom"/>
          </w:tcPr>
          <w:p>
            <w:pPr>
              <w:ind w:left="142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(3,863)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(3,490)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Net proceeds from issuance of common stock and warrants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(1,718)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(3,490)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15,362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25,846</w:t>
            </w: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13,644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22,356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Payment of preferred stock dividends in common stock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339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Galectin Therapeutics Inc. (the “Company”) is a clinical stage biopharmaceutical company that is applying its leadership in galectin science and drug development to create new therapies for fibrotic disease, skin diseases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8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The unaudited condensed consolidated financial statements as reported in this Quarterly Report on Form 10-Q reflect all adjustments which are, in the opinion of management, necessary to present fairly the financial position of the Company as of March 31, 2017 and the results of its operations for the three months ended March 31, 2017 and 2016 and its cash flows for the three months ended March 31, 2017 and 2016. All adjustments made to the interim financial statements include all those of a normal and recurring nature. Amounts presented in the condensed consolidated balance sheet as of December 31, 2016 are derived from the Company’s audited consolidated financial statements as of that date, but do not include all of the information and footnotes required by accounting principles generally accepted in the United States of America for complete financial statements.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which may be expected for any other interim period or for the full year. The unaudited condensed consolidated financial statements of the Company should be read in conjunction with its Annual Report on Form 10-K for the year ended December 31, 2016.</w:t>
      </w:r>
    </w:p>
    <w:p>
      <w:pPr>
        <w:spacing w:after="0" w:line="18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The Company has operated at a loss since its inception and has had no significant revenues. The Company anticipates that losses will continue for the foreseeable future. At March 31, 2017, the Company had $13.6 million of unrestricted cash and cash equivalents available to fund future operations. The Company believes that with the cash on hand at March 31, 2017, there is sufficient cash to fund currently planned operations through December 31, 2017. The Company’s ability to fund operations after its current cash resources are exhausted depends on its ability to obtain additional financing or achieve profitable operations, as to which no assurances can be given. Accordingly, based on the forecasts and estimates underlying the Company’s current operating plan, the financial statements do not currently include any adjustments that might be necessary if the Company is unable to continue as a going concern.</w:t>
      </w:r>
    </w:p>
    <w:p>
      <w:pPr>
        <w:spacing w:after="0" w:line="16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2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Accrued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color w:val="auto"/>
                <w:w w:val="93"/>
              </w:rPr>
              <w:t>March 31,</w:t>
            </w:r>
          </w:p>
        </w:tc>
        <w:tc>
          <w:tcPr>
            <w:tcW w:w="1480" w:type="dxa"/>
            <w:vAlign w:val="bottom"/>
            <w:gridSpan w:val="4"/>
          </w:tcPr>
          <w:p>
            <w:pPr>
              <w:ind w:left="600"/>
              <w:spacing w:after="0"/>
              <w:rPr>
                <w:sz w:val="20"/>
                <w:szCs w:val="20"/>
                <w:color w:val="auto"/>
              </w:rPr>
            </w:pPr>
            <w:r>
              <w:rPr>
                <w:rFonts w:ascii="Arial" w:cs="Arial" w:eastAsia="Arial" w:hAnsi="Arial"/>
                <w:sz w:val="14"/>
                <w:szCs w:val="14"/>
                <w:color w:val="auto"/>
                <w:w w:val="97"/>
              </w:rPr>
              <w:t>December 31,</w:t>
            </w:r>
          </w:p>
        </w:tc>
      </w:tr>
      <w:tr>
        <w:trPr>
          <w:trHeight w:val="167"/>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w w:val="96"/>
              </w:rPr>
              <w:t>2017</w:t>
            </w: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w w:val="96"/>
              </w:rPr>
              <w:t>2016</w:t>
            </w:r>
          </w:p>
        </w:tc>
        <w:tc>
          <w:tcPr>
            <w:tcW w:w="60" w:type="dxa"/>
            <w:vAlign w:val="bottom"/>
          </w:tcPr>
          <w:p>
            <w:pPr>
              <w:spacing w:after="0"/>
              <w:rPr>
                <w:sz w:val="14"/>
                <w:szCs w:val="14"/>
                <w:color w:val="auto"/>
              </w:rPr>
            </w:pPr>
          </w:p>
        </w:tc>
      </w:tr>
      <w:tr>
        <w:trPr>
          <w:trHeight w:val="142"/>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0"/>
              </w:rPr>
              <w:t>(in thousands)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173</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614</w:t>
            </w:r>
          </w:p>
        </w:tc>
        <w:tc>
          <w:tcPr>
            <w:tcW w:w="6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development costs and other</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60" w:type="dxa"/>
            <w:vAlign w:val="bottom"/>
            <w:shd w:val="clear" w:color="auto" w:fill="CCEEFF"/>
          </w:tcPr>
          <w:p>
            <w:pPr>
              <w:spacing w:after="0"/>
              <w:rPr>
                <w:sz w:val="18"/>
                <w:szCs w:val="18"/>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6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Stock-Based Compensation</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Following is the stock-based compensation expense related to common stock options, common stock, restricted common stock and common stock warrants: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3780" w:type="dxa"/>
            <w:vAlign w:val="bottom"/>
            <w:tcBorders>
              <w:bottom w:val="single" w:sz="8" w:color="CCEEFF"/>
            </w:tcBorders>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320" w:type="dxa"/>
            <w:vAlign w:val="bottom"/>
            <w:vMerge w:val="restart"/>
          </w:tcPr>
          <w:p>
            <w:pPr>
              <w:jc w:val="right"/>
              <w:ind w:right="2630"/>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table summarizes the stock option activity in the Company’s equity incentive plans, including non-plan grants to Company executives, from December 31, 2016 through March 31, 2017:</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gridSpan w:val="4"/>
          </w:tcPr>
          <w:p>
            <w:pPr>
              <w:ind w:left="640"/>
              <w:spacing w:after="0"/>
              <w:rPr>
                <w:sz w:val="20"/>
                <w:szCs w:val="20"/>
                <w:color w:val="auto"/>
              </w:rPr>
            </w:pPr>
            <w:r>
              <w:rPr>
                <w:rFonts w:ascii="Arial" w:cs="Arial" w:eastAsia="Arial" w:hAnsi="Arial"/>
                <w:sz w:val="14"/>
                <w:szCs w:val="14"/>
                <w:color w:val="auto"/>
                <w:w w:val="95"/>
              </w:rPr>
              <w:t>Weighted Average</w:t>
            </w:r>
          </w:p>
        </w:tc>
      </w:tr>
      <w:tr>
        <w:trPr>
          <w:trHeight w:val="167"/>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auto"/>
              </w:rPr>
              <w:t>Shares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2016</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4,656,888</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center"/>
              <w:ind w:left="553"/>
              <w:spacing w:after="0"/>
              <w:rPr>
                <w:sz w:val="20"/>
                <w:szCs w:val="20"/>
                <w:color w:val="auto"/>
              </w:rPr>
            </w:pPr>
            <w:r>
              <w:rPr>
                <w:rFonts w:ascii="Arial" w:cs="Arial" w:eastAsia="Arial" w:hAnsi="Arial"/>
                <w:sz w:val="18"/>
                <w:szCs w:val="18"/>
                <w:color w:val="auto"/>
                <w:w w:val="91"/>
              </w:rPr>
              <w:t>4.30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left="433"/>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433"/>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Options forfeited/cancelled</w:t>
            </w: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left="433"/>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2017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4,656,888</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91"/>
              </w:rPr>
              <w:t>4.30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As of March 31, 2017, there was $864,000 of unrecognized compensation related to 1,234,797 unvested options, which is expected to be recognized over a weighted–average period of approximately 0.9 years. The weighted-average grant date fair value for options granted during the three months ended March 31, 2016 was $1.05. The Company granted 277,500 stock options during the three months ended March 31, 2016, of which 69,375 options vested upon grant with the remaining 208,125 options vesting over 3 years. Approximately $73,000 of non-cash, stock-based compensation expense was recorded during the three months ended March 31, 2016 related to the options granted during the quarter that were vested upon the grant date.</w:t>
      </w:r>
    </w:p>
    <w:p>
      <w:pPr>
        <w:spacing w:after="0" w:line="15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fair value of all other options granted is determined using the Black-Scholes option-pricing model. The following weighted average assumptions were used:</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Three</w:t>
            </w:r>
          </w:p>
        </w:tc>
        <w:tc>
          <w:tcPr>
            <w:tcW w:w="7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Three</w:t>
            </w:r>
          </w:p>
        </w:tc>
      </w:tr>
      <w:tr>
        <w:trPr>
          <w:trHeight w:val="149"/>
        </w:trPr>
        <w:tc>
          <w:tcPr>
            <w:tcW w:w="4560" w:type="dxa"/>
            <w:vAlign w:val="bottom"/>
          </w:tcPr>
          <w:p>
            <w:pPr>
              <w:spacing w:after="0"/>
              <w:rPr>
                <w:sz w:val="12"/>
                <w:szCs w:val="12"/>
                <w:color w:val="auto"/>
              </w:rPr>
            </w:pPr>
          </w:p>
        </w:tc>
        <w:tc>
          <w:tcPr>
            <w:tcW w:w="2340" w:type="dxa"/>
            <w:vAlign w:val="bottom"/>
            <w:gridSpan w:val="2"/>
          </w:tcPr>
          <w:p>
            <w:pPr>
              <w:jc w:val="center"/>
              <w:ind w:left="1428"/>
              <w:spacing w:after="0" w:line="149" w:lineRule="exact"/>
              <w:rPr>
                <w:sz w:val="20"/>
                <w:szCs w:val="20"/>
                <w:color w:val="auto"/>
              </w:rPr>
            </w:pPr>
            <w:r>
              <w:rPr>
                <w:rFonts w:ascii="Arial" w:cs="Arial" w:eastAsia="Arial" w:hAnsi="Arial"/>
                <w:sz w:val="14"/>
                <w:szCs w:val="14"/>
                <w:color w:val="auto"/>
                <w:w w:val="92"/>
              </w:rPr>
              <w:t>Months Ended</w:t>
            </w:r>
          </w:p>
        </w:tc>
        <w:tc>
          <w:tcPr>
            <w:tcW w:w="1780" w:type="dxa"/>
            <w:vAlign w:val="bottom"/>
            <w:gridSpan w:val="3"/>
          </w:tcPr>
          <w:p>
            <w:pPr>
              <w:jc w:val="center"/>
              <w:ind w:left="416"/>
              <w:spacing w:after="0" w:line="149" w:lineRule="exact"/>
              <w:rPr>
                <w:sz w:val="20"/>
                <w:szCs w:val="20"/>
                <w:color w:val="auto"/>
              </w:rPr>
            </w:pPr>
            <w:r>
              <w:rPr>
                <w:rFonts w:ascii="Arial" w:cs="Arial" w:eastAsia="Arial" w:hAnsi="Arial"/>
                <w:sz w:val="14"/>
                <w:szCs w:val="14"/>
                <w:color w:val="auto"/>
                <w:w w:val="92"/>
              </w:rPr>
              <w:t>Months Ended</w:t>
            </w:r>
          </w:p>
        </w:tc>
      </w:tr>
      <w:tr>
        <w:trPr>
          <w:trHeight w:val="167"/>
        </w:trPr>
        <w:tc>
          <w:tcPr>
            <w:tcW w:w="4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6"/>
              </w:rPr>
              <w:t>March 31,</w:t>
            </w:r>
          </w:p>
        </w:tc>
        <w:tc>
          <w:tcPr>
            <w:tcW w:w="7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March 31,</w:t>
            </w:r>
          </w:p>
        </w:tc>
      </w:tr>
      <w:tr>
        <w:trPr>
          <w:trHeight w:val="142"/>
        </w:trPr>
        <w:tc>
          <w:tcPr>
            <w:tcW w:w="456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2017</w:t>
            </w:r>
          </w:p>
        </w:tc>
        <w:tc>
          <w:tcPr>
            <w:tcW w:w="7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2016</w:t>
            </w:r>
          </w:p>
        </w:tc>
        <w:tc>
          <w:tcPr>
            <w:tcW w:w="200" w:type="dxa"/>
            <w:vAlign w:val="bottom"/>
            <w:tcBorders>
              <w:bottom w:val="single" w:sz="8" w:color="CCEEFF"/>
            </w:tcBorders>
          </w:tcPr>
          <w:p>
            <w:pPr>
              <w:spacing w:after="0"/>
              <w:rPr>
                <w:sz w:val="12"/>
                <w:szCs w:val="12"/>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5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6.0 years</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15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500" w:type="dxa"/>
            <w:vAlign w:val="bottom"/>
          </w:tcPr>
          <w:p>
            <w:pPr>
              <w:spacing w:after="0"/>
              <w:rPr>
                <w:sz w:val="20"/>
                <w:szCs w:val="20"/>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restricted stock grant activity in the Company’s equity incentive plans from December 31, 2016 through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33"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color w:val="auto"/>
              </w:rPr>
              <w:t>Shares</w:t>
            </w: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2016</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754,605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Granted</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Options forfeited/cancelled</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2017</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754,605</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On March 12, 2015, the Company granted 81,352 shares of restricted stock to non-employee directors as a component of their compensation. A total of 77,784 shares were issued to seven directors representing non-cash compensation cost of $280,000 which will be recognized on a straight-line basis from the grant date through December 15, 2016, when the restricted shares vested in full. A total of 3,568 shares were issued to two directors, who were not nominated for reelection, representing non-cash compensation cost of $12,845 that will be recognized on a straight-line basis from the grant date through May 21, 2016, when the restricted shares vested in full.</w:t>
      </w:r>
    </w:p>
    <w:p>
      <w:pPr>
        <w:spacing w:after="0" w:line="29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Common Stock 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common stock warrant activity from December 31, 2016 through March 31, 2017:</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4"/>
          </w:tcPr>
          <w:p>
            <w:pPr>
              <w:jc w:val="right"/>
              <w:ind w:right="60"/>
              <w:spacing w:after="0"/>
              <w:rPr>
                <w:sz w:val="20"/>
                <w:szCs w:val="20"/>
                <w:color w:val="auto"/>
              </w:rPr>
            </w:pPr>
            <w:r>
              <w:rPr>
                <w:rFonts w:ascii="Arial" w:cs="Arial" w:eastAsia="Arial" w:hAnsi="Arial"/>
                <w:sz w:val="14"/>
                <w:szCs w:val="14"/>
                <w:color w:val="auto"/>
              </w:rPr>
              <w:t>Weighted Average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4"/>
                <w:szCs w:val="14"/>
                <w:color w:val="auto"/>
              </w:rPr>
              <w:t>Shares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2016</w:t>
            </w:r>
          </w:p>
        </w:tc>
        <w:tc>
          <w:tcPr>
            <w:tcW w:w="26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13,488,296</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Granted</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77,881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2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Forfeited/cancelled</w:t>
            </w:r>
          </w:p>
        </w:tc>
        <w:tc>
          <w:tcPr>
            <w:tcW w:w="260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(1,317,161)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2017</w:t>
            </w:r>
          </w:p>
        </w:tc>
        <w:tc>
          <w:tcPr>
            <w:tcW w:w="260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12,249,016</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0" w:type="dxa"/>
            <w:vAlign w:val="bottom"/>
            <w:vMerge w:val="restart"/>
          </w:tcPr>
          <w:p>
            <w:pPr>
              <w:jc w:val="right"/>
              <w:ind w:right="1470"/>
              <w:spacing w:after="0"/>
              <w:rPr>
                <w:sz w:val="20"/>
                <w:szCs w:val="20"/>
                <w:color w:val="auto"/>
              </w:rPr>
            </w:pPr>
            <w:r>
              <w:rPr>
                <w:rFonts w:ascii="Arial" w:cs="Arial" w:eastAsia="Arial" w:hAnsi="Arial"/>
                <w:sz w:val="18"/>
                <w:szCs w:val="18"/>
                <w:color w:val="auto"/>
              </w:rPr>
              <w:t>7</w:t>
            </w: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Fair Value of Financial Instruments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 their carrying value due to their short-term nature. There were no level 2 or level 3 assets or liabilities at March 31, 2017 or December 31, 2016.</w:t>
      </w:r>
    </w:p>
    <w:p>
      <w:pPr>
        <w:spacing w:after="0" w:line="29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Loss Per Share</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15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March 31, 2017</w:t>
            </w:r>
          </w:p>
        </w:tc>
        <w:tc>
          <w:tcPr>
            <w:tcW w:w="1460" w:type="dxa"/>
            <w:vAlign w:val="bottom"/>
            <w:gridSpan w:val="3"/>
          </w:tcPr>
          <w:p>
            <w:pPr>
              <w:jc w:val="center"/>
              <w:ind w:left="336"/>
              <w:spacing w:after="0"/>
              <w:rPr>
                <w:sz w:val="20"/>
                <w:szCs w:val="20"/>
                <w:color w:val="auto"/>
              </w:rPr>
            </w:pPr>
            <w:r>
              <w:rPr>
                <w:rFonts w:ascii="Arial" w:cs="Arial" w:eastAsia="Arial" w:hAnsi="Arial"/>
                <w:sz w:val="14"/>
                <w:szCs w:val="14"/>
                <w:color w:val="auto"/>
                <w:w w:val="94"/>
              </w:rPr>
              <w:t>March 31, 2016</w:t>
            </w:r>
          </w:p>
        </w:tc>
      </w:tr>
      <w:tr>
        <w:trPr>
          <w:trHeight w:val="167"/>
        </w:trPr>
        <w:tc>
          <w:tcPr>
            <w:tcW w:w="5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jc w:val="right"/>
              <w:ind w:right="156"/>
              <w:spacing w:after="0"/>
              <w:rPr>
                <w:sz w:val="20"/>
                <w:szCs w:val="20"/>
                <w:color w:val="auto"/>
              </w:rPr>
            </w:pPr>
            <w:r>
              <w:rPr>
                <w:rFonts w:ascii="Arial" w:cs="Arial" w:eastAsia="Arial" w:hAnsi="Arial"/>
                <w:sz w:val="14"/>
                <w:szCs w:val="14"/>
                <w:color w:val="auto"/>
              </w:rPr>
              <w:t>(shares)</w:t>
            </w:r>
          </w:p>
        </w:tc>
        <w:tc>
          <w:tcPr>
            <w:tcW w:w="48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(shares)</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6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12,249,016</w:t>
            </w:r>
          </w:p>
        </w:tc>
        <w:tc>
          <w:tcPr>
            <w:tcW w:w="4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8,908,586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4,656,888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3,601,305</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of preferred stock</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4,312,282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2,522,936</w:t>
            </w:r>
          </w:p>
        </w:tc>
        <w:tc>
          <w:tcPr>
            <w:tcW w:w="6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21,218,186</w:t>
            </w:r>
          </w:p>
        </w:tc>
        <w:tc>
          <w:tcPr>
            <w:tcW w:w="4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15,032,827</w:t>
            </w:r>
          </w:p>
        </w:tc>
        <w:tc>
          <w:tcPr>
            <w:tcW w:w="6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At Market Issuance of Common Stock</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March 30, 2014, the Company entered into an At Market Issuance Sales Agreement (the “2014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2014 At Market Agreement. In three months ended March 31, 2017, the Company issued 1,496,797 shares of common stock for net proceeds of approximately $1,945,000 under the 2014 At Market Agreement.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Private Placement</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February 28, 2017, the Company closed a transaction with five individual investors through a private placement of common stock and warrants. In total, the Company issued 102,368 shares of common stock for proceeds of $200,000. The Company also issued, to the five investors, warrants to purchase 76,776 shares of common stock at $5.00 per share. The warrants have an expiration date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February 28, 2024. The exercise price of each warrant is adjustable in the event of a stock split or stock combination, capital reorganization, merger or similar event. The warrants were valued at approximately $101,000 as of the issuance, using the closing price of $1.86, a life of 7 years, a volatility of 97% and a risk free interest rate of 1.92%. Based upon the Company’s analysis of the criteria contained in ASC Topic 815-40, “Derivatives and Hedging — Contracts in Entity’s Own Equity” the Company has determined that warrants issued in connection with this financing transaction were not derivative liabilities and therefore, were recorded as additional paid-in capital.</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Class Actions and Derivative Lawsuits</w:t>
      </w:r>
    </w:p>
    <w:p>
      <w:pPr>
        <w:spacing w:after="0" w:line="117"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On August 1 and 25, 2014, persons claiming to be Galectin shareholders filed putative shareholder derivative complaints in the Nevada District Court, seeking recovery on behalf of the Company against certain of the Company’s directors and officers. On September 10, 2014, the Nevada District Court entered an order consolidating the two cases, relieving the defendants of any obligation to respond to the initial complaints, and providing that defendants may respond to a consolidated complaint to be filed by the plaintiffs. On January 5, 2015, the Nevada District Court granted Defendants’ motion to transfer the consolidated putative derivative litigation to the United States District Court for the Northern District of Georgia (hereinafter referred to as the “Georgia Federal Derivative Action.”). The plaintiffs filed a consolidated complaint on February 27, 2015. On April 6, 2015, the Company and defendants filed motions to dismiss the consolidated complaint. Rather than respond to those motions, the plaintiffs sought and obtained leave to file an amended complaint. Plaintiffs filed their amended complaint (the “Complaint”) on May 26, 2015. The Complaint alleges that certain of the Company’s directors and officers (the “Derivative Action Individual Defendants”) breached their fiduciary duties to the Company’s shareholders by causing or permitting the Company to make allegedly false and misleading public statements concerning the Company’s financial and business prospects. The Complaint also alleges that the Derivative Action Individual Defendants violated the federal securities laws by allegedly making false or misleading statements of material fact in the Company’s proxy filings, committed waste of corporate assets, were unjustly enriched, and that certain defendants breached their fiduciary duties through allegedly improper sales of Galectin stock. In addition, the Complaint alleges that the Derivative Action Individual Defendants and one of the Company’s shareholders aided and abetted the alleged breaches of fiduciary duties. The Complaint seeks unspecified monetary damages on behalf of the Company, corporate governance reforms, disgorgement of profits, benefits and compensation by the defendants, costs, and attorneys’ and experts’ fees. The Company and defendants filed motions to dismiss the Complaint on July 8, 2015. On December 30, 2015, the United States District Court for the Northern District of Georgia dismissed the Georgia Federal Derivative Action with prejudice and entered a final judgment in favor of the defendants. Plaintiffs filed a notice of appeal seeking review of the dismissal order and final judgment. On July 7, 2016, the United States Court of Appeals for the Eleventh Circuit dismissed the appeal as the Plaintiffs failed to timely file their appeal brief. In September 2016, the Board received a demand letter from one of the plaintiffs in the Georgia Federal Derivative Action. The demand letter, among other things, requests that the Board investigate the conduct alleged in the Complaint and implement certain remedial measures purportedly designed to address the alleged conduct. It is expected that the Board will consider the demand letter in due course and in light of the related pending shareholder litigation described herein.</w:t>
      </w:r>
    </w:p>
    <w:p>
      <w:pPr>
        <w:spacing w:after="0" w:line="180"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On August 29, 2014, another alleged Galectin shareholder filed a putative shareholder derivative complaint in state court in Las Vegas, Nevada, seeking recovery on behalf of the Company against the same Galectin directors and officers who are named as defendants in the derivative litigation pending in the Georgia Federal Derivative Action. The plaintiff in the Nevada action subsequently filed first and second amended complaints. The second amended complaint alleges claims for breach of fiduciary duties, unjust enrichment, and waste of corporate assets, based on allegations that are substantially similar to those asserted in the Georgia Federal Derivative Action (except that the Nevada action does not allege violations of the federal securities laws and does not assert any claim against the Galectin shareholder named as a defendant in the Georgia Federal Derivative Action), and seeks unspecified monetary damages on behalf of the Company, corporate governance reforms, disgorgement of profits, benefits and compensation by the defendants, costs, and attorneys’ and experts’ fees. The Company and defendants filed motions to dismiss the second amended complaint on April 22, 2015. On April 29, 2015, the plaintiffs in the Georgia Federal Derivative Action (the “Intervenor Plaintiffs”) filed a motion to intervene in the Nevada action which, among other things, raised questions regarding the Nevada plaintiff’s standing. Thereafter, the Nevada plaintiff filed a motion to join additional plaintiffs. At a hearing held on June 11, 2015, the Nevada court: (i) granted the Intervenor Plaintiffs’ motion to intervene; (ii) directed the Intervenor Plaintiffs to file a complaint in intervention; (iii) directed the Nevada plaintiff to file a motion for leave to file a further amended complaint to add additional plaintiffs; (iv) stated that the defendants’ motions to dismiss the second amended complaint were denied “at this point;” (v) ordered the Nevada action stayed until December 11 , 2015; and (vi) directed the parties to submit a status report on December 11, 2015, updating the court on the progress and status of the Georgia Federal Derivative Action. On July 9, 2015, pursuant to the Nevada State Court’s instruction, the Intervenor Plaintiffs filed a complaint-in-intervention in Nevada State Court, asserting similar claims to the ones they alleged in the Georgia Federal Derivative Action described above. On December 11, 2015, further to the Nevada State Court’s instruction, the parties submitted status reports detailing the status of the Georgia Federal Derivative Action. On January 5, 2016, the Nevada State Court held a status conference during which the dismissal of the Georgia Federal Derivative Action was discussed. Subsequent to that conference, on January 19, 2016, the defendants filed a motion to dismiss the Nevada State Court litigation based on the dismissal of the similar Georgia Federal Derivative Action, among other grounds. Following full briefing and a hearing on March 3, 2016, the Nevada State Court granted dismissal of the Nevada State Court litigation. Notice of Entry of the Nevada State Court’s order dismissing the Nevada State Court litigation was docketed on June 21, 2016. The Nevada plaintiff and Intervenor Plaintiffs (“Appellants”) have filed notices of appeal seeking review of the Nevada State Court’s dismissal order. It is expected that the appeal will be fully briefed in May 2017.</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 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currently pending legal matters will be material to the Company’s results of operations or financial condition. However, in light of the inherent uncertainties involved in such matters, an adverse outcome in one or more of these matters could materially and adversely affect the Company’s financial condition, results of operations or cash flows in any particular reporting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Proceedings</w:t>
      </w:r>
    </w:p>
    <w:p>
      <w:pPr>
        <w:spacing w:after="0" w:line="11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other pending legal proceedings except as noted above.</w:t>
      </w:r>
    </w:p>
    <w:p>
      <w:pPr>
        <w:spacing w:after="0" w:line="3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GalectinSciences LLC</w:t>
      </w:r>
    </w:p>
    <w:p>
      <w:pPr>
        <w:spacing w:after="0" w:line="12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have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As a result, the Company contributed the $73,000 needed for the fourth quarter of 2014 expenses of the LLC. The Company contributed $659,000 and $687,000 for the LLC expenses in 2016 and 2015, respectively, and SBH contributed $50,000 in 2016. The Company contributed $45,000 during the quarter ended March 31, 2017. As of March 31, 2017, the Company’s ownership percentage in the LLC was 80.7%. The Company accounts for the interest in the LLC as a consolidated, less than wholly owned subsidiary. Because the LLC’s equity is immaterial, the value of the non-controlling interest is also deemed to be immaterial.</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December 31, 2017;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77"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and cannot assure you that we will generate revenue or profit,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additional outside capital,</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any litigation, including shareholder class actions and derivative lawsuits filed,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 including expected dates of availability of clinical data,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130" w:lineRule="exact"/>
        <w:rPr>
          <w:rFonts w:ascii="Arial" w:cs="Arial" w:eastAsia="Arial" w:hAnsi="Arial"/>
          <w:sz w:val="18"/>
          <w:szCs w:val="18"/>
          <w:color w:val="auto"/>
        </w:rPr>
      </w:pPr>
    </w:p>
    <w:p>
      <w:pPr>
        <w:ind w:left="900" w:right="160" w:hanging="325"/>
        <w:spacing w:after="0" w:line="308"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w:t>
      </w:r>
    </w:p>
    <w:p>
      <w:pPr>
        <w:spacing w:after="0" w:line="17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of Galectin Therapeutics appearing elsewhere herein.</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a clinical stage biopharmaceutical company engaged in drug research and development to create new therapies for fibrotic disease, severe skin disease, and cancer. Our drug candidates are based on our method of targeting galectin proteins, which are key mediators of biologic and pathologic functions. We use naturally occurring, readily-available plant products as starting material in manufacturing processes to create proprietary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and to seek strategic partners when a program becomes advanced and requires significant additional resources.</w:t>
      </w:r>
    </w:p>
    <w:p>
      <w:pPr>
        <w:spacing w:after="0" w:line="182"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lead galectin-3 inhibitor is GR-MD-02, which has been demonstrated in preclinical models to reverse liver fibrosis and cirrhosis. GR-MD-02 has the potential to treat many diseases due to galectin-3’s involvement in multiple key biological pathways such as immune cell function and immunity, cell differentiation, cell growth, and apoptosis (cell death). Galectin Therapeutics Inc. is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using this inhibitor to treat advanced liver fibrosis and liver cirrhosis in NASH (non-alcoholic steatohepatitis) patients. We have completed two Phase 1 clinical studies, one Phase 2 clinical study in NASH patients with advanced fibrosis (NASH-FX) and have one ongoing Phase 2 clinical study in NASH patients with cirrhosis (NASH-CX). NASH cirrhosis is a progressive disease, currently not treatable and ultimately may result in liver failure that has poor prognosis and no effective, approved medical therapies other than liver transplant. Galectin-3 expression is highly increased in the liver of patients with liver fibrosis and liver cirrhosis. We believe that our galectin-3 inhibitor, by reducing galectin-3 at the extra-cellular level, ultimately showing a strong anti-fibrotic potential may provide a novel treatment for various forms of liver fibrosis.</w:t>
      </w:r>
    </w:p>
    <w:p>
      <w:pPr>
        <w:spacing w:after="0" w:line="193"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sophisticated physical and chemical characterization, and commercial development. We also have established several collaborative scientific discovery programs with leading experts in carbohydrate chemistry and characterization. These discovery programs are generally aimed at the targeted development of new carbohydrate molecules that bind galectin proteins and offer alternative options to larger market segments in our primary disease indications. We also have established a discovery program aimed at the targeted development of small molecules (non-carbohydrate) that bind galectin proteins and may afford options for alternative means of drug delivery (e.g., oral) and as a result expand the potential uses of our compounds. We are pursuing a development pathway to clinical enhancement and commercialization for our lead compounds in immune enhancement for cancer therapy and severe skin disease including moderate to severe plaque psoriasis and severe atopic dermatitis. Our clinical development efforts are focused on both liver fibrosis and fatty liver disease as represented by a Phase 2 clinical trial in NASH-cirrhosis which will report top line data in December 2017. All of our proposed products are presently in development, including pre-clinical and clinical trials.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Development Programs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Galectins are a class of proteins that are made by many cells in the body, but predominantly in cells of the immune system. As a group, these proteins are able to bind to sugar molecules that are part of other proteins, glycoproteins, in and on the cells of our body. Galectin proteins act as a kind of molecular glue, bringing together molecules that have sugars on them. Galectin proteins, in particular galectin-3, are known to be markedly increased in a number of important diseases including inflammatory diseases, scarring of organs (e.g. liver, lung, kidney, and heart) and cancers of many kinds. The increase in galectin protein promotes the disease and is detrimental to the patient. Published data show that mice lacking the galectin-3 gene, and thus unable to produce galectin-3, are incapable of developing liver fibrosis in response to toxic insult to the liver and in fatty liver disease.</w:t>
      </w:r>
    </w:p>
    <w:p>
      <w:pPr>
        <w:spacing w:after="0" w:line="17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have one new proprietary chemical entity (NCE) in development, GR-MD-02, which has shown promise in preclinical and early clinical studies in treatment of fibrosis, severe skin disease, and in cancer therapy. Currently we are focusing on development of GR-MD-02 intended to be used in the treatment of liver fibrosis associated with fatty liver disease (NASH) and more specifically on NASH cirrhosis. We have also leveraged our relationships with well-known investigators to demonstrate clinical effects of GR-MD-02 in treating moderate to severe plaque psoriasis, severe atopic dermatitis, and in cancer therapy in combination with immune-system modifying agent(s). GR-MD-02 is a proprietary, patented compound derived from natural, readily available, plant-based starting materials, which, following chemical processing, exhibits the properties of binding to and inhibiting galectin-3 proteins. A second NCE, GM-CT-01 is a proprietary, patented compound that is made from a completely different starting source plant material and also binds and inhibits galectin proteins. Previously in clinical development for cancer indications, this compound continues to be explored in preclinical studies.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pipeline is shown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20"/>
                <w:szCs w:val="20"/>
                <w:color w:val="auto"/>
              </w:rPr>
            </w:pPr>
            <w:r>
              <w:rPr>
                <w:rFonts w:ascii="Arial" w:cs="Arial" w:eastAsia="Arial" w:hAnsi="Arial"/>
                <w:sz w:val="14"/>
                <w:szCs w:val="14"/>
                <w:b w:val="1"/>
                <w:bCs w:val="1"/>
                <w:color w:val="auto"/>
              </w:rPr>
              <w:t>Indication</w:t>
            </w:r>
          </w:p>
        </w:tc>
        <w:tc>
          <w:tcPr>
            <w:tcW w:w="2700" w:type="dxa"/>
            <w:vAlign w:val="bottom"/>
          </w:tcPr>
          <w:p>
            <w:pPr>
              <w:ind w:left="460"/>
              <w:spacing w:after="0"/>
              <w:rPr>
                <w:sz w:val="20"/>
                <w:szCs w:val="20"/>
                <w:color w:val="auto"/>
              </w:rPr>
            </w:pPr>
            <w:r>
              <w:rPr>
                <w:rFonts w:ascii="Arial" w:cs="Arial" w:eastAsia="Arial" w:hAnsi="Arial"/>
                <w:sz w:val="14"/>
                <w:szCs w:val="14"/>
                <w:b w:val="1"/>
                <w:bCs w:val="1"/>
                <w:color w:val="auto"/>
              </w:rPr>
              <w:t>Drug</w:t>
            </w:r>
          </w:p>
        </w:tc>
        <w:tc>
          <w:tcPr>
            <w:tcW w:w="4360" w:type="dxa"/>
            <w:vAlign w:val="bottom"/>
          </w:tcPr>
          <w:p>
            <w:pPr>
              <w:ind w:left="260"/>
              <w:spacing w:after="0"/>
              <w:rPr>
                <w:sz w:val="20"/>
                <w:szCs w:val="20"/>
                <w:color w:val="auto"/>
              </w:rPr>
            </w:pPr>
            <w:r>
              <w:rPr>
                <w:rFonts w:ascii="Arial" w:cs="Arial" w:eastAsia="Arial" w:hAnsi="Arial"/>
                <w:sz w:val="14"/>
                <w:szCs w:val="14"/>
                <w:b w:val="1"/>
                <w:bCs w:val="1"/>
                <w:color w:val="auto"/>
              </w:rPr>
              <w:t>Status</w:t>
            </w:r>
          </w:p>
        </w:tc>
      </w:tr>
      <w:tr>
        <w:trPr>
          <w:trHeight w:val="220"/>
        </w:trPr>
        <w:tc>
          <w:tcPr>
            <w:tcW w:w="4240" w:type="dxa"/>
            <w:vAlign w:val="bottom"/>
          </w:tcPr>
          <w:p>
            <w:pPr>
              <w:spacing w:after="0"/>
              <w:rPr>
                <w:sz w:val="20"/>
                <w:szCs w:val="20"/>
                <w:color w:val="auto"/>
              </w:rPr>
            </w:pPr>
            <w:r>
              <w:rPr>
                <w:rFonts w:ascii="Arial" w:cs="Arial" w:eastAsia="Arial" w:hAnsi="Arial"/>
                <w:sz w:val="18"/>
                <w:szCs w:val="18"/>
                <w:b w:val="1"/>
                <w:bCs w:val="1"/>
                <w:color w:val="auto"/>
              </w:rPr>
              <w:t>Fibrosis</w:t>
            </w:r>
          </w:p>
        </w:tc>
        <w:tc>
          <w:tcPr>
            <w:tcW w:w="27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NASH with Advanced Fibrosis: NASH-CX trial and</w:t>
            </w:r>
          </w:p>
        </w:tc>
        <w:tc>
          <w:tcPr>
            <w:tcW w:w="2700" w:type="dxa"/>
            <w:vAlign w:val="bottom"/>
          </w:tcPr>
          <w:p>
            <w:pPr>
              <w:ind w:left="460"/>
              <w:spacing w:after="0"/>
              <w:rPr>
                <w:sz w:val="20"/>
                <w:szCs w:val="20"/>
                <w:color w:val="auto"/>
              </w:rPr>
            </w:pPr>
            <w:r>
              <w:rPr>
                <w:rFonts w:ascii="Arial" w:cs="Arial" w:eastAsia="Arial" w:hAnsi="Arial"/>
                <w:sz w:val="18"/>
                <w:szCs w:val="18"/>
                <w:color w:val="auto"/>
              </w:rPr>
              <w:t>GR-MD-02</w:t>
            </w:r>
          </w:p>
        </w:tc>
        <w:tc>
          <w:tcPr>
            <w:tcW w:w="4360" w:type="dxa"/>
            <w:vAlign w:val="bottom"/>
          </w:tcPr>
          <w:p>
            <w:pPr>
              <w:ind w:left="260"/>
              <w:spacing w:after="0"/>
              <w:rPr>
                <w:sz w:val="20"/>
                <w:szCs w:val="20"/>
                <w:color w:val="auto"/>
              </w:rPr>
            </w:pPr>
            <w:r>
              <w:rPr>
                <w:rFonts w:ascii="Arial" w:cs="Arial" w:eastAsia="Arial" w:hAnsi="Arial"/>
                <w:sz w:val="18"/>
                <w:szCs w:val="18"/>
                <w:color w:val="auto"/>
                <w:w w:val="92"/>
              </w:rPr>
              <w:t>IND submitted January 2013. Results from the Phase 1</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NASH-FX trial</w:t>
            </w:r>
          </w:p>
        </w:tc>
        <w:tc>
          <w:tcPr>
            <w:tcW w:w="2700" w:type="dxa"/>
            <w:vAlign w:val="bottom"/>
          </w:tcPr>
          <w:p>
            <w:pPr>
              <w:spacing w:after="0"/>
              <w:rPr>
                <w:sz w:val="18"/>
                <w:szCs w:val="18"/>
                <w:color w:val="auto"/>
              </w:rPr>
            </w:pPr>
          </w:p>
        </w:tc>
        <w:tc>
          <w:tcPr>
            <w:tcW w:w="4360" w:type="dxa"/>
            <w:vAlign w:val="bottom"/>
          </w:tcPr>
          <w:p>
            <w:pPr>
              <w:ind w:left="260"/>
              <w:spacing w:after="0"/>
              <w:rPr>
                <w:sz w:val="20"/>
                <w:szCs w:val="20"/>
                <w:color w:val="auto"/>
              </w:rPr>
            </w:pPr>
            <w:r>
              <w:rPr>
                <w:rFonts w:ascii="Arial" w:cs="Arial" w:eastAsia="Arial" w:hAnsi="Arial"/>
                <w:sz w:val="18"/>
                <w:szCs w:val="18"/>
                <w:color w:val="auto"/>
              </w:rPr>
              <w:t>clinical trial were reported in 2014, with final results</w:t>
            </w:r>
          </w:p>
        </w:tc>
      </w:tr>
      <w:tr>
        <w:trPr>
          <w:trHeight w:val="216"/>
        </w:trPr>
        <w:tc>
          <w:tcPr>
            <w:tcW w:w="4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360" w:type="dxa"/>
            <w:vAlign w:val="bottom"/>
          </w:tcPr>
          <w:p>
            <w:pPr>
              <w:ind w:left="260"/>
              <w:spacing w:after="0"/>
              <w:rPr>
                <w:sz w:val="20"/>
                <w:szCs w:val="20"/>
                <w:color w:val="auto"/>
              </w:rPr>
            </w:pPr>
            <w:r>
              <w:rPr>
                <w:rFonts w:ascii="Arial" w:cs="Arial" w:eastAsia="Arial" w:hAnsi="Arial"/>
                <w:sz w:val="18"/>
                <w:szCs w:val="18"/>
                <w:color w:val="auto"/>
                <w:w w:val="92"/>
              </w:rPr>
              <w:t>reported in January 2015. End of Phase 1 meeting held</w:t>
            </w:r>
          </w:p>
        </w:tc>
      </w:tr>
      <w:tr>
        <w:trPr>
          <w:trHeight w:val="216"/>
        </w:trPr>
        <w:tc>
          <w:tcPr>
            <w:tcW w:w="4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360" w:type="dxa"/>
            <w:vAlign w:val="bottom"/>
          </w:tcPr>
          <w:p>
            <w:pPr>
              <w:ind w:left="260"/>
              <w:spacing w:after="0"/>
              <w:rPr>
                <w:sz w:val="20"/>
                <w:szCs w:val="20"/>
                <w:color w:val="auto"/>
              </w:rPr>
            </w:pPr>
            <w:r>
              <w:rPr>
                <w:rFonts w:ascii="Arial" w:cs="Arial" w:eastAsia="Arial" w:hAnsi="Arial"/>
                <w:sz w:val="18"/>
                <w:szCs w:val="18"/>
                <w:color w:val="auto"/>
              </w:rPr>
              <w:t>with FDA in 2014. Two Phase 2 clinical trials were</w:t>
            </w:r>
          </w:p>
        </w:tc>
      </w:tr>
      <w:tr>
        <w:trPr>
          <w:trHeight w:val="216"/>
        </w:trPr>
        <w:tc>
          <w:tcPr>
            <w:tcW w:w="4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360" w:type="dxa"/>
            <w:vAlign w:val="bottom"/>
          </w:tcPr>
          <w:p>
            <w:pPr>
              <w:ind w:left="260"/>
              <w:spacing w:after="0"/>
              <w:rPr>
                <w:sz w:val="20"/>
                <w:szCs w:val="20"/>
                <w:color w:val="auto"/>
              </w:rPr>
            </w:pPr>
            <w:r>
              <w:rPr>
                <w:rFonts w:ascii="Arial" w:cs="Arial" w:eastAsia="Arial" w:hAnsi="Arial"/>
                <w:sz w:val="18"/>
                <w:szCs w:val="18"/>
                <w:color w:val="auto"/>
                <w:w w:val="91"/>
              </w:rPr>
              <w:t>designed. The NASH CX trial, was designed for patients</w:t>
            </w:r>
          </w:p>
        </w:tc>
      </w:tr>
      <w:tr>
        <w:trPr>
          <w:trHeight w:val="216"/>
        </w:trPr>
        <w:tc>
          <w:tcPr>
            <w:tcW w:w="4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360" w:type="dxa"/>
            <w:vAlign w:val="bottom"/>
          </w:tcPr>
          <w:p>
            <w:pPr>
              <w:ind w:left="260"/>
              <w:spacing w:after="0"/>
              <w:rPr>
                <w:sz w:val="20"/>
                <w:szCs w:val="20"/>
                <w:color w:val="auto"/>
              </w:rPr>
            </w:pPr>
            <w:r>
              <w:rPr>
                <w:rFonts w:ascii="Arial" w:cs="Arial" w:eastAsia="Arial" w:hAnsi="Arial"/>
                <w:sz w:val="18"/>
                <w:szCs w:val="18"/>
                <w:color w:val="auto"/>
                <w:w w:val="94"/>
              </w:rPr>
              <w:t>with cirrhosis, and the NASH FX trial was designed for</w:t>
            </w:r>
          </w:p>
        </w:tc>
      </w:tr>
      <w:tr>
        <w:trPr>
          <w:trHeight w:val="216"/>
        </w:trPr>
        <w:tc>
          <w:tcPr>
            <w:tcW w:w="4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360" w:type="dxa"/>
            <w:vAlign w:val="bottom"/>
          </w:tcPr>
          <w:p>
            <w:pPr>
              <w:ind w:left="260"/>
              <w:spacing w:after="0"/>
              <w:rPr>
                <w:sz w:val="20"/>
                <w:szCs w:val="20"/>
                <w:color w:val="auto"/>
              </w:rPr>
            </w:pPr>
            <w:r>
              <w:rPr>
                <w:rFonts w:ascii="Arial" w:cs="Arial" w:eastAsia="Arial" w:hAnsi="Arial"/>
                <w:sz w:val="18"/>
                <w:szCs w:val="18"/>
                <w:color w:val="auto"/>
                <w:w w:val="97"/>
              </w:rPr>
              <w:t>patients with advanced fibrosis but not cirrhosis. The</w:t>
            </w:r>
          </w:p>
        </w:tc>
      </w:tr>
      <w:tr>
        <w:trPr>
          <w:trHeight w:val="216"/>
        </w:trPr>
        <w:tc>
          <w:tcPr>
            <w:tcW w:w="4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360" w:type="dxa"/>
            <w:vAlign w:val="bottom"/>
          </w:tcPr>
          <w:p>
            <w:pPr>
              <w:ind w:left="260"/>
              <w:spacing w:after="0"/>
              <w:rPr>
                <w:sz w:val="20"/>
                <w:szCs w:val="20"/>
                <w:color w:val="auto"/>
              </w:rPr>
            </w:pPr>
            <w:r>
              <w:rPr>
                <w:rFonts w:ascii="Arial" w:cs="Arial" w:eastAsia="Arial" w:hAnsi="Arial"/>
                <w:sz w:val="18"/>
                <w:szCs w:val="18"/>
                <w:color w:val="auto"/>
                <w:w w:val="93"/>
              </w:rPr>
              <w:t>NASH FX trial top line data was reported in September</w:t>
            </w:r>
          </w:p>
        </w:tc>
      </w:tr>
      <w:tr>
        <w:trPr>
          <w:trHeight w:val="216"/>
        </w:trPr>
        <w:tc>
          <w:tcPr>
            <w:tcW w:w="4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360" w:type="dxa"/>
            <w:vAlign w:val="bottom"/>
          </w:tcPr>
          <w:p>
            <w:pPr>
              <w:ind w:left="260"/>
              <w:spacing w:after="0"/>
              <w:rPr>
                <w:sz w:val="20"/>
                <w:szCs w:val="20"/>
                <w:color w:val="auto"/>
              </w:rPr>
            </w:pPr>
            <w:r>
              <w:rPr>
                <w:rFonts w:ascii="Arial" w:cs="Arial" w:eastAsia="Arial" w:hAnsi="Arial"/>
                <w:sz w:val="18"/>
                <w:szCs w:val="18"/>
                <w:color w:val="auto"/>
                <w:w w:val="92"/>
              </w:rPr>
              <w:t>2016 and the NASH CX trial top line data is expected in</w:t>
            </w:r>
          </w:p>
        </w:tc>
      </w:tr>
      <w:tr>
        <w:trPr>
          <w:trHeight w:val="230"/>
        </w:trPr>
        <w:tc>
          <w:tcPr>
            <w:tcW w:w="42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360" w:type="dxa"/>
            <w:vAlign w:val="bottom"/>
          </w:tcPr>
          <w:p>
            <w:pPr>
              <w:ind w:left="260"/>
              <w:spacing w:after="0"/>
              <w:rPr>
                <w:sz w:val="20"/>
                <w:szCs w:val="20"/>
                <w:color w:val="auto"/>
              </w:rPr>
            </w:pPr>
            <w:r>
              <w:rPr>
                <w:rFonts w:ascii="Arial" w:cs="Arial" w:eastAsia="Arial" w:hAnsi="Arial"/>
                <w:sz w:val="18"/>
                <w:szCs w:val="18"/>
                <w:color w:val="auto"/>
              </w:rPr>
              <w:t>December 2017.</w:t>
            </w:r>
          </w:p>
        </w:tc>
      </w:tr>
      <w:tr>
        <w:trPr>
          <w:trHeight w:val="324"/>
        </w:trPr>
        <w:tc>
          <w:tcPr>
            <w:tcW w:w="4240" w:type="dxa"/>
            <w:vAlign w:val="bottom"/>
          </w:tcPr>
          <w:p>
            <w:pPr>
              <w:spacing w:after="0"/>
              <w:rPr>
                <w:sz w:val="20"/>
                <w:szCs w:val="20"/>
                <w:color w:val="auto"/>
              </w:rPr>
            </w:pPr>
            <w:r>
              <w:rPr>
                <w:rFonts w:ascii="Arial" w:cs="Arial" w:eastAsia="Arial" w:hAnsi="Arial"/>
                <w:sz w:val="18"/>
                <w:szCs w:val="18"/>
                <w:color w:val="auto"/>
              </w:rPr>
              <w:t>Lung Fibrosis</w:t>
            </w:r>
          </w:p>
        </w:tc>
        <w:tc>
          <w:tcPr>
            <w:tcW w:w="2700" w:type="dxa"/>
            <w:vAlign w:val="bottom"/>
          </w:tcPr>
          <w:p>
            <w:pPr>
              <w:ind w:left="460"/>
              <w:spacing w:after="0"/>
              <w:rPr>
                <w:sz w:val="20"/>
                <w:szCs w:val="20"/>
                <w:color w:val="auto"/>
              </w:rPr>
            </w:pPr>
            <w:r>
              <w:rPr>
                <w:rFonts w:ascii="Arial" w:cs="Arial" w:eastAsia="Arial" w:hAnsi="Arial"/>
                <w:sz w:val="18"/>
                <w:szCs w:val="18"/>
                <w:color w:val="auto"/>
              </w:rPr>
              <w:t>GR-MD-02</w:t>
            </w:r>
          </w:p>
        </w:tc>
        <w:tc>
          <w:tcPr>
            <w:tcW w:w="4360" w:type="dxa"/>
            <w:vAlign w:val="bottom"/>
          </w:tcPr>
          <w:p>
            <w:pPr>
              <w:ind w:left="260"/>
              <w:spacing w:after="0"/>
              <w:rPr>
                <w:sz w:val="20"/>
                <w:szCs w:val="20"/>
                <w:color w:val="auto"/>
              </w:rPr>
            </w:pPr>
            <w:r>
              <w:rPr>
                <w:rFonts w:ascii="Arial" w:cs="Arial" w:eastAsia="Arial" w:hAnsi="Arial"/>
                <w:sz w:val="18"/>
                <w:szCs w:val="18"/>
                <w:color w:val="auto"/>
              </w:rPr>
              <w:t>In pre-clinical development</w:t>
            </w:r>
          </w:p>
        </w:tc>
      </w:tr>
      <w:tr>
        <w:trPr>
          <w:trHeight w:val="324"/>
        </w:trPr>
        <w:tc>
          <w:tcPr>
            <w:tcW w:w="4240" w:type="dxa"/>
            <w:vAlign w:val="bottom"/>
          </w:tcPr>
          <w:p>
            <w:pPr>
              <w:spacing w:after="0"/>
              <w:rPr>
                <w:sz w:val="20"/>
                <w:szCs w:val="20"/>
                <w:color w:val="auto"/>
              </w:rPr>
            </w:pPr>
            <w:r>
              <w:rPr>
                <w:rFonts w:ascii="Arial" w:cs="Arial" w:eastAsia="Arial" w:hAnsi="Arial"/>
                <w:sz w:val="18"/>
                <w:szCs w:val="18"/>
                <w:color w:val="auto"/>
              </w:rPr>
              <w:t>Kidney Fibrosis</w:t>
            </w:r>
          </w:p>
        </w:tc>
        <w:tc>
          <w:tcPr>
            <w:tcW w:w="2700" w:type="dxa"/>
            <w:vAlign w:val="bottom"/>
          </w:tcPr>
          <w:p>
            <w:pPr>
              <w:ind w:left="460"/>
              <w:spacing w:after="0"/>
              <w:rPr>
                <w:sz w:val="20"/>
                <w:szCs w:val="20"/>
                <w:color w:val="auto"/>
              </w:rPr>
            </w:pPr>
            <w:r>
              <w:rPr>
                <w:rFonts w:ascii="Arial" w:cs="Arial" w:eastAsia="Arial" w:hAnsi="Arial"/>
                <w:sz w:val="18"/>
                <w:szCs w:val="18"/>
                <w:color w:val="auto"/>
              </w:rPr>
              <w:t>GR-MD-02</w:t>
            </w:r>
          </w:p>
        </w:tc>
        <w:tc>
          <w:tcPr>
            <w:tcW w:w="4360" w:type="dxa"/>
            <w:vAlign w:val="bottom"/>
          </w:tcPr>
          <w:p>
            <w:pPr>
              <w:ind w:left="260"/>
              <w:spacing w:after="0"/>
              <w:rPr>
                <w:sz w:val="20"/>
                <w:szCs w:val="20"/>
                <w:color w:val="auto"/>
              </w:rPr>
            </w:pPr>
            <w:r>
              <w:rPr>
                <w:rFonts w:ascii="Arial" w:cs="Arial" w:eastAsia="Arial" w:hAnsi="Arial"/>
                <w:sz w:val="18"/>
                <w:szCs w:val="18"/>
                <w:color w:val="auto"/>
              </w:rPr>
              <w:t>In pre-clinical development</w:t>
            </w:r>
          </w:p>
        </w:tc>
      </w:tr>
      <w:tr>
        <w:trPr>
          <w:trHeight w:val="324"/>
        </w:trPr>
        <w:tc>
          <w:tcPr>
            <w:tcW w:w="4240" w:type="dxa"/>
            <w:vAlign w:val="bottom"/>
          </w:tcPr>
          <w:p>
            <w:pPr>
              <w:spacing w:after="0"/>
              <w:rPr>
                <w:sz w:val="20"/>
                <w:szCs w:val="20"/>
                <w:color w:val="auto"/>
              </w:rPr>
            </w:pPr>
            <w:r>
              <w:rPr>
                <w:rFonts w:ascii="Arial" w:cs="Arial" w:eastAsia="Arial" w:hAnsi="Arial"/>
                <w:sz w:val="18"/>
                <w:szCs w:val="18"/>
                <w:color w:val="auto"/>
              </w:rPr>
              <w:t>Cardiac and Vascular Fibrosis</w:t>
            </w:r>
          </w:p>
        </w:tc>
        <w:tc>
          <w:tcPr>
            <w:tcW w:w="2700" w:type="dxa"/>
            <w:vAlign w:val="bottom"/>
          </w:tcPr>
          <w:p>
            <w:pPr>
              <w:ind w:left="460"/>
              <w:spacing w:after="0"/>
              <w:rPr>
                <w:sz w:val="20"/>
                <w:szCs w:val="20"/>
                <w:color w:val="auto"/>
              </w:rPr>
            </w:pPr>
            <w:r>
              <w:rPr>
                <w:rFonts w:ascii="Arial" w:cs="Arial" w:eastAsia="Arial" w:hAnsi="Arial"/>
                <w:sz w:val="18"/>
                <w:szCs w:val="18"/>
                <w:color w:val="auto"/>
              </w:rPr>
              <w:t>GR-MD-02 and GM-CT-01</w:t>
            </w:r>
          </w:p>
        </w:tc>
        <w:tc>
          <w:tcPr>
            <w:tcW w:w="4360" w:type="dxa"/>
            <w:vAlign w:val="bottom"/>
          </w:tcPr>
          <w:p>
            <w:pPr>
              <w:ind w:left="260"/>
              <w:spacing w:after="0"/>
              <w:rPr>
                <w:sz w:val="20"/>
                <w:szCs w:val="20"/>
                <w:color w:val="auto"/>
              </w:rPr>
            </w:pPr>
            <w:r>
              <w:rPr>
                <w:rFonts w:ascii="Arial" w:cs="Arial" w:eastAsia="Arial" w:hAnsi="Arial"/>
                <w:sz w:val="18"/>
                <w:szCs w:val="18"/>
                <w:color w:val="auto"/>
              </w:rPr>
              <w:t>In pre-clinical development</w:t>
            </w:r>
          </w:p>
        </w:tc>
      </w:tr>
      <w:tr>
        <w:trPr>
          <w:trHeight w:val="365"/>
        </w:trPr>
        <w:tc>
          <w:tcPr>
            <w:tcW w:w="4240" w:type="dxa"/>
            <w:vAlign w:val="bottom"/>
          </w:tcPr>
          <w:p>
            <w:pPr>
              <w:spacing w:after="0"/>
              <w:rPr>
                <w:sz w:val="24"/>
                <w:szCs w:val="24"/>
                <w:color w:val="auto"/>
              </w:rPr>
            </w:pPr>
          </w:p>
        </w:tc>
        <w:tc>
          <w:tcPr>
            <w:tcW w:w="2700" w:type="dxa"/>
            <w:vAlign w:val="bottom"/>
          </w:tcPr>
          <w:p>
            <w:pPr>
              <w:ind w:left="1380"/>
              <w:spacing w:after="0"/>
              <w:rPr>
                <w:sz w:val="20"/>
                <w:szCs w:val="20"/>
                <w:color w:val="auto"/>
              </w:rPr>
            </w:pPr>
            <w:r>
              <w:rPr>
                <w:rFonts w:ascii="Arial" w:cs="Arial" w:eastAsia="Arial" w:hAnsi="Arial"/>
                <w:sz w:val="18"/>
                <w:szCs w:val="18"/>
                <w:color w:val="auto"/>
              </w:rPr>
              <w:t>13</w:t>
            </w:r>
          </w:p>
        </w:tc>
        <w:tc>
          <w:tcPr>
            <w:tcW w:w="43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5360" w:val="left"/>
          <w:tab w:leader="none" w:pos="6500" w:val="left"/>
        </w:tabs>
        <w:rPr>
          <w:sz w:val="20"/>
          <w:szCs w:val="20"/>
          <w:color w:val="auto"/>
        </w:rPr>
      </w:pPr>
      <w:r>
        <w:rPr>
          <w:rFonts w:ascii="Arial" w:cs="Arial" w:eastAsia="Arial" w:hAnsi="Arial"/>
          <w:sz w:val="14"/>
          <w:szCs w:val="14"/>
          <w:b w:val="1"/>
          <w:bCs w:val="1"/>
          <w:color w:val="auto"/>
        </w:rPr>
        <w:t>Indication</w:t>
      </w:r>
      <w:r>
        <w:rPr>
          <w:sz w:val="20"/>
          <w:szCs w:val="20"/>
          <w:color w:val="auto"/>
        </w:rPr>
        <w:tab/>
      </w:r>
      <w:r>
        <w:rPr>
          <w:rFonts w:ascii="Arial" w:cs="Arial" w:eastAsia="Arial" w:hAnsi="Arial"/>
          <w:sz w:val="14"/>
          <w:szCs w:val="14"/>
          <w:b w:val="1"/>
          <w:bCs w:val="1"/>
          <w:color w:val="auto"/>
        </w:rPr>
        <w:t>Drug</w:t>
      </w:r>
      <w:r>
        <w:rPr>
          <w:sz w:val="20"/>
          <w:szCs w:val="20"/>
          <w:color w:val="auto"/>
        </w:rPr>
        <w:tab/>
      </w:r>
      <w:r>
        <w:rPr>
          <w:rFonts w:ascii="Arial" w:cs="Arial" w:eastAsia="Arial" w:hAnsi="Arial"/>
          <w:sz w:val="12"/>
          <w:szCs w:val="12"/>
          <w:b w:val="1"/>
          <w:bCs w:val="1"/>
          <w:color w:val="auto"/>
        </w:rPr>
        <w:t>Status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Immunotherapy</w:t>
      </w:r>
    </w:p>
    <w:p>
      <w:pPr>
        <w:spacing w:after="0" w:line="101" w:lineRule="exact"/>
        <w:rPr>
          <w:sz w:val="20"/>
          <w:szCs w:val="20"/>
          <w:color w:val="auto"/>
        </w:rPr>
      </w:pPr>
    </w:p>
    <w:p>
      <w:pPr>
        <w:spacing w:after="0"/>
        <w:tabs>
          <w:tab w:leader="none" w:pos="5360" w:val="left"/>
          <w:tab w:leader="none" w:pos="6500" w:val="left"/>
        </w:tabs>
        <w:rPr>
          <w:sz w:val="20"/>
          <w:szCs w:val="20"/>
          <w:color w:val="auto"/>
        </w:rPr>
      </w:pPr>
      <w:r>
        <w:rPr>
          <w:rFonts w:ascii="Arial" w:cs="Arial" w:eastAsia="Arial" w:hAnsi="Arial"/>
          <w:sz w:val="18"/>
          <w:szCs w:val="18"/>
          <w:color w:val="auto"/>
        </w:rPr>
        <w:t>Melanoma</w:t>
      </w:r>
      <w:r>
        <w:rPr>
          <w:sz w:val="20"/>
          <w:szCs w:val="20"/>
          <w:color w:val="auto"/>
        </w:rPr>
        <w:tab/>
      </w:r>
      <w:r>
        <w:rPr>
          <w:rFonts w:ascii="Arial" w:cs="Arial" w:eastAsia="Arial" w:hAnsi="Arial"/>
          <w:sz w:val="18"/>
          <w:szCs w:val="18"/>
          <w:color w:val="auto"/>
        </w:rPr>
        <w:t>GR-MD-02</w:t>
      </w:r>
      <w:r>
        <w:rPr>
          <w:sz w:val="20"/>
          <w:szCs w:val="20"/>
          <w:color w:val="auto"/>
        </w:rPr>
        <w:tab/>
      </w:r>
      <w:r>
        <w:rPr>
          <w:rFonts w:ascii="Arial" w:cs="Arial" w:eastAsia="Arial" w:hAnsi="Arial"/>
          <w:sz w:val="16"/>
          <w:szCs w:val="16"/>
          <w:color w:val="auto"/>
        </w:rPr>
        <w:t>Investigator IND submitted in December 2013. Phase 1B study in</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process. A second Phase 1B study began in Q-1 2016. Investigator</w:t>
      </w:r>
    </w:p>
    <w:p>
      <w:pPr>
        <w:spacing w:after="0" w:line="32"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IND for that study submitted in September 2015. Early data was</w:t>
      </w:r>
    </w:p>
    <w:p>
      <w:pPr>
        <w:spacing w:after="0" w:line="3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reported in February 2017 and studies will continue.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Psoriasis</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auto"/>
        </w:rPr>
        <w:t>Moderate to Severe Plaque Psoriasis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Severe Atopic Dermatitis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both"/>
        <w:ind w:right="20" w:hanging="1133"/>
        <w:spacing w:after="0" w:line="288" w:lineRule="auto"/>
        <w:rPr>
          <w:sz w:val="20"/>
          <w:szCs w:val="20"/>
          <w:color w:val="auto"/>
        </w:rPr>
      </w:pPr>
      <w:r>
        <w:rPr>
          <w:rFonts w:ascii="Arial" w:cs="Arial" w:eastAsia="Arial" w:hAnsi="Arial"/>
          <w:sz w:val="18"/>
          <w:szCs w:val="18"/>
          <w:color w:val="auto"/>
        </w:rPr>
        <w:t>GR-MD-02</w:t>
      </w:r>
      <w:r>
        <w:rPr>
          <w:sz w:val="20"/>
          <w:szCs w:val="20"/>
          <w:color w:val="auto"/>
        </w:rPr>
        <w:t xml:space="preserve"> </w:t>
      </w:r>
      <w:r>
        <w:rPr>
          <w:rFonts w:ascii="Arial" w:cs="Arial" w:eastAsia="Arial" w:hAnsi="Arial"/>
          <w:sz w:val="16"/>
          <w:szCs w:val="16"/>
          <w:color w:val="auto"/>
        </w:rPr>
        <w:t>IND submitted March 2015. A phase 2a trial in moderate to severe plaque psoriasis patients began in January 2016. Interim data on the first four patients were positive and were reported in May 2016.</w:t>
      </w:r>
    </w:p>
    <w:p>
      <w:pPr>
        <w:ind w:right="80"/>
        <w:spacing w:after="0" w:line="254" w:lineRule="auto"/>
        <w:rPr>
          <w:sz w:val="20"/>
          <w:szCs w:val="20"/>
          <w:color w:val="auto"/>
        </w:rPr>
      </w:pPr>
      <w:r>
        <w:rPr>
          <w:rFonts w:ascii="Arial" w:cs="Arial" w:eastAsia="Arial" w:hAnsi="Arial"/>
          <w:sz w:val="18"/>
          <w:szCs w:val="18"/>
          <w:color w:val="auto"/>
        </w:rPr>
        <w:t>Further positive data was reported in September 2016. Investigator initiated IND submitted for treatment of three patients with severe atopic dermatitis, with positive preliminary data presented in February 2017.</w:t>
      </w:r>
    </w:p>
    <w:p>
      <w:pPr>
        <w:spacing w:after="0" w:line="190" w:lineRule="exact"/>
        <w:rPr>
          <w:sz w:val="20"/>
          <w:szCs w:val="20"/>
          <w:color w:val="auto"/>
        </w:rPr>
      </w:pPr>
    </w:p>
    <w:p>
      <w:pPr>
        <w:sectPr>
          <w:pgSz w:w="11900" w:h="16838" w:orient="portrait"/>
          <w:cols w:equalWidth="0" w:num="2">
            <w:col w:w="5800" w:space="720"/>
            <w:col w:w="4900"/>
          </w:cols>
          <w:pgMar w:left="240" w:top="459" w:right="239" w:bottom="1440" w:gutter="0" w:footer="0" w:header="0"/>
          <w:type w:val="continuous"/>
        </w:sectPr>
      </w:pPr>
    </w:p>
    <w:p>
      <w:pPr>
        <w:ind w:right="20" w:firstLine="456"/>
        <w:spacing w:after="0" w:line="287" w:lineRule="auto"/>
        <w:rPr>
          <w:sz w:val="20"/>
          <w:szCs w:val="20"/>
          <w:color w:val="auto"/>
        </w:rPr>
      </w:pPr>
      <w:r>
        <w:rPr>
          <w:rFonts w:ascii="Arial" w:cs="Arial" w:eastAsia="Arial" w:hAnsi="Arial"/>
          <w:sz w:val="16"/>
          <w:szCs w:val="16"/>
          <w:i w:val="1"/>
          <w:iCs w:val="1"/>
          <w:color w:val="auto"/>
        </w:rPr>
        <w:t xml:space="preserve">Fibrosis. </w:t>
      </w:r>
      <w:r>
        <w:rPr>
          <w:rFonts w:ascii="Arial" w:cs="Arial" w:eastAsia="Arial" w:hAnsi="Arial"/>
          <w:sz w:val="16"/>
          <w:szCs w:val="16"/>
          <w:color w:val="auto"/>
        </w:rPr>
        <w:t>GR-MD-02 is our lead product candidate for treatment of fibrotic disease. Our preclinical data show that GR-MD-02 has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therapeutic effect on liver fibrosis as shown in several relevant animal models. In addition, in NASH animal models GR-MD-02 has been shown to reduce liver fat, inflammation, and ballooning degeneration or death of liver cells. Therefore, we chose GR-MD-02 as the lead candidate in a development program targeted initially at fibrotic liver disease associated with non-alcoholic steatohepatitis (NASH, or fatty liver disease). In January 2013, an Investigational New Drug (“IND”) was submitted to the FDA with the goal of initiating a Phase 1 study in patients with NASH and advanced liver fibrosis to evaluate the human safety of GR-MD-02 and pharmacodynamics biomarkers of disease. On March 1, 2013, the FDA indicated we could proceed with a US Phase 1 clinical trial for GR-MD-02 with a development program aimed at obtaining support for a proposed indication of GR-MD-02 for treatment of NASH with advanced fibrosis. The Phase 1 trial was completed and demonstrated that GR-MD-02 up to 8 mg/kg, i.v. was safe and well tolerated and the human pharmacokinetic data defined a drug dose for use in the planned Phase 2 trials. Additionally, there was evidence of a pharmacodynamic effect of GR-MD-02 at the 8 mg/kg dose with a decrease in alpha 2 macroglobulin, a serum marker of fibrotic activity, and a reduction in liver stiffness as determined by FibroScan</w:t>
      </w:r>
      <w:r>
        <w:rPr>
          <w:rFonts w:ascii="Arial" w:cs="Arial" w:eastAsia="Arial" w:hAnsi="Arial"/>
          <w:sz w:val="13"/>
          <w:szCs w:val="13"/>
          <w:color w:val="auto"/>
        </w:rPr>
        <w:t>®</w:t>
      </w:r>
      <w:r>
        <w:rPr>
          <w:rFonts w:ascii="Arial" w:cs="Arial" w:eastAsia="Arial" w:hAnsi="Arial"/>
          <w:sz w:val="16"/>
          <w:szCs w:val="16"/>
          <w:color w:val="auto"/>
        </w:rPr>
        <w:t>. An “End of Phase 1 Meeting” was held with FDA which, amongst other items, provided guidance on the primary endpoint for the Phase 2 clinical trial.</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Additionally, an open label drug-drug interaction study was completed in healthy volunteers during the second quarter of 2015 with GR-MD-02 and it showed that with 8 mg/kg dose of GR-MD-02 and 2 mg/kg dose of midazolam there was no drug-drug interaction and no serious adverse events or drug-related adverse events were observed. This study was required by the U.S. Food and Drug Administration (FDA) and the primary objective was to determine if single or multiple intravenous (IV) doses of GR-MD-02 affect the pharmacokinetics (PK) of midazolam. The secondary objective was to assess the safety and tolerability of GR-MD-02 when administered concomitantly with midazolam. The lack of a drug interaction in this study enabled Galectin to expand the number of patients eligible for its Phase 2 clinical trial. In addition, should GR-MD-02 be approved for marketing, the success of this study supports a broader patient population for the drug label.</w:t>
      </w:r>
    </w:p>
    <w:p>
      <w:pPr>
        <w:spacing w:after="0" w:line="189"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Our Phase 2 program in fibrotic disease consists of two separate human clinical trials. The first clinical trial is the Phase 2b NASH-CX study for patients with NASH with cirrhosis, which began enrolling in June 2015. This study is the primary focus of our program and is a randomized, placebo-controlled, double-blind, parallel-group Phase 2 trial to evaluate the safety and efficacy of GR-MD-02 for the treatment of liver fibrosis and resultant portal hypertension in patients with NASH cirrhosis. Enrollment in this trial was completed in September 2016, and a total of 162 patients at 36 sites in the United States were randomized to receive either 2 mg/kg of GR-MD-02, 8 mg/kg of GR-MD-02 or placebo, with approximately 54 patients in each group. The primary endpoint is a reduction in change in hepatic venous pressure gradient (HVPG). Patients are receiving an infusion every other week for one year, total of 26 infusions, and will be evaluated to determine the change in HVPG as compared with placebo. HVPG will be correlated with secondary endpoints of fibrosis on liver biopsy as well as with measurement of liver stiffness (FibroScan</w:t>
      </w:r>
      <w:r>
        <w:rPr>
          <w:rFonts w:ascii="Arial" w:cs="Arial" w:eastAsia="Arial" w:hAnsi="Arial"/>
          <w:sz w:val="14"/>
          <w:szCs w:val="14"/>
          <w:color w:val="auto"/>
        </w:rPr>
        <w:t>(R)</w:t>
      </w:r>
      <w:r>
        <w:rPr>
          <w:rFonts w:ascii="Arial" w:cs="Arial" w:eastAsia="Arial" w:hAnsi="Arial"/>
          <w:sz w:val="17"/>
          <w:szCs w:val="17"/>
          <w:color w:val="auto"/>
        </w:rPr>
        <w:t>) and assessment of liver metabolism (</w:t>
      </w:r>
      <w:r>
        <w:rPr>
          <w:rFonts w:ascii="Arial" w:cs="Arial" w:eastAsia="Arial" w:hAnsi="Arial"/>
          <w:sz w:val="14"/>
          <w:szCs w:val="14"/>
          <w:color w:val="auto"/>
        </w:rPr>
        <w:t>13</w:t>
      </w:r>
      <w:r>
        <w:rPr>
          <w:rFonts w:ascii="Arial" w:cs="Arial" w:eastAsia="Arial" w:hAnsi="Arial"/>
          <w:sz w:val="17"/>
          <w:szCs w:val="17"/>
          <w:color w:val="auto"/>
        </w:rPr>
        <w:t>C-methacetin breath test, Exalenz), which are non-invasive measures of the liver that may be used in future studies. Top line data readout is expected in December 2017. A late-breaking abstract on screening data results correlating clinically significant portal hypertension and methacetin breath test results was presented at The International Liver Congress™ in Amsterdam on April 20, 2017.</w:t>
      </w:r>
    </w:p>
    <w:p>
      <w:pPr>
        <w:spacing w:after="0" w:line="18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second trial, our Phase 2a pilot trial NASH-FX for patients with NASH advanced fibrosis that explored use of three non-invasive imaging technologies, is now complete. It was a shorter, single site, four-month trial in 30 NASH patients with advanced fibrosis, but not cirrhosis, randomized 1:1 to either 9 bi-weekly doses of 8 mg/kg of GR-MD-02 or placebo. The trial did not meet its primary biomarker endpoint as measured using multi-parametric magnetic resonance imaging (LiverMultiScan</w:t>
      </w:r>
      <w:r>
        <w:rPr>
          <w:rFonts w:ascii="Arial" w:cs="Arial" w:eastAsia="Arial" w:hAnsi="Arial"/>
          <w:sz w:val="15"/>
          <w:szCs w:val="15"/>
          <w:color w:val="auto"/>
        </w:rPr>
        <w:t>(R)</w:t>
      </w:r>
      <w:r>
        <w:rPr>
          <w:rFonts w:ascii="Arial" w:cs="Arial" w:eastAsia="Arial" w:hAnsi="Arial"/>
          <w:sz w:val="18"/>
          <w:szCs w:val="18"/>
          <w:color w:val="auto"/>
        </w:rPr>
        <w:t>, Perspectum Diagnostics). The trial also did not meet secondary endpoints that measure liver stiffness as a surrogate for fibrosis using, magnetic</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resonance-elastography and FibroScan score. We, and many experts in the field, now believe that a four-month treatment period is not sufficient to show efficacy results. This small study was not powered for the secondary endpoints and thus, not surprisingly did not meet the secondary endpoints. In the trial, GR-MD-02 was found to be safe and well tolerated among the patient population with no serious adverse events.</w:t>
      </w:r>
    </w:p>
    <w:p>
      <w:pPr>
        <w:spacing w:after="0" w:line="16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Although there was no apparent improvement in the three non-invasive tests for assessment of liver fibrosis in the four-month NASH-FX trial, the principal investigator of the NASH-FX trial has stated that the inhibition of galectin-3 with GR-MD-02 remains promising for the treatment of NASH fibrosis. Of note is that GR-MD-02 has demonstrated an improved clinical effect in moderate-to-severe psoriasis, suggesting the compound has activity in an immune-mediated inflammatory human disease that can occur in association with NASH. We believe 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 Given galectin-3’s broad biological functionality, it has been demonstrated to be involved in cancer, inflammation and fibrosis, heart disease, and renal disease. We have further demonstrated the broad applicability of the actions of our galectin-3 inhibitor’s biological effect in ameliorating fibrosis involving lung, kidney, blood vessels, and cardiac tissues in a variety of animal models.</w:t>
      </w:r>
    </w:p>
    <w:p>
      <w:pPr>
        <w:spacing w:after="0" w:line="16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focus and goal of the therapeutic program is to stop the progression of and reverse the fibrosis in the liver and, thereby improve liver function and prevent the development of complications of fibrosis/cirrhosis and liver-related mortality in patients.</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Cancer Immunotherapy. </w:t>
      </w:r>
      <w:r>
        <w:rPr>
          <w:rFonts w:ascii="Arial" w:cs="Arial" w:eastAsia="Arial" w:hAnsi="Arial"/>
          <w:sz w:val="16"/>
          <w:szCs w:val="16"/>
          <w:color w:val="auto"/>
        </w:rPr>
        <w:t>We believe there is potential for galectin inhibition to play a key role in the burgeoning area of cancer immunotherapy. For</w:t>
      </w:r>
      <w:r>
        <w:rPr>
          <w:rFonts w:ascii="Arial" w:cs="Arial" w:eastAsia="Arial" w:hAnsi="Arial"/>
          <w:sz w:val="16"/>
          <w:szCs w:val="16"/>
          <w:i w:val="1"/>
          <w:iCs w:val="1"/>
          <w:color w:val="auto"/>
        </w:rPr>
        <w:t xml:space="preserve"> </w:t>
      </w:r>
      <w:r>
        <w:rPr>
          <w:rFonts w:ascii="Arial" w:cs="Arial" w:eastAsia="Arial" w:hAnsi="Arial"/>
          <w:sz w:val="16"/>
          <w:szCs w:val="16"/>
          <w:color w:val="auto"/>
        </w:rPr>
        <w:t>example, there have been several recent approvals of drugs that enhance a patient’s immune system to fight cancer. It is our goal to use a galectin inhibitor to enhance the immune system function to fight cancer in a way that complements other approaches to this type of therapy. This hypothesis is supported by the fact that galectin-3 is expressed at high levels in multiple types of tumors, adds to the malignant nature of the tumors, and protects the tumors from immune system attack. Our drug candidates provide a promising new therapeutic approach to enhance the activity of the immune system against cancer cells. Preclinical studies have indicated that GR-MD-02 enhances the immune response to cancer cells, increased tumor shrinkage and enhanced survival in immune competent mice with prostate, breast, melanoma and sarcoma cancers when combined with one of the immune checkpoint inhibitors, anti-CTLA-4 or anti-PD-1, and with the immune cell activator anti-OX40. These preclinical data led to the filing of two Investigator-sponsored INDs and the initiation of studies of GR-MD-02 in combination with Yervoy</w:t>
      </w:r>
      <w:r>
        <w:rPr>
          <w:rFonts w:ascii="Arial" w:cs="Arial" w:eastAsia="Arial" w:hAnsi="Arial"/>
          <w:sz w:val="13"/>
          <w:szCs w:val="13"/>
          <w:color w:val="auto"/>
        </w:rPr>
        <w:t>®</w:t>
      </w:r>
      <w:r>
        <w:rPr>
          <w:rFonts w:ascii="Arial" w:cs="Arial" w:eastAsia="Arial" w:hAnsi="Arial"/>
          <w:sz w:val="16"/>
          <w:szCs w:val="16"/>
          <w:color w:val="auto"/>
        </w:rPr>
        <w:t xml:space="preserve"> (ipilimumab) and KEYTRUDA (pembrolizumab) in Phase 1B studies of patients with metastatic melanoma. The KEYTRUDA trial has also been expanded to include patients with non-small cell lung cancer and head and neck squamous cell carcinoma. These studies are being conducted under the sponsorship of Providence Portland Medical Center’s Earle A. Chiles Research Institute (EACRI).</w:t>
      </w:r>
    </w:p>
    <w:p>
      <w:pPr>
        <w:spacing w:after="0" w:line="173"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Data on this combination immunotherapy program was presented on February 7, 2017 at the 9th GTCBio Immunotherapeutics &amp; Immunomonitoring Conference in San Diego, CA by Dr. William L. Redmond, Providence Cancer Center. Preclinical results in mouse models of multiple types of cancers showed important anti-tumor and increased survival effects of combining GR-MD-02 with different types of immune modulators, providing a case for progressing studies into human patients with cancer. Seven patients were treated in the GR-MD-02 in combination with Yervoy trial, with no safety concerns in these low dose cohorts. Due to changes in the standard of care for metastatic melanoma (i.e., approval of anti-PD-1), recruitment has been slowed significantly in this trial. Promising results were reported in the Phase 1b trial combining GR-MD-02 with pembrolizumab (KEYTRUDA). Cohort 1 was completed (n=6, 5 with melanoma, one head and neck) with one partial response and one mixed response in 5 melanoma patients. There was a rapid and marked tumor response after 3 doses of combined GR-MD-02 and pembrolizumab in the one partial response patient who had failed high-dose IL-2 and oncolytic virus + ipilimumab. The study is ongoing and progression to further development will be based on response rate as compared to historical response rates to pembrolizumab alone.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Severe skin diseases.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Psorasis. </w:t>
      </w:r>
      <w:r>
        <w:rPr>
          <w:rFonts w:ascii="Arial" w:cs="Arial" w:eastAsia="Arial" w:hAnsi="Arial"/>
          <w:sz w:val="18"/>
          <w:szCs w:val="18"/>
          <w:color w:val="auto"/>
        </w:rPr>
        <w:t>During our Phase 1 NASH fibrosis trial with GR-MD-02, a clinical effect on plaque psoriasis was observed in a NASH patient who also had</w:t>
      </w:r>
      <w:r>
        <w:rPr>
          <w:rFonts w:ascii="Arial" w:cs="Arial" w:eastAsia="Arial" w:hAnsi="Arial"/>
          <w:sz w:val="18"/>
          <w:szCs w:val="18"/>
          <w:i w:val="1"/>
          <w:iCs w:val="1"/>
          <w:color w:val="auto"/>
        </w:rPr>
        <w:t xml:space="preserve"> </w:t>
      </w:r>
      <w:r>
        <w:rPr>
          <w:rFonts w:ascii="Arial" w:cs="Arial" w:eastAsia="Arial" w:hAnsi="Arial"/>
          <w:sz w:val="18"/>
          <w:szCs w:val="18"/>
          <w:color w:val="auto"/>
        </w:rPr>
        <w:t>this disease. This patient had marked improvement in her psoriasis, with improvement beginning after the third infusion. She reported that her psoriasis was “completely gone” and her skin was “normal” after the fourth infusion. Her skin remained normal for 17 months after the final infusion of study drug. The patient is convinced that the improvement in her psoriasis is related to the study drug.</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serendipitous finding, combined with galectin-3 protein being markedly upregulated in the capillary epithelia (small blood vessels) of the psoriatic dermis (plaque lesions), led to a phase 2a trial in patients with moderate to severe plaque psoriasis. GR-MD-02 inhibition of galectin-3 may attenuate capillary changes in the psoriatic dermis and inflammatory recruitment, perhaps explaining the improvements observed in the NASH fibrosis trial patient. In this open-label, unblinded trial (no placebo, all patients knowingly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receive active drug), 5 patients with moderate to severe plaque psoriasis were administered GR-MD-02 every two weeks for 24 weeks. In May 2016, we reported positive results on the first four patients after 12 weeks of therapy. Based on these results, we modified the trial to include 24 weeks of therapy. In August 2016, we reported on four patients after 24 weeks of therapy and one patient after 12 weeks of therapy. The four patients who received 24 weeks of therapy experienced an average of 48% improvement in their plaque psoriasis. At this time, the average response in all five patients remains at 50% with one patient having an 82% improvement. However, there are existing drugs on the market in this disease that produce 75% and higher improvements in 60-90% of patients. While we are encouraged that this study has demonstrated clinically meaningful results in a human disease with GR-MD-02, the next steps would entail a controlled, does-ranging clinical trial which we do not expect to conduct absent a strategic partnership. The results of this Phase 2a clinical trial was presented at the Maui Derm for Dermatologists meeting in March 2017.</w:t>
      </w:r>
    </w:p>
    <w:p>
      <w:pPr>
        <w:spacing w:after="0" w:line="17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Atopic Dermatitis</w:t>
      </w:r>
      <w:r>
        <w:rPr>
          <w:rFonts w:ascii="Arial" w:cs="Arial" w:eastAsia="Arial" w:hAnsi="Arial"/>
          <w:sz w:val="18"/>
          <w:szCs w:val="18"/>
          <w:color w:val="auto"/>
        </w:rPr>
        <w:t>. Atopic Dermatitis (AD) is a chronic pruritic (itching), immune-mediated, inflammatory skin disease that for some adult patients can</w:t>
      </w:r>
      <w:r>
        <w:rPr>
          <w:rFonts w:ascii="Arial" w:cs="Arial" w:eastAsia="Arial" w:hAnsi="Arial"/>
          <w:sz w:val="18"/>
          <w:szCs w:val="18"/>
          <w:i w:val="1"/>
          <w:iCs w:val="1"/>
          <w:color w:val="auto"/>
        </w:rPr>
        <w:t xml:space="preserve"> </w:t>
      </w:r>
      <w:r>
        <w:rPr>
          <w:rFonts w:ascii="Arial" w:cs="Arial" w:eastAsia="Arial" w:hAnsi="Arial"/>
          <w:sz w:val="18"/>
          <w:szCs w:val="18"/>
          <w:color w:val="auto"/>
        </w:rPr>
        <w:t>be severe and debilitating. There is an important unmet medical need in adults with severe disease who are not adequately treated with topical medicines. Our findings in psoriasis led to an interest in exploring the potential utility of the compound in treatment of AD. A Phase 2a open label trial was initiated in 3 adult patients who were treated with GR-MD-02 at 8 mg/Kg every other week for 12 weeks, and dosage could be increased to 12 mg/Kg for weeks 12-24 if an incomplete response was observed. The response was objectively evaluated using two validated scores: the EASI (eczema area and severity index) and SCORAD (severity scoring of atopic dermatitis index). All three patients showed clinical responses as determined by reduction of EASI. Two patients achieved a 64% and 74% reduction in EASI at six weeks after receiving only three doses of GR-MD-02. These initial finding are believed to suggest a clinically relevant effect.</w:t>
      </w:r>
    </w:p>
    <w:p>
      <w:pPr>
        <w:spacing w:after="0" w:line="192"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We believe the mechanism of action for GR-MD-02 in moderate to severe skin diseases is based upon interaction with, and inhibition of, galectin proteins, particularly galectin-3, which are expressed at high levels in certain pathological states including inflammation, fibrosis, skin diseases and cancer. While GR-MD-02 is capable of binding to multiple galectin proteins, we believe that it has the greatest affinity for galectin-3, the most prominent galectin implicated in pathological processes. Blocking galectin in cancer and liver fibrosis has specific salutary effects on the disease process.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2017 Compared to Three Months Ended March 31,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40" w:type="dxa"/>
            <w:vAlign w:val="bottom"/>
            <w:gridSpan w:val="3"/>
          </w:tcPr>
          <w:p>
            <w:pPr>
              <w:jc w:val="center"/>
              <w:ind w:right="240"/>
              <w:spacing w:after="0"/>
              <w:rPr>
                <w:sz w:val="20"/>
                <w:szCs w:val="20"/>
                <w:color w:val="auto"/>
              </w:rPr>
            </w:pPr>
            <w:r>
              <w:rPr>
                <w:rFonts w:ascii="Arial" w:cs="Arial" w:eastAsia="Arial" w:hAnsi="Arial"/>
                <w:sz w:val="14"/>
                <w:szCs w:val="14"/>
                <w:color w:val="auto"/>
                <w:w w:val="94"/>
              </w:rPr>
              <w:t>Three Months</w:t>
            </w:r>
          </w:p>
        </w:tc>
        <w:tc>
          <w:tcPr>
            <w:tcW w:w="260" w:type="dxa"/>
            <w:vAlign w:val="bottom"/>
          </w:tcPr>
          <w:p>
            <w:pPr>
              <w:spacing w:after="0"/>
              <w:rPr>
                <w:sz w:val="14"/>
                <w:szCs w:val="14"/>
                <w:color w:val="auto"/>
              </w:rPr>
            </w:pPr>
          </w:p>
        </w:tc>
        <w:tc>
          <w:tcPr>
            <w:tcW w:w="2140" w:type="dxa"/>
            <w:vAlign w:val="bottom"/>
            <w:gridSpan w:val="3"/>
          </w:tcPr>
          <w:p>
            <w:pPr>
              <w:jc w:val="center"/>
              <w:ind w:right="260"/>
              <w:spacing w:after="0"/>
              <w:rPr>
                <w:sz w:val="20"/>
                <w:szCs w:val="20"/>
                <w:color w:val="auto"/>
              </w:rPr>
            </w:pPr>
            <w:r>
              <w:rPr>
                <w:rFonts w:ascii="Arial" w:cs="Arial" w:eastAsia="Arial" w:hAnsi="Arial"/>
                <w:sz w:val="14"/>
                <w:szCs w:val="14"/>
                <w:color w:val="auto"/>
                <w:w w:val="91"/>
              </w:rPr>
              <w:t>2017 as Compared to 2016</w:t>
            </w:r>
          </w:p>
        </w:tc>
      </w:tr>
      <w:tr>
        <w:trPr>
          <w:trHeight w:val="167"/>
        </w:trPr>
        <w:tc>
          <w:tcPr>
            <w:tcW w:w="4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40" w:type="dxa"/>
            <w:vAlign w:val="bottom"/>
            <w:gridSpan w:val="3"/>
          </w:tcPr>
          <w:p>
            <w:pPr>
              <w:jc w:val="center"/>
              <w:ind w:right="260"/>
              <w:spacing w:after="0"/>
              <w:rPr>
                <w:sz w:val="20"/>
                <w:szCs w:val="20"/>
                <w:color w:val="auto"/>
              </w:rPr>
            </w:pPr>
            <w:r>
              <w:rPr>
                <w:rFonts w:ascii="Arial" w:cs="Arial" w:eastAsia="Arial" w:hAnsi="Arial"/>
                <w:sz w:val="14"/>
                <w:szCs w:val="14"/>
                <w:color w:val="auto"/>
                <w:w w:val="93"/>
              </w:rPr>
              <w:t>Ended March 31,</w:t>
            </w:r>
          </w:p>
        </w:tc>
        <w:tc>
          <w:tcPr>
            <w:tcW w:w="260" w:type="dxa"/>
            <w:vAlign w:val="bottom"/>
          </w:tcPr>
          <w:p>
            <w:pPr>
              <w:spacing w:after="0"/>
              <w:rPr>
                <w:sz w:val="14"/>
                <w:szCs w:val="14"/>
                <w:color w:val="auto"/>
              </w:rPr>
            </w:pPr>
          </w:p>
        </w:tc>
        <w:tc>
          <w:tcPr>
            <w:tcW w:w="2140" w:type="dxa"/>
            <w:vAlign w:val="bottom"/>
            <w:gridSpan w:val="3"/>
          </w:tcPr>
          <w:p>
            <w:pPr>
              <w:jc w:val="center"/>
              <w:ind w:right="260"/>
              <w:spacing w:after="0"/>
              <w:rPr>
                <w:sz w:val="20"/>
                <w:szCs w:val="20"/>
                <w:color w:val="auto"/>
              </w:rPr>
            </w:pPr>
            <w:r>
              <w:rPr>
                <w:rFonts w:ascii="Arial" w:cs="Arial" w:eastAsia="Arial" w:hAnsi="Arial"/>
                <w:sz w:val="14"/>
                <w:szCs w:val="14"/>
                <w:color w:val="auto"/>
                <w:w w:val="92"/>
              </w:rPr>
              <w:t>Three Months</w:t>
            </w:r>
          </w:p>
        </w:tc>
      </w:tr>
      <w:tr>
        <w:trPr>
          <w:trHeight w:val="142"/>
        </w:trPr>
        <w:tc>
          <w:tcPr>
            <w:tcW w:w="4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color w:val="auto"/>
              </w:rPr>
              <w:t>2017</w:t>
            </w:r>
          </w:p>
        </w:tc>
        <w:tc>
          <w:tcPr>
            <w:tcW w:w="76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color w:val="auto"/>
              </w:rPr>
              <w:t>2016</w:t>
            </w: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w w:val="92"/>
              </w:rPr>
              <w:t>$ Change</w:t>
            </w:r>
          </w:p>
        </w:tc>
        <w:tc>
          <w:tcPr>
            <w:tcW w:w="92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color w:val="auto"/>
                <w:w w:val="94"/>
              </w:rPr>
              <w:t>% Change</w:t>
            </w:r>
          </w:p>
        </w:tc>
        <w:tc>
          <w:tcPr>
            <w:tcW w:w="260" w:type="dxa"/>
            <w:vAlign w:val="bottom"/>
          </w:tcPr>
          <w:p>
            <w:pPr>
              <w:spacing w:after="0"/>
              <w:rPr>
                <w:sz w:val="12"/>
                <w:szCs w:val="12"/>
                <w:color w:val="auto"/>
              </w:rPr>
            </w:pPr>
          </w:p>
        </w:tc>
      </w:tr>
      <w:tr>
        <w:trPr>
          <w:trHeight w:val="142"/>
        </w:trPr>
        <w:tc>
          <w:tcPr>
            <w:tcW w:w="4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20" w:type="dxa"/>
            <w:vAlign w:val="bottom"/>
            <w:gridSpan w:val="4"/>
          </w:tcPr>
          <w:p>
            <w:pPr>
              <w:jc w:val="right"/>
              <w:ind w:right="228"/>
              <w:spacing w:after="0" w:line="142" w:lineRule="exact"/>
              <w:rPr>
                <w:sz w:val="20"/>
                <w:szCs w:val="20"/>
                <w:color w:val="auto"/>
              </w:rPr>
            </w:pPr>
            <w:r>
              <w:rPr>
                <w:rFonts w:ascii="Arial" w:cs="Arial" w:eastAsia="Arial" w:hAnsi="Arial"/>
                <w:sz w:val="14"/>
                <w:szCs w:val="14"/>
                <w:color w:val="auto"/>
              </w:rPr>
              <w:t>(In thousands, except %)</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$3,772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$4,377</w:t>
            </w:r>
          </w:p>
        </w:tc>
        <w:tc>
          <w:tcPr>
            <w:tcW w:w="12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  (605)</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bl>
    <w:p>
      <w:pPr>
        <w:spacing w:after="0" w:line="202"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79"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We have two product candidates, GR-MD-02 and GM-CT-01; however only GR-MD-02 is in active development. We filed for an IND for GR-MD-02 in January 2013 and in February 2013 we entered into an agreement with CTI to conduct a Phase 1 clinical trial of GR-MD-02. In March 2013, the FDA indicated we could proceed with a Phase 1 human clinical trial of GR-MD-02, and we began enrolling patients in the third quarter of 2013. In January 2014, we completed the enrollment of the first cohort of patients in the Phase 1 trial with no serious adverse events being reported. We reported initial safety and tolerability results from the first cohort of patients on March 31, 2014. The second cohort of this Phase 1 trial began and enrollment was completed in April 2014. In July 2014, we reported the results from the second cohort of patients. Enrollment of the third cohort of Phase 1 began in July 2014 with interim results presented in November 2014 with the final report on cohort 3 presented in January 2015. The results of the Phase 1 study demonstrate that</w:t>
      </w:r>
    </w:p>
    <w:p>
      <w:pPr>
        <w:spacing w:after="0" w:line="3" w:lineRule="exact"/>
        <w:rPr>
          <w:sz w:val="20"/>
          <w:szCs w:val="20"/>
          <w:color w:val="auto"/>
        </w:rPr>
      </w:pPr>
    </w:p>
    <w:p>
      <w:pPr>
        <w:ind w:right="100" w:firstLine="8"/>
        <w:spacing w:after="0" w:line="254" w:lineRule="auto"/>
        <w:tabs>
          <w:tab w:leader="none" w:pos="21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GR-MD-02 was safe and well tolerated by patients with advanced NASH liver fibrosis after IV administration of four doses of 2 mg/kg, 4 mg/kg and 8mg/kg lean body weight, (ii) Pharmacokinetics revealed drug exposure in humans at the 8 mg/kg dose that was equivalent to the upper range of the targeted therapeutic dose determined from effective doses in NASH animal models, (iii) Disease Serum Marker Effect showed there was a statistically significant, dose-dependent reduction in FibroTest </w:t>
      </w:r>
      <w:r>
        <w:rPr>
          <w:rFonts w:ascii="Arial" w:cs="Arial" w:eastAsia="Arial" w:hAnsi="Arial"/>
          <w:sz w:val="15"/>
          <w:szCs w:val="15"/>
          <w:color w:val="auto"/>
        </w:rPr>
        <w:t>®</w:t>
      </w:r>
      <w:r>
        <w:rPr>
          <w:rFonts w:ascii="Arial" w:cs="Arial" w:eastAsia="Arial" w:hAnsi="Arial"/>
          <w:sz w:val="18"/>
          <w:szCs w:val="18"/>
          <w:color w:val="auto"/>
        </w:rPr>
        <w:t xml:space="preserve"> scores due to a</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statistically significant reduction in alpha-2 macroglobulin (A2M) serum levels, and (iv) Liver Stiffness Effect, as measured by FibroScan </w:t>
      </w:r>
      <w:r>
        <w:rPr>
          <w:rFonts w:ascii="Arial" w:cs="Arial" w:eastAsia="Arial" w:hAnsi="Arial"/>
          <w:sz w:val="14"/>
          <w:szCs w:val="14"/>
          <w:color w:val="auto"/>
        </w:rPr>
        <w:t>®</w:t>
      </w:r>
      <w:r>
        <w:rPr>
          <w:rFonts w:ascii="Arial" w:cs="Arial" w:eastAsia="Arial" w:hAnsi="Arial"/>
          <w:sz w:val="17"/>
          <w:szCs w:val="17"/>
          <w:color w:val="auto"/>
        </w:rPr>
        <w:t xml:space="preserve"> showed that there was a signal of reduced liver stiffness in patients receiving GR-MD-02. The reduction seen in A2M does </w:t>
      </w:r>
      <w:r>
        <w:rPr>
          <w:rFonts w:ascii="Arial" w:cs="Arial" w:eastAsia="Arial" w:hAnsi="Arial"/>
          <w:sz w:val="17"/>
          <w:szCs w:val="17"/>
          <w:i w:val="1"/>
          <w:iCs w:val="1"/>
          <w:color w:val="auto"/>
        </w:rPr>
        <w:t>not</w:t>
      </w:r>
      <w:r>
        <w:rPr>
          <w:rFonts w:ascii="Arial" w:cs="Arial" w:eastAsia="Arial" w:hAnsi="Arial"/>
          <w:sz w:val="17"/>
          <w:szCs w:val="17"/>
          <w:color w:val="auto"/>
        </w:rPr>
        <w:t xml:space="preserve"> necessarily mean fibrosis got better in this short study, but does suggest changes in the fibrogenic process that might lead to an improvement in fibrosis with longer-term therapy. These Phase 1 results in NASH patients with advanced fibrosis provide a firm foundation for entry into a Phase 2 development program.</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Company held an “End of Phase 1 meeting” with the FDA and, amongst other things, received guidance on the primary endpoints for a Phase 2 trial. Our Phase 2 program in fibrotic disease consists of two separate human clinical trials. The first clinical trial is the Phase 2b NASH-CX study for patients with NASH with cirrhosis, which began enrolling in June 2015. This study is the primary focus of our program and is a randomized, placebo-controlled, double-blind, parallel-group Phase 2 trial to evaluate the safety and efficacy of GR-MD-02 for the treatment of liver fibrosis and resultant portal hypertension in patients with NASH cirrhosis. Enrollment in this trial was completed in September 2016, and a total of 162 patients at 36 sites in the United States were be randomized to receive either 2 mg/kg of GR-MD-02, 8 mg/kg of GR-MD-02 or placebo, with approximately 54 patients in each group. The primary endpoint is a reduction in change in hepatic venous pressure gradient (HVPG). Patients are receiving an infusion every other week for one year, total of 26 infusions, and will be evaluated to determine the change in HVPG as compared with placebo. HVPG will be correlated with secondary endpoints of fibrosis on liver biopsy as well as with measurement of liver stiffness (FibroScan</w:t>
      </w:r>
      <w:r>
        <w:rPr>
          <w:rFonts w:ascii="Arial" w:cs="Arial" w:eastAsia="Arial" w:hAnsi="Arial"/>
          <w:sz w:val="13"/>
          <w:szCs w:val="13"/>
          <w:color w:val="auto"/>
        </w:rPr>
        <w:t>(R)</w:t>
      </w:r>
      <w:r>
        <w:rPr>
          <w:rFonts w:ascii="Arial" w:cs="Arial" w:eastAsia="Arial" w:hAnsi="Arial"/>
          <w:sz w:val="16"/>
          <w:szCs w:val="16"/>
          <w:color w:val="auto"/>
        </w:rPr>
        <w:t>) and assessment of liver metabolism (</w:t>
      </w:r>
      <w:r>
        <w:rPr>
          <w:rFonts w:ascii="Arial" w:cs="Arial" w:eastAsia="Arial" w:hAnsi="Arial"/>
          <w:sz w:val="13"/>
          <w:szCs w:val="13"/>
          <w:color w:val="auto"/>
        </w:rPr>
        <w:t>13</w:t>
      </w:r>
      <w:r>
        <w:rPr>
          <w:rFonts w:ascii="Arial" w:cs="Arial" w:eastAsia="Arial" w:hAnsi="Arial"/>
          <w:sz w:val="16"/>
          <w:szCs w:val="16"/>
          <w:color w:val="auto"/>
        </w:rPr>
        <w:t>C-methacetin breath test, Exalenz), which are non-invasive measures of the liver that may be used in future studies. Data readout is expected in early December 2017.</w:t>
      </w:r>
    </w:p>
    <w:p>
      <w:pPr>
        <w:spacing w:after="0" w:line="16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second trial, our Phase 2a pilot trial NASH-FX for patients with NASH advanced fibrosis which explored use of three non-invasive imaging technologies, is now complete. It was a shorter, four-month trial in 30 NASH patients with advanced fibrosis, but not cirrhosis, randomized 1:1 to either 9 bi-weekly doses of 8 mg/kg of GR-MD-02 or placebo. The trial did not meet its primary biomarker endpoint as measured using multi-parametric magnetic resonance imaging (LiverMultiScan</w:t>
      </w:r>
      <w:r>
        <w:rPr>
          <w:rFonts w:ascii="Arial" w:cs="Arial" w:eastAsia="Arial" w:hAnsi="Arial"/>
          <w:sz w:val="13"/>
          <w:szCs w:val="13"/>
          <w:color w:val="auto"/>
        </w:rPr>
        <w:t>(R)</w:t>
      </w:r>
      <w:r>
        <w:rPr>
          <w:rFonts w:ascii="Arial" w:cs="Arial" w:eastAsia="Arial" w:hAnsi="Arial"/>
          <w:sz w:val="16"/>
          <w:szCs w:val="16"/>
          <w:color w:val="auto"/>
        </w:rPr>
        <w:t>, Perspectum Diagnostics). The trial also did not meet secondary endpoints that measure liver stiffness as a surrogate for fibrosis using, magnetic resonance-elastography and FibroScan score. We, and many experts in the field, now believe that a four month treatment period is not sufficient to show efficacy results. This small study was not powered for the secondary endpoints and thus, not surprisingly did not meet the secondary endpoints. In the trial, GR-MD-02 was found to be safe and well tolerated among the patient population with no serious adverse events.</w:t>
      </w:r>
    </w:p>
    <w:p>
      <w:pPr>
        <w:spacing w:after="0" w:line="16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Although there was no apparent improvement in the three non-invasive tests for assessment of liver fibrosis in the four-month NASH-FX trial, the principal investigator of the NASH-FX trial has stated that the inhibition of galectin-3 with GR-MD-02 remains promising for the treatment of NASH fibrosis. Of note is that GR-MD-02 has demonstrated an improved clinical effect in moderate-to-severe psoriasis, suggesting the compound has activity in a human disease that can occur in association with NASH. We believe 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 Given galectin-3’s broad biological functionality, it has been demonstrated to be involved in cancer, inflammation and fibrosis, heart disease, renal disease and stroke. We have further demonstrated the broad applicability of the actions of our galectin-3 inhibitor’s biological effect in ameliorating fibrosis involving lung, kidney and cardiac tissues in a variety of animal models.</w:t>
      </w:r>
    </w:p>
    <w:p>
      <w:pPr>
        <w:spacing w:after="0" w:line="16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focus and goal of the therapeutic program is to stop the progression of and reverse the fibrosis in the liver and, thereby improve liver function and prevent the development of complications of fibrosis/cirrhosis and liver-related mortality in patients.</w:t>
      </w:r>
    </w:p>
    <w:p>
      <w:pPr>
        <w:spacing w:after="0" w:line="170"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Additionally, during the Phase 1 clinical trial, there appeared to be a potential beneficial effect on at least one patient’s moderate to severe psoriasis. This serendipitous finding, combined with galectin-3 protein being markedly upregulated in the capillary epithelia (small blood vessels) of the psoriatic dermis (plaque lesions), led to a phase 2a trial in patients with moderate to severe plaque psoriasis. GR-MD-02 inhibition of galectin-3 may attenuate capillary changes in the psoriatic dermis and inflammatory recruitment, perhaps explaining the improvements observed in the NASH fibrosis trial patient. In this open-label, unblinded trial (no placebo, all patients knowingly receive active drug), 4 patients with moderate to severe plaque psoriasis were administered GR-MD-02 every two weeks for 12 weeks. In May 2016, we reported positive results on the first four patients after 12 weeks of therapy. Based on these results, we modified the trial to include 24 weeks of therapy. In August 2016, we reported on four patients after 24 weeks of therapy and one patient after</w:t>
      </w:r>
    </w:p>
    <w:p>
      <w:pPr>
        <w:spacing w:after="0" w:line="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12 weeks of therapy. The four patients who received 24 weeks of therapy experienced an average of 48% improvement in their plaque psoriasis. However, there are existing drugs on the market in this disease that produce 75% and higher improvements. While we are encouraged that this study has demonstrated clinically meaningful results in a human disease with GR-MD-02, we do not expect to conduct further trials in this area absent a strategic partnership.</w:t>
      </w:r>
    </w:p>
    <w:p>
      <w:pPr>
        <w:spacing w:after="0" w:line="15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An open label drug-drug interaction study was completed with GR-MD-02 and it showed that with 8 mg/kg dose of GR-MD-02 and 2 mg/kg dose of midazolam there was no drug-drug interaction and no serious adverse events or drug-related adverse events were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observed. This study was required by the FDA and the primary objective was to determine if single or multiple intravenous (IV) doses of GR-MD-02 affect the pharmacokinetics (PK) of midazolam. The secondary objective was to assess the safety and tolerability of GR-MD-02 when administered concomitantly with midazolam. The lack of a drug interaction in this study enables Galectin to expand the number of patients eligible for its Phase 2 clinical trial. In addition, should GR-MD-02 be approved for marketing, the success of this study supports a broader patient population for the drug label.</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Based on guidance from FDA and in furtherance of its understanding of the GR-MD-02 molecule, we continue to enhance its chemistry, manufacturing and control procedures on GR-MD-02 active pharmaceutical ingredient (API) as well as on the finished, sterile, pharmaceutical dosage form. Various state of the art and cutting-edge analytical technologies are being utilized, for example, to characterize and quantify the backbone vs. side-chain constituents and their quantitation, use of sophisticated linkage analysis with 2-D NMR to provide both qualitative and quantitative information on the proportion of oligomers, degree of methylation, as well as other monoclonal specific antibody techniques to map GR oligomer integrity and distribution. The Company has also characterized how the GR molecule behaves under conditions of forced degradation.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research and development expenses were as follows:</w:t>
      </w:r>
    </w:p>
    <w:p>
      <w:pPr>
        <w:spacing w:after="0" w:line="247" w:lineRule="exact"/>
        <w:rPr>
          <w:sz w:val="20"/>
          <w:szCs w:val="20"/>
          <w:color w:val="auto"/>
        </w:rPr>
      </w:pPr>
    </w:p>
    <w:p>
      <w:pPr>
        <w:jc w:val="center"/>
        <w:ind w:left="7180"/>
        <w:spacing w:after="0"/>
        <w:rPr>
          <w:sz w:val="20"/>
          <w:szCs w:val="20"/>
          <w:color w:val="auto"/>
        </w:rPr>
      </w:pPr>
      <w:r>
        <w:rPr>
          <w:rFonts w:ascii="Arial" w:cs="Arial" w:eastAsia="Arial" w:hAnsi="Arial"/>
          <w:sz w:val="14"/>
          <w:szCs w:val="14"/>
          <w:color w:val="auto"/>
        </w:rPr>
        <w:t>Three Months</w:t>
      </w:r>
    </w:p>
    <w:p>
      <w:pPr>
        <w:jc w:val="center"/>
        <w:ind w:left="7180"/>
        <w:spacing w:after="0" w:line="221" w:lineRule="auto"/>
        <w:rPr>
          <w:sz w:val="20"/>
          <w:szCs w:val="20"/>
          <w:color w:val="auto"/>
        </w:rPr>
      </w:pPr>
      <w:r>
        <w:rPr>
          <w:rFonts w:ascii="Arial" w:cs="Arial" w:eastAsia="Arial" w:hAnsi="Arial"/>
          <w:sz w:val="14"/>
          <w:szCs w:val="14"/>
          <w:color w:val="auto"/>
        </w:rPr>
        <w:t>Ended</w:t>
      </w:r>
    </w:p>
    <w:p>
      <w:pPr>
        <w:jc w:val="center"/>
        <w:ind w:left="7180"/>
        <w:spacing w:after="0" w:line="231" w:lineRule="auto"/>
        <w:rPr>
          <w:sz w:val="20"/>
          <w:szCs w:val="20"/>
          <w:color w:val="auto"/>
        </w:rPr>
      </w:pPr>
      <w:r>
        <w:rPr>
          <w:rFonts w:ascii="Arial" w:cs="Arial" w:eastAsia="Arial" w:hAnsi="Arial"/>
          <w:sz w:val="14"/>
          <w:szCs w:val="14"/>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23"/>
        </w:trPr>
        <w:tc>
          <w:tcPr>
            <w:tcW w:w="52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500" w:type="dxa"/>
            <w:vAlign w:val="bottom"/>
            <w:tcBorders>
              <w:top w:val="single" w:sz="8" w:color="auto"/>
            </w:tcBorders>
          </w:tcPr>
          <w:p>
            <w:pPr>
              <w:jc w:val="right"/>
              <w:ind w:right="42"/>
              <w:spacing w:after="0" w:line="123" w:lineRule="exact"/>
              <w:rPr>
                <w:sz w:val="20"/>
                <w:szCs w:val="20"/>
                <w:color w:val="auto"/>
              </w:rPr>
            </w:pPr>
            <w:r>
              <w:rPr>
                <w:rFonts w:ascii="Arial" w:cs="Arial" w:eastAsia="Arial" w:hAnsi="Arial"/>
                <w:sz w:val="14"/>
                <w:szCs w:val="14"/>
                <w:color w:val="auto"/>
              </w:rPr>
              <w:t>2017</w:t>
            </w:r>
          </w:p>
        </w:tc>
        <w:tc>
          <w:tcPr>
            <w:tcW w:w="880" w:type="dxa"/>
            <w:vAlign w:val="bottom"/>
            <w:tcBorders>
              <w:top w:val="single" w:sz="8" w:color="auto"/>
            </w:tcBorders>
            <w:gridSpan w:val="2"/>
          </w:tcPr>
          <w:p>
            <w:pPr>
              <w:jc w:val="right"/>
              <w:ind w:right="30"/>
              <w:spacing w:after="0" w:line="123"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0"/>
                <w:szCs w:val="10"/>
                <w:color w:val="auto"/>
              </w:rPr>
            </w:pPr>
          </w:p>
        </w:tc>
      </w:tr>
      <w:tr>
        <w:trPr>
          <w:trHeight w:val="167"/>
        </w:trPr>
        <w:tc>
          <w:tcPr>
            <w:tcW w:w="5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40" w:type="dxa"/>
            <w:vAlign w:val="bottom"/>
            <w:gridSpan w:val="4"/>
          </w:tcPr>
          <w:p>
            <w:pPr>
              <w:ind w:left="260"/>
              <w:spacing w:after="0"/>
              <w:rPr>
                <w:sz w:val="20"/>
                <w:szCs w:val="20"/>
                <w:color w:val="auto"/>
              </w:rPr>
            </w:pPr>
            <w:r>
              <w:rPr>
                <w:rFonts w:ascii="Arial" w:cs="Arial" w:eastAsia="Arial" w:hAnsi="Arial"/>
                <w:sz w:val="14"/>
                <w:szCs w:val="14"/>
                <w:color w:val="auto"/>
              </w:rPr>
              <w:t>(in thousands)</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2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Clinical activities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$3,162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$3,407</w:t>
            </w: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Pre-clinical activities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60" w:type="dxa"/>
            <w:vAlign w:val="bottom"/>
            <w:shd w:val="clear" w:color="auto" w:fill="CCEEFF"/>
          </w:tcPr>
          <w:p>
            <w:pPr>
              <w:spacing w:after="0"/>
              <w:rPr>
                <w:sz w:val="18"/>
                <w:szCs w:val="18"/>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All other research and development expenses</w:t>
            </w:r>
          </w:p>
        </w:tc>
        <w:tc>
          <w:tcPr>
            <w:tcW w:w="20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60" w:type="dxa"/>
            <w:vAlign w:val="bottom"/>
          </w:tcPr>
          <w:p>
            <w:pPr>
              <w:spacing w:after="0"/>
              <w:rPr>
                <w:sz w:val="19"/>
                <w:szCs w:val="19"/>
                <w:color w:val="auto"/>
              </w:rPr>
            </w:pPr>
          </w:p>
        </w:tc>
      </w:tr>
      <w:tr>
        <w:trPr>
          <w:trHeight w:val="216"/>
        </w:trPr>
        <w:tc>
          <w:tcPr>
            <w:tcW w:w="524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3,772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4,377</w:t>
            </w:r>
          </w:p>
        </w:tc>
        <w:tc>
          <w:tcPr>
            <w:tcW w:w="60" w:type="dxa"/>
            <w:vAlign w:val="bottom"/>
            <w:shd w:val="clear" w:color="auto" w:fill="CCEEFF"/>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Clinical programs expenses decreased primarily due to costs related to our Phase 2 clinical trials during the three months ended March 31, 2017 as compared to the same period in 2016. As we continue our Phase 2 trials, we expect our clinical activities costs will increase and may fluctuate from quarter to quarter as the trials progress. Clinical activities expenses primarily decreased due to reduced expenses associated with drug manufacturing and preparation. Pre-clinical activities decreased primarily because we have completed pre-clinical work directly related to our Phase 2 clinical trial program. Other research and development expense decreased primarily due to a decrease in non-cash stock-based compensation expense of approximately $88,000.</w:t>
      </w:r>
    </w:p>
    <w:p>
      <w:pPr>
        <w:spacing w:after="0" w:line="158"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6"/>
          <w:szCs w:val="16"/>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w:t>
      </w:r>
    </w:p>
    <w:p>
      <w:pPr>
        <w:spacing w:after="0" w:line="2"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40" w:type="dxa"/>
            <w:vAlign w:val="bottom"/>
            <w:gridSpan w:val="3"/>
          </w:tcPr>
          <w:p>
            <w:pPr>
              <w:jc w:val="center"/>
              <w:ind w:right="240"/>
              <w:spacing w:after="0"/>
              <w:rPr>
                <w:sz w:val="20"/>
                <w:szCs w:val="20"/>
                <w:color w:val="auto"/>
              </w:rPr>
            </w:pPr>
            <w:r>
              <w:rPr>
                <w:rFonts w:ascii="Arial" w:cs="Arial" w:eastAsia="Arial" w:hAnsi="Arial"/>
                <w:sz w:val="14"/>
                <w:szCs w:val="14"/>
                <w:color w:val="auto"/>
                <w:w w:val="94"/>
              </w:rPr>
              <w:t>Three Months</w:t>
            </w:r>
          </w:p>
        </w:tc>
        <w:tc>
          <w:tcPr>
            <w:tcW w:w="260" w:type="dxa"/>
            <w:vAlign w:val="bottom"/>
          </w:tcPr>
          <w:p>
            <w:pPr>
              <w:spacing w:after="0"/>
              <w:rPr>
                <w:sz w:val="14"/>
                <w:szCs w:val="14"/>
                <w:color w:val="auto"/>
              </w:rPr>
            </w:pPr>
          </w:p>
        </w:tc>
        <w:tc>
          <w:tcPr>
            <w:tcW w:w="2140" w:type="dxa"/>
            <w:vAlign w:val="bottom"/>
            <w:gridSpan w:val="3"/>
          </w:tcPr>
          <w:p>
            <w:pPr>
              <w:jc w:val="center"/>
              <w:ind w:right="260"/>
              <w:spacing w:after="0"/>
              <w:rPr>
                <w:sz w:val="20"/>
                <w:szCs w:val="20"/>
                <w:color w:val="auto"/>
              </w:rPr>
            </w:pPr>
            <w:r>
              <w:rPr>
                <w:rFonts w:ascii="Arial" w:cs="Arial" w:eastAsia="Arial" w:hAnsi="Arial"/>
                <w:sz w:val="14"/>
                <w:szCs w:val="14"/>
                <w:color w:val="auto"/>
                <w:w w:val="91"/>
              </w:rPr>
              <w:t>2017 as Compared to 2016</w:t>
            </w:r>
          </w:p>
        </w:tc>
      </w:tr>
      <w:tr>
        <w:trPr>
          <w:trHeight w:val="167"/>
        </w:trPr>
        <w:tc>
          <w:tcPr>
            <w:tcW w:w="4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40" w:type="dxa"/>
            <w:vAlign w:val="bottom"/>
            <w:gridSpan w:val="3"/>
          </w:tcPr>
          <w:p>
            <w:pPr>
              <w:jc w:val="center"/>
              <w:ind w:right="260"/>
              <w:spacing w:after="0"/>
              <w:rPr>
                <w:sz w:val="20"/>
                <w:szCs w:val="20"/>
                <w:color w:val="auto"/>
              </w:rPr>
            </w:pPr>
            <w:r>
              <w:rPr>
                <w:rFonts w:ascii="Arial" w:cs="Arial" w:eastAsia="Arial" w:hAnsi="Arial"/>
                <w:sz w:val="14"/>
                <w:szCs w:val="14"/>
                <w:color w:val="auto"/>
                <w:w w:val="93"/>
              </w:rPr>
              <w:t>Ended March 31,</w:t>
            </w:r>
          </w:p>
        </w:tc>
        <w:tc>
          <w:tcPr>
            <w:tcW w:w="260" w:type="dxa"/>
            <w:vAlign w:val="bottom"/>
          </w:tcPr>
          <w:p>
            <w:pPr>
              <w:spacing w:after="0"/>
              <w:rPr>
                <w:sz w:val="14"/>
                <w:szCs w:val="14"/>
                <w:color w:val="auto"/>
              </w:rPr>
            </w:pPr>
          </w:p>
        </w:tc>
        <w:tc>
          <w:tcPr>
            <w:tcW w:w="2140" w:type="dxa"/>
            <w:vAlign w:val="bottom"/>
            <w:gridSpan w:val="3"/>
          </w:tcPr>
          <w:p>
            <w:pPr>
              <w:jc w:val="center"/>
              <w:ind w:right="260"/>
              <w:spacing w:after="0"/>
              <w:rPr>
                <w:sz w:val="20"/>
                <w:szCs w:val="20"/>
                <w:color w:val="auto"/>
              </w:rPr>
            </w:pPr>
            <w:r>
              <w:rPr>
                <w:rFonts w:ascii="Arial" w:cs="Arial" w:eastAsia="Arial" w:hAnsi="Arial"/>
                <w:sz w:val="14"/>
                <w:szCs w:val="14"/>
                <w:color w:val="auto"/>
                <w:w w:val="92"/>
              </w:rPr>
              <w:t>Three Months</w:t>
            </w:r>
          </w:p>
        </w:tc>
      </w:tr>
      <w:tr>
        <w:trPr>
          <w:trHeight w:val="142"/>
        </w:trPr>
        <w:tc>
          <w:tcPr>
            <w:tcW w:w="4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color w:val="auto"/>
              </w:rPr>
              <w:t>2017</w:t>
            </w:r>
          </w:p>
        </w:tc>
        <w:tc>
          <w:tcPr>
            <w:tcW w:w="76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color w:val="auto"/>
              </w:rPr>
              <w:t>2016</w:t>
            </w: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w w:val="92"/>
              </w:rPr>
              <w:t>$ Change</w:t>
            </w:r>
          </w:p>
        </w:tc>
        <w:tc>
          <w:tcPr>
            <w:tcW w:w="92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color w:val="auto"/>
                <w:w w:val="94"/>
              </w:rPr>
              <w:t>% Change</w:t>
            </w:r>
          </w:p>
        </w:tc>
        <w:tc>
          <w:tcPr>
            <w:tcW w:w="260" w:type="dxa"/>
            <w:vAlign w:val="bottom"/>
          </w:tcPr>
          <w:p>
            <w:pPr>
              <w:spacing w:after="0"/>
              <w:rPr>
                <w:sz w:val="12"/>
                <w:szCs w:val="12"/>
                <w:color w:val="auto"/>
              </w:rPr>
            </w:pPr>
          </w:p>
        </w:tc>
      </w:tr>
      <w:tr>
        <w:trPr>
          <w:trHeight w:val="142"/>
        </w:trPr>
        <w:tc>
          <w:tcPr>
            <w:tcW w:w="4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20" w:type="dxa"/>
            <w:vAlign w:val="bottom"/>
            <w:gridSpan w:val="4"/>
          </w:tcPr>
          <w:p>
            <w:pPr>
              <w:jc w:val="right"/>
              <w:ind w:right="228"/>
              <w:spacing w:after="0" w:line="142" w:lineRule="exact"/>
              <w:rPr>
                <w:sz w:val="20"/>
                <w:szCs w:val="20"/>
                <w:color w:val="auto"/>
              </w:rPr>
            </w:pPr>
            <w:r>
              <w:rPr>
                <w:rFonts w:ascii="Arial" w:cs="Arial" w:eastAsia="Arial" w:hAnsi="Arial"/>
                <w:sz w:val="14"/>
                <w:szCs w:val="14"/>
                <w:color w:val="auto"/>
              </w:rPr>
              <w:t>(In thousands, except %)</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$1,174</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$2,437</w:t>
            </w:r>
          </w:p>
        </w:tc>
        <w:tc>
          <w:tcPr>
            <w:tcW w:w="12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 (1,263)</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r>
    </w:tbl>
    <w:p>
      <w:pPr>
        <w:spacing w:after="0" w:line="202"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General and administrative expenses consist primarily of salaries including stock based compensation, legal and accounting fees, insurance, investor relations, business development and other office related expenses. The primary reasons for the decrease in general and administrative expenses for the three-months ended March 31, 2017 as compared to the same period in 2016 is due to recording of severance of $300,000, acceleration of non-cash, stock-based compensation expense of $578,000 related to the termination of the Company’s executive chairman in January 2016 and a decrease in investor relations expenses of approximately $171,000.</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Since our inception on July 10, 2000, we have financed our operations from proceeds of public and private offerings of debt and equity. As of March 31, 2017, we raised a net total of $130.5 million from these offerings. We have operated at a loss since our inception and have had no significant revenues. We anticipate that losses will continue for the foreseeable future. At March 31, 2017, we had $13.6 million of unrestricted cash and cash equivalents available to fund future operations. We believe that with the cash on hand at March 31, 2017, there is sufficient cash to fund currently planned operations through December 31, 2017. Our ability to fund operations after our current cash resources are exhausted depends on our ability to obtain additional financing or achieve profitable operations, as to which no assurances can be given. Accordingly, based on the forecasts and estimates underlying our current operating plan, the financial statements do not currently include any adjustments that might be necessary if we are unable to continue as a going concern.</w:t>
      </w:r>
    </w:p>
    <w:p>
      <w:pPr>
        <w:spacing w:after="0" w:line="192"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Net cash used in operations increased by $373,000 to $3,863,000 for the three months ended March 31, 2017, as compared to $3,490,000 for the three months ended March 31, 2016. Cash operating expenses decreased principally just due to timing of payments for research and development activities related to our clinical trial activity with GR-MD-02.</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Net cash provided by financing activities the three months ended March 31, 2017, of $2,145,000 represents net proceeds from the sale of common stock and warrants.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have engaged outside vendors for certain services associated with our clinical trials. These services are generally available from several providers and, accordingly, our arrangements are typically cancellable on 30 days notice.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intangible assets,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2015 Annual Report on Form 10-K.</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March 31, 2017, our disclosure controls and procedures were effective at a reasonable assurance level. During the quarter ended March 31, 2017, no change in our internal control over financial reporting has materially affected, or is reasonably likely to materially affect, our internal control over financial reporting.</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except as discussed in Note 8 to our condensed consolidated financial statements included in this report.</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information set forth in this report should be read in conjunction with the risk factors set forth in Item 1A, “Risk Factors,” of Part I of our Annual Report on Form 10-K for the year ended December 31, 20165, which could materially impact our business, financial condition or future results.</w:t>
      </w: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9160" w:type="dxa"/>
            <w:vAlign w:val="bottom"/>
            <w:gridSpan w:val="3"/>
          </w:tcPr>
          <w:p>
            <w:pPr>
              <w:ind w:left="60"/>
              <w:spacing w:after="0"/>
              <w:rPr>
                <w:sz w:val="20"/>
                <w:szCs w:val="20"/>
                <w:color w:val="auto"/>
              </w:rPr>
            </w:pPr>
            <w:r>
              <w:rPr>
                <w:rFonts w:ascii="Arial" w:cs="Arial" w:eastAsia="Arial" w:hAnsi="Arial"/>
                <w:sz w:val="18"/>
                <w:szCs w:val="18"/>
                <w:b w:val="1"/>
                <w:bCs w:val="1"/>
                <w:color w:val="auto"/>
              </w:rPr>
              <w:t>Exhibits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Exhibit</w:t>
            </w:r>
          </w:p>
        </w:tc>
        <w:tc>
          <w:tcPr>
            <w:tcW w:w="9160" w:type="dxa"/>
            <w:vAlign w:val="bottom"/>
            <w:gridSpan w:val="3"/>
            <w:vMerge w:val="restart"/>
          </w:tcPr>
          <w:p>
            <w:pPr>
              <w:ind w:left="3960"/>
              <w:spacing w:after="0"/>
              <w:rPr>
                <w:sz w:val="20"/>
                <w:szCs w:val="20"/>
                <w:color w:val="auto"/>
              </w:rPr>
            </w:pPr>
            <w:r>
              <w:rPr>
                <w:rFonts w:ascii="Arial" w:cs="Arial" w:eastAsia="Arial" w:hAnsi="Arial"/>
                <w:sz w:val="14"/>
                <w:szCs w:val="14"/>
                <w:b w:val="1"/>
                <w:bCs w:val="1"/>
                <w:color w:val="auto"/>
              </w:rPr>
              <w:t>Description of Document</w:t>
            </w:r>
          </w:p>
        </w:tc>
        <w:tc>
          <w:tcPr>
            <w:tcW w:w="1000" w:type="dxa"/>
            <w:vAlign w:val="bottom"/>
          </w:tcPr>
          <w:p>
            <w:pPr>
              <w:jc w:val="center"/>
              <w:ind w:left="328"/>
              <w:spacing w:after="0"/>
              <w:rPr>
                <w:sz w:val="20"/>
                <w:szCs w:val="20"/>
                <w:color w:val="auto"/>
              </w:rPr>
            </w:pPr>
            <w:r>
              <w:rPr>
                <w:rFonts w:ascii="Arial" w:cs="Arial" w:eastAsia="Arial" w:hAnsi="Arial"/>
                <w:sz w:val="14"/>
                <w:szCs w:val="14"/>
                <w:b w:val="1"/>
                <w:bCs w:val="1"/>
                <w:color w:val="auto"/>
                <w:w w:val="89"/>
              </w:rPr>
              <w:t>Note</w:t>
            </w: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4"/>
                <w:szCs w:val="14"/>
                <w:color w:val="auto"/>
              </w:rPr>
            </w:pPr>
          </w:p>
        </w:tc>
        <w:tc>
          <w:tcPr>
            <w:tcW w:w="9160" w:type="dxa"/>
            <w:vAlign w:val="bottom"/>
            <w:gridSpan w:val="3"/>
            <w:vMerge w:val="continue"/>
          </w:tcPr>
          <w:p>
            <w:pPr>
              <w:spacing w:after="0"/>
              <w:rPr>
                <w:sz w:val="14"/>
                <w:szCs w:val="14"/>
                <w:color w:val="auto"/>
              </w:rPr>
            </w:pPr>
          </w:p>
        </w:tc>
        <w:tc>
          <w:tcPr>
            <w:tcW w:w="1000" w:type="dxa"/>
            <w:vAlign w:val="bottom"/>
          </w:tcPr>
          <w:p>
            <w:pPr>
              <w:jc w:val="center"/>
              <w:ind w:left="328"/>
              <w:spacing w:after="0"/>
              <w:rPr>
                <w:sz w:val="20"/>
                <w:szCs w:val="20"/>
                <w:color w:val="auto"/>
              </w:rPr>
            </w:pPr>
            <w:r>
              <w:rPr>
                <w:rFonts w:ascii="Arial" w:cs="Arial" w:eastAsia="Arial" w:hAnsi="Arial"/>
                <w:sz w:val="14"/>
                <w:szCs w:val="14"/>
                <w:b w:val="1"/>
                <w:bCs w:val="1"/>
                <w:color w:val="auto"/>
                <w:w w:val="88"/>
              </w:rPr>
              <w:t>Reference</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4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31.1*</w:t>
            </w:r>
          </w:p>
        </w:tc>
        <w:tc>
          <w:tcPr>
            <w:tcW w:w="140" w:type="dxa"/>
            <w:vAlign w:val="bottom"/>
          </w:tcPr>
          <w:p>
            <w:pPr>
              <w:spacing w:after="0"/>
              <w:rPr>
                <w:sz w:val="24"/>
                <w:szCs w:val="24"/>
                <w:color w:val="auto"/>
              </w:rPr>
            </w:pPr>
          </w:p>
        </w:tc>
        <w:tc>
          <w:tcPr>
            <w:tcW w:w="9160" w:type="dxa"/>
            <w:vAlign w:val="bottom"/>
            <w:gridSpan w:val="3"/>
          </w:tcPr>
          <w:p>
            <w:pPr>
              <w:ind w:left="440"/>
              <w:spacing w:after="0"/>
              <w:rPr>
                <w:sz w:val="20"/>
                <w:szCs w:val="20"/>
                <w:color w:val="auto"/>
              </w:rPr>
            </w:pPr>
            <w:r>
              <w:rPr>
                <w:rFonts w:ascii="Arial" w:cs="Arial" w:eastAsia="Arial" w:hAnsi="Arial"/>
                <w:sz w:val="18"/>
                <w:szCs w:val="18"/>
                <w:color w:val="auto"/>
              </w:rPr>
              <w:t>Certification Pursuant to Rule 13a-14(a) of the Securities Exchange Act of 1934</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31.2*</w:t>
            </w:r>
          </w:p>
        </w:tc>
        <w:tc>
          <w:tcPr>
            <w:tcW w:w="140" w:type="dxa"/>
            <w:vAlign w:val="bottom"/>
          </w:tcPr>
          <w:p>
            <w:pPr>
              <w:spacing w:after="0"/>
              <w:rPr>
                <w:sz w:val="24"/>
                <w:szCs w:val="24"/>
                <w:color w:val="auto"/>
              </w:rPr>
            </w:pPr>
          </w:p>
        </w:tc>
        <w:tc>
          <w:tcPr>
            <w:tcW w:w="9160" w:type="dxa"/>
            <w:vAlign w:val="bottom"/>
            <w:gridSpan w:val="3"/>
          </w:tcPr>
          <w:p>
            <w:pPr>
              <w:ind w:left="440"/>
              <w:spacing w:after="0"/>
              <w:rPr>
                <w:sz w:val="20"/>
                <w:szCs w:val="20"/>
                <w:color w:val="auto"/>
              </w:rPr>
            </w:pPr>
            <w:r>
              <w:rPr>
                <w:rFonts w:ascii="Arial" w:cs="Arial" w:eastAsia="Arial" w:hAnsi="Arial"/>
                <w:sz w:val="18"/>
                <w:szCs w:val="18"/>
                <w:color w:val="auto"/>
              </w:rPr>
              <w:t>Certification Pursuant to Rule 13a-14(a) of the Securities Exchange Act of 1934</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40" w:type="dxa"/>
            <w:vAlign w:val="bottom"/>
            <w:gridSpan w:val="2"/>
          </w:tcPr>
          <w:p>
            <w:pPr>
              <w:jc w:val="center"/>
              <w:ind w:left="21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9160" w:type="dxa"/>
            <w:vAlign w:val="bottom"/>
            <w:gridSpan w:val="3"/>
          </w:tcPr>
          <w:p>
            <w:pPr>
              <w:ind w:left="440"/>
              <w:spacing w:after="0"/>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80" w:type="dxa"/>
            <w:vAlign w:val="bottom"/>
          </w:tcPr>
          <w:p>
            <w:pPr>
              <w:ind w:left="440"/>
              <w:spacing w:after="0"/>
              <w:rPr>
                <w:sz w:val="20"/>
                <w:szCs w:val="20"/>
                <w:color w:val="auto"/>
              </w:rPr>
            </w:pPr>
            <w:r>
              <w:rPr>
                <w:rFonts w:ascii="Arial" w:cs="Arial" w:eastAsia="Arial" w:hAnsi="Arial"/>
                <w:sz w:val="18"/>
                <w:szCs w:val="18"/>
                <w:color w:val="auto"/>
              </w:rPr>
              <w:t>2002</w:t>
            </w:r>
          </w:p>
        </w:tc>
        <w:tc>
          <w:tcPr>
            <w:tcW w:w="15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40" w:type="dxa"/>
            <w:vAlign w:val="bottom"/>
            <w:gridSpan w:val="2"/>
          </w:tcPr>
          <w:p>
            <w:pPr>
              <w:jc w:val="center"/>
              <w:ind w:left="21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9160" w:type="dxa"/>
            <w:vAlign w:val="bottom"/>
            <w:gridSpan w:val="3"/>
          </w:tcPr>
          <w:p>
            <w:pPr>
              <w:ind w:left="440"/>
              <w:spacing w:after="0"/>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80" w:type="dxa"/>
            <w:vAlign w:val="bottom"/>
          </w:tcPr>
          <w:p>
            <w:pPr>
              <w:ind w:left="440"/>
              <w:spacing w:after="0"/>
              <w:rPr>
                <w:sz w:val="20"/>
                <w:szCs w:val="20"/>
                <w:color w:val="auto"/>
              </w:rPr>
            </w:pPr>
            <w:r>
              <w:rPr>
                <w:rFonts w:ascii="Arial" w:cs="Arial" w:eastAsia="Arial" w:hAnsi="Arial"/>
                <w:sz w:val="18"/>
                <w:szCs w:val="18"/>
                <w:color w:val="auto"/>
              </w:rPr>
              <w:t>2002</w:t>
            </w:r>
          </w:p>
        </w:tc>
        <w:tc>
          <w:tcPr>
            <w:tcW w:w="15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8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101.INS</w:t>
            </w:r>
          </w:p>
        </w:tc>
        <w:tc>
          <w:tcPr>
            <w:tcW w:w="9160" w:type="dxa"/>
            <w:vAlign w:val="bottom"/>
            <w:gridSpan w:val="3"/>
          </w:tcPr>
          <w:p>
            <w:pPr>
              <w:ind w:left="440"/>
              <w:spacing w:after="0"/>
              <w:rPr>
                <w:sz w:val="20"/>
                <w:szCs w:val="20"/>
                <w:color w:val="auto"/>
              </w:rPr>
            </w:pPr>
            <w:r>
              <w:rPr>
                <w:rFonts w:ascii="Arial" w:cs="Arial" w:eastAsia="Arial" w:hAnsi="Arial"/>
                <w:sz w:val="18"/>
                <w:szCs w:val="18"/>
                <w:color w:val="auto"/>
              </w:rPr>
              <w:t>XBRL Instance Document*</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3"/>
          </w:tcPr>
          <w:p>
            <w:pPr>
              <w:jc w:val="center"/>
              <w:ind w:left="70"/>
              <w:spacing w:after="0"/>
              <w:rPr>
                <w:sz w:val="20"/>
                <w:szCs w:val="20"/>
                <w:color w:val="auto"/>
              </w:rPr>
            </w:pPr>
            <w:r>
              <w:rPr>
                <w:rFonts w:ascii="Arial" w:cs="Arial" w:eastAsia="Arial" w:hAnsi="Arial"/>
                <w:sz w:val="18"/>
                <w:szCs w:val="18"/>
                <w:color w:val="auto"/>
                <w:w w:val="90"/>
              </w:rPr>
              <w:t>101.SCH</w:t>
            </w:r>
          </w:p>
        </w:tc>
        <w:tc>
          <w:tcPr>
            <w:tcW w:w="9160" w:type="dxa"/>
            <w:vAlign w:val="bottom"/>
            <w:gridSpan w:val="3"/>
          </w:tcPr>
          <w:p>
            <w:pPr>
              <w:ind w:left="440"/>
              <w:spacing w:after="0"/>
              <w:rPr>
                <w:sz w:val="20"/>
                <w:szCs w:val="20"/>
                <w:color w:val="auto"/>
              </w:rPr>
            </w:pPr>
            <w:r>
              <w:rPr>
                <w:rFonts w:ascii="Arial" w:cs="Arial" w:eastAsia="Arial" w:hAnsi="Arial"/>
                <w:sz w:val="18"/>
                <w:szCs w:val="18"/>
                <w:color w:val="auto"/>
              </w:rPr>
              <w:t>XBRL Taxonomy Extension Schema Document*</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3"/>
          </w:tcPr>
          <w:p>
            <w:pPr>
              <w:jc w:val="center"/>
              <w:ind w:left="90"/>
              <w:spacing w:after="0"/>
              <w:rPr>
                <w:sz w:val="20"/>
                <w:szCs w:val="20"/>
                <w:color w:val="auto"/>
              </w:rPr>
            </w:pPr>
            <w:r>
              <w:rPr>
                <w:rFonts w:ascii="Arial" w:cs="Arial" w:eastAsia="Arial" w:hAnsi="Arial"/>
                <w:sz w:val="18"/>
                <w:szCs w:val="18"/>
                <w:color w:val="auto"/>
                <w:w w:val="97"/>
              </w:rPr>
              <w:t>101.CAL</w:t>
            </w:r>
          </w:p>
        </w:tc>
        <w:tc>
          <w:tcPr>
            <w:tcW w:w="9160" w:type="dxa"/>
            <w:vAlign w:val="bottom"/>
            <w:gridSpan w:val="3"/>
          </w:tcPr>
          <w:p>
            <w:pPr>
              <w:ind w:left="440"/>
              <w:spacing w:after="0"/>
              <w:rPr>
                <w:sz w:val="20"/>
                <w:szCs w:val="20"/>
                <w:color w:val="auto"/>
              </w:rPr>
            </w:pPr>
            <w:r>
              <w:rPr>
                <w:rFonts w:ascii="Arial" w:cs="Arial" w:eastAsia="Arial" w:hAnsi="Arial"/>
                <w:sz w:val="18"/>
                <w:szCs w:val="18"/>
                <w:color w:val="auto"/>
              </w:rPr>
              <w:t>XBRL Taxonomy Calculation Linkbase Document*</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3"/>
          </w:tcPr>
          <w:p>
            <w:pPr>
              <w:jc w:val="center"/>
              <w:ind w:left="70"/>
              <w:spacing w:after="0"/>
              <w:rPr>
                <w:sz w:val="20"/>
                <w:szCs w:val="20"/>
                <w:color w:val="auto"/>
              </w:rPr>
            </w:pPr>
            <w:r>
              <w:rPr>
                <w:rFonts w:ascii="Arial" w:cs="Arial" w:eastAsia="Arial" w:hAnsi="Arial"/>
                <w:sz w:val="18"/>
                <w:szCs w:val="18"/>
                <w:color w:val="auto"/>
                <w:w w:val="92"/>
              </w:rPr>
              <w:t>101.DEF</w:t>
            </w:r>
          </w:p>
        </w:tc>
        <w:tc>
          <w:tcPr>
            <w:tcW w:w="9160" w:type="dxa"/>
            <w:vAlign w:val="bottom"/>
            <w:gridSpan w:val="3"/>
          </w:tcPr>
          <w:p>
            <w:pPr>
              <w:ind w:left="440"/>
              <w:spacing w:after="0"/>
              <w:rPr>
                <w:sz w:val="20"/>
                <w:szCs w:val="20"/>
                <w:color w:val="auto"/>
              </w:rPr>
            </w:pPr>
            <w:r>
              <w:rPr>
                <w:rFonts w:ascii="Arial" w:cs="Arial" w:eastAsia="Arial" w:hAnsi="Arial"/>
                <w:sz w:val="18"/>
                <w:szCs w:val="18"/>
                <w:color w:val="auto"/>
              </w:rPr>
              <w:t>XBRL Taxonomy Extension Definition Linkbase Document*</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3"/>
          </w:tcPr>
          <w:p>
            <w:pPr>
              <w:jc w:val="center"/>
              <w:ind w:left="90"/>
              <w:spacing w:after="0"/>
              <w:rPr>
                <w:sz w:val="20"/>
                <w:szCs w:val="20"/>
                <w:color w:val="auto"/>
              </w:rPr>
            </w:pPr>
            <w:r>
              <w:rPr>
                <w:rFonts w:ascii="Arial" w:cs="Arial" w:eastAsia="Arial" w:hAnsi="Arial"/>
                <w:sz w:val="18"/>
                <w:szCs w:val="18"/>
                <w:color w:val="auto"/>
                <w:w w:val="98"/>
              </w:rPr>
              <w:t>101.LAB</w:t>
            </w:r>
          </w:p>
        </w:tc>
        <w:tc>
          <w:tcPr>
            <w:tcW w:w="9160" w:type="dxa"/>
            <w:vAlign w:val="bottom"/>
            <w:gridSpan w:val="3"/>
          </w:tcPr>
          <w:p>
            <w:pPr>
              <w:ind w:left="440"/>
              <w:spacing w:after="0"/>
              <w:rPr>
                <w:sz w:val="20"/>
                <w:szCs w:val="20"/>
                <w:color w:val="auto"/>
              </w:rPr>
            </w:pPr>
            <w:r>
              <w:rPr>
                <w:rFonts w:ascii="Arial" w:cs="Arial" w:eastAsia="Arial" w:hAnsi="Arial"/>
                <w:sz w:val="18"/>
                <w:szCs w:val="18"/>
                <w:color w:val="auto"/>
              </w:rPr>
              <w:t>XBRL Taxonomy Label Linkbase Document*</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101.PRE</w:t>
            </w:r>
          </w:p>
        </w:tc>
        <w:tc>
          <w:tcPr>
            <w:tcW w:w="9160" w:type="dxa"/>
            <w:vAlign w:val="bottom"/>
            <w:gridSpan w:val="3"/>
          </w:tcPr>
          <w:p>
            <w:pPr>
              <w:ind w:left="440"/>
              <w:spacing w:after="0"/>
              <w:rPr>
                <w:sz w:val="20"/>
                <w:szCs w:val="20"/>
                <w:color w:val="auto"/>
              </w:rPr>
            </w:pPr>
            <w:r>
              <w:rPr>
                <w:rFonts w:ascii="Arial" w:cs="Arial" w:eastAsia="Arial" w:hAnsi="Arial"/>
                <w:sz w:val="18"/>
                <w:szCs w:val="18"/>
                <w:color w:val="auto"/>
              </w:rPr>
              <w:t>XBRL Taxonomy Presentation Linkbase Document*</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620" w:right="2500" w:hanging="5612"/>
        <w:spacing w:after="0" w:line="433" w:lineRule="auto"/>
        <w:tabs>
          <w:tab w:leader="none" w:pos="45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 20</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May 15, 2017.</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 and President (principal</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executive officer)</w:t>
            </w:r>
          </w:p>
        </w:tc>
      </w:tr>
    </w:tbl>
    <w:p>
      <w:pPr>
        <w:spacing w:after="0" w:line="20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Jack W. Callicutt</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G. Traber, certify that:</w:t>
      </w:r>
    </w:p>
    <w:p>
      <w:pPr>
        <w:spacing w:after="0" w:line="13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May 15, 2017</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09"/>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W. Callicutt, certify that:</w:t>
      </w:r>
    </w:p>
    <w:p>
      <w:pPr>
        <w:spacing w:after="0" w:line="13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May 15, 2017</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9"/>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connection with the Quarterly Report of Galectin Therapeutics Inc. (the “Company”) on Form 10-Q for the period ended March 31, 2017 as filed with the Securities and Exchange Commission on the date hereof (the “Report”), I, Peter G. Traber, Chief Executive Officer of the Company, certify, pursuant to 18 U.S.C. § 1350, as adopted pursuant to § 906 of the Sarbanes-Oxley Act of 2002, that, to my knowledge:</w:t>
      </w:r>
    </w:p>
    <w:p>
      <w:pPr>
        <w:spacing w:after="0" w:line="8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May 15, 2017</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09"/>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15"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In connection with the Quarterly Report of Galectin Therapeutics Inc. (the “Company”) on Form 10-Q for the period ended March 31, 2017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71"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May 15, 2017</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9"/>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15"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Roman"/>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2019-12-29T06:28:24Z</dcterms:created>
  <dcterms:modified xsi:type="dcterms:W3CDTF">2019-12-29T06:28:24Z</dcterms:modified>
</cp:coreProperties>
</file>