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81280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460" w:type="dxa"/>
            <w:vAlign w:val="bottom"/>
          </w:tcPr>
          <w:p>
            <w:pPr>
              <w:spacing w:after="0"/>
              <w:rPr>
                <w:sz w:val="24"/>
                <w:szCs w:val="24"/>
                <w:color w:val="auto"/>
              </w:rPr>
            </w:pPr>
          </w:p>
        </w:tc>
        <w:tc>
          <w:tcPr>
            <w:tcW w:w="4260" w:type="dxa"/>
            <w:vAlign w:val="bottom"/>
            <w:gridSpan w:val="3"/>
          </w:tcPr>
          <w:p>
            <w:pPr>
              <w:jc w:val="center"/>
              <w:ind w:left="452"/>
              <w:spacing w:after="0"/>
              <w:rPr>
                <w:sz w:val="20"/>
                <w:szCs w:val="20"/>
                <w:color w:val="auto"/>
              </w:rPr>
            </w:pPr>
            <w:r>
              <w:rPr>
                <w:rFonts w:ascii="Arial" w:cs="Arial" w:eastAsia="Arial" w:hAnsi="Arial"/>
                <w:sz w:val="32"/>
                <w:szCs w:val="32"/>
                <w:b w:val="1"/>
                <w:bCs w:val="1"/>
                <w:color w:val="auto"/>
                <w:w w:val="99"/>
              </w:rPr>
              <w:t>SCHEDULE 14A</w:t>
            </w:r>
          </w:p>
        </w:tc>
      </w:tr>
      <w:tr>
        <w:trPr>
          <w:trHeight w:val="358"/>
        </w:trPr>
        <w:tc>
          <w:tcPr>
            <w:tcW w:w="2460" w:type="dxa"/>
            <w:vAlign w:val="bottom"/>
          </w:tcPr>
          <w:p>
            <w:pPr>
              <w:spacing w:after="0"/>
              <w:rPr>
                <w:sz w:val="24"/>
                <w:szCs w:val="24"/>
                <w:color w:val="auto"/>
              </w:rPr>
            </w:pPr>
          </w:p>
        </w:tc>
        <w:tc>
          <w:tcPr>
            <w:tcW w:w="4260" w:type="dxa"/>
            <w:vAlign w:val="bottom"/>
            <w:gridSpan w:val="3"/>
          </w:tcPr>
          <w:p>
            <w:pPr>
              <w:jc w:val="center"/>
              <w:ind w:left="392"/>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34"/>
        </w:trPr>
        <w:tc>
          <w:tcPr>
            <w:tcW w:w="2460" w:type="dxa"/>
            <w:vAlign w:val="bottom"/>
          </w:tcPr>
          <w:p>
            <w:pPr>
              <w:spacing w:after="0"/>
              <w:rPr>
                <w:sz w:val="20"/>
                <w:szCs w:val="20"/>
                <w:color w:val="auto"/>
              </w:rPr>
            </w:pPr>
          </w:p>
        </w:tc>
        <w:tc>
          <w:tcPr>
            <w:tcW w:w="4260" w:type="dxa"/>
            <w:vAlign w:val="bottom"/>
            <w:gridSpan w:val="3"/>
          </w:tcPr>
          <w:p>
            <w:pPr>
              <w:jc w:val="center"/>
              <w:ind w:left="452"/>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148"/>
        </w:trPr>
        <w:tc>
          <w:tcPr>
            <w:tcW w:w="2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000" w:type="dxa"/>
            <w:vAlign w:val="bottom"/>
          </w:tcPr>
          <w:p>
            <w:pPr>
              <w:spacing w:after="0"/>
              <w:rPr>
                <w:sz w:val="12"/>
                <w:szCs w:val="12"/>
                <w:color w:val="auto"/>
              </w:rPr>
            </w:pPr>
          </w:p>
        </w:tc>
      </w:tr>
      <w:tr>
        <w:trPr>
          <w:trHeight w:val="562"/>
        </w:trPr>
        <w:tc>
          <w:tcPr>
            <w:tcW w:w="246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4260" w:type="dxa"/>
            <w:vAlign w:val="bottom"/>
            <w:gridSpan w:val="3"/>
          </w:tcPr>
          <w:p>
            <w:pPr>
              <w:ind w:left="780"/>
              <w:spacing w:after="0" w:line="207" w:lineRule="exact"/>
              <w:rPr>
                <w:sz w:val="20"/>
                <w:szCs w:val="20"/>
                <w:color w:val="auto"/>
              </w:rPr>
            </w:pPr>
            <w:r>
              <w:rPr>
                <w:rFonts w:ascii="Arial" w:cs="Arial" w:eastAsia="Arial" w:hAnsi="Arial"/>
                <w:sz w:val="18"/>
                <w:szCs w:val="18"/>
                <w:color w:val="auto"/>
                <w:w w:val="98"/>
              </w:rPr>
              <w:t xml:space="preserve">Filed by a Party other than the Registrant </w:t>
            </w:r>
            <w:r>
              <w:rPr>
                <w:rFonts w:ascii="MS PGothic" w:cs="MS PGothic" w:eastAsia="MS PGothic" w:hAnsi="MS PGothic"/>
                <w:sz w:val="18"/>
                <w:szCs w:val="18"/>
                <w:color w:val="auto"/>
                <w:w w:val="98"/>
              </w:rPr>
              <w:t>☐</w:t>
            </w:r>
          </w:p>
        </w:tc>
      </w:tr>
      <w:tr>
        <w:trPr>
          <w:trHeight w:val="363"/>
        </w:trPr>
        <w:tc>
          <w:tcPr>
            <w:tcW w:w="246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29"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83" w:lineRule="exact"/>
        <w:rPr>
          <w:sz w:val="24"/>
          <w:szCs w:val="24"/>
          <w:color w:val="auto"/>
        </w:rPr>
      </w:pPr>
    </w:p>
    <w:p>
      <w:pPr>
        <w:jc w:val="center"/>
        <w:ind w:right="-240"/>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27" w:lineRule="exact"/>
        <w:rPr>
          <w:sz w:val="24"/>
          <w:szCs w:val="24"/>
          <w:color w:val="auto"/>
        </w:rPr>
      </w:pPr>
    </w:p>
    <w:p>
      <w:pPr>
        <w:ind w:left="212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398145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269240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64592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71"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October 6, 2023</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 xml:space="preserve">You are cordially invited to attend the 2023 annual meeting of stockholders (the “2023 Annual Meeting”) of Galectin Therapeutics Inc. The meeting will be held on Thursday, December 7, 2023 at 11:00 a.m., Eastern Standard Time. Due to cost savings and other efficiencies resulting from conducting a virtual meeting, Galectin Therapeutics is conducting the 2022 Annual Meeting via an online-only format. Stockholders will be able to listen, vote, and submit questions from their home or any remote location with internet connectivity. The 2023 Annual Meeting has been designed to provide the same rights to participate as you would have at an in-person meeting. Information on how to participate in this year’s virtual meeting can be found on page </w:t>
      </w:r>
      <w:r>
        <w:rPr>
          <w:rFonts w:ascii="Arial" w:cs="Arial" w:eastAsia="Arial" w:hAnsi="Arial"/>
          <w:sz w:val="17"/>
          <w:szCs w:val="17"/>
          <w:u w:val="single" w:color="auto"/>
          <w:color w:val="0000EE"/>
        </w:rPr>
        <w:t>43</w:t>
      </w:r>
      <w:r>
        <w:rPr>
          <w:rFonts w:ascii="Arial" w:cs="Arial" w:eastAsia="Arial" w:hAnsi="Arial"/>
          <w:sz w:val="17"/>
          <w:szCs w:val="17"/>
          <w:color w:val="auto"/>
        </w:rPr>
        <w: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will be held for the following purposes:</w:t>
      </w:r>
    </w:p>
    <w:p>
      <w:pPr>
        <w:spacing w:after="0" w:line="117" w:lineRule="exact"/>
        <w:rPr>
          <w:sz w:val="20"/>
          <w:szCs w:val="20"/>
          <w:color w:val="auto"/>
        </w:rPr>
      </w:pPr>
    </w:p>
    <w:p>
      <w:pPr>
        <w:ind w:left="1000" w:right="4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the eleven (11) nominees for director named in the accompanying proxy statement to hold office until the 2024 annual meeting of our stockholders.</w:t>
      </w:r>
    </w:p>
    <w:p>
      <w:pPr>
        <w:spacing w:after="0" w:line="62" w:lineRule="exact"/>
        <w:rPr>
          <w:rFonts w:ascii="Arial" w:cs="Arial" w:eastAsia="Arial" w:hAnsi="Arial"/>
          <w:sz w:val="18"/>
          <w:szCs w:val="18"/>
          <w:color w:val="auto"/>
        </w:rPr>
      </w:pPr>
    </w:p>
    <w:p>
      <w:pPr>
        <w:ind w:left="1000" w:right="6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Directors of Cherry Bekaert LLP as our independent registered public accounting firm for the fiscal year ending December 31, 2023.</w:t>
      </w:r>
    </w:p>
    <w:p>
      <w:pPr>
        <w:spacing w:after="0" w:line="38" w:lineRule="exact"/>
        <w:rPr>
          <w:rFonts w:ascii="Arial" w:cs="Arial" w:eastAsia="Arial" w:hAnsi="Arial"/>
          <w:sz w:val="17"/>
          <w:szCs w:val="17"/>
          <w:color w:val="auto"/>
        </w:rPr>
      </w:pPr>
    </w:p>
    <w:p>
      <w:pPr>
        <w:ind w:left="1000" w:right="4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2023 Annual Meeting.</w:t>
      </w:r>
    </w:p>
    <w:p>
      <w:pPr>
        <w:spacing w:after="0" w:line="62"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Only holders of the Company’s Common Stock or Series A 12% Convertible Preferred Stock of record as of October 10, 2023 are entitled to notice of and to vote at the 2023 Annual Meeting. These items of business are more fully described in the proxy statement accompanying this letter.</w:t>
      </w:r>
    </w:p>
    <w:p>
      <w:pPr>
        <w:spacing w:after="0" w:line="7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2022 (the “Annual Report”), in the mail, stockholders will receive a Notice Regarding the Availability of Proxy Materials, which provides an internet website address where stockholders can access electronic copies of the proxy materials.</w:t>
      </w:r>
    </w:p>
    <w:p>
      <w:pPr>
        <w:spacing w:after="0" w:line="68"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 xml:space="preserve">Your vote is very important. Regardless of whether you plan to attend the 2023 Annual Meeting, please promptly vote your shares. You may vote your shares over the internet. If you received a paper copy of a proxy or voting instruction card by mail, you may submit your proxy or voting instruction card for the 2023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of the proxy statement.</w:t>
      </w:r>
    </w:p>
    <w:p>
      <w:pPr>
        <w:spacing w:after="0" w:line="56"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288925</wp:posOffset>
            </wp:positionV>
            <wp:extent cx="1097280"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  </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Joel Lewis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Norcross, Georgia 30071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THE 2023 ANNUAL MEETING OF STOCKHOLDERS</w:t>
      </w:r>
    </w:p>
    <w:p>
      <w:pPr>
        <w:sectPr>
          <w:pgSz w:w="11900" w:h="16838" w:orient="portrait"/>
          <w:cols w:equalWidth="0" w:num="1">
            <w:col w:w="9019"/>
          </w:cols>
          <w:pgMar w:left="1440" w:top="265" w:right="1440"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11:00 a.m. Eastern Standard Time on Thursday, December 7, 2023; Online access begins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10:45 a.m. on December 7, 2023.</w:t>
      </w:r>
    </w:p>
    <w:p>
      <w:pPr>
        <w:spacing w:after="0" w:line="200" w:lineRule="exact"/>
        <w:rPr>
          <w:sz w:val="20"/>
          <w:szCs w:val="20"/>
          <w:color w:val="auto"/>
        </w:rPr>
      </w:pPr>
    </w:p>
    <w:p>
      <w:pPr>
        <w:sectPr>
          <w:pgSz w:w="11900" w:h="16838" w:orient="portrait"/>
          <w:cols w:equalWidth="0" w:num="2">
            <w:col w:w="1280" w:space="720"/>
            <w:col w:w="7019"/>
          </w:cols>
          <w:pgMar w:left="1440" w:top="265" w:right="1440" w:bottom="1440" w:gutter="0" w:footer="0" w:header="0"/>
          <w:type w:val="continuous"/>
        </w:sect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619"/>
        <w:spacing w:after="0" w:line="308" w:lineRule="auto"/>
        <w:rPr>
          <w:sz w:val="20"/>
          <w:szCs w:val="20"/>
          <w:color w:val="auto"/>
        </w:rPr>
      </w:pPr>
      <w:r>
        <w:rPr>
          <w:rFonts w:ascii="Arial" w:cs="Arial" w:eastAsia="Arial" w:hAnsi="Arial"/>
          <w:sz w:val="17"/>
          <w:szCs w:val="17"/>
          <w:color w:val="auto"/>
        </w:rPr>
        <w:t>The Annual Meeting will be held virtually via the internet, at www.virtualshareholdermeeting.com/GALT2023.</w:t>
      </w:r>
    </w:p>
    <w:p>
      <w:pPr>
        <w:spacing w:after="0" w:line="200" w:lineRule="exact"/>
        <w:rPr>
          <w:sz w:val="20"/>
          <w:szCs w:val="20"/>
          <w:color w:val="auto"/>
        </w:rPr>
      </w:pPr>
    </w:p>
    <w:p>
      <w:pPr>
        <w:sectPr>
          <w:pgSz w:w="11900" w:h="16838" w:orient="portrait"/>
          <w:cols w:equalWidth="0" w:num="2">
            <w:col w:w="1280" w:space="720"/>
            <w:col w:w="7019"/>
          </w:cols>
          <w:pgMar w:left="1440" w:top="265" w:right="1440" w:bottom="1440" w:gutter="0" w:footer="0" w:header="0"/>
          <w:type w:val="continuous"/>
        </w:sectPr>
      </w:pPr>
    </w:p>
    <w:p>
      <w:pPr>
        <w:spacing w:after="0" w:line="15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Items of Business: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719" w:hanging="399"/>
        <w:spacing w:after="0" w:line="342" w:lineRule="auto"/>
        <w:rPr>
          <w:sz w:val="20"/>
          <w:szCs w:val="20"/>
          <w:color w:val="auto"/>
        </w:rPr>
      </w:pPr>
      <w:r>
        <w:rPr>
          <w:rFonts w:ascii="Arial" w:cs="Arial" w:eastAsia="Arial" w:hAnsi="Arial"/>
          <w:sz w:val="16"/>
          <w:szCs w:val="16"/>
          <w:color w:val="auto"/>
        </w:rPr>
        <w:t>1.</w:t>
      </w:r>
      <w:r>
        <w:rPr>
          <w:sz w:val="20"/>
          <w:szCs w:val="20"/>
          <w:color w:val="auto"/>
        </w:rPr>
        <w:t xml:space="preserve"> </w:t>
      </w:r>
      <w:r>
        <w:rPr>
          <w:rFonts w:ascii="Arial" w:cs="Arial" w:eastAsia="Arial" w:hAnsi="Arial"/>
          <w:sz w:val="16"/>
          <w:szCs w:val="16"/>
          <w:color w:val="auto"/>
        </w:rPr>
        <w:t>To elect the eleven (11) nominees for director named in the proxy statement accompanying this Notice to serve until our 2024 annual meeting of stockholders.</w:t>
      </w:r>
    </w:p>
    <w:p>
      <w:pPr>
        <w:spacing w:after="0" w:line="200" w:lineRule="exact"/>
        <w:rPr>
          <w:sz w:val="20"/>
          <w:szCs w:val="20"/>
          <w:color w:val="auto"/>
        </w:rPr>
      </w:pPr>
    </w:p>
    <w:p>
      <w:pPr>
        <w:sectPr>
          <w:pgSz w:w="11900" w:h="16838" w:orient="portrait"/>
          <w:cols w:equalWidth="0" w:num="2">
            <w:col w:w="1680" w:space="720"/>
            <w:col w:w="6619"/>
          </w:cols>
          <w:pgMar w:left="1440" w:top="265" w:right="1440" w:bottom="1440" w:gutter="0" w:footer="0" w:header="0"/>
          <w:type w:val="continuous"/>
        </w:sectPr>
      </w:pPr>
    </w:p>
    <w:p>
      <w:pPr>
        <w:spacing w:after="0" w:line="140" w:lineRule="exact"/>
        <w:rPr>
          <w:sz w:val="20"/>
          <w:szCs w:val="20"/>
          <w:color w:val="auto"/>
        </w:rPr>
      </w:pPr>
    </w:p>
    <w:p>
      <w:pPr>
        <w:ind w:left="2400" w:right="539" w:hanging="394"/>
        <w:spacing w:after="0" w:line="263"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2023.</w:t>
      </w:r>
    </w:p>
    <w:p>
      <w:pPr>
        <w:spacing w:after="0" w:line="399" w:lineRule="exact"/>
        <w:rPr>
          <w:rFonts w:ascii="Arial" w:cs="Arial" w:eastAsia="Arial" w:hAnsi="Arial"/>
          <w:sz w:val="18"/>
          <w:szCs w:val="18"/>
          <w:color w:val="auto"/>
        </w:rPr>
      </w:pPr>
    </w:p>
    <w:p>
      <w:pPr>
        <w:ind w:left="2400" w:right="559" w:hanging="394"/>
        <w:spacing w:after="0" w:line="277"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386" w:lineRule="exact"/>
        <w:rPr>
          <w:rFonts w:ascii="Arial" w:cs="Arial" w:eastAsia="Arial" w:hAnsi="Arial"/>
          <w:sz w:val="18"/>
          <w:szCs w:val="18"/>
          <w:color w:val="auto"/>
        </w:rPr>
      </w:pPr>
    </w:p>
    <w:p>
      <w:pPr>
        <w:ind w:left="2400" w:right="859" w:hanging="394"/>
        <w:spacing w:after="0" w:line="277" w:lineRule="auto"/>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2023 Annual Meeting.</w:t>
      </w:r>
    </w:p>
    <w:p>
      <w:pPr>
        <w:spacing w:after="0" w:line="382" w:lineRule="exact"/>
        <w:rPr>
          <w:sz w:val="20"/>
          <w:szCs w:val="20"/>
          <w:color w:val="auto"/>
        </w:rPr>
      </w:pPr>
    </w:p>
    <w:p>
      <w:pPr>
        <w:ind w:left="2000" w:right="339" w:hanging="1713"/>
        <w:spacing w:after="0" w:line="308" w:lineRule="auto"/>
        <w:tabs>
          <w:tab w:leader="none" w:pos="1980" w:val="left"/>
        </w:tabs>
        <w:rPr>
          <w:sz w:val="20"/>
          <w:szCs w:val="20"/>
          <w:color w:val="auto"/>
        </w:rPr>
      </w:pPr>
      <w:r>
        <w:rPr>
          <w:rFonts w:ascii="Arial" w:cs="Arial" w:eastAsia="Arial" w:hAnsi="Arial"/>
          <w:sz w:val="18"/>
          <w:szCs w:val="18"/>
          <w:b w:val="1"/>
          <w:bCs w:val="1"/>
          <w:color w:val="auto"/>
        </w:rPr>
        <w:t>Who Can Vote:</w:t>
      </w:r>
      <w:r>
        <w:rPr>
          <w:sz w:val="20"/>
          <w:szCs w:val="20"/>
          <w:color w:val="auto"/>
        </w:rPr>
        <w:tab/>
      </w:r>
      <w:r>
        <w:rPr>
          <w:rFonts w:ascii="Arial" w:cs="Arial" w:eastAsia="Arial" w:hAnsi="Arial"/>
          <w:sz w:val="17"/>
          <w:szCs w:val="17"/>
          <w:color w:val="auto"/>
        </w:rPr>
        <w:t>You can vote if you were a stockholder of record of our Common Stock or our Series A 12% Convertible Preferred Stock, as of the close of business on October 10, 2023.</w:t>
      </w:r>
    </w:p>
    <w:p>
      <w:pPr>
        <w:spacing w:after="0" w:line="362" w:lineRule="exact"/>
        <w:rPr>
          <w:sz w:val="20"/>
          <w:szCs w:val="20"/>
          <w:color w:val="auto"/>
        </w:rPr>
      </w:pPr>
    </w:p>
    <w:p>
      <w:pPr>
        <w:ind w:left="2000" w:right="539" w:hanging="1713"/>
        <w:spacing w:after="0" w:line="311" w:lineRule="auto"/>
        <w:tabs>
          <w:tab w:leader="none" w:pos="1980" w:val="left"/>
        </w:tabs>
        <w:rPr>
          <w:sz w:val="20"/>
          <w:szCs w:val="20"/>
          <w:color w:val="auto"/>
        </w:rPr>
      </w:pPr>
      <w:r>
        <w:rPr>
          <w:rFonts w:ascii="Arial" w:cs="Arial" w:eastAsia="Arial" w:hAnsi="Arial"/>
          <w:sz w:val="18"/>
          <w:szCs w:val="18"/>
          <w:b w:val="1"/>
          <w:bCs w:val="1"/>
          <w:color w:val="auto"/>
        </w:rPr>
        <w:t>Proxy Materials:</w:t>
      </w:r>
      <w:r>
        <w:rPr>
          <w:sz w:val="20"/>
          <w:szCs w:val="20"/>
          <w:color w:val="auto"/>
        </w:rPr>
        <w:tab/>
      </w:r>
      <w:r>
        <w:rPr>
          <w:rFonts w:ascii="Arial" w:cs="Arial" w:eastAsia="Arial" w:hAnsi="Arial"/>
          <w:sz w:val="16"/>
          <w:szCs w:val="16"/>
          <w:color w:val="auto"/>
        </w:rPr>
        <w:t xml:space="preserve">You may access our Annual Report and this Notice and proxy statement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on our website at</w:t>
      </w:r>
      <w:r>
        <w:rPr>
          <w:rFonts w:ascii="Arial" w:cs="Arial" w:eastAsia="Arial" w:hAnsi="Arial"/>
          <w:sz w:val="16"/>
          <w:szCs w:val="16"/>
          <w:i w:val="1"/>
          <w:iCs w:val="1"/>
          <w:color w:val="auto"/>
        </w:rPr>
        <w:t xml:space="preserve"> www.galectintherapeutics.com </w:t>
      </w:r>
      <w:r>
        <w:rPr>
          <w:rFonts w:ascii="Arial" w:cs="Arial" w:eastAsia="Arial" w:hAnsi="Arial"/>
          <w:sz w:val="16"/>
          <w:szCs w:val="16"/>
          <w:color w:val="auto"/>
        </w:rPr>
        <w:t>. Instructions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how to obtain a paper copies of the proxy materials are on page 0 of this notice.</w:t>
      </w:r>
    </w:p>
    <w:p>
      <w:pPr>
        <w:spacing w:after="0" w:line="365" w:lineRule="exact"/>
        <w:rPr>
          <w:sz w:val="20"/>
          <w:szCs w:val="20"/>
          <w:color w:val="auto"/>
        </w:rPr>
      </w:pPr>
    </w:p>
    <w:p>
      <w:pPr>
        <w:ind w:left="2000" w:right="679" w:hanging="1713"/>
        <w:spacing w:after="0" w:line="277" w:lineRule="auto"/>
        <w:tabs>
          <w:tab w:leader="none" w:pos="1980" w:val="left"/>
        </w:tabs>
        <w:rPr>
          <w:sz w:val="20"/>
          <w:szCs w:val="20"/>
          <w:color w:val="auto"/>
        </w:rPr>
      </w:pPr>
      <w:r>
        <w:rPr>
          <w:rFonts w:ascii="Arial" w:cs="Arial" w:eastAsia="Arial" w:hAnsi="Arial"/>
          <w:sz w:val="18"/>
          <w:szCs w:val="18"/>
          <w:b w:val="1"/>
          <w:bCs w:val="1"/>
          <w:color w:val="auto"/>
        </w:rPr>
        <w:t>Date of Mailing:</w:t>
      </w:r>
      <w:r>
        <w:rPr>
          <w:sz w:val="20"/>
          <w:szCs w:val="20"/>
          <w:color w:val="auto"/>
        </w:rPr>
        <w:tab/>
      </w:r>
      <w:r>
        <w:rPr>
          <w:rFonts w:ascii="Arial" w:cs="Arial" w:eastAsia="Arial" w:hAnsi="Arial"/>
          <w:sz w:val="18"/>
          <w:szCs w:val="18"/>
          <w:color w:val="auto"/>
        </w:rPr>
        <w:t>This Notice, the proxy statement and the form of proxy are first being made available to stockholders on or about October 10, 2023.</w:t>
      </w:r>
    </w:p>
    <w:p>
      <w:pPr>
        <w:spacing w:after="0" w:line="116" w:lineRule="exact"/>
        <w:rPr>
          <w:sz w:val="20"/>
          <w:szCs w:val="20"/>
          <w:color w:val="auto"/>
        </w:rPr>
      </w:pPr>
    </w:p>
    <w:p>
      <w:pPr>
        <w:ind w:left="300" w:right="439"/>
        <w:spacing w:after="0" w:line="266" w:lineRule="auto"/>
        <w:rPr>
          <w:sz w:val="20"/>
          <w:szCs w:val="20"/>
          <w:color w:val="auto"/>
        </w:rPr>
      </w:pPr>
      <w:r>
        <w:rPr>
          <w:rFonts w:ascii="Arial" w:cs="Arial" w:eastAsia="Arial" w:hAnsi="Arial"/>
          <w:sz w:val="18"/>
          <w:szCs w:val="18"/>
          <w:b w:val="1"/>
          <w:bCs w:val="1"/>
          <w:color w:val="auto"/>
        </w:rPr>
        <w:t>WHETHER OR NOT YOU EXPECT TO ATTEND THE ANNUAL MEETING, PLEASE SUBMIT PROMPTLY VOTE YOUR SHARES BY FOLLOWING THE INSTRUCTIONS ON THE NOTICE CARD OR PROXY CARD.</w:t>
      </w:r>
    </w:p>
    <w:p>
      <w:pPr>
        <w:spacing w:after="0" w:line="108" w:lineRule="exact"/>
        <w:rPr>
          <w:sz w:val="20"/>
          <w:szCs w:val="20"/>
          <w:color w:val="auto"/>
        </w:rPr>
      </w:pPr>
    </w:p>
    <w:p>
      <w:pPr>
        <w:ind w:left="2460" w:right="2099" w:hanging="418"/>
        <w:spacing w:after="0" w:line="347" w:lineRule="auto"/>
        <w:rPr>
          <w:sz w:val="20"/>
          <w:szCs w:val="20"/>
          <w:color w:val="auto"/>
        </w:rPr>
      </w:pPr>
      <w:r>
        <w:rPr>
          <w:rFonts w:ascii="Arial" w:cs="Arial" w:eastAsia="Arial" w:hAnsi="Arial"/>
          <w:sz w:val="16"/>
          <w:szCs w:val="16"/>
          <w:b w:val="1"/>
          <w:bCs w:val="1"/>
          <w:u w:val="single" w:color="auto"/>
          <w:color w:val="auto"/>
        </w:rPr>
        <w:t>Important Notice Regarding the Availability of Proxy Materials for the Annual Meeting to be Held December 7, 2023.</w:t>
      </w:r>
    </w:p>
    <w:p>
      <w:pPr>
        <w:spacing w:after="0" w:line="8" w:lineRule="exact"/>
        <w:rPr>
          <w:sz w:val="20"/>
          <w:szCs w:val="20"/>
          <w:color w:val="auto"/>
        </w:rPr>
      </w:pPr>
    </w:p>
    <w:p>
      <w:pPr>
        <w:ind w:left="300" w:right="439" w:firstLine="360"/>
        <w:spacing w:after="0" w:line="282" w:lineRule="auto"/>
        <w:rPr>
          <w:sz w:val="20"/>
          <w:szCs w:val="20"/>
          <w:color w:val="auto"/>
        </w:rPr>
      </w:pPr>
      <w:r>
        <w:rPr>
          <w:rFonts w:ascii="Arial" w:cs="Arial" w:eastAsia="Arial" w:hAnsi="Arial"/>
          <w:sz w:val="18"/>
          <w:szCs w:val="18"/>
          <w:b w:val="1"/>
          <w:bCs w:val="1"/>
          <w:color w:val="auto"/>
        </w:rPr>
        <w:t>The Letter to Stockholders, Notice of Meeting, Proxy Statement, and Annual Report on Form 10-K, are available at: www.proxyvote.com</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83185</wp:posOffset>
            </wp:positionV>
            <wp:extent cx="1156970"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69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 w:name="page4"/>
    <w:bookmarkEnd w:id="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PROXY STATEMENT FOR 2023 ANNUAL MEETING OF STOCKHOLDERS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sz w:val="20"/>
                <w:szCs w:val="20"/>
                <w:color w:val="auto"/>
              </w:rPr>
            </w:pPr>
            <w:r>
              <w:rPr>
                <w:rFonts w:ascii="Arial" w:cs="Arial" w:eastAsia="Arial" w:hAnsi="Arial"/>
                <w:sz w:val="18"/>
                <w:szCs w:val="18"/>
                <w:color w:val="0000EE"/>
              </w:rPr>
              <w:t>QUESTIONS AND ANSWERS ABOUT THE ANNUAL MEETING AND VOTING</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6</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sz w:val="20"/>
                <w:szCs w:val="20"/>
                <w:color w:val="auto"/>
              </w:rPr>
            </w:pPr>
            <w:r>
              <w:rPr>
                <w:rFonts w:ascii="Arial" w:cs="Arial" w:eastAsia="Arial" w:hAnsi="Arial"/>
                <w:sz w:val="18"/>
                <w:szCs w:val="18"/>
                <w:color w:val="0000EE"/>
              </w:rPr>
              <w:t>SECTION 16(a) BENEFICIAL OWNERSHIP REPORTING COMPLIANCE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8</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PROPOSAL NO. 1 ELECTION OF DIRECTORS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9</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sz w:val="20"/>
                <w:szCs w:val="20"/>
                <w:color w:val="auto"/>
              </w:rPr>
            </w:pPr>
            <w:r>
              <w:rPr>
                <w:rFonts w:ascii="Arial" w:cs="Arial" w:eastAsia="Arial" w:hAnsi="Arial"/>
                <w:sz w:val="18"/>
                <w:szCs w:val="18"/>
                <w:color w:val="0000EE"/>
              </w:rPr>
              <w:t>EXECUTIVE OFFICERS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13</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CORPORATE GOVERNANCE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sz w:val="20"/>
                <w:szCs w:val="20"/>
                <w:color w:val="auto"/>
              </w:rPr>
            </w:pPr>
            <w:r>
              <w:rPr>
                <w:rFonts w:ascii="Arial" w:cs="Arial" w:eastAsia="Arial" w:hAnsi="Arial"/>
                <w:sz w:val="18"/>
                <w:szCs w:val="18"/>
                <w:color w:val="0000EE"/>
              </w:rPr>
              <w:t>DIRECTOR COMPENSATION</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21</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23</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sz w:val="20"/>
                <w:szCs w:val="20"/>
                <w:color w:val="auto"/>
              </w:rPr>
            </w:pPr>
            <w:r>
              <w:rPr>
                <w:rFonts w:ascii="Arial" w:cs="Arial" w:eastAsia="Arial" w:hAnsi="Arial"/>
                <w:sz w:val="18"/>
                <w:szCs w:val="18"/>
                <w:color w:val="0000EE"/>
              </w:rPr>
              <w:t>SUMMARY COMPENSATION TABLE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28</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OUTSTANDING EQUITY AWARDS AT FISCAL YEAR-END 2021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29</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sz w:val="20"/>
                <w:szCs w:val="20"/>
                <w:color w:val="auto"/>
              </w:rPr>
            </w:pPr>
            <w:r>
              <w:rPr>
                <w:rFonts w:ascii="Arial" w:cs="Arial" w:eastAsia="Arial" w:hAnsi="Arial"/>
                <w:sz w:val="18"/>
                <w:szCs w:val="18"/>
                <w:color w:val="0000EE"/>
              </w:rPr>
              <w:t>PROPOSAL NO. 2 RATIFICATION OF APPOINTMENT OF INDEPENDENT AUDITORS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36</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FEES PAID TO CHERRY BEKAERT LLP</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36</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sz w:val="20"/>
                <w:szCs w:val="20"/>
                <w:color w:val="auto"/>
              </w:rPr>
            </w:pPr>
            <w:r>
              <w:rPr>
                <w:rFonts w:ascii="Arial" w:cs="Arial" w:eastAsia="Arial" w:hAnsi="Arial"/>
                <w:sz w:val="18"/>
                <w:szCs w:val="18"/>
                <w:color w:val="0000EE"/>
              </w:rPr>
              <w:t>PROPOSAL NO. 3 TO APPROVE AN AMENDMENT TO OUR 2019 OMNIBUS EQUITY INCENTIVE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PLAN</w:t>
            </w:r>
          </w:p>
        </w:tc>
        <w:tc>
          <w:tcPr>
            <w:tcW w:w="360" w:type="dxa"/>
            <w:vAlign w:val="bottom"/>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37</w:t>
            </w:r>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PROPOSALS OF STOCKHOLDERS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41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sz w:val="20"/>
                <w:szCs w:val="20"/>
                <w:color w:val="auto"/>
              </w:rPr>
            </w:pPr>
            <w:r>
              <w:rPr>
                <w:rFonts w:ascii="Arial" w:cs="Arial" w:eastAsia="Arial" w:hAnsi="Arial"/>
                <w:sz w:val="18"/>
                <w:szCs w:val="18"/>
                <w:color w:val="0000EE"/>
              </w:rPr>
              <w:t>ANNUAL REPORT</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0000EE"/>
              </w:rPr>
              <w:t>HOW TO ATTEND THE 2023 ANNUAL MEETING</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43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060" w:type="dxa"/>
            <w:vAlign w:val="bottom"/>
            <w:gridSpan w:val="3"/>
          </w:tcPr>
          <w:p>
            <w:pPr>
              <w:spacing w:after="0"/>
              <w:rPr>
                <w:sz w:val="20"/>
                <w:szCs w:val="20"/>
                <w:color w:val="auto"/>
              </w:rPr>
            </w:pPr>
            <w:r>
              <w:rPr>
                <w:rFonts w:ascii="Arial" w:cs="Arial" w:eastAsia="Arial" w:hAnsi="Arial"/>
                <w:sz w:val="18"/>
                <w:szCs w:val="18"/>
                <w:color w:val="0000EE"/>
                <w:w w:val="96"/>
              </w:rPr>
              <w:t>APPENDIX A</w:t>
            </w:r>
          </w:p>
        </w:tc>
        <w:tc>
          <w:tcPr>
            <w:tcW w:w="7060" w:type="dxa"/>
            <w:vAlign w:val="bottom"/>
            <w:gridSpan w:val="17"/>
          </w:tcPr>
          <w:p>
            <w:pPr>
              <w:spacing w:after="0"/>
              <w:rPr>
                <w:sz w:val="19"/>
                <w:szCs w:val="19"/>
                <w:color w:val="auto"/>
              </w:rPr>
            </w:pPr>
          </w:p>
        </w:tc>
        <w:tc>
          <w:tcPr>
            <w:tcW w:w="300" w:type="dxa"/>
            <w:vAlign w:val="bottom"/>
            <w:gridSpan w:val="4"/>
          </w:tcPr>
          <w:p>
            <w:pPr>
              <w:spacing w:after="0"/>
              <w:rPr>
                <w:sz w:val="20"/>
                <w:szCs w:val="20"/>
                <w:color w:val="auto"/>
              </w:rPr>
            </w:pPr>
            <w:r>
              <w:rPr>
                <w:rFonts w:ascii="Arial" w:cs="Arial" w:eastAsia="Arial" w:hAnsi="Arial"/>
                <w:sz w:val="18"/>
                <w:szCs w:val="18"/>
                <w:color w:val="0000EE"/>
                <w:w w:val="99"/>
              </w:rPr>
              <w:t>A-1</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-3805555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Norcross, Georgia 30071</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December 7, 2023</w:t>
      </w:r>
    </w:p>
    <w:p>
      <w:pPr>
        <w:spacing w:after="0" w:line="319"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 xml:space="preserve">This proxy statement contains information about the 2023 annual meeting of stockholders (“2023 Annual Meeting”) of Galectin Therapeutics Inc. (referred to in this proxy statement as “Galectin”, “Galectin Therapeutics”, “the Company”, “we”, “our” or “us”). The 2023 Annual Meeting will be held virtually over the internet on Thursday, December 7, 2023, beginning at 11:00 a.m. Eastern Standard Time, at www.virtualshareholdermeeting.com/GALT2023. Online access begins at 10:45 a.m. on the date of the 2023 Annual Meeting. Due to the cost savings and other efficiencies resulting from conducting a virtual meeting, the Company is conducting an online-only format for the 2023 annual meeting. Stockholders will be able to listen, vote, and submit questions from their home or any remote location with internet connectivity. The 2023 Annual Meeting has been designed to provide the same rights to participate as you would have at an in-person meeting. Information on how to participate in this year’s virtual meeting can be found on page </w:t>
      </w:r>
      <w:r>
        <w:rPr>
          <w:rFonts w:ascii="Arial" w:cs="Arial" w:eastAsia="Arial" w:hAnsi="Arial"/>
          <w:sz w:val="17"/>
          <w:szCs w:val="17"/>
          <w:u w:val="single" w:color="auto"/>
          <w:color w:val="0000EE"/>
        </w:rPr>
        <w:t>43</w:t>
      </w:r>
      <w:r>
        <w:rPr>
          <w:rFonts w:ascii="Arial" w:cs="Arial" w:eastAsia="Arial" w:hAnsi="Arial"/>
          <w:sz w:val="17"/>
          <w:szCs w:val="17"/>
          <w:color w:val="auto"/>
        </w:rPr>
        <w:t>.</w:t>
      </w:r>
    </w:p>
    <w:p>
      <w:pPr>
        <w:spacing w:after="0" w:line="7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2023 Annual Meeting. All proxies will be voted in accordance with the instructions they contain. If you do not specify your voting instructions on your proxy, it will be voted in accordance with the recommendations of our Board of Directors.</w:t>
      </w:r>
    </w:p>
    <w:p>
      <w:pPr>
        <w:spacing w:after="0" w:line="79"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These proxy materials, together with our Annual Report to stockholders on Form 10-K for our 2022 fiscal year, are first being made available to stockholders on or about October 6, 2023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Instructions on How to Attend the 2023 Annual Meeting</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This year our annual meeting will be a virtual online-only meeting. There will be no physical meeting location. The meeting will only be conducted via live webcast. To participate in the 2023 Annual Meeting, visit www.virtualshareholdermeeting.com/GALT2023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7, 2023. The meeting will begin promptly at 11:00 a.m. Eastern Standard Time on December 7, 2023.</w:t>
      </w:r>
    </w:p>
    <w:p>
      <w:pPr>
        <w:spacing w:after="0" w:line="56"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80"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If you want to submit question during the meeting, log into the virtual meeting platform at www.virtualshareholdermeeting.com/GALT2023,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2023 Annual Meeting has been designed to provide the same rights to participate as you would have at an in-person meeting. If you encounter any difficulties accessing the 2023 Annual Meeting during the check-in or meeting time, please call the technical support number that will be posted on the Virtual Shareholder Meeting log in page at www.virtualshareholdermeeting.com/GALT2023.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is the annual meeting held in a virtual, online-only format this year?</w:t>
      </w:r>
    </w:p>
    <w:p>
      <w:pPr>
        <w:spacing w:after="0" w:line="121" w:lineRule="exact"/>
        <w:rPr>
          <w:sz w:val="20"/>
          <w:szCs w:val="20"/>
          <w:color w:val="auto"/>
        </w:rPr>
      </w:pPr>
    </w:p>
    <w:p>
      <w:pPr>
        <w:ind w:left="300" w:right="559" w:firstLine="360"/>
        <w:spacing w:after="0" w:line="257" w:lineRule="auto"/>
        <w:rPr>
          <w:sz w:val="20"/>
          <w:szCs w:val="20"/>
          <w:color w:val="auto"/>
        </w:rPr>
      </w:pPr>
      <w:r>
        <w:rPr>
          <w:rFonts w:ascii="Arial" w:cs="Arial" w:eastAsia="Arial" w:hAnsi="Arial"/>
          <w:sz w:val="18"/>
          <w:szCs w:val="18"/>
          <w:color w:val="auto"/>
        </w:rPr>
        <w:t>We are holding our 2023 annual meeting in a virtual, online-only format this year due cost savings and other efficiencies resulting from conducting a virtual meeting. We believe that the virtual meeting format will facilitate stockholder attendance and participation at the annual meeting during the COVID-19 pandemic by enabling stockholders to participate remotely from any location without incurring the travel costs and time of attending the meeting in-person.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2023 Annual Meeting will be held for the following purposes:</w:t>
      </w:r>
    </w:p>
    <w:p>
      <w:pPr>
        <w:spacing w:after="0" w:line="117" w:lineRule="exact"/>
        <w:rPr>
          <w:sz w:val="20"/>
          <w:szCs w:val="20"/>
          <w:color w:val="auto"/>
        </w:rPr>
      </w:pPr>
    </w:p>
    <w:p>
      <w:pPr>
        <w:ind w:left="1000" w:right="7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eleven nominees named in this proxy statement for director to hold office until the 2023 annual meeting of our stockholders.</w:t>
      </w:r>
    </w:p>
    <w:p>
      <w:pPr>
        <w:spacing w:after="0" w:line="62" w:lineRule="exact"/>
        <w:rPr>
          <w:rFonts w:ascii="Arial" w:cs="Arial" w:eastAsia="Arial" w:hAnsi="Arial"/>
          <w:sz w:val="18"/>
          <w:szCs w:val="18"/>
          <w:color w:val="auto"/>
        </w:rPr>
      </w:pPr>
    </w:p>
    <w:p>
      <w:pPr>
        <w:ind w:left="1000" w:right="61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Directors of Cherry Bekaert LLP as our independent registered public accounting firm for the fiscal year ending December 31, 2023.</w:t>
      </w:r>
    </w:p>
    <w:p>
      <w:pPr>
        <w:spacing w:after="0" w:line="38" w:lineRule="exact"/>
        <w:rPr>
          <w:rFonts w:ascii="Arial" w:cs="Arial" w:eastAsia="Arial" w:hAnsi="Arial"/>
          <w:sz w:val="17"/>
          <w:szCs w:val="17"/>
          <w:color w:val="auto"/>
        </w:rPr>
      </w:pPr>
    </w:p>
    <w:p>
      <w:pPr>
        <w:ind w:left="1000" w:right="4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2023 Annual Meeting.</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vote if you were a stockholder of Galectin Therapeutics as of the close of business on the record date,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October 10, 2023. Shares outstanding on the record date are the following:</w:t>
      </w:r>
    </w:p>
    <w:p>
      <w:pPr>
        <w:spacing w:after="0" w:line="103"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61,848,657 shares of common stock, par value $0.001 per share (“Common Stock”)</w:t>
      </w:r>
    </w:p>
    <w:p>
      <w:pPr>
        <w:spacing w:after="0" w:line="117"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1,260,000 shares of Series A 12% Convertible Preferred Stock, par value $0.01 per share (“Series A Preferred Stock”).</w:t>
      </w:r>
    </w:p>
    <w:p>
      <w:pPr>
        <w:spacing w:after="0" w:line="62" w:lineRule="exact"/>
        <w:rPr>
          <w:sz w:val="20"/>
          <w:szCs w:val="20"/>
          <w:color w:val="auto"/>
        </w:rPr>
      </w:pPr>
    </w:p>
    <w:p>
      <w:pPr>
        <w:jc w:val="both"/>
        <w:ind w:left="300" w:right="419" w:firstLine="360"/>
        <w:spacing w:after="0" w:line="279" w:lineRule="auto"/>
        <w:rPr>
          <w:sz w:val="20"/>
          <w:szCs w:val="20"/>
          <w:color w:val="auto"/>
        </w:rPr>
      </w:pPr>
      <w:r>
        <w:rPr>
          <w:rFonts w:ascii="Arial" w:cs="Arial" w:eastAsia="Arial" w:hAnsi="Arial"/>
          <w:sz w:val="17"/>
          <w:szCs w:val="17"/>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19,503,359 shares of Common Stock or the common equivalent of voting Preferred Stock, representing approximately 31%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58" w:lineRule="exact"/>
        <w:rPr>
          <w:sz w:val="20"/>
          <w:szCs w:val="20"/>
          <w:color w:val="auto"/>
        </w:rPr>
      </w:pPr>
    </w:p>
    <w:p>
      <w:pPr>
        <w:ind w:left="1000" w:right="419" w:hanging="348"/>
        <w:spacing w:after="0" w:line="281"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You may vote by mail</w:t>
      </w:r>
      <w:r>
        <w:rPr>
          <w:rFonts w:ascii="Arial" w:cs="Arial" w:eastAsia="Arial" w:hAnsi="Arial"/>
          <w:sz w:val="17"/>
          <w:szCs w:val="17"/>
          <w:color w:val="auto"/>
        </w:rPr>
        <w:t>. You may vote by completing and signing the proxy card enclosed with this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(or by requesting a paper copy of the materials if you only received an electronic version) and promptly mailing it in the enclosed postage-prepaid envelope. You do not need to put a stamp on the enclosed envelope if you mail it from the United States. The shares you own will be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020" w:right="479"/>
        <w:spacing w:after="0" w:line="286" w:lineRule="auto"/>
        <w:rPr>
          <w:sz w:val="20"/>
          <w:szCs w:val="20"/>
          <w:color w:val="auto"/>
        </w:rPr>
      </w:pPr>
      <w:r>
        <w:rPr>
          <w:rFonts w:ascii="Arial" w:cs="Arial" w:eastAsia="Arial" w:hAnsi="Arial"/>
          <w:sz w:val="17"/>
          <w:szCs w:val="17"/>
          <w:color w:val="auto"/>
        </w:rPr>
        <w:t>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53" w:lineRule="exact"/>
        <w:rPr>
          <w:sz w:val="20"/>
          <w:szCs w:val="20"/>
          <w:color w:val="auto"/>
        </w:rPr>
      </w:pPr>
    </w:p>
    <w:p>
      <w:pPr>
        <w:ind w:left="1000" w:right="419" w:hanging="348"/>
        <w:spacing w:after="0" w:line="25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by Internet prior to the 2023 Annual Meeting</w:t>
      </w:r>
      <w:r>
        <w:rPr>
          <w:rFonts w:ascii="Arial" w:cs="Arial" w:eastAsia="Arial" w:hAnsi="Arial"/>
          <w:sz w:val="18"/>
          <w:szCs w:val="18"/>
          <w:color w:val="auto"/>
        </w:rPr>
        <w:t>. You may vote over the Internet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instructed on the proxy card enclosed with this proxy statement and accessing </w:t>
      </w:r>
      <w:r>
        <w:rPr>
          <w:rFonts w:ascii="Arial" w:cs="Arial" w:eastAsia="Arial" w:hAnsi="Arial"/>
          <w:sz w:val="18"/>
          <w:szCs w:val="18"/>
          <w:i w:val="1"/>
          <w:iCs w:val="1"/>
          <w:color w:val="auto"/>
        </w:rPr>
        <w:t>www.proxyvote.com</w:t>
      </w:r>
      <w:r>
        <w:rPr>
          <w:rFonts w:ascii="Arial" w:cs="Arial" w:eastAsia="Arial" w:hAnsi="Arial"/>
          <w:sz w:val="18"/>
          <w:szCs w:val="18"/>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9" w:lineRule="exact"/>
        <w:rPr>
          <w:rFonts w:ascii="Arial" w:cs="Arial" w:eastAsia="Arial" w:hAnsi="Arial"/>
          <w:sz w:val="18"/>
          <w:szCs w:val="18"/>
          <w:color w:val="auto"/>
        </w:rPr>
      </w:pPr>
    </w:p>
    <w:p>
      <w:pPr>
        <w:ind w:left="1000" w:right="559" w:hanging="348"/>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during the 2023 Annual Meeting</w:t>
      </w:r>
      <w:r>
        <w:rPr>
          <w:rFonts w:ascii="Arial" w:cs="Arial" w:eastAsia="Arial" w:hAnsi="Arial"/>
          <w:sz w:val="18"/>
          <w:szCs w:val="18"/>
          <w:color w:val="auto"/>
        </w:rPr>
        <w:t>. If you attend the 2023 Annual Meeting virtually by</w:t>
      </w:r>
      <w:r>
        <w:rPr>
          <w:rFonts w:ascii="Arial" w:cs="Arial" w:eastAsia="Arial" w:hAnsi="Arial"/>
          <w:sz w:val="18"/>
          <w:szCs w:val="18"/>
          <w:b w:val="1"/>
          <w:bCs w:val="1"/>
          <w:color w:val="auto"/>
        </w:rPr>
        <w:t xml:space="preserve"> </w:t>
      </w:r>
      <w:r>
        <w:rPr>
          <w:rFonts w:ascii="Arial" w:cs="Arial" w:eastAsia="Arial" w:hAnsi="Arial"/>
          <w:sz w:val="18"/>
          <w:szCs w:val="18"/>
          <w:color w:val="auto"/>
        </w:rPr>
        <w:t>visiting www.virtualshareholdermeeting.com/GALT2023 at 11:00 a.m. Eastern Standard Time on December 7, 2023, you may vote during the 2023 Annual Meeting. You will need the 16-digit control number included on your notice of Internet availability of the proxy materials, on your proxy card or on the instructions that accompanied your proxy materials.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ind w:left="300" w:right="759"/>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eleven nominees to serve as directors on the Board of Directors until our 2024</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w:t>
      </w:r>
    </w:p>
    <w:p>
      <w:pPr>
        <w:spacing w:after="0" w:line="54" w:lineRule="exact"/>
        <w:rPr>
          <w:sz w:val="20"/>
          <w:szCs w:val="20"/>
          <w:color w:val="auto"/>
        </w:rPr>
      </w:pPr>
    </w:p>
    <w:p>
      <w:pPr>
        <w:ind w:left="300" w:right="519"/>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Cherry Bekaert LLP, as our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2023 fiscal year.</w:t>
      </w:r>
    </w:p>
    <w:p>
      <w:pPr>
        <w:spacing w:after="0" w:line="54" w:lineRule="exact"/>
        <w:rPr>
          <w:sz w:val="20"/>
          <w:szCs w:val="20"/>
          <w:color w:val="auto"/>
        </w:rPr>
      </w:pPr>
    </w:p>
    <w:p>
      <w:pPr>
        <w:ind w:left="300" w:right="1519"/>
        <w:spacing w:after="0" w:line="282" w:lineRule="auto"/>
        <w:rPr>
          <w:sz w:val="20"/>
          <w:szCs w:val="20"/>
          <w:color w:val="auto"/>
        </w:rPr>
      </w:pPr>
      <w:r>
        <w:rPr>
          <w:rFonts w:ascii="Arial" w:cs="Arial" w:eastAsia="Arial" w:hAnsi="Arial"/>
          <w:sz w:val="18"/>
          <w:szCs w:val="18"/>
          <w:b w:val="1"/>
          <w:bCs w:val="1"/>
          <w:color w:val="auto"/>
        </w:rPr>
        <w:t>FOR</w:t>
      </w:r>
      <w:r>
        <w:rPr>
          <w:rFonts w:ascii="Arial" w:cs="Arial" w:eastAsia="Arial" w:hAnsi="Arial"/>
          <w:sz w:val="18"/>
          <w:szCs w:val="18"/>
          <w:color w:val="auto"/>
        </w:rPr>
        <w:t>, approving an amendment to our 2019 Omnibus Equity Incentive Plan to reserve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3,000,000 shares for issuance under the plan.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300" w:right="319" w:firstLine="360"/>
        <w:spacing w:after="0" w:line="274" w:lineRule="auto"/>
        <w:rPr>
          <w:sz w:val="20"/>
          <w:szCs w:val="20"/>
          <w:color w:val="auto"/>
        </w:rPr>
      </w:pPr>
      <w:r>
        <w:rPr>
          <w:rFonts w:ascii="Arial" w:cs="Arial" w:eastAsia="Arial" w:hAnsi="Arial"/>
          <w:sz w:val="17"/>
          <w:szCs w:val="17"/>
          <w:color w:val="auto"/>
        </w:rPr>
        <w:t>Any proxy card returned without directions given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the nominees presented in this proxy statement to the Board of Directors, (2)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Cherry Bekaert LLP as our independent registered public accounting firm to audit the financial statements for our 2023 fiscal year, (3)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approving an amendment to our 2019 Omnibus Equity Incentive Plan to reserve an additional 3,000,000 shares for issuance under the plan, and (4) as to any other business that may come before the 2023 Annual Meeting, in accordance with the judgment of the person or persons named in the proxy.</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w:t>
      </w:r>
    </w:p>
    <w:p>
      <w:pPr>
        <w:spacing w:after="0" w:line="76"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proposals relating to the election of directors and approval of the amendment to our 2019 Omnibus Equity Incentive Plan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9"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The proposal to ratify the selection of Cherry Bekaert LLP as our independent auditor for fiscal year 2023, is considered a routine matter for which brokerage firms may (or may not) vote shares for which they have not received voting instructions. Several large brokerage firms, such as Charles Schwab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62"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7"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giving our Corporate Secretary, Jack W. Callicutt, written notice to that effect. He may be contacted at 4960 Peachtree Industrial Blvd., Suite 240, Norcross, GA 30071; telephone: 678-620-3186; e-mail: callicutt@galectintherapeutics.com;</w:t>
      </w:r>
    </w:p>
    <w:p>
      <w:pPr>
        <w:spacing w:after="0" w:line="75"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2023 Annual Meeting virtually via the Internet and voting during the meeting.</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121"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You may view and also download our proxy materials, including the 2022 Annual Report, our Form 10-K for the year ended December 31, 2022, and the Notice by accessing www.proxyvote.com and on our website at www.galectintherapeutics.com</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solicitation of proxies in the enclosed form is made on behalf of the Board of Directors.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A quorum of stockholders is necessary to hold a valid meeting. A quorum will be present if at least one-third of the outstanding shares entitled to vote are represented by stockholders present at the meeting or by proxy. On the record date, there were 62,028,457 shares of Common Stock outstanding or deemed outstanding based on voting rights of Series A Preferred Stock on an as-converted basis. Thus, 20,676,152 shares must be represented by stockholders present at the meeting or by proxy to have a quorum.</w:t>
      </w:r>
    </w:p>
    <w:p>
      <w:pPr>
        <w:spacing w:after="0" w:line="6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left="300" w:right="499" w:firstLine="360"/>
        <w:spacing w:after="0" w:line="301" w:lineRule="auto"/>
        <w:rPr>
          <w:sz w:val="20"/>
          <w:szCs w:val="20"/>
          <w:color w:val="auto"/>
        </w:rPr>
      </w:pPr>
      <w:r>
        <w:rPr>
          <w:rFonts w:ascii="Arial" w:cs="Arial" w:eastAsia="Arial" w:hAnsi="Arial"/>
          <w:sz w:val="16"/>
          <w:szCs w:val="16"/>
          <w:b w:val="1"/>
          <w:bCs w:val="1"/>
          <w:i w:val="1"/>
          <w:iCs w:val="1"/>
          <w:color w:val="auto"/>
        </w:rPr>
        <w:t xml:space="preserve">Election of Directors. </w:t>
      </w:r>
      <w:r>
        <w:rPr>
          <w:rFonts w:ascii="Arial" w:cs="Arial" w:eastAsia="Arial" w:hAnsi="Arial"/>
          <w:sz w:val="16"/>
          <w:szCs w:val="16"/>
          <w:color w:val="auto"/>
        </w:rPr>
        <w:t>Directors are elected by a plurality of the votes cast by the holders of shares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in the election. There are eleven nominees and eleven positions to be filled; this means that the eleven individuals receiving the most votes will be elected. Abstentions and broker non-votes will not be relevant to the outcome, but abstentions and votes “withheld” are counted for the purpose of establishing a quorum.</w:t>
      </w:r>
    </w:p>
    <w:p>
      <w:pPr>
        <w:spacing w:after="0" w:line="49"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b w:val="1"/>
          <w:bCs w:val="1"/>
          <w:i w:val="1"/>
          <w:iCs w:val="1"/>
          <w:color w:val="auto"/>
        </w:rPr>
        <w:t xml:space="preserve">Ratification of independent registered public accounting firm. </w:t>
      </w:r>
      <w:r>
        <w:rPr>
          <w:rFonts w:ascii="Arial" w:cs="Arial" w:eastAsia="Arial" w:hAnsi="Arial"/>
          <w:sz w:val="16"/>
          <w:szCs w:val="16"/>
          <w:color w:val="auto"/>
        </w:rPr>
        <w:t>The votes cast “for” must exceed the votes cast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in order to ratify the selection of Cherry Bekaert LLP, as our independent registered public accounting firm. Abstentions will be counted for the purpose of establishing a quorum but will not be relevant to the outcome.</w:t>
      </w:r>
    </w:p>
    <w:p>
      <w:pPr>
        <w:spacing w:after="0" w:line="4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b w:val="1"/>
          <w:bCs w:val="1"/>
          <w:i w:val="1"/>
          <w:iCs w:val="1"/>
          <w:color w:val="auto"/>
        </w:rPr>
        <w:t xml:space="preserve">Approval of the Amendment to the 2019 Omnibus Equity Incentive Plan. </w:t>
      </w:r>
      <w:r>
        <w:rPr>
          <w:rFonts w:ascii="Arial" w:cs="Arial" w:eastAsia="Arial" w:hAnsi="Arial"/>
          <w:sz w:val="18"/>
          <w:szCs w:val="18"/>
          <w:color w:val="auto"/>
        </w:rPr>
        <w:t>The votes cast “for” must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votes cast “against” in order to approve an amendment to our 2019 Omnibus Equity Incentive Plan to reserve an additional 3,000,000 shares for issuance under the plan.</w:t>
      </w:r>
    </w:p>
    <w:p>
      <w:pPr>
        <w:spacing w:after="0" w:line="76"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The proposals relating to the election of directors and amendment to the 2019 Omnibus Equity Incentive Plan,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2023, because these proposals are considered routine matters for which brokerage firms may (or may not) vote shares for which they have not received voting instructions. Several large brokerage firms, such as Charles Schwab have announced that they have eliminated discretionary voting for even “routine” matters. Therefore, we urge every shareholder to vote their shares.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70"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8, 2024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8, 2024 nor earlier than August 9, 2024, in order to be considered timely.</w:t>
      </w:r>
    </w:p>
    <w:p>
      <w:pPr>
        <w:spacing w:after="0" w:line="84" w:lineRule="exact"/>
        <w:rPr>
          <w:sz w:val="20"/>
          <w:szCs w:val="20"/>
          <w:color w:val="auto"/>
        </w:rPr>
      </w:pPr>
    </w:p>
    <w:p>
      <w:pPr>
        <w:ind w:left="300" w:right="579" w:firstLine="360"/>
        <w:spacing w:after="0" w:line="273" w:lineRule="auto"/>
        <w:rPr>
          <w:sz w:val="20"/>
          <w:szCs w:val="20"/>
          <w:color w:val="auto"/>
        </w:rPr>
      </w:pPr>
      <w:r>
        <w:rPr>
          <w:rFonts w:ascii="Arial" w:cs="Arial" w:eastAsia="Arial" w:hAnsi="Arial"/>
          <w:sz w:val="17"/>
          <w:szCs w:val="17"/>
          <w:color w:val="auto"/>
        </w:rPr>
        <w:t>Notwithstanding the foregoing, if the date of the 2024 annual meeting of stockholders is scheduled to take place on a date that is more than 30 calendar days from the one year anniversary of the 2023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0" w:lineRule="exact"/>
        <w:rPr>
          <w:sz w:val="20"/>
          <w:szCs w:val="20"/>
          <w:color w:val="auto"/>
        </w:rPr>
      </w:pPr>
    </w:p>
    <w:p>
      <w:pPr>
        <w:ind w:left="300" w:right="719" w:firstLine="360"/>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We will report the voting results on Form 8-K within four business days after the end of our 2023 Annual Meeting of stockholders. If final voting results are not available to us in time to file a current report on Form 8-K within four business days after the 2023 Annual Meeting, we intend to file a current report on Form 8-K to publish preliminary results and, within four business days after the final results are known to us, file an additional current report on Form 8-K to publish the final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The following table sets forth, as of September 1, 2023,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2022 Annual Meeting.</w:t>
      </w:r>
    </w:p>
    <w:p>
      <w:pPr>
        <w:spacing w:after="0" w:line="70"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September 1, 2023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Shares of</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Series A</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Percent of</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Preferred</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Series A</w:t>
            </w:r>
          </w:p>
        </w:tc>
        <w:tc>
          <w:tcPr>
            <w:tcW w:w="0" w:type="dxa"/>
            <w:vAlign w:val="bottom"/>
          </w:tcPr>
          <w:p>
            <w:pPr>
              <w:spacing w:after="0"/>
              <w:rPr>
                <w:sz w:val="1"/>
                <w:szCs w:val="1"/>
                <w:color w:val="auto"/>
              </w:rPr>
            </w:pPr>
          </w:p>
        </w:tc>
      </w:tr>
      <w:tr>
        <w:trPr>
          <w:trHeight w:val="145"/>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3"/>
                <w:szCs w:val="23"/>
                <w:b w:val="1"/>
                <w:bCs w:val="1"/>
                <w:color w:val="auto"/>
                <w:vertAlign w:val="superscript"/>
              </w:rPr>
              <w:t>(1)</w:t>
            </w:r>
          </w:p>
        </w:tc>
        <w:tc>
          <w:tcPr>
            <w:tcW w:w="300" w:type="dxa"/>
            <w:vAlign w:val="bottom"/>
            <w:vMerge w:val="restart"/>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9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242"/>
        </w:trPr>
        <w:tc>
          <w:tcPr>
            <w:tcW w:w="40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10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3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Stock</w:t>
            </w:r>
            <w:r>
              <w:rPr>
                <w:rFonts w:ascii="Arial" w:cs="Arial" w:eastAsia="Arial" w:hAnsi="Arial"/>
                <w:sz w:val="23"/>
                <w:szCs w:val="23"/>
                <w:b w:val="1"/>
                <w:bCs w:val="1"/>
                <w:color w:val="auto"/>
                <w:w w:val="84"/>
                <w:vertAlign w:val="superscript"/>
              </w:rPr>
              <w:t>(3)</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Stock</w:t>
            </w:r>
            <w:r>
              <w:rPr>
                <w:rFonts w:ascii="Arial" w:cs="Arial" w:eastAsia="Arial" w:hAnsi="Arial"/>
                <w:sz w:val="23"/>
                <w:szCs w:val="23"/>
                <w:b w:val="1"/>
                <w:bCs w:val="1"/>
                <w:color w:val="auto"/>
                <w:w w:val="84"/>
                <w:vertAlign w:val="superscript"/>
              </w:rPr>
              <w:t>(4)</w:t>
            </w:r>
          </w:p>
        </w:tc>
        <w:tc>
          <w:tcPr>
            <w:tcW w:w="0" w:type="dxa"/>
            <w:vAlign w:val="bottom"/>
          </w:tcPr>
          <w:p>
            <w:pPr>
              <w:spacing w:after="0"/>
              <w:rPr>
                <w:sz w:val="1"/>
                <w:szCs w:val="1"/>
                <w:color w:val="auto"/>
              </w:rPr>
            </w:pPr>
          </w:p>
        </w:tc>
      </w:tr>
      <w:tr>
        <w:trPr>
          <w:trHeight w:val="311"/>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0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84"/>
              </w:rPr>
              <w:t>13,027,601</w:t>
            </w:r>
            <w:r>
              <w:rPr>
                <w:rFonts w:ascii="Arial" w:cs="Arial" w:eastAsia="Arial" w:hAnsi="Arial"/>
                <w:sz w:val="29"/>
                <w:szCs w:val="29"/>
                <w:color w:val="auto"/>
                <w:w w:val="84"/>
                <w:vertAlign w:val="superscript"/>
              </w:rPr>
              <w:t>(5)</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100,000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10X Fund, L.P.</w:t>
            </w:r>
            <w:r>
              <w:rPr>
                <w:rFonts w:ascii="Arial" w:cs="Arial" w:eastAsia="Arial" w:hAnsi="Arial"/>
                <w:sz w:val="29"/>
                <w:szCs w:val="29"/>
                <w:color w:val="auto"/>
                <w:vertAlign w:val="superscript"/>
              </w:rPr>
              <w:t>(9)</w:t>
            </w:r>
          </w:p>
        </w:tc>
        <w:tc>
          <w:tcPr>
            <w:tcW w:w="1060" w:type="dxa"/>
            <w:vAlign w:val="bottom"/>
            <w:shd w:val="clear" w:color="auto" w:fill="CCEEFF"/>
          </w:tcPr>
          <w:p>
            <w:pPr>
              <w:jc w:val="right"/>
              <w:ind w:right="14"/>
              <w:spacing w:after="0" w:line="324" w:lineRule="exact"/>
              <w:rPr>
                <w:sz w:val="20"/>
                <w:szCs w:val="20"/>
                <w:color w:val="auto"/>
              </w:rPr>
            </w:pPr>
            <w:r>
              <w:rPr>
                <w:rFonts w:ascii="Arial" w:cs="Arial" w:eastAsia="Arial" w:hAnsi="Arial"/>
                <w:sz w:val="18"/>
                <w:szCs w:val="18"/>
                <w:color w:val="auto"/>
                <w:w w:val="82"/>
              </w:rPr>
              <w:t>11,901,193</w:t>
            </w:r>
            <w:r>
              <w:rPr>
                <w:rFonts w:ascii="Arial" w:cs="Arial" w:eastAsia="Arial" w:hAnsi="Arial"/>
                <w:sz w:val="29"/>
                <w:szCs w:val="29"/>
                <w:color w:val="auto"/>
                <w:w w:val="82"/>
                <w:vertAlign w:val="superscript"/>
              </w:rPr>
              <w:t>(6)</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line="324" w:lineRule="exact"/>
              <w:rPr>
                <w:sz w:val="20"/>
                <w:szCs w:val="20"/>
                <w:color w:val="auto"/>
              </w:rPr>
            </w:pPr>
            <w:r>
              <w:rPr>
                <w:rFonts w:ascii="Arial" w:cs="Arial" w:eastAsia="Arial" w:hAnsi="Arial"/>
                <w:sz w:val="18"/>
                <w:szCs w:val="18"/>
                <w:color w:val="auto"/>
              </w:rPr>
              <w:t>David Smith</w:t>
            </w:r>
            <w:r>
              <w:rPr>
                <w:rFonts w:ascii="Arial" w:cs="Arial" w:eastAsia="Arial" w:hAnsi="Arial"/>
                <w:sz w:val="29"/>
                <w:szCs w:val="29"/>
                <w:color w:val="auto"/>
                <w:vertAlign w:val="superscript"/>
              </w:rPr>
              <w:t>(8)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175,000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Early Equities LLC</w:t>
            </w:r>
            <w:r>
              <w:rPr>
                <w:rFonts w:ascii="Arial" w:cs="Arial" w:eastAsia="Arial" w:hAnsi="Arial"/>
                <w:sz w:val="29"/>
                <w:szCs w:val="29"/>
                <w:color w:val="auto"/>
                <w:vertAlign w:val="superscript"/>
              </w:rPr>
              <w:t>(10)</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100,000</w:t>
            </w:r>
            <w:r>
              <w:rPr>
                <w:rFonts w:ascii="Arial" w:cs="Arial" w:eastAsia="Arial" w:hAnsi="Arial"/>
                <w:sz w:val="29"/>
                <w:szCs w:val="29"/>
                <w:color w:val="auto"/>
                <w:w w:val="92"/>
                <w:vertAlign w:val="superscript"/>
              </w:rPr>
              <w:t>(8)</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line="324" w:lineRule="exact"/>
              <w:rPr>
                <w:sz w:val="20"/>
                <w:szCs w:val="20"/>
                <w:color w:val="auto"/>
              </w:rPr>
            </w:pPr>
            <w:r>
              <w:rPr>
                <w:rFonts w:ascii="Arial" w:cs="Arial" w:eastAsia="Arial" w:hAnsi="Arial"/>
                <w:sz w:val="18"/>
                <w:szCs w:val="18"/>
                <w:color w:val="auto"/>
              </w:rPr>
              <w:t>Richard E. Uihlein</w:t>
            </w:r>
            <w:r>
              <w:rPr>
                <w:rFonts w:ascii="Arial" w:cs="Arial" w:eastAsia="Arial" w:hAnsi="Arial"/>
                <w:sz w:val="29"/>
                <w:szCs w:val="29"/>
                <w:color w:val="auto"/>
                <w:vertAlign w:val="superscript"/>
              </w:rPr>
              <w:t>(12)</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83"/>
              </w:rPr>
              <w:t>28,490,161</w:t>
            </w:r>
            <w:r>
              <w:rPr>
                <w:rFonts w:ascii="Arial" w:cs="Arial" w:eastAsia="Arial" w:hAnsi="Arial"/>
                <w:sz w:val="29"/>
                <w:szCs w:val="29"/>
                <w:color w:val="auto"/>
                <w:w w:val="83"/>
                <w:vertAlign w:val="superscript"/>
              </w:rPr>
              <w:t>(13)</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Directors, New Director Nominee and Other Named</w:t>
            </w: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Executive Officers</w:t>
            </w:r>
          </w:p>
        </w:tc>
        <w:tc>
          <w:tcPr>
            <w:tcW w:w="1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215,614</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Benjamin S. Carson, Sr. M.D.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100,000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84"/>
              </w:rPr>
              <w:t>13,027,601</w:t>
            </w:r>
            <w:r>
              <w:rPr>
                <w:rFonts w:ascii="Arial" w:cs="Arial" w:eastAsia="Arial" w:hAnsi="Arial"/>
                <w:sz w:val="29"/>
                <w:szCs w:val="29"/>
                <w:color w:val="auto"/>
                <w:w w:val="84"/>
                <w:vertAlign w:val="superscript"/>
              </w:rPr>
              <w:t>(5)</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19.8 %</w:t>
            </w:r>
          </w:p>
        </w:tc>
        <w:tc>
          <w:tcPr>
            <w:tcW w:w="28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100,000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10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995,473</w:t>
            </w:r>
            <w:r>
              <w:rPr>
                <w:rFonts w:ascii="Arial" w:cs="Arial" w:eastAsia="Arial" w:hAnsi="Arial"/>
                <w:sz w:val="29"/>
                <w:szCs w:val="29"/>
                <w:color w:val="auto"/>
                <w:vertAlign w:val="superscript"/>
              </w:rPr>
              <w:t>(14)</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1.7 %</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rPr>
              <w:t>955,571</w:t>
            </w:r>
            <w:r>
              <w:rPr>
                <w:rFonts w:ascii="Arial" w:cs="Arial" w:eastAsia="Arial" w:hAnsi="Arial"/>
                <w:sz w:val="29"/>
                <w:szCs w:val="29"/>
                <w:color w:val="auto"/>
                <w:vertAlign w:val="superscript"/>
              </w:rPr>
              <w:t>(11)</w:t>
            </w:r>
          </w:p>
        </w:tc>
        <w:tc>
          <w:tcPr>
            <w:tcW w:w="30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w w:val="91"/>
              </w:rPr>
              <w:t>1.6 %</w:t>
            </w: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7"/>
              </w:rPr>
              <w:t>1,481,920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340,990</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198,146</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Arial" w:cs="Arial" w:eastAsia="Arial" w:hAnsi="Arial"/>
                <w:sz w:val="18"/>
                <w:szCs w:val="18"/>
                <w:color w:val="auto"/>
              </w:rPr>
              <w:t>Elissa J. Schwartz, Ph.D.</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81,000</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481,706</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83"/>
              </w:rPr>
              <w:t>28,490,161</w:t>
            </w:r>
            <w:r>
              <w:rPr>
                <w:rFonts w:ascii="Arial" w:cs="Arial" w:eastAsia="Arial" w:hAnsi="Arial"/>
                <w:sz w:val="29"/>
                <w:szCs w:val="29"/>
                <w:color w:val="auto"/>
                <w:w w:val="83"/>
                <w:vertAlign w:val="superscript"/>
              </w:rPr>
              <w:t>(13)</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35.6 %</w:t>
            </w: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A. Zordani</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110,353</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280,000</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422,905</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All executive officers and directors as a group</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84"/>
              </w:rPr>
              <w:t>47,181,440</w:t>
            </w:r>
            <w:r>
              <w:rPr>
                <w:rFonts w:ascii="Arial" w:cs="Arial" w:eastAsia="Arial" w:hAnsi="Arial"/>
                <w:sz w:val="29"/>
                <w:szCs w:val="29"/>
                <w:color w:val="auto"/>
                <w:w w:val="84"/>
                <w:vertAlign w:val="superscript"/>
              </w:rPr>
              <w:t>(7)</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4320" w:type="dxa"/>
            <w:vAlign w:val="bottom"/>
            <w:gridSpan w:val="2"/>
          </w:tcPr>
          <w:p>
            <w:pPr>
              <w:ind w:left="180"/>
              <w:spacing w:after="0"/>
              <w:rPr>
                <w:sz w:val="20"/>
                <w:szCs w:val="20"/>
                <w:color w:val="auto"/>
              </w:rPr>
            </w:pPr>
            <w:r>
              <w:rPr>
                <w:rFonts w:ascii="Arial" w:cs="Arial" w:eastAsia="Arial" w:hAnsi="Arial"/>
                <w:sz w:val="18"/>
                <w:szCs w:val="18"/>
                <w:b w:val="1"/>
                <w:bCs w:val="1"/>
                <w:color w:val="auto"/>
              </w:rPr>
              <w:t>(13 persons)</w:t>
            </w:r>
          </w:p>
        </w:tc>
        <w:tc>
          <w:tcPr>
            <w:tcW w:w="1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w w:val="98"/>
              </w:rPr>
              <w:t>150,000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-4878070</wp:posOffset>
            </wp:positionV>
            <wp:extent cx="188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-4878070</wp:posOffset>
            </wp:positionV>
            <wp:extent cx="188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-4878070</wp:posOffset>
            </wp:positionV>
            <wp:extent cx="1885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-4878070</wp:posOffset>
            </wp:positionV>
            <wp:extent cx="1885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6" w:lineRule="exact"/>
        <w:rPr>
          <w:sz w:val="20"/>
          <w:szCs w:val="20"/>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640" w:right="439" w:hanging="348"/>
        <w:spacing w:after="0" w:line="253"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Except as otherwise indicated, the address for each named person is c/o Galectin Therapeutics Inc., 4960 Peachtree Industrial Blvd., Suite 240, Norcross, GA 30071.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right="47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following number of shares of our Common Stock issuable upon exercise of outstanding stock options granted to our named executive officers and directors that are exercisable within 60 days after September 1, 2023.</w:t>
      </w:r>
    </w:p>
    <w:p>
      <w:pPr>
        <w:spacing w:after="0" w:line="195" w:lineRule="exact"/>
        <w:rPr>
          <w:sz w:val="20"/>
          <w:szCs w:val="20"/>
          <w:color w:val="auto"/>
        </w:rPr>
      </w:pPr>
    </w:p>
    <w:p>
      <w:pPr>
        <w:ind w:left="660"/>
        <w:spacing w:after="0"/>
        <w:tabs>
          <w:tab w:leader="none" w:pos="6060" w:val="left"/>
          <w:tab w:leader="none" w:pos="6100" w:val="left"/>
          <w:tab w:leader="none" w:pos="6160" w:val="left"/>
        </w:tabs>
        <w:rPr>
          <w:sz w:val="20"/>
          <w:szCs w:val="20"/>
          <w:color w:val="auto"/>
        </w:rPr>
      </w:pPr>
      <w:r>
        <w:rPr>
          <w:rFonts w:ascii="Arial" w:cs="Arial" w:eastAsia="Arial" w:hAnsi="Arial"/>
          <w:sz w:val="14"/>
          <w:szCs w:val="14"/>
          <w:b w:val="1"/>
          <w:bCs w:val="1"/>
          <w:color w:val="auto"/>
        </w:rPr>
        <w:t>Directors, Nominees and Named Executive Officers</w:t>
      </w:r>
      <w:r>
        <w:rPr>
          <w:sz w:val="20"/>
          <w:szCs w:val="20"/>
          <w:color w:val="auto"/>
        </w:rPr>
        <w:tab/>
      </w:r>
      <w:r>
        <w:rPr>
          <w:rFonts w:ascii="Arial" w:cs="Arial" w:eastAsia="Arial" w:hAnsi="Arial"/>
          <w:sz w:val="4"/>
          <w:szCs w:val="4"/>
          <w:color w:val="auto"/>
        </w:rPr>
        <w:t>​</w:t>
        <w:tab/>
        <w:t>​</w:t>
      </w:r>
      <w:r>
        <w:rPr>
          <w:sz w:val="20"/>
          <w:szCs w:val="20"/>
          <w:color w:val="auto"/>
        </w:rPr>
        <w:tab/>
      </w:r>
      <w:r>
        <w:rPr>
          <w:rFonts w:ascii="Arial" w:cs="Arial" w:eastAsia="Arial" w:hAnsi="Arial"/>
          <w:sz w:val="13"/>
          <w:szCs w:val="13"/>
          <w:b w:val="1"/>
          <w:bCs w:val="1"/>
          <w:color w:val="auto"/>
        </w:rPr>
        <w:t>Options Exercisable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49530</wp:posOffset>
            </wp:positionV>
            <wp:extent cx="492887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8870" cy="1797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Gilbert F. Amelio, Ph.D.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Benjamin S. Carson, Sr.,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492887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James C. Czirr</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Kary Eldred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492887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Kevin Freeman</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492887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Gilbert S. Omenn, M.D., Ph.D.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Marc Rubin,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492887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Elissa J. Schwartz</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Harold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492887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Richard E. Uihlein</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Richard A. Zordani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492887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8870" cy="162560"/>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Pol F. Boudes, M.D.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Jack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46990</wp:posOffset>
            </wp:positionV>
            <wp:extent cx="49288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8870" cy="171450"/>
                    </a:xfrm>
                    <a:prstGeom prst="rect">
                      <a:avLst/>
                    </a:prstGeom>
                    <a:noFill/>
                  </pic:spPr>
                </pic:pic>
              </a:graphicData>
            </a:graphic>
          </wp:anchor>
        </w:drawing>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All executive officers and directors as a group</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38"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155,000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100,000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335,125</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181,875</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243,125</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519,250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258,750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184,565</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80,000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473,000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146,362</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80,000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280,000</w:t>
      </w:r>
    </w:p>
    <w:p>
      <w:pPr>
        <w:spacing w:after="0" w:line="96"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414,706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368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3,451,758</w:t>
      </w:r>
    </w:p>
    <w:p>
      <w:pPr>
        <w:spacing w:after="0" w:line="107" w:lineRule="exact"/>
        <w:rPr>
          <w:sz w:val="20"/>
          <w:szCs w:val="20"/>
          <w:color w:val="auto"/>
        </w:rPr>
      </w:pPr>
    </w:p>
    <w:p>
      <w:pPr>
        <w:sectPr>
          <w:pgSz w:w="11900" w:h="16838" w:orient="portrait"/>
          <w:cols w:equalWidth="0" w:num="3">
            <w:col w:w="5360" w:space="720"/>
            <w:col w:w="200" w:space="720"/>
            <w:col w:w="2019"/>
          </w:cols>
          <w:pgMar w:left="1440" w:top="265" w:right="1440" w:bottom="1440" w:gutter="0" w:footer="0" w:header="0"/>
          <w:type w:val="continuous"/>
        </w:sectPr>
      </w:pPr>
    </w:p>
    <w:p>
      <w:pPr>
        <w:ind w:left="640" w:right="359" w:hanging="348"/>
        <w:spacing w:after="0" w:line="23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each named person and group included in this table, percentage ownership of our Common Stock is calculated by dividing the number of shares of our Common Stock beneficially owned by such person or group by the sum of (i) 59,582,253 shares of our Common Stock outstanding as of September 1, 2023 and (ii) the number of shares of our Common Stock that such person has the right to acquire within 60 days after September 1, 2023.</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1,260,000 shares of Series A preferred stock outstanding as of September 1, 2023.</w:t>
      </w:r>
    </w:p>
    <w:p>
      <w:pPr>
        <w:spacing w:after="0" w:line="41" w:lineRule="exact"/>
        <w:rPr>
          <w:rFonts w:ascii="Arial" w:cs="Arial" w:eastAsia="Arial" w:hAnsi="Arial"/>
          <w:sz w:val="14"/>
          <w:szCs w:val="14"/>
          <w:color w:val="auto"/>
        </w:rPr>
      </w:pPr>
    </w:p>
    <w:p>
      <w:pPr>
        <w:ind w:left="640" w:right="439" w:hanging="348"/>
        <w:spacing w:after="0" w:line="243" w:lineRule="auto"/>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(i) 6,168,940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774,616 shares of Common Stock owned by Mr. Czirr, 335,125 shares issuable upon the exercise of vested stock options owned by</w:t>
      </w:r>
    </w:p>
    <w:p>
      <w:pPr>
        <w:ind w:left="640"/>
        <w:spacing w:after="0"/>
        <w:rPr>
          <w:rFonts w:ascii="Arial" w:cs="Arial" w:eastAsia="Arial" w:hAnsi="Arial"/>
          <w:sz w:val="13"/>
          <w:szCs w:val="13"/>
          <w:color w:val="auto"/>
        </w:rPr>
      </w:pPr>
      <w:r>
        <w:rPr>
          <w:rFonts w:ascii="Arial" w:cs="Arial" w:eastAsia="Arial" w:hAnsi="Arial"/>
          <w:sz w:val="14"/>
          <w:szCs w:val="14"/>
          <w:color w:val="auto"/>
        </w:rPr>
        <w:t>Mr. Czirr, and 16,667 shares of our Common Stock issuable upon conversion of Series A preferred stock owned by Mr. Czirr.</w:t>
      </w:r>
    </w:p>
    <w:p>
      <w:pPr>
        <w:spacing w:after="0" w:line="29" w:lineRule="exact"/>
        <w:rPr>
          <w:rFonts w:ascii="Arial" w:cs="Arial" w:eastAsia="Arial" w:hAnsi="Arial"/>
          <w:sz w:val="13"/>
          <w:szCs w:val="13"/>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6,168,940 common shares, and (ii) 5,732,253 common shares issuable upon exercise of warrants.</w:t>
      </w:r>
    </w:p>
    <w:p>
      <w:pPr>
        <w:spacing w:after="0" w:line="41" w:lineRule="exact"/>
        <w:rPr>
          <w:rFonts w:ascii="Arial" w:cs="Arial" w:eastAsia="Arial" w:hAnsi="Arial"/>
          <w:sz w:val="14"/>
          <w:szCs w:val="14"/>
          <w:color w:val="auto"/>
        </w:rPr>
      </w:pPr>
    </w:p>
    <w:p>
      <w:pPr>
        <w:ind w:left="640" w:right="399" w:hanging="348"/>
        <w:spacing w:after="0" w:line="238"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5,732,253 common shares issuable upon exercise of warrants and (ii) 6,168,940 common shares owned by 10X Fund, as to which Mr. Czirr has voting and investment control but are counted one time for purposes of this total. For additional information about the beneficial ownership of our capital stock by Mr. Czirr, see note 5.</w:t>
      </w:r>
    </w:p>
    <w:p>
      <w:pPr>
        <w:spacing w:after="0" w:line="20" w:lineRule="exact"/>
        <w:rPr>
          <w:rFonts w:ascii="Arial" w:cs="Arial" w:eastAsia="Arial" w:hAnsi="Arial"/>
          <w:sz w:val="14"/>
          <w:szCs w:val="14"/>
          <w:color w:val="auto"/>
        </w:rPr>
      </w:pPr>
    </w:p>
    <w:p>
      <w:pPr>
        <w:ind w:left="640" w:right="939" w:hanging="348"/>
        <w:spacing w:after="0" w:line="25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Smith is the manager of Early Equities LLC, a Connecticut limited liability company, and may be deemed to have voting and investment control over, but disclaims beneficial ownership of, the shares of Series A preferred stock.</w:t>
      </w:r>
    </w:p>
    <w:p>
      <w:pPr>
        <w:spacing w:after="0" w:line="11" w:lineRule="exact"/>
        <w:rPr>
          <w:rFonts w:ascii="Arial" w:cs="Arial" w:eastAsia="Arial" w:hAnsi="Arial"/>
          <w:sz w:val="14"/>
          <w:szCs w:val="14"/>
          <w:color w:val="auto"/>
        </w:rPr>
      </w:pPr>
    </w:p>
    <w:p>
      <w:pPr>
        <w:ind w:left="640" w:right="459" w:hanging="348"/>
        <w:spacing w:after="0" w:line="25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Contact: c/o 10X Capital Management, LLC at Davis Gillett Mottern &amp; Sims LLC attn: Bob Mottern 545 Dutch Valley Road, N.E., Suite A, Atlanta, GA 30309.</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Contact: c/o David Smith 34 Shorehaven Road E., Norwalk, CT 06855.</w:t>
      </w:r>
    </w:p>
    <w:p>
      <w:pPr>
        <w:spacing w:after="0" w:line="41" w:lineRule="exact"/>
        <w:rPr>
          <w:rFonts w:ascii="Arial" w:cs="Arial" w:eastAsia="Arial" w:hAnsi="Arial"/>
          <w:sz w:val="14"/>
          <w:szCs w:val="14"/>
          <w:color w:val="auto"/>
        </w:rPr>
      </w:pPr>
    </w:p>
    <w:p>
      <w:pPr>
        <w:ind w:left="640" w:right="639" w:hanging="348"/>
        <w:spacing w:after="0" w:line="23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522,545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Contact: c/o Uline Corporation, 12575 Uline Drive, Pleasant Prairie, WI 53158</w:t>
      </w:r>
    </w:p>
    <w:p>
      <w:pPr>
        <w:spacing w:after="0" w:line="41" w:lineRule="exact"/>
        <w:rPr>
          <w:rFonts w:ascii="Arial" w:cs="Arial" w:eastAsia="Arial" w:hAnsi="Arial"/>
          <w:sz w:val="14"/>
          <w:szCs w:val="14"/>
          <w:color w:val="auto"/>
        </w:rPr>
      </w:pPr>
    </w:p>
    <w:p>
      <w:pPr>
        <w:ind w:left="640" w:right="459" w:hanging="348"/>
        <w:spacing w:after="0" w:line="23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8,027,001 shares of common stock, (ii) 3,736,384 common shares issuable upon the exercise of Common Stock purchase warrants, (iii) 6,218,201 common shares issuable upon conversion of notes payable, (iv) 10,278,879 common shares issuable upon conversion of line of credit, (v) 83,334 common shares issuable upon conversion of Series C preferred non-voting stock, and (vi) 146,362 common shares issuable upon the exercise of common stock options.</w:t>
      </w:r>
    </w:p>
    <w:p>
      <w:pPr>
        <w:spacing w:after="0" w:line="22" w:lineRule="exact"/>
        <w:rPr>
          <w:rFonts w:ascii="Arial" w:cs="Arial" w:eastAsia="Arial" w:hAnsi="Arial"/>
          <w:sz w:val="14"/>
          <w:szCs w:val="14"/>
          <w:color w:val="auto"/>
        </w:rPr>
      </w:pPr>
    </w:p>
    <w:p>
      <w:pPr>
        <w:ind w:left="640" w:right="459" w:hanging="348"/>
        <w:spacing w:after="0" w:line="23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47,813 shares of Common Stock and 16,869 Common Stock purchase warrants personally owned by Mr. Eldred, 431,527 shares of Common Stock and 311,964 Common Stock purchase warrants owned by two private foundations over which Mr. Eldred shares management control, and 4,425 shares of Common Stock held in a trust or for a minor child; however, Mr. Eldred disclaims beneficial ownership of the shares and warrants owned by such private foundations or trusts.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300" w:right="379" w:firstLine="360"/>
        <w:spacing w:after="0" w:line="311"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2022, except as set forth below.</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117" w:lineRule="exact"/>
        <w:rPr>
          <w:sz w:val="20"/>
          <w:szCs w:val="20"/>
          <w:color w:val="auto"/>
        </w:rPr>
      </w:pPr>
    </w:p>
    <w:p>
      <w:pPr>
        <w:ind w:left="300" w:right="459" w:firstLine="360"/>
        <w:spacing w:after="0" w:line="308" w:lineRule="auto"/>
        <w:rPr>
          <w:sz w:val="20"/>
          <w:szCs w:val="20"/>
          <w:color w:val="auto"/>
        </w:rPr>
      </w:pPr>
      <w:r>
        <w:rPr>
          <w:rFonts w:ascii="Arial" w:cs="Arial" w:eastAsia="Arial" w:hAnsi="Arial"/>
          <w:sz w:val="17"/>
          <w:szCs w:val="17"/>
          <w:color w:val="auto"/>
        </w:rPr>
        <w:t>One of our directors, James C. Czirr, and one of our 10% shareholders, 10X Fund, L.P. did not timely file two change on ownership reports on Form 4, resulting in the untimely disclosure of two transactions.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ind w:left="300" w:right="459" w:firstLine="360"/>
        <w:spacing w:after="0" w:line="279" w:lineRule="auto"/>
        <w:rPr>
          <w:sz w:val="20"/>
          <w:szCs w:val="20"/>
          <w:color w:val="auto"/>
        </w:rPr>
      </w:pPr>
      <w:r>
        <w:rPr>
          <w:rFonts w:ascii="Arial" w:cs="Arial" w:eastAsia="Arial" w:hAnsi="Arial"/>
          <w:sz w:val="17"/>
          <w:szCs w:val="17"/>
          <w:color w:val="auto"/>
        </w:rPr>
        <w:t>The Nominating and Corporate Governance Committee of our Board of Directors, or “Board”, has nominated eleven members currently serving on our Board, identified below, to be re-elected at the 2023 Annual Meeting to serve until the 2024 annual meeting of stockholders and until their respective successors are elected and qualified. Each of the director nominees has agreed to serve on the Board, if elected.</w:t>
      </w:r>
    </w:p>
    <w:p>
      <w:pPr>
        <w:spacing w:after="0" w:line="63"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Set forth below is information regarding the nominees, as of December 7, 2023, including their ages, positions with Galectin Therapeutics, recent employment and other directorships.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OUR BOARD OF DIRECTORS RECOMMENDS A VOTE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ELECTION TO THE BOARD OF EACH NOMINEE.</w:t>
      </w:r>
    </w:p>
    <w:p>
      <w:pPr>
        <w:spacing w:after="0" w:line="103"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persons who have been nominated for election at the 2023 Annual Meeting to serve on our Board of Directors are named in the table below. Proxies cannot be voted for a greater number of persons than the number of nominees named.</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Nominees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53"/>
        </w:trPr>
        <w:tc>
          <w:tcPr>
            <w:tcW w:w="6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331"/>
        </w:trPr>
        <w:tc>
          <w:tcPr>
            <w:tcW w:w="690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Gilbert F. Amelio, Ph.D.</w:t>
            </w:r>
            <w:r>
              <w:rPr>
                <w:rFonts w:ascii="Arial" w:cs="Arial" w:eastAsia="Arial" w:hAnsi="Arial"/>
                <w:sz w:val="29"/>
                <w:szCs w:val="29"/>
                <w:color w:val="auto"/>
                <w:vertAlign w:val="superscript"/>
              </w:rPr>
              <w:t>(2)(3)</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80</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r>
      <w:tr>
        <w:trPr>
          <w:trHeight w:val="270"/>
        </w:trPr>
        <w:tc>
          <w:tcPr>
            <w:tcW w:w="6900" w:type="dxa"/>
            <w:vAlign w:val="bottom"/>
            <w:gridSpan w:val="2"/>
          </w:tcPr>
          <w:p>
            <w:pPr>
              <w:spacing w:after="0"/>
              <w:rPr>
                <w:sz w:val="20"/>
                <w:szCs w:val="20"/>
                <w:color w:val="auto"/>
              </w:rPr>
            </w:pPr>
            <w:r>
              <w:rPr>
                <w:rFonts w:ascii="Arial" w:cs="Arial" w:eastAsia="Arial" w:hAnsi="Arial"/>
                <w:sz w:val="18"/>
                <w:szCs w:val="18"/>
                <w:color w:val="auto"/>
              </w:rPr>
              <w:t>Benjamin S. Carson, Sr., M.D.</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71</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54"/>
        </w:trPr>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69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Kary Eldred</w:t>
            </w:r>
            <w:r>
              <w:rPr>
                <w:rFonts w:ascii="Arial" w:cs="Arial" w:eastAsia="Arial" w:hAnsi="Arial"/>
                <w:sz w:val="29"/>
                <w:szCs w:val="29"/>
                <w:color w:val="auto"/>
                <w:vertAlign w:val="superscript"/>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49</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r>
      <w:tr>
        <w:trPr>
          <w:trHeight w:val="324"/>
        </w:trPr>
        <w:tc>
          <w:tcPr>
            <w:tcW w:w="6900" w:type="dxa"/>
            <w:vAlign w:val="bottom"/>
            <w:gridSpan w:val="2"/>
          </w:tcPr>
          <w:p>
            <w:pPr>
              <w:spacing w:after="0" w:line="324" w:lineRule="exact"/>
              <w:rPr>
                <w:sz w:val="20"/>
                <w:szCs w:val="20"/>
                <w:color w:val="auto"/>
              </w:rPr>
            </w:pPr>
            <w:r>
              <w:rPr>
                <w:rFonts w:ascii="Arial" w:cs="Arial" w:eastAsia="Arial" w:hAnsi="Arial"/>
                <w:sz w:val="18"/>
                <w:szCs w:val="18"/>
                <w:color w:val="auto"/>
              </w:rPr>
              <w:t>Kevin D. Freeman</w:t>
            </w:r>
            <w:r>
              <w:rPr>
                <w:rFonts w:ascii="Arial" w:cs="Arial" w:eastAsia="Arial" w:hAnsi="Arial"/>
                <w:sz w:val="29"/>
                <w:szCs w:val="29"/>
                <w:color w:val="auto"/>
                <w:vertAlign w:val="superscript"/>
              </w:rPr>
              <w:t>(1)(2)(3)</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62</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30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53</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r>
      <w:tr>
        <w:trPr>
          <w:trHeight w:val="324"/>
        </w:trPr>
        <w:tc>
          <w:tcPr>
            <w:tcW w:w="6900" w:type="dxa"/>
            <w:vAlign w:val="bottom"/>
            <w:gridSpan w:val="2"/>
          </w:tcPr>
          <w:p>
            <w:pPr>
              <w:spacing w:after="0" w:line="324" w:lineRule="exact"/>
              <w:rPr>
                <w:sz w:val="20"/>
                <w:szCs w:val="20"/>
                <w:color w:val="auto"/>
              </w:rPr>
            </w:pPr>
            <w:r>
              <w:rPr>
                <w:rFonts w:ascii="Arial" w:cs="Arial" w:eastAsia="Arial" w:hAnsi="Arial"/>
                <w:sz w:val="18"/>
                <w:szCs w:val="18"/>
                <w:color w:val="auto"/>
              </w:rPr>
              <w:t>Gilbert S. Omenn, M.D., Ph.D.</w:t>
            </w:r>
            <w:r>
              <w:rPr>
                <w:rFonts w:ascii="Arial" w:cs="Arial" w:eastAsia="Arial" w:hAnsi="Arial"/>
                <w:sz w:val="29"/>
                <w:szCs w:val="29"/>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82</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2014</w:t>
            </w:r>
          </w:p>
        </w:tc>
      </w:tr>
      <w:tr>
        <w:trPr>
          <w:trHeight w:val="324"/>
        </w:trPr>
        <w:tc>
          <w:tcPr>
            <w:tcW w:w="69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Marc Rubin, M.D.</w:t>
            </w:r>
            <w:r>
              <w:rPr>
                <w:rFonts w:ascii="Arial" w:cs="Arial" w:eastAsia="Arial" w:hAnsi="Arial"/>
                <w:sz w:val="29"/>
                <w:szCs w:val="29"/>
                <w:color w:val="auto"/>
                <w:vertAlign w:val="superscript"/>
              </w:rPr>
              <w:t>(3)</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68</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r>
      <w:tr>
        <w:trPr>
          <w:trHeight w:val="324"/>
        </w:trPr>
        <w:tc>
          <w:tcPr>
            <w:tcW w:w="6900" w:type="dxa"/>
            <w:vAlign w:val="bottom"/>
            <w:gridSpan w:val="2"/>
          </w:tcPr>
          <w:p>
            <w:pPr>
              <w:spacing w:after="0" w:line="324" w:lineRule="exact"/>
              <w:rPr>
                <w:sz w:val="20"/>
                <w:szCs w:val="20"/>
                <w:color w:val="auto"/>
              </w:rPr>
            </w:pPr>
            <w:r>
              <w:rPr>
                <w:rFonts w:ascii="Arial" w:cs="Arial" w:eastAsia="Arial" w:hAnsi="Arial"/>
                <w:sz w:val="18"/>
                <w:szCs w:val="18"/>
                <w:color w:val="auto"/>
              </w:rPr>
              <w:t>Elissa J. Schwartz, Ph.D.</w:t>
            </w:r>
            <w:r>
              <w:rPr>
                <w:rFonts w:ascii="Arial" w:cs="Arial" w:eastAsia="Arial" w:hAnsi="Arial"/>
                <w:sz w:val="29"/>
                <w:szCs w:val="29"/>
                <w:color w:val="auto"/>
                <w:vertAlign w:val="superscript"/>
              </w:rPr>
              <w:t>(3)</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53</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2020</w:t>
            </w:r>
          </w:p>
        </w:tc>
      </w:tr>
      <w:tr>
        <w:trPr>
          <w:trHeight w:val="30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74</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r>
      <w:tr>
        <w:trPr>
          <w:trHeight w:val="270"/>
        </w:trPr>
        <w:tc>
          <w:tcPr>
            <w:tcW w:w="6900" w:type="dxa"/>
            <w:vAlign w:val="bottom"/>
            <w:gridSpan w:val="2"/>
          </w:tcPr>
          <w:p>
            <w:pPr>
              <w:spacing w:after="0"/>
              <w:rPr>
                <w:sz w:val="20"/>
                <w:szCs w:val="20"/>
                <w:color w:val="auto"/>
              </w:rPr>
            </w:pPr>
            <w:r>
              <w:rPr>
                <w:rFonts w:ascii="Arial" w:cs="Arial" w:eastAsia="Arial" w:hAnsi="Arial"/>
                <w:sz w:val="18"/>
                <w:szCs w:val="18"/>
                <w:color w:val="auto"/>
              </w:rPr>
              <w:t>Richard E. Uihlein, Chairman</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78</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2017</w:t>
            </w:r>
          </w:p>
        </w:tc>
      </w:tr>
      <w:tr>
        <w:trPr>
          <w:trHeight w:val="54"/>
        </w:trPr>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69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Richard A. Zordani</w:t>
            </w:r>
            <w:r>
              <w:rPr>
                <w:rFonts w:ascii="Arial" w:cs="Arial" w:eastAsia="Arial" w:hAnsi="Arial"/>
                <w:sz w:val="29"/>
                <w:szCs w:val="29"/>
                <w:color w:val="auto"/>
                <w:vertAlign w:val="superscript"/>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51</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-2279650</wp:posOffset>
            </wp:positionV>
            <wp:extent cx="120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-2279650</wp:posOffset>
            </wp:positionV>
            <wp:extent cx="120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Member of nominating and governance committee</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Gilbert F. Amelio, Ph.D</w:t>
      </w:r>
      <w:r>
        <w:rPr>
          <w:rFonts w:ascii="Arial" w:cs="Arial" w:eastAsia="Arial" w:hAnsi="Arial"/>
          <w:sz w:val="18"/>
          <w:szCs w:val="18"/>
          <w:color w:val="auto"/>
        </w:rPr>
        <w:t>., a director since February 2009, began his career at Bell Labs in Murray Hill,</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New Jersey. Since January 1, 2012, Dr. Amelio has provided consulting and advisory services through GFA, LLC,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California limited liability company. He was a Senior Partner of Sienna Ventures (a privately held venture capital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firm in Sausalito, California) from April 2001 until the fund closed per plan on December 31, 2011. Dr. Amelio was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Chairman and Chief Executive Officer of Jazz Technologies, Inc. (now a wholly owned subsidiary of Tower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Semiconductor Ltd., an independent specialty wafer foundry) from August 2005 until his retirement 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September 2008 (when he was named Chairman Emeritus). Dr. Amelio was Chairman and Chief Executive Officer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 Beneventure Capital, LLC (a full-service venture capital firm in San Francisco, California) from 1999 to 2005</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was Principal of Aircraft Ventures, LLC (a consulting firm in Newport Beach, California) from April 1997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December 2004. Dr. Amelio was elected a Director of AT&amp;T in February 2001 and had previously served as an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Advisory Director of AT&amp;T (then known as SBC Communications Inc.) from April 1997 to February 2001. 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served as a Director of Pacific Telesis Group from 1995 until the company was acquired by AT&amp;T in 1997. Prior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1997, he served as Chairman, President and CEO of National Semiconductor (1991-1996) and Apple Computer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(1996-1997). We believe Dr. Amelio’s qualifications to sit on our Board of Directors include his executive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leadership and management experience, as well as his extensive experience with global companies, his financial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expertise and his years of experience providing strategic advisory services to organizations.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i w:val="1"/>
          <w:iCs w:val="1"/>
          <w:color w:val="auto"/>
        </w:rPr>
        <w:t xml:space="preserve">Dr. Benjamin S. Carson, Sr., </w:t>
      </w:r>
      <w:r>
        <w:rPr>
          <w:rFonts w:ascii="Arial" w:cs="Arial" w:eastAsia="Arial" w:hAnsi="Arial"/>
          <w:sz w:val="16"/>
          <w:szCs w:val="16"/>
          <w:color w:val="auto"/>
        </w:rPr>
        <w:t>71, is a new nominee for this year. Dr. Carson served as the 17th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U.S. Department of Housing and Urban Development (“HUD”) from 2017 to 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w:t>
      </w:r>
    </w:p>
    <w:p>
      <w:pPr>
        <w:spacing w:after="0" w:line="68"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is a director since 2018 and Chief Investment Officer for the Living Stones Foundation since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has 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71" w:lineRule="exact"/>
        <w:rPr>
          <w:sz w:val="20"/>
          <w:szCs w:val="20"/>
          <w:color w:val="auto"/>
        </w:rPr>
      </w:pPr>
    </w:p>
    <w:p>
      <w:pPr>
        <w:ind w:left="300" w:right="399" w:firstLine="360"/>
        <w:spacing w:after="0" w:line="284" w:lineRule="auto"/>
        <w:rPr>
          <w:sz w:val="20"/>
          <w:szCs w:val="20"/>
          <w:color w:val="auto"/>
        </w:rPr>
      </w:pPr>
      <w:r>
        <w:rPr>
          <w:rFonts w:ascii="Arial" w:cs="Arial" w:eastAsia="Arial" w:hAnsi="Arial"/>
          <w:sz w:val="16"/>
          <w:szCs w:val="16"/>
          <w:i w:val="1"/>
          <w:iCs w:val="1"/>
          <w:color w:val="auto"/>
        </w:rPr>
        <w:t xml:space="preserve">Kevin D. Freeman, </w:t>
      </w:r>
      <w:r>
        <w:rPr>
          <w:rFonts w:ascii="Arial" w:cs="Arial" w:eastAsia="Arial" w:hAnsi="Arial"/>
          <w:sz w:val="16"/>
          <w:szCs w:val="16"/>
          <w:color w:val="auto"/>
        </w:rPr>
        <w:t>a director since May 2011, holds the Chartered Financial Analyst designation and is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w:t>
      </w:r>
    </w:p>
    <w:p>
      <w:pPr>
        <w:spacing w:after="0" w:line="4" w:lineRule="exact"/>
        <w:rPr>
          <w:sz w:val="20"/>
          <w:szCs w:val="20"/>
          <w:color w:val="auto"/>
        </w:rPr>
      </w:pPr>
    </w:p>
    <w:p>
      <w:pPr>
        <w:ind w:left="300" w:right="379"/>
        <w:spacing w:after="0" w:line="260" w:lineRule="auto"/>
        <w:rPr>
          <w:sz w:val="20"/>
          <w:szCs w:val="20"/>
          <w:color w:val="auto"/>
        </w:rPr>
      </w:pPr>
      <w:r>
        <w:rPr>
          <w:rFonts w:ascii="Arial" w:cs="Arial" w:eastAsia="Arial" w:hAnsi="Arial"/>
          <w:sz w:val="18"/>
          <w:szCs w:val="18"/>
          <w:color w:val="auto"/>
        </w:rPr>
        <w:t>Mr. Freeman’s qualifications to sit on our Board of Directors includes his extensive financial expertise and his years of experience providing financial advisory services.</w:t>
      </w:r>
    </w:p>
    <w:p>
      <w:pPr>
        <w:spacing w:after="0" w:line="77"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i w:val="1"/>
          <w:iCs w:val="1"/>
          <w:color w:val="auto"/>
        </w:rPr>
        <w:t>Joel Lewis</w:t>
      </w:r>
      <w:r>
        <w:rPr>
          <w:rFonts w:ascii="Arial" w:cs="Arial" w:eastAsia="Arial" w:hAnsi="Arial"/>
          <w:sz w:val="16"/>
          <w:szCs w:val="16"/>
          <w:color w:val="auto"/>
        </w:rPr>
        <w:t>, a director since 2017, became our President and Chief Executive Officer on September 2, 2020.</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60"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w:t>
      </w:r>
      <w:r>
        <w:rPr>
          <w:rFonts w:ascii="Arial" w:cs="Arial" w:eastAsia="Arial" w:hAnsi="Arial"/>
          <w:sz w:val="16"/>
          <w:szCs w:val="16"/>
          <w:i w:val="1"/>
          <w:iCs w:val="1"/>
          <w:color w:val="auto"/>
        </w:rPr>
        <w:t xml:space="preserve"> </w:t>
      </w:r>
      <w:r>
        <w:rPr>
          <w:rFonts w:ascii="Arial" w:cs="Arial" w:eastAsia="Arial" w:hAnsi="Arial"/>
          <w:sz w:val="16"/>
          <w:szCs w:val="16"/>
          <w:color w:val="auto"/>
        </w:rPr>
        <w:t>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 Human Genetics,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74" w:lineRule="exact"/>
        <w:rPr>
          <w:sz w:val="20"/>
          <w:szCs w:val="20"/>
          <w:color w:val="auto"/>
        </w:rPr>
      </w:pPr>
    </w:p>
    <w:p>
      <w:pPr>
        <w:ind w:left="300" w:right="399" w:firstLine="360"/>
        <w:spacing w:after="0" w:line="283"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from January 2016 through May</w:t>
      </w:r>
      <w:r>
        <w:rPr>
          <w:rFonts w:ascii="Arial" w:cs="Arial" w:eastAsia="Arial" w:hAnsi="Arial"/>
          <w:sz w:val="16"/>
          <w:szCs w:val="16"/>
          <w:i w:val="1"/>
          <w:iCs w:val="1"/>
          <w:color w:val="auto"/>
        </w:rPr>
        <w:t xml:space="preserve"> </w:t>
      </w:r>
      <w:r>
        <w:rPr>
          <w:rFonts w:ascii="Arial" w:cs="Arial" w:eastAsia="Arial" w:hAnsi="Arial"/>
          <w:sz w:val="16"/>
          <w:szCs w:val="16"/>
          <w:color w:val="auto"/>
        </w:rPr>
        <w:t>2018, is Executive Chairman of the 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w:t>
      </w:r>
    </w:p>
    <w:p>
      <w:pPr>
        <w:spacing w:after="0" w:line="4"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70" w:lineRule="exact"/>
        <w:rPr>
          <w:sz w:val="20"/>
          <w:szCs w:val="20"/>
          <w:color w:val="auto"/>
        </w:rPr>
      </w:pPr>
    </w:p>
    <w:p>
      <w:pPr>
        <w:ind w:left="300" w:right="379" w:firstLine="360"/>
        <w:spacing w:after="0" w:line="268" w:lineRule="auto"/>
        <w:rPr>
          <w:sz w:val="20"/>
          <w:szCs w:val="20"/>
          <w:color w:val="auto"/>
        </w:rPr>
      </w:pPr>
      <w:r>
        <w:rPr>
          <w:rFonts w:ascii="Arial" w:cs="Arial" w:eastAsia="Arial" w:hAnsi="Arial"/>
          <w:sz w:val="17"/>
          <w:szCs w:val="17"/>
          <w:i w:val="1"/>
          <w:iCs w:val="1"/>
          <w:color w:val="auto"/>
        </w:rPr>
        <w:t xml:space="preserve">Elissa J. Schwartz, Ph.D., </w:t>
      </w:r>
      <w:r>
        <w:rPr>
          <w:rFonts w:ascii="Arial" w:cs="Arial" w:eastAsia="Arial" w:hAnsi="Arial"/>
          <w:sz w:val="17"/>
          <w:szCs w:val="17"/>
          <w:color w:val="auto"/>
        </w:rPr>
        <w:t>a director appointed by the board in September 2020, is a disease modeler who is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78"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i w:val="1"/>
          <w:iCs w:val="1"/>
          <w:color w:val="auto"/>
        </w:rPr>
        <w:t>Harold Shlevin, Ph.D.</w:t>
      </w:r>
      <w:r>
        <w:rPr>
          <w:rFonts w:ascii="Arial" w:cs="Arial" w:eastAsia="Arial" w:hAnsi="Arial"/>
          <w:sz w:val="16"/>
          <w:szCs w:val="16"/>
          <w:color w:val="auto"/>
        </w:rPr>
        <w:t>, retired from being our President and Chief Executive Officer on September 2, 2020, a</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he had held since June 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90" w:lineRule="auto"/>
        <w:rPr>
          <w:sz w:val="20"/>
          <w:szCs w:val="20"/>
          <w:color w:val="auto"/>
        </w:rPr>
      </w:pPr>
      <w:r>
        <w:rPr>
          <w:rFonts w:ascii="Arial" w:cs="Arial" w:eastAsia="Arial" w:hAnsi="Arial"/>
          <w:sz w:val="16"/>
          <w:szCs w:val="16"/>
          <w:color w:val="auto"/>
        </w:rPr>
        <w:t>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5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i w:val="1"/>
          <w:iCs w:val="1"/>
          <w:color w:val="auto"/>
        </w:rPr>
        <w:t>Richard E. Uihlein</w:t>
      </w:r>
      <w:r>
        <w:rPr>
          <w:rFonts w:ascii="Arial" w:cs="Arial" w:eastAsia="Arial" w:hAnsi="Arial"/>
          <w:sz w:val="18"/>
          <w:szCs w:val="18"/>
          <w:color w:val="auto"/>
        </w:rPr>
        <w:t>, a director since 2017 and Chairman since May 2018, co-founded Uline, Inc. (a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84"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i w:val="1"/>
          <w:iCs w:val="1"/>
          <w:color w:val="auto"/>
        </w:rPr>
        <w:t xml:space="preserve">Richard A. Zordani, </w:t>
      </w:r>
      <w:r>
        <w:rPr>
          <w:rFonts w:ascii="Arial" w:cs="Arial" w:eastAsia="Arial" w:hAnsi="Arial"/>
          <w:sz w:val="17"/>
          <w:szCs w:val="17"/>
          <w:color w:val="auto"/>
        </w:rPr>
        <w:t>a director appointed by the board in September 2020, has been the Director of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Joel Lewis, </w:t>
      </w:r>
      <w:r>
        <w:rPr>
          <w:rFonts w:ascii="Arial" w:cs="Arial" w:eastAsia="Arial" w:hAnsi="Arial"/>
          <w:sz w:val="18"/>
          <w:szCs w:val="18"/>
          <w:color w:val="auto"/>
        </w:rPr>
        <w:t>see above under Nominees.</w:t>
      </w:r>
    </w:p>
    <w:p>
      <w:pPr>
        <w:spacing w:after="0" w:line="117"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i w:val="1"/>
          <w:iCs w:val="1"/>
          <w:color w:val="auto"/>
        </w:rPr>
        <w:t xml:space="preserve">Jack W. Callicutt, </w:t>
      </w:r>
      <w:r>
        <w:rPr>
          <w:rFonts w:ascii="Arial" w:cs="Arial" w:eastAsia="Arial" w:hAnsi="Arial"/>
          <w:sz w:val="17"/>
          <w:szCs w:val="17"/>
          <w:color w:val="auto"/>
        </w:rPr>
        <w:t>age 56, became our Chief Financial Officer on July 1, 2013. From August 2012 through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2013,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77"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i w:val="1"/>
          <w:iCs w:val="1"/>
          <w:color w:val="auto"/>
        </w:rPr>
        <w:t>Pol F. Boudes, M.D.</w:t>
      </w:r>
      <w:r>
        <w:rPr>
          <w:rFonts w:ascii="Arial" w:cs="Arial" w:eastAsia="Arial" w:hAnsi="Arial"/>
          <w:sz w:val="16"/>
          <w:szCs w:val="16"/>
          <w:color w:val="auto"/>
        </w:rPr>
        <w:t>, age 66, became the Company’s Chief Medical Officer on March 2, 2020.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Dr. Boudes served as 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300" w:right="399" w:firstLine="360"/>
        <w:spacing w:after="0" w:line="289" w:lineRule="auto"/>
        <w:rPr>
          <w:sz w:val="20"/>
          <w:szCs w:val="20"/>
          <w:color w:val="auto"/>
        </w:rPr>
      </w:pPr>
      <w:r>
        <w:rPr>
          <w:rFonts w:ascii="Arial" w:cs="Arial" w:eastAsia="Arial" w:hAnsi="Arial"/>
          <w:sz w:val="16"/>
          <w:szCs w:val="16"/>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Arial" w:cs="Arial" w:eastAsia="Arial" w:hAnsi="Arial"/>
          <w:sz w:val="16"/>
          <w:szCs w:val="16"/>
          <w:u w:val="single" w:color="auto"/>
          <w:color w:val="auto"/>
        </w:rPr>
        <w:t>www.galectintherapeutics.com</w:t>
      </w:r>
      <w:r>
        <w:rPr>
          <w:rFonts w:ascii="Arial" w:cs="Arial" w:eastAsia="Arial" w:hAnsi="Arial"/>
          <w:sz w:val="16"/>
          <w:szCs w:val="16"/>
          <w:color w:val="auto"/>
        </w:rPr>
        <w: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The Compensation Committee met twice in 2022.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administration of grants and awards to directors, officers, employees, consultants and advisors under our equity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The Audit Committee met 4 times in 2022.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Nominating and Corporate Governance Committee met once in 2022. Gilbert F. Amelio, Ph.D. (chair), Marc Rubin, Kevin Freeman and Elissa Schwartz are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the Company, either directly or indirectly. Based upon this review, our board has determined that all of our current directors and the director nominees other than Mr. Lewis and Dr. Carson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and Amelio and Mr. Freeman satisfy the independence standards for such committee established by Rule 10C-1 under the Exchange Act, the SEC and the NASDAQ Marketplace Rules, as applicable.</w:t>
      </w:r>
    </w:p>
    <w:p>
      <w:pPr>
        <w:spacing w:after="0" w:line="66"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behaviour of the Company’s employees, officers and directors. The Code of Ethics describes our policy on conflicts of interest.</w:t>
      </w:r>
    </w:p>
    <w:p>
      <w:pPr>
        <w:spacing w:after="0" w:line="79"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left="300" w:right="459" w:firstLine="360"/>
        <w:spacing w:after="0" w:line="259" w:lineRule="auto"/>
        <w:rPr>
          <w:sz w:val="20"/>
          <w:szCs w:val="20"/>
          <w:color w:val="auto"/>
        </w:rPr>
      </w:pPr>
      <w:r>
        <w:rPr>
          <w:rFonts w:ascii="Arial" w:cs="Arial" w:eastAsia="Arial" w:hAnsi="Arial"/>
          <w:sz w:val="18"/>
          <w:szCs w:val="18"/>
          <w:color w:val="auto"/>
        </w:rPr>
        <w:t>Except as set forth below, since the beginning of fiscal year 2022,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79"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2022.</w:t>
      </w:r>
    </w:p>
    <w:p>
      <w:pPr>
        <w:spacing w:after="0" w:line="79"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w:t>
      </w:r>
    </w:p>
    <w:p>
      <w:pPr>
        <w:spacing w:after="0" w:line="77" w:lineRule="exact"/>
        <w:rPr>
          <w:sz w:val="20"/>
          <w:szCs w:val="20"/>
          <w:color w:val="auto"/>
        </w:rPr>
      </w:pPr>
    </w:p>
    <w:p>
      <w:pPr>
        <w:ind w:left="300" w:right="379" w:firstLine="360"/>
        <w:spacing w:after="0" w:line="290" w:lineRule="auto"/>
        <w:rPr>
          <w:sz w:val="20"/>
          <w:szCs w:val="20"/>
          <w:color w:val="auto"/>
        </w:rPr>
      </w:pPr>
      <w:r>
        <w:rPr>
          <w:rFonts w:ascii="Arial" w:cs="Arial" w:eastAsia="Arial" w:hAnsi="Arial"/>
          <w:sz w:val="16"/>
          <w:szCs w:val="16"/>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93" w:lineRule="auto"/>
        <w:rPr>
          <w:sz w:val="20"/>
          <w:szCs w:val="20"/>
          <w:color w:val="auto"/>
        </w:rPr>
      </w:pPr>
      <w:r>
        <w:rPr>
          <w:rFonts w:ascii="Arial" w:cs="Arial" w:eastAsia="Arial" w:hAnsi="Arial"/>
          <w:sz w:val="16"/>
          <w:szCs w:val="16"/>
          <w:color w:val="auto"/>
        </w:rPr>
        <w:t>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w:t>
      </w:r>
    </w:p>
    <w:p>
      <w:pPr>
        <w:spacing w:after="0" w:line="56"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Company had a $10 million line of credit (“Line of Credit”) arrangement with Richard E. Uihlein that was entered into in December 2017. The Line of Credit was most recently extended in January 2019 to make one or more borrowings available until December 31, 2021, with repayment due on December 31, 2022. There have been no borrowings under the Line of Credit, and it will be terminated in connection with the December 17, 2021 additional debt financing described above.</w:t>
      </w:r>
    </w:p>
    <w:p>
      <w:pPr>
        <w:spacing w:after="0" w:line="80"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79"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(currently 2.84%),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84"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9"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 For the 2023 Annual Meeting, 10X Fund L.P., pursuant to its contractual right under warrants that it holds, nominated James C. Czirr, who has been a director since February 2009. Mr. Czirr’s nomination has been accepted by each of the Nominating Committee and the Board.</w:t>
      </w:r>
    </w:p>
    <w:p>
      <w:pPr>
        <w:spacing w:after="0" w:line="53"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85" w:lineRule="auto"/>
        <w:rPr>
          <w:sz w:val="20"/>
          <w:szCs w:val="20"/>
          <w:color w:val="auto"/>
        </w:rPr>
      </w:pPr>
      <w:r>
        <w:rPr>
          <w:rFonts w:ascii="Arial" w:cs="Arial" w:eastAsia="Arial" w:hAnsi="Arial"/>
          <w:sz w:val="16"/>
          <w:szCs w:val="16"/>
          <w:color w:val="auto"/>
        </w:rPr>
        <w:t>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279"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2023 Annual Meeting.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During 2022, there were 8 meetings of the Board. Each currently serving director attended at least 75% of the total meetings of the Board and committees of the Board of which the director was a member, during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79"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We do not have a formal policy requiring members of the Board to attend the annual meeting, although all directors are strongly encouraged to attend. At the 2022 annual meeting of stockholders, which was held virtually online, all of the then current board members were present.</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70" w:lineRule="exact"/>
        <w:rPr>
          <w:sz w:val="20"/>
          <w:szCs w:val="20"/>
          <w:color w:val="auto"/>
        </w:rPr>
      </w:pPr>
    </w:p>
    <w:p>
      <w:pPr>
        <w:ind w:left="300" w:right="559" w:firstLine="360"/>
        <w:spacing w:after="0" w:line="308" w:lineRule="auto"/>
        <w:rPr>
          <w:sz w:val="20"/>
          <w:szCs w:val="20"/>
          <w:color w:val="auto"/>
        </w:rPr>
      </w:pPr>
      <w:r>
        <w:rPr>
          <w:rFonts w:ascii="Arial" w:cs="Arial" w:eastAsia="Arial" w:hAnsi="Arial"/>
          <w:sz w:val="17"/>
          <w:szCs w:val="17"/>
          <w:color w:val="auto"/>
        </w:rPr>
        <w:t>We believe that any risks arising from our policies and programs are not reasonably likely to have a material adverse effect on the Company. Our programs reflect sound risk management practices including:</w:t>
      </w:r>
    </w:p>
    <w:p>
      <w:pPr>
        <w:spacing w:after="0" w:line="38" w:lineRule="exact"/>
        <w:rPr>
          <w:sz w:val="20"/>
          <w:szCs w:val="20"/>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multiple compensation vehicles that provide a balance of long- and short-term incentives with fixed and variable components; and</w:t>
      </w:r>
    </w:p>
    <w:p>
      <w:pPr>
        <w:spacing w:after="0" w:line="62"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(other than the candidate nominated by 10X Fund L.P.),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3883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388302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oard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iversity</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atrix</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364"/>
        </w:trPr>
        <w:tc>
          <w:tcPr>
            <w:tcW w:w="41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Total Number of Directors</w:t>
            </w:r>
          </w:p>
        </w:tc>
        <w:tc>
          <w:tcPr>
            <w:tcW w:w="9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Eleven</w:t>
            </w:r>
            <w:r>
              <w:rPr>
                <w:rFonts w:ascii="Arial" w:cs="Arial" w:eastAsia="Arial" w:hAnsi="Arial"/>
                <w:sz w:val="29"/>
                <w:szCs w:val="29"/>
                <w:b w:val="1"/>
                <w:bCs w:val="1"/>
                <w:color w:val="auto"/>
                <w:w w:val="82"/>
                <w:vertAlign w:val="superscript"/>
              </w:rPr>
              <w:t>(11)</w:t>
            </w:r>
          </w:p>
        </w:tc>
        <w:tc>
          <w:tcPr>
            <w:tcW w:w="14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259"/>
        </w:trPr>
        <w:tc>
          <w:tcPr>
            <w:tcW w:w="41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Did Not Disclose</w:t>
            </w:r>
          </w:p>
        </w:tc>
        <w:tc>
          <w:tcPr>
            <w:tcW w:w="20" w:type="dxa"/>
            <w:vAlign w:val="bottom"/>
          </w:tcPr>
          <w:p>
            <w:pPr>
              <w:spacing w:after="0"/>
              <w:rPr>
                <w:sz w:val="22"/>
                <w:szCs w:val="22"/>
                <w:color w:val="auto"/>
              </w:rPr>
            </w:pPr>
          </w:p>
        </w:tc>
      </w:tr>
      <w:tr>
        <w:trPr>
          <w:trHeight w:val="234"/>
        </w:trPr>
        <w:tc>
          <w:tcPr>
            <w:tcW w:w="41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Female</w:t>
            </w:r>
          </w:p>
        </w:tc>
        <w:tc>
          <w:tcPr>
            <w:tcW w:w="70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Male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Binary</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Gender</w:t>
            </w:r>
          </w:p>
        </w:tc>
        <w:tc>
          <w:tcPr>
            <w:tcW w:w="20" w:type="dxa"/>
            <w:vAlign w:val="bottom"/>
          </w:tcPr>
          <w:p>
            <w:pPr>
              <w:spacing w:after="0"/>
              <w:rPr>
                <w:sz w:val="20"/>
                <w:szCs w:val="20"/>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Part I: Gender Identity</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Directors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10</w:t>
            </w: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Part II: Demographic Background</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African American or Black</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w:t>
            </w: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Alaskan Native or Native American</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w:t>
            </w: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Asian</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Asian American</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Hispanic or Latinx</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Native Hawaiian or Pacific Islander</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White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8*</w:t>
            </w: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Two or More Races or Ethnicities</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LGBTQ+</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11"/>
        </w:trPr>
        <w:tc>
          <w:tcPr>
            <w:tcW w:w="412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Did Not Disclose Demographic Background</w:t>
            </w:r>
          </w:p>
        </w:tc>
        <w:tc>
          <w:tcPr>
            <w:tcW w:w="920" w:type="dxa"/>
            <w:vAlign w:val="bottom"/>
            <w:tcBorders>
              <w:bottom w:val="single" w:sz="8" w:color="CCEEFF"/>
              <w:right w:val="single" w:sz="8" w:color="auto"/>
            </w:tcBorders>
            <w:shd w:val="clear" w:color="auto" w:fill="CCEEFF"/>
          </w:tcPr>
          <w:p>
            <w:pPr>
              <w:spacing w:after="0"/>
              <w:rPr>
                <w:sz w:val="24"/>
                <w:szCs w:val="24"/>
                <w:color w:val="auto"/>
              </w:rPr>
            </w:pPr>
          </w:p>
        </w:tc>
        <w:tc>
          <w:tcPr>
            <w:tcW w:w="70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CCEEFF"/>
              <w:right w:val="single" w:sz="8" w:color="auto"/>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1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of our directors identify as belonging to “Two or More Races or Ethnicities” within the Nasdaq Diversity Rules.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7"/>
          <w:szCs w:val="17"/>
          <w:i w:val="1"/>
          <w:iCs w:val="1"/>
          <w:color w:val="auto"/>
        </w:rPr>
        <w:t xml:space="preserve">Communication With Audit Committees </w:t>
      </w:r>
      <w:r>
        <w:rPr>
          <w:rFonts w:ascii="Arial" w:cs="Arial" w:eastAsia="Arial" w:hAnsi="Arial"/>
          <w:sz w:val="17"/>
          <w:szCs w:val="17"/>
          <w:color w:val="auto"/>
        </w:rPr>
        <w:t>(as amended), which includes, among other items, matters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77"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Based upon the review and discussions referred to above, the Audit Committee recommended to our Board of Directors that the audited financial statements of Galectin Therapeutics for the 2022 fiscal year be included in the Annual Report filed on Form 10-K for the year ended December 31, 2022.</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Richard A. Zordani, Chair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Kary Eldred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2022.</w:t>
      </w:r>
    </w:p>
    <w:p>
      <w:pPr>
        <w:spacing w:after="0" w:line="4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4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or Paid in</w:t>
            </w: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6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Cash ($)</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50,500</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109,434</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93,934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42,500</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101,434</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51,000</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109,934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45,000</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109,934</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38,500</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97,434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Elissa J. Schwartz,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38,500</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97,434</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114,200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35,000</w:t>
            </w:r>
          </w:p>
        </w:tc>
        <w:tc>
          <w:tcPr>
            <w:tcW w:w="6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93,394</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Richard A. Zordani</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58,934</w:t>
            </w:r>
          </w:p>
        </w:tc>
        <w:tc>
          <w:tcPr>
            <w:tcW w:w="14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-1722755</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-1722755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-1722755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-1722755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-1722755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-1722755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419" w:hanging="348"/>
        <w:spacing w:after="0" w:line="25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Uihlein elected to receive restricted stock in lieu of cash retainer for their service. The restricted shares vested in full on December 31, 2022</w:t>
      </w:r>
    </w:p>
    <w:p>
      <w:pPr>
        <w:spacing w:after="0" w:line="11" w:lineRule="exact"/>
        <w:rPr>
          <w:rFonts w:ascii="Arial" w:cs="Arial" w:eastAsia="Arial" w:hAnsi="Arial"/>
          <w:sz w:val="14"/>
          <w:szCs w:val="14"/>
          <w:color w:val="auto"/>
        </w:rPr>
      </w:pPr>
    </w:p>
    <w:p>
      <w:pPr>
        <w:ind w:left="640" w:right="339" w:hanging="348"/>
        <w:spacing w:after="0" w:line="23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grant date fair value of option awards based upon the Black Scholes valuation model made in 2023. Two option grants were made on January 24, 2022. Each non-employee director received one grant of 40,000 options which will vest in full on December 31, 2022. For a description of the assumptions used to determine these amounts, see Note 9 to the Notes to the Consolidated Financial Statements herein our Annual Report on Form 10-K for the fiscal year ended December 31, 2022.</w:t>
      </w:r>
    </w:p>
    <w:p>
      <w:pPr>
        <w:sectPr>
          <w:pgSz w:w="11900" w:h="16838" w:orient="portrait"/>
          <w:cols w:equalWidth="0" w:num="1">
            <w:col w:w="9019"/>
          </w:cols>
          <w:pgMar w:left="1440" w:top="265" w:right="1440" w:bottom="1440" w:gutter="0" w:footer="0" w:header="0"/>
        </w:sectPr>
      </w:pPr>
    </w:p>
    <w:p>
      <w:pPr>
        <w:spacing w:after="0" w:line="23" w:lineRule="exact"/>
        <w:rPr>
          <w:sz w:val="20"/>
          <w:szCs w:val="20"/>
          <w:color w:val="auto"/>
        </w:rPr>
      </w:pPr>
    </w:p>
    <w:p>
      <w:pPr>
        <w:ind w:left="640" w:hanging="348"/>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Excludes travel expense reimbursements.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5117465"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17465" cy="196850"/>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Gilbert F. Amelio, Ph.D.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51174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Kary Eldred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Kevin D.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511746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Gilbert S. Omenn, M.D., Ph.D.</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 Rubin,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511746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Elissa J. Schwartz, Ph.D.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51174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Uihlein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A. Zordani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48895</wp:posOffset>
            </wp:positionV>
            <wp:extent cx="511746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301" w:lineRule="exact"/>
        <w:rPr>
          <w:sz w:val="20"/>
          <w:szCs w:val="20"/>
          <w:color w:val="auto"/>
        </w:rPr>
      </w:pPr>
    </w:p>
    <w:p>
      <w:pPr>
        <w:spacing w:after="0"/>
        <w:tabs>
          <w:tab w:leader="none" w:pos="10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319"/>
        <w:spacing w:after="0" w:line="230" w:lineRule="auto"/>
        <w:rPr>
          <w:sz w:val="20"/>
          <w:szCs w:val="20"/>
          <w:color w:val="auto"/>
        </w:rPr>
      </w:pPr>
      <w:r>
        <w:rPr>
          <w:rFonts w:ascii="Arial" w:cs="Arial" w:eastAsia="Arial" w:hAnsi="Arial"/>
          <w:sz w:val="14"/>
          <w:szCs w:val="14"/>
          <w:b w:val="1"/>
          <w:bCs w:val="1"/>
          <w:color w:val="auto"/>
        </w:rPr>
        <w:t>Number of Shares Subject to Option Awards Held as of December 31, 2021</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225,000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405,125</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251,875</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329,839</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328,750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254,565</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150,000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543,000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216,362</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6350</wp:posOffset>
            </wp:positionV>
            <wp:extent cx="4540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2,854,516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31750</wp:posOffset>
            </wp:positionV>
            <wp:extent cx="454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3">
            <w:col w:w="6620" w:space="720"/>
            <w:col w:w="120" w:space="120"/>
            <w:col w:w="1439"/>
          </w:cols>
          <w:pgMar w:left="1440" w:top="265" w:right="1440" w:bottom="1440" w:gutter="0" w:footer="0" w:header="0"/>
          <w:type w:val="continuous"/>
        </w:sectPr>
      </w:pPr>
    </w:p>
    <w:p>
      <w:pPr>
        <w:ind w:left="300" w:right="399" w:firstLine="360"/>
        <w:spacing w:after="0" w:line="259"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2022 fiscal year.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following table provides information as of December 31, 2022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2022.</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Number of Securities</w:t>
            </w:r>
          </w:p>
        </w:tc>
        <w:tc>
          <w:tcPr>
            <w:tcW w:w="11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86"/>
        </w:trPr>
        <w:tc>
          <w:tcPr>
            <w:tcW w:w="4280" w:type="dxa"/>
            <w:vAlign w:val="bottom"/>
            <w:gridSpan w:val="2"/>
            <w:vMerge w:val="continue"/>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outstanding options</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options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53"/>
        </w:trPr>
        <w:tc>
          <w:tcPr>
            <w:tcW w:w="41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Equity compensation plans approved by security holders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5,745,561</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$2.90</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1,966,279</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-222250</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-222250</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-222250</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PHILOSOPHY DISCUSSION</w:t>
      </w:r>
    </w:p>
    <w:p>
      <w:pPr>
        <w:spacing w:after="0" w:line="103" w:lineRule="exact"/>
        <w:rPr>
          <w:sz w:val="20"/>
          <w:szCs w:val="20"/>
          <w:color w:val="auto"/>
        </w:rPr>
      </w:pPr>
    </w:p>
    <w:p>
      <w:pPr>
        <w:ind w:left="300" w:right="499" w:firstLine="360"/>
        <w:spacing w:after="0" w:line="272" w:lineRule="auto"/>
        <w:rPr>
          <w:sz w:val="20"/>
          <w:szCs w:val="20"/>
          <w:color w:val="auto"/>
        </w:rPr>
      </w:pPr>
      <w:r>
        <w:rPr>
          <w:rFonts w:ascii="Arial" w:cs="Arial" w:eastAsia="Arial" w:hAnsi="Arial"/>
          <w:sz w:val="17"/>
          <w:szCs w:val="17"/>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2022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280" w:type="dxa"/>
            <w:vAlign w:val="bottom"/>
          </w:tcPr>
          <w:p>
            <w:pPr>
              <w:ind w:left="2500"/>
              <w:spacing w:after="0"/>
              <w:rPr>
                <w:sz w:val="20"/>
                <w:szCs w:val="20"/>
                <w:color w:val="auto"/>
              </w:rPr>
            </w:pPr>
            <w:r>
              <w:rPr>
                <w:rFonts w:ascii="Arial" w:cs="Arial" w:eastAsia="Arial" w:hAnsi="Arial"/>
                <w:sz w:val="14"/>
                <w:szCs w:val="14"/>
                <w:b w:val="1"/>
                <w:bCs w:val="1"/>
                <w:color w:val="auto"/>
              </w:rPr>
              <w:t>Title</w:t>
            </w:r>
          </w:p>
        </w:tc>
      </w:tr>
      <w:tr>
        <w:trPr>
          <w:trHeight w:val="53"/>
        </w:trPr>
        <w:tc>
          <w:tcPr>
            <w:tcW w:w="3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r>
      <w:tr>
        <w:trPr>
          <w:trHeight w:val="311"/>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Joel Lewis</w:t>
            </w:r>
          </w:p>
        </w:tc>
        <w:tc>
          <w:tcPr>
            <w:tcW w:w="5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Pol F. Boudes, M.D.</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Chief Medical Officer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80" w:type="dxa"/>
            <w:vAlign w:val="bottom"/>
          </w:tcPr>
          <w:p>
            <w:pPr>
              <w:spacing w:after="0"/>
              <w:rPr>
                <w:sz w:val="4"/>
                <w:szCs w:val="4"/>
                <w:color w:val="auto"/>
              </w:rPr>
            </w:pPr>
          </w:p>
        </w:tc>
      </w:tr>
      <w:tr>
        <w:trPr>
          <w:trHeight w:val="27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5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Financial Officer</w:t>
            </w:r>
          </w:p>
        </w:tc>
      </w:tr>
      <w:tr>
        <w:trPr>
          <w:trHeight w:val="54"/>
        </w:trPr>
        <w:tc>
          <w:tcPr>
            <w:tcW w:w="3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2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-633730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76"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17"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align executives’ interests with the interests of stockholders by including long-term equity incentives.</w:t>
      </w:r>
    </w:p>
    <w:p>
      <w:pPr>
        <w:spacing w:after="0" w:line="129"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49"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At our last “Say-on-Pay vote” held at our 2022 annual meeting of stockholders approximately 90% of votes cast were in favor of the compensation of our NEOs, as disclosed in the proxy materials for the 2022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2025 annual meeting of stockholders.</w:t>
      </w:r>
    </w:p>
    <w:p>
      <w:pPr>
        <w:spacing w:after="0" w:line="5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6"/>
          <w:szCs w:val="16"/>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total compensation of our competitor companies. These findings continued to inform the Compensation Committee’s decisions on compensation in subsequent years, including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firstLine="360"/>
        <w:spacing w:after="0" w:line="256" w:lineRule="auto"/>
        <w:rPr>
          <w:sz w:val="20"/>
          <w:szCs w:val="20"/>
          <w:color w:val="auto"/>
        </w:rPr>
      </w:pPr>
      <w:r>
        <w:rPr>
          <w:rFonts w:ascii="Arial" w:cs="Arial" w:eastAsia="Arial" w:hAnsi="Arial"/>
          <w:sz w:val="16"/>
          <w:szCs w:val="16"/>
          <w:color w:val="auto"/>
        </w:rPr>
        <w:t>The Compensation Committee may use a compensation consultant in 2023 and will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Elements of Executive Compensation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17"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and retention bonuses;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2022 Base Salary</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w w:val="90"/>
              </w:rPr>
              <w:t>2021 Base Salary</w:t>
            </w:r>
          </w:p>
        </w:tc>
      </w:tr>
      <w:tr>
        <w:trPr>
          <w:trHeight w:val="53"/>
        </w:trPr>
        <w:tc>
          <w:tcPr>
            <w:tcW w:w="56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331"/>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060" w:type="dxa"/>
            <w:vAlign w:val="bottom"/>
            <w:shd w:val="clear" w:color="auto" w:fill="CCEEFF"/>
          </w:tcPr>
          <w:p>
            <w:pPr>
              <w:ind w:left="200"/>
              <w:spacing w:after="0" w:line="331" w:lineRule="exact"/>
              <w:rPr>
                <w:sz w:val="20"/>
                <w:szCs w:val="20"/>
                <w:color w:val="auto"/>
              </w:rPr>
            </w:pPr>
            <w:r>
              <w:rPr>
                <w:rFonts w:ascii="Arial" w:cs="Arial" w:eastAsia="Arial" w:hAnsi="Arial"/>
                <w:sz w:val="18"/>
                <w:szCs w:val="18"/>
                <w:color w:val="auto"/>
                <w:w w:val="85"/>
              </w:rPr>
              <w:t>$525,000</w:t>
            </w:r>
            <w:r>
              <w:rPr>
                <w:rFonts w:ascii="Arial" w:cs="Arial" w:eastAsia="Arial" w:hAnsi="Arial"/>
                <w:sz w:val="29"/>
                <w:szCs w:val="29"/>
                <w:color w:val="auto"/>
                <w:w w:val="85"/>
                <w:vertAlign w:val="superscript"/>
              </w:rPr>
              <w:t>(3)</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ind w:left="200"/>
              <w:spacing w:after="0" w:line="331" w:lineRule="exact"/>
              <w:rPr>
                <w:sz w:val="20"/>
                <w:szCs w:val="20"/>
                <w:color w:val="auto"/>
              </w:rPr>
            </w:pPr>
            <w:r>
              <w:rPr>
                <w:rFonts w:ascii="Arial" w:cs="Arial" w:eastAsia="Arial" w:hAnsi="Arial"/>
                <w:sz w:val="18"/>
                <w:szCs w:val="18"/>
                <w:color w:val="auto"/>
                <w:w w:val="87"/>
              </w:rPr>
              <w:t>$500,000</w:t>
            </w:r>
            <w:r>
              <w:rPr>
                <w:rFonts w:ascii="Arial" w:cs="Arial" w:eastAsia="Arial" w:hAnsi="Arial"/>
                <w:sz w:val="29"/>
                <w:szCs w:val="29"/>
                <w:color w:val="auto"/>
                <w:w w:val="87"/>
                <w:vertAlign w:val="superscript"/>
              </w:rPr>
              <w:t>(1)</w:t>
            </w:r>
          </w:p>
        </w:tc>
      </w:tr>
      <w:tr>
        <w:trPr>
          <w:trHeight w:val="270"/>
        </w:trPr>
        <w:tc>
          <w:tcPr>
            <w:tcW w:w="596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1060" w:type="dxa"/>
            <w:vAlign w:val="bottom"/>
          </w:tcPr>
          <w:p>
            <w:pPr>
              <w:ind w:left="200"/>
              <w:spacing w:after="0"/>
              <w:rPr>
                <w:sz w:val="20"/>
                <w:szCs w:val="20"/>
                <w:color w:val="auto"/>
              </w:rPr>
            </w:pPr>
            <w:r>
              <w:rPr>
                <w:rFonts w:ascii="Arial" w:cs="Arial" w:eastAsia="Arial" w:hAnsi="Arial"/>
                <w:sz w:val="18"/>
                <w:szCs w:val="18"/>
                <w:color w:val="auto"/>
              </w:rPr>
              <w:t>$475,000</w:t>
            </w:r>
          </w:p>
        </w:tc>
        <w:tc>
          <w:tcPr>
            <w:tcW w:w="320" w:type="dxa"/>
            <w:vAlign w:val="bottom"/>
          </w:tcPr>
          <w:p>
            <w:pPr>
              <w:spacing w:after="0"/>
              <w:rPr>
                <w:sz w:val="23"/>
                <w:szCs w:val="23"/>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$455,000</w:t>
            </w:r>
          </w:p>
        </w:tc>
      </w:tr>
      <w:tr>
        <w:trPr>
          <w:trHeight w:val="54"/>
        </w:trPr>
        <w:tc>
          <w:tcPr>
            <w:tcW w:w="5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$320,000</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$302,100</w:t>
            </w:r>
          </w:p>
        </w:tc>
      </w:tr>
      <w:tr>
        <w:trPr>
          <w:trHeight w:val="54"/>
        </w:trPr>
        <w:tc>
          <w:tcPr>
            <w:tcW w:w="56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-633730</wp:posOffset>
            </wp:positionV>
            <wp:extent cx="2057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-633730</wp:posOffset>
            </wp:positionV>
            <wp:extent cx="2057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59" w:hanging="348"/>
        <w:spacing w:after="0" w:line="290"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left="300" w:right="359" w:firstLine="360"/>
        <w:spacing w:after="0" w:line="342" w:lineRule="auto"/>
        <w:rPr>
          <w:sz w:val="20"/>
          <w:szCs w:val="20"/>
          <w:color w:val="auto"/>
        </w:rPr>
      </w:pPr>
      <w:r>
        <w:rPr>
          <w:rFonts w:ascii="Arial" w:cs="Arial" w:eastAsia="Arial" w:hAnsi="Arial"/>
          <w:sz w:val="16"/>
          <w:szCs w:val="16"/>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6" w:lineRule="exact"/>
        <w:rPr>
          <w:sz w:val="20"/>
          <w:szCs w:val="20"/>
          <w:color w:val="auto"/>
        </w:rPr>
      </w:pPr>
    </w:p>
    <w:p>
      <w:pPr>
        <w:ind w:left="300" w:right="359" w:firstLine="360"/>
        <w:spacing w:after="0" w:line="288" w:lineRule="auto"/>
        <w:rPr>
          <w:sz w:val="20"/>
          <w:szCs w:val="20"/>
          <w:color w:val="auto"/>
        </w:rPr>
      </w:pPr>
      <w:r>
        <w:rPr>
          <w:rFonts w:ascii="Arial" w:cs="Arial" w:eastAsia="Arial" w:hAnsi="Arial"/>
          <w:sz w:val="16"/>
          <w:szCs w:val="16"/>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2022 performance bonuses were paid in February 2023.</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Performance Bonus</w:t>
            </w:r>
          </w:p>
        </w:tc>
        <w:tc>
          <w:tcPr>
            <w:tcW w:w="1320" w:type="dxa"/>
            <w:vAlign w:val="bottom"/>
          </w:tcPr>
          <w:p>
            <w:pPr>
              <w:jc w:val="right"/>
              <w:ind w:right="37"/>
              <w:spacing w:after="0"/>
              <w:rPr>
                <w:sz w:val="20"/>
                <w:szCs w:val="20"/>
                <w:color w:val="auto"/>
              </w:rPr>
            </w:pPr>
            <w:r>
              <w:rPr>
                <w:rFonts w:ascii="Arial" w:cs="Arial" w:eastAsia="Arial" w:hAnsi="Arial"/>
                <w:sz w:val="14"/>
                <w:szCs w:val="14"/>
                <w:b w:val="1"/>
                <w:bCs w:val="1"/>
                <w:color w:val="auto"/>
              </w:rPr>
              <w:t>Awarded Amount</w:t>
            </w:r>
          </w:p>
        </w:tc>
        <w:tc>
          <w:tcPr>
            <w:tcW w:w="0" w:type="dxa"/>
            <w:vAlign w:val="bottom"/>
          </w:tcPr>
          <w:p>
            <w:pPr>
              <w:spacing w:after="0"/>
              <w:rPr>
                <w:sz w:val="1"/>
                <w:szCs w:val="1"/>
                <w:color w:val="auto"/>
              </w:rPr>
            </w:pPr>
          </w:p>
        </w:tc>
      </w:tr>
      <w:tr>
        <w:trPr>
          <w:trHeight w:val="186"/>
        </w:trPr>
        <w:tc>
          <w:tcPr>
            <w:tcW w:w="5520" w:type="dxa"/>
            <w:vAlign w:val="bottom"/>
            <w:gridSpan w:val="3"/>
            <w:vMerge w:val="continue"/>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3"/>
              </w:rPr>
              <w:t>As % of Base Salary</w:t>
            </w: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Joel Lewis</w:t>
            </w:r>
          </w:p>
        </w:tc>
        <w:tc>
          <w:tcPr>
            <w:tcW w:w="1240" w:type="dxa"/>
            <w:vAlign w:val="bottom"/>
            <w:shd w:val="clear" w:color="auto" w:fill="CCEEFF"/>
          </w:tcPr>
          <w:p>
            <w:pPr>
              <w:ind w:left="280"/>
              <w:spacing w:after="0" w:line="331" w:lineRule="exact"/>
              <w:rPr>
                <w:sz w:val="20"/>
                <w:szCs w:val="20"/>
                <w:color w:val="auto"/>
              </w:rPr>
            </w:pPr>
            <w:r>
              <w:rPr>
                <w:rFonts w:ascii="Arial" w:cs="Arial" w:eastAsia="Arial" w:hAnsi="Arial"/>
                <w:sz w:val="18"/>
                <w:szCs w:val="18"/>
                <w:color w:val="auto"/>
                <w:w w:val="95"/>
              </w:rPr>
              <w:t>$262,500</w:t>
            </w:r>
            <w:r>
              <w:rPr>
                <w:rFonts w:ascii="Arial" w:cs="Arial" w:eastAsia="Arial" w:hAnsi="Arial"/>
                <w:sz w:val="29"/>
                <w:szCs w:val="29"/>
                <w:color w:val="auto"/>
                <w:w w:val="95"/>
                <w:vertAlign w:val="superscript"/>
              </w:rPr>
              <w:t>(1)</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5520" w:type="dxa"/>
            <w:vAlign w:val="bottom"/>
            <w:gridSpan w:val="3"/>
          </w:tcPr>
          <w:p>
            <w:pPr>
              <w:spacing w:after="0"/>
              <w:rPr>
                <w:sz w:val="20"/>
                <w:szCs w:val="20"/>
                <w:color w:val="auto"/>
              </w:rPr>
            </w:pPr>
            <w:r>
              <w:rPr>
                <w:rFonts w:ascii="Arial" w:cs="Arial" w:eastAsia="Arial" w:hAnsi="Arial"/>
                <w:sz w:val="18"/>
                <w:szCs w:val="18"/>
                <w:color w:val="auto"/>
              </w:rPr>
              <w:t>Pol F. Boudes, M.D.</w:t>
            </w:r>
          </w:p>
        </w:tc>
        <w:tc>
          <w:tcPr>
            <w:tcW w:w="1240" w:type="dxa"/>
            <w:vAlign w:val="bottom"/>
          </w:tcPr>
          <w:p>
            <w:pPr>
              <w:ind w:left="280"/>
              <w:spacing w:after="0"/>
              <w:rPr>
                <w:sz w:val="20"/>
                <w:szCs w:val="20"/>
                <w:color w:val="auto"/>
              </w:rPr>
            </w:pPr>
            <w:r>
              <w:rPr>
                <w:rFonts w:ascii="Arial" w:cs="Arial" w:eastAsia="Arial" w:hAnsi="Arial"/>
                <w:sz w:val="18"/>
                <w:szCs w:val="18"/>
                <w:color w:val="auto"/>
              </w:rPr>
              <w:t>$142,500</w:t>
            </w:r>
          </w:p>
        </w:tc>
        <w:tc>
          <w:tcPr>
            <w:tcW w:w="340" w:type="dxa"/>
            <w:vAlign w:val="bottom"/>
          </w:tcPr>
          <w:p>
            <w:pPr>
              <w:spacing w:after="0"/>
              <w:rPr>
                <w:sz w:val="23"/>
                <w:szCs w:val="23"/>
                <w:color w:val="auto"/>
              </w:rPr>
            </w:pPr>
          </w:p>
        </w:tc>
        <w:tc>
          <w:tcPr>
            <w:tcW w:w="1320" w:type="dxa"/>
            <w:vAlign w:val="bottom"/>
          </w:tcPr>
          <w:p>
            <w:pPr>
              <w:jc w:val="right"/>
              <w:ind w:right="33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$ 96,000</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3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-736600</wp:posOffset>
            </wp:positionV>
            <wp:extent cx="222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-736600</wp:posOffset>
            </wp:positionV>
            <wp:extent cx="2228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 w:lineRule="exact"/>
        <w:rPr>
          <w:sz w:val="20"/>
          <w:szCs w:val="20"/>
          <w:color w:val="auto"/>
        </w:rPr>
      </w:pPr>
    </w:p>
    <w:p>
      <w:pPr>
        <w:ind w:left="640" w:right="479" w:hanging="348"/>
        <w:spacing w:after="0" w:line="290"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49" w:lineRule="exact"/>
        <w:rPr>
          <w:sz w:val="20"/>
          <w:szCs w:val="20"/>
          <w:color w:val="auto"/>
        </w:rPr>
      </w:pPr>
    </w:p>
    <w:p>
      <w:pPr>
        <w:ind w:left="300" w:right="479" w:firstLine="360"/>
        <w:spacing w:after="0" w:line="301" w:lineRule="auto"/>
        <w:rPr>
          <w:sz w:val="20"/>
          <w:szCs w:val="20"/>
          <w:color w:val="auto"/>
        </w:rPr>
      </w:pPr>
      <w:r>
        <w:rPr>
          <w:rFonts w:ascii="Arial" w:cs="Arial" w:eastAsia="Arial" w:hAnsi="Arial"/>
          <w:sz w:val="16"/>
          <w:szCs w:val="16"/>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49" w:lineRule="exact"/>
        <w:rPr>
          <w:sz w:val="20"/>
          <w:szCs w:val="20"/>
          <w:color w:val="auto"/>
        </w:rPr>
      </w:pPr>
    </w:p>
    <w:p>
      <w:pPr>
        <w:jc w:val="both"/>
        <w:ind w:left="300" w:right="619" w:firstLine="360"/>
        <w:spacing w:after="0" w:line="311" w:lineRule="auto"/>
        <w:rPr>
          <w:sz w:val="20"/>
          <w:szCs w:val="20"/>
          <w:color w:val="auto"/>
        </w:rPr>
      </w:pPr>
      <w:r>
        <w:rPr>
          <w:rFonts w:ascii="Arial" w:cs="Arial" w:eastAsia="Arial" w:hAnsi="Arial"/>
          <w:sz w:val="16"/>
          <w:szCs w:val="16"/>
          <w:color w:val="auto"/>
        </w:rPr>
        <w:t>On January 24, 2022, the NEOs were awarded the options noted below based on 2021 performance. For the performance options, 25% vest on each of June 30, 2022, December 31, 2022, June 30, 2023, and December 31, 2023. The exercise price of the options is set at the closing price of our stock as of the grant date.</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 Date</w:t>
            </w: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Number of Securities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Underlying Options</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7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Joel Lewis</w:t>
            </w:r>
          </w:p>
        </w:tc>
        <w:tc>
          <w:tcPr>
            <w:tcW w:w="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89"/>
              </w:rPr>
              <w:t>1/24/2022</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70,000</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$1.98</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Pol Boudes, M.D.</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w w:val="89"/>
              </w:rPr>
              <w:t>1/24/2022</w:t>
            </w:r>
          </w:p>
        </w:tc>
        <w:tc>
          <w:tcPr>
            <w:tcW w:w="24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50,000</w:t>
            </w:r>
          </w:p>
        </w:tc>
        <w:tc>
          <w:tcPr>
            <w:tcW w:w="24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$1.98</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9"/>
              </w:rPr>
              <w:t>1/24/2022</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$1.98</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-633730</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-633730</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-633730</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Joel Lewis, Chief Executive Officer</w:t>
      </w:r>
    </w:p>
    <w:p>
      <w:pPr>
        <w:spacing w:after="0" w:line="117"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In connection with the appointment of Mr. Lewis, the Company and Mr. Lewis entered into an employment agreement, dated August 31, 2020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a Deferred Stock Unit Agreement, dated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August 31, 2020 (the “</w:t>
      </w:r>
      <w:r>
        <w:rPr>
          <w:rFonts w:ascii="Arial" w:cs="Arial" w:eastAsia="Arial" w:hAnsi="Arial"/>
          <w:sz w:val="17"/>
          <w:szCs w:val="17"/>
          <w:u w:val="single" w:color="auto"/>
          <w:color w:val="auto"/>
        </w:rPr>
        <w:t>DSU Agreement</w:t>
      </w:r>
      <w:r>
        <w:rPr>
          <w:rFonts w:ascii="Arial" w:cs="Arial" w:eastAsia="Arial" w:hAnsi="Arial"/>
          <w:sz w:val="17"/>
          <w:szCs w:val="17"/>
          <w:color w:val="auto"/>
        </w:rPr>
        <w:t>”). The Employment Agreement has an initial term of two years and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automatically renews for additional one-year terms thereafter, unless either Mr. Lewis or the Company elects not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renew. Mr. Lewis will serve as Chief Executive Officer of the Company effective as of September 2, 2020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Start Date</w:t>
      </w:r>
      <w:r>
        <w:rPr>
          <w:rFonts w:ascii="Arial" w:cs="Arial" w:eastAsia="Arial" w:hAnsi="Arial"/>
          <w:sz w:val="16"/>
          <w:szCs w:val="16"/>
          <w:color w:val="auto"/>
        </w:rPr>
        <w:t>”), and will be paid an annual base salary of $500,000. Under the terms of the Employment Agreement,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 of his base salary will be paid in cash, and 80% will be paid in the form of deferred-stock-units (“</w:t>
      </w:r>
      <w:r>
        <w:rPr>
          <w:rFonts w:ascii="Arial" w:cs="Arial" w:eastAsia="Arial" w:hAnsi="Arial"/>
          <w:sz w:val="17"/>
          <w:szCs w:val="17"/>
          <w:u w:val="single" w:color="auto"/>
          <w:color w:val="auto"/>
        </w:rPr>
        <w:t>DSUs</w:t>
      </w:r>
      <w:r>
        <w:rPr>
          <w:rFonts w:ascii="Arial" w:cs="Arial" w:eastAsia="Arial" w:hAnsi="Arial"/>
          <w:sz w:val="17"/>
          <w:szCs w:val="17"/>
          <w:color w:val="auto"/>
        </w:rPr>
        <w:t>”)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accordance with the terms and subject to the provisions set forth in the DSU Agreement. In addition, Mr. Lewis is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entitled to participate in the Company’s performance bonus plan with a potential of up to 50% of his annual base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salary, which will also be paid 20% in cash and 80% in DSU’s. Further, Mr. Lewis received on the date of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agreement an initial grant of options to purchase 250,000 shares of the Company’s common stock, par value $0.001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 share, which options shall vest one-twelfth on a quarterly basis for twelve consecutive quarters, such that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options shall be fully vested twelve quarters following the date of grant (the “</w:t>
      </w:r>
      <w:r>
        <w:rPr>
          <w:rFonts w:ascii="Arial" w:cs="Arial" w:eastAsia="Arial" w:hAnsi="Arial"/>
          <w:sz w:val="16"/>
          <w:szCs w:val="16"/>
          <w:u w:val="single" w:color="auto"/>
          <w:color w:val="auto"/>
        </w:rPr>
        <w:t>Award</w:t>
      </w:r>
      <w:r>
        <w:rPr>
          <w:rFonts w:ascii="Arial" w:cs="Arial" w:eastAsia="Arial" w:hAnsi="Arial"/>
          <w:sz w:val="16"/>
          <w:szCs w:val="16"/>
          <w:color w:val="auto"/>
        </w:rPr>
        <w:t>”). The options under the Award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shall be issued pursuant to the Company’s 2019 Omnibus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Employment Agreement, Mr. Lewis is also eligible to receive healthcare benefits as may be provided from time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time by the Company to its employees generally, to participate in the Company’s 401(k) plan and to receive paid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time off annually in accordance with the Company’s policies in effect from time to time. Finally, pursuant to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Employment Agreement, the Company will be required to furnish a lump sum cash payment to Mr. Lewis upon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termination of Mr. Lewis without “Cause” or upon Mr. Lewis’ resignation for “Good Reason” as such terms are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defined in the Employment Agreement or in the event the Company gives notice of non-renewal on or before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September 30, 2023. The Employment Agreement includes customary intellectual property, assignment, and other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representations by Mr. Lewis.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25, 2022, we entered into amendments to the Employment Agreement and DSU Agreement with</w:t>
      </w:r>
    </w:p>
    <w:p>
      <w:pPr>
        <w:spacing w:after="0" w:line="35" w:lineRule="exact"/>
        <w:rPr>
          <w:sz w:val="20"/>
          <w:szCs w:val="20"/>
          <w:color w:val="auto"/>
        </w:rPr>
      </w:pPr>
    </w:p>
    <w:p>
      <w:pPr>
        <w:ind w:left="300" w:right="319"/>
        <w:spacing w:after="0" w:line="266" w:lineRule="auto"/>
        <w:rPr>
          <w:sz w:val="20"/>
          <w:szCs w:val="20"/>
          <w:color w:val="auto"/>
        </w:rPr>
      </w:pPr>
      <w:r>
        <w:rPr>
          <w:rFonts w:ascii="Arial" w:cs="Arial" w:eastAsia="Arial" w:hAnsi="Arial"/>
          <w:sz w:val="17"/>
          <w:szCs w:val="17"/>
          <w:color w:val="auto"/>
        </w:rPr>
        <w:t>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83"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Pursuant to the DSU Agreement, 80% of Mr. Lewis’ base salary under the Employment Agreement shall be payable in DSUs, which DSUs credited to Mr. Lewis as of any date shall be fully vested and nonforfeitable at all times. Pursuant to an amendment to the DSU Agreement in July 2022, the Company shall issue the shares underlying the outstanding whole number of DSUs credited to Mr. Lewis as follows: twenty five percent were issued on March 1, 2023, twenty five percent shall be issued on September 1, 2028 and fifty percent shall be issued on March 1, 2024.</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Pol F. Boudes, M.D., Chief Medical Officer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19, 2020, the Company entered into an Employment Agreement with Dr. Boudes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which governs the terms of Dr. Boudes’ employment in his position as the Company’s Chief Medical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Officer. Dr. Boudes will serve as the Chief Medical Officer of the Company during an initial term that commences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March 2, 2020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expires on February 28, 2021 (the “</w:t>
      </w:r>
      <w:r>
        <w:rPr>
          <w:rFonts w:ascii="Arial" w:cs="Arial" w:eastAsia="Arial" w:hAnsi="Arial"/>
          <w:sz w:val="17"/>
          <w:szCs w:val="17"/>
          <w:u w:val="single" w:color="auto"/>
          <w:color w:val="auto"/>
        </w:rPr>
        <w:t>Initial Term</w:t>
      </w:r>
      <w:r>
        <w:rPr>
          <w:rFonts w:ascii="Arial" w:cs="Arial" w:eastAsia="Arial" w:hAnsi="Arial"/>
          <w:sz w:val="17"/>
          <w:szCs w:val="17"/>
          <w:color w:val="auto"/>
        </w:rPr>
        <w:t>”). Following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Initial Term, the term of the Agreement automatically renews for successive twelve (12) month terms unless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either party provides the other party with notice of non-renewal at least sixty (60) days prior to the expiration of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then-current term. Under the Agreement, the Company has agreed to pay Dr. Boudes a base salary of $444,500 per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year (the “</w:t>
      </w:r>
      <w:r>
        <w:rPr>
          <w:rFonts w:ascii="Arial" w:cs="Arial" w:eastAsia="Arial" w:hAnsi="Arial"/>
          <w:sz w:val="16"/>
          <w:szCs w:val="16"/>
          <w:u w:val="single" w:color="auto"/>
          <w:color w:val="auto"/>
        </w:rPr>
        <w:t>Base Salary</w:t>
      </w:r>
      <w:r>
        <w:rPr>
          <w:rFonts w:ascii="Arial" w:cs="Arial" w:eastAsia="Arial" w:hAnsi="Arial"/>
          <w:sz w:val="16"/>
          <w:szCs w:val="16"/>
          <w:color w:val="auto"/>
        </w:rPr>
        <w:t>”). Provided that certain performance objectives are met, Dr. Boudes will also be entitled to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84" w:lineRule="auto"/>
        <w:rPr>
          <w:sz w:val="20"/>
          <w:szCs w:val="20"/>
          <w:color w:val="auto"/>
        </w:rPr>
      </w:pPr>
      <w:r>
        <w:rPr>
          <w:rFonts w:ascii="Arial" w:cs="Arial" w:eastAsia="Arial" w:hAnsi="Arial"/>
          <w:sz w:val="16"/>
          <w:szCs w:val="16"/>
          <w:color w:val="auto"/>
        </w:rPr>
        <w:t>receive an annual performance bonus equal to thirty percent (30%) of the Base Salary (the “</w:t>
      </w:r>
      <w:r>
        <w:rPr>
          <w:rFonts w:ascii="Arial" w:cs="Arial" w:eastAsia="Arial" w:hAnsi="Arial"/>
          <w:sz w:val="16"/>
          <w:szCs w:val="16"/>
          <w:u w:val="single" w:color="auto"/>
          <w:color w:val="auto"/>
        </w:rPr>
        <w:t>Performance Bonus</w:t>
      </w:r>
      <w:r>
        <w:rPr>
          <w:rFonts w:ascii="Arial" w:cs="Arial" w:eastAsia="Arial" w:hAnsi="Arial"/>
          <w:sz w:val="16"/>
          <w:szCs w:val="16"/>
          <w:color w:val="auto"/>
        </w:rPr>
        <w:t>”). Subject to certain restrictions described in the Agreement, Dr. Boudes will receive a $100,000 signing bonus pursuant to the Agreement. Dr. Boudes will also be granted options to purchase 300,000 shares (the “</w:t>
      </w:r>
      <w:r>
        <w:rPr>
          <w:rFonts w:ascii="Arial" w:cs="Arial" w:eastAsia="Arial" w:hAnsi="Arial"/>
          <w:sz w:val="16"/>
          <w:szCs w:val="16"/>
          <w:u w:val="single" w:color="auto"/>
          <w:color w:val="auto"/>
        </w:rPr>
        <w:t>Options</w:t>
      </w:r>
      <w:r>
        <w:rPr>
          <w:rFonts w:ascii="Arial" w:cs="Arial" w:eastAsia="Arial" w:hAnsi="Arial"/>
          <w:sz w:val="16"/>
          <w:szCs w:val="16"/>
          <w:color w:val="auto"/>
        </w:rPr>
        <w:t>”) of the Company’s common stock pursuant to the Company’s 2019 Omnibus Equity Incentive Plan. The Options vest as follows: twenty percent (20%) of the Options shall vest upon one (1) year of employment, twenty percent (20%) of the Options shall vest upon two (2) years of employment, twenty percent (20%) of the Options shall vest upon three</w:t>
      </w:r>
    </w:p>
    <w:p>
      <w:pPr>
        <w:spacing w:after="0" w:line="4" w:lineRule="exact"/>
        <w:rPr>
          <w:sz w:val="20"/>
          <w:szCs w:val="20"/>
          <w:color w:val="auto"/>
        </w:rPr>
      </w:pPr>
    </w:p>
    <w:p>
      <w:pPr>
        <w:ind w:left="300" w:right="679" w:hanging="8"/>
        <w:spacing w:after="0" w:line="260" w:lineRule="auto"/>
        <w:tabs>
          <w:tab w:leader="none" w:pos="5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years of employment, and the remaining forty percent (40%) of the Options shall vest upon four (4) years of employment.</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64"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compensation paid to our NEOs for the fiscal years ended December 31,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2022 and 2021.</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Salary</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7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Award</w:t>
            </w:r>
          </w:p>
        </w:tc>
        <w:tc>
          <w:tcPr>
            <w:tcW w:w="1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5"/>
              </w:rPr>
              <w:t xml:space="preserve">($) </w:t>
            </w:r>
            <w:r>
              <w:rPr>
                <w:rFonts w:ascii="Arial" w:cs="Arial" w:eastAsia="Arial" w:hAnsi="Arial"/>
                <w:sz w:val="23"/>
                <w:szCs w:val="23"/>
                <w:b w:val="1"/>
                <w:bCs w:val="1"/>
                <w:color w:val="auto"/>
                <w:w w:val="85"/>
                <w:vertAlign w:val="superscript"/>
              </w:rPr>
              <w:t>(1)</w:t>
            </w: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line="263" w:lineRule="exact"/>
              <w:rPr>
                <w:sz w:val="20"/>
                <w:szCs w:val="20"/>
                <w:color w:val="auto"/>
              </w:rPr>
            </w:pPr>
            <w:r>
              <w:rPr>
                <w:rFonts w:ascii="Arial" w:cs="Arial" w:eastAsia="Arial" w:hAnsi="Arial"/>
                <w:sz w:val="18"/>
                <w:szCs w:val="18"/>
                <w:color w:val="auto"/>
                <w:w w:val="84"/>
              </w:rPr>
              <w:t>2022</w:t>
            </w:r>
            <w:r>
              <w:rPr>
                <w:rFonts w:ascii="Arial" w:cs="Arial" w:eastAsia="Arial" w:hAnsi="Arial"/>
                <w:sz w:val="29"/>
                <w:szCs w:val="29"/>
                <w:color w:val="auto"/>
                <w:w w:val="84"/>
                <w:vertAlign w:val="superscript"/>
              </w:rPr>
              <w:t>(2)</w:t>
            </w: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522,917</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262,500</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103,517</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6"/>
              <w:spacing w:after="0" w:line="263" w:lineRule="exact"/>
              <w:rPr>
                <w:sz w:val="20"/>
                <w:szCs w:val="20"/>
                <w:color w:val="auto"/>
              </w:rPr>
            </w:pPr>
            <w:r>
              <w:rPr>
                <w:rFonts w:ascii="Arial" w:cs="Arial" w:eastAsia="Arial" w:hAnsi="Arial"/>
                <w:sz w:val="18"/>
                <w:szCs w:val="18"/>
                <w:color w:val="auto"/>
              </w:rPr>
              <w:t>85,247</w:t>
            </w:r>
            <w:r>
              <w:rPr>
                <w:rFonts w:ascii="Arial" w:cs="Arial" w:eastAsia="Arial" w:hAnsi="Arial"/>
                <w:sz w:val="29"/>
                <w:szCs w:val="29"/>
                <w:color w:val="auto"/>
                <w:vertAlign w:val="superscript"/>
              </w:rPr>
              <w:t>(3)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974,181</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 &amp; President</w:t>
            </w:r>
          </w:p>
        </w:tc>
        <w:tc>
          <w:tcPr>
            <w:tcW w:w="10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2021</w:t>
            </w:r>
            <w:r>
              <w:rPr>
                <w:rFonts w:ascii="Arial" w:cs="Arial" w:eastAsia="Arial" w:hAnsi="Arial"/>
                <w:sz w:val="29"/>
                <w:szCs w:val="29"/>
                <w:color w:val="auto"/>
                <w:w w:val="84"/>
                <w:vertAlign w:val="superscript"/>
              </w:rPr>
              <w:t>(2)</w:t>
            </w: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500,000</w:t>
            </w:r>
          </w:p>
        </w:tc>
        <w:tc>
          <w:tcPr>
            <w:tcW w:w="200" w:type="dxa"/>
            <w:vAlign w:val="bottom"/>
            <w:shd w:val="clear" w:color="auto" w:fill="CCEEFF"/>
          </w:tcPr>
          <w:p>
            <w:pPr>
              <w:spacing w:after="0"/>
              <w:rPr>
                <w:sz w:val="20"/>
                <w:szCs w:val="20"/>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200" w:type="dxa"/>
            <w:vAlign w:val="bottom"/>
            <w:shd w:val="clear" w:color="auto" w:fill="CCEEFF"/>
          </w:tcPr>
          <w:p>
            <w:pPr>
              <w:spacing w:after="0"/>
              <w:rPr>
                <w:sz w:val="20"/>
                <w:szCs w:val="20"/>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329,177</w:t>
            </w:r>
          </w:p>
        </w:tc>
        <w:tc>
          <w:tcPr>
            <w:tcW w:w="20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88,444</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1,167,621</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240" w:type="dxa"/>
            <w:vAlign w:val="bottom"/>
            <w:gridSpan w:val="2"/>
          </w:tcPr>
          <w:p>
            <w:pPr>
              <w:spacing w:after="0"/>
              <w:rPr>
                <w:sz w:val="20"/>
                <w:szCs w:val="20"/>
                <w:color w:val="auto"/>
              </w:rPr>
            </w:pPr>
            <w:r>
              <w:rPr>
                <w:rFonts w:ascii="Arial" w:cs="Arial" w:eastAsia="Arial" w:hAnsi="Arial"/>
                <w:sz w:val="18"/>
                <w:szCs w:val="18"/>
                <w:color w:val="auto"/>
              </w:rPr>
              <w:t>Pol F. Boudes,</w:t>
            </w:r>
          </w:p>
        </w:tc>
        <w:tc>
          <w:tcPr>
            <w:tcW w:w="640" w:type="dxa"/>
            <w:vAlign w:val="bottom"/>
            <w:gridSpan w:val="2"/>
          </w:tcPr>
          <w:p>
            <w:pPr>
              <w:jc w:val="center"/>
              <w:ind w:left="10"/>
              <w:spacing w:after="0" w:line="255" w:lineRule="exact"/>
              <w:rPr>
                <w:sz w:val="20"/>
                <w:szCs w:val="20"/>
                <w:color w:val="auto"/>
              </w:rPr>
            </w:pPr>
            <w:r>
              <w:rPr>
                <w:rFonts w:ascii="Arial" w:cs="Arial" w:eastAsia="Arial" w:hAnsi="Arial"/>
                <w:sz w:val="18"/>
                <w:szCs w:val="18"/>
                <w:color w:val="auto"/>
                <w:w w:val="84"/>
              </w:rPr>
              <w:t>2022</w:t>
            </w:r>
            <w:r>
              <w:rPr>
                <w:rFonts w:ascii="Arial" w:cs="Arial" w:eastAsia="Arial" w:hAnsi="Arial"/>
                <w:sz w:val="29"/>
                <w:szCs w:val="29"/>
                <w:color w:val="auto"/>
                <w:w w:val="84"/>
                <w:vertAlign w:val="superscript"/>
              </w:rPr>
              <w:t>(5)</w:t>
            </w:r>
          </w:p>
        </w:tc>
        <w:tc>
          <w:tcPr>
            <w:tcW w:w="2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473,333</w:t>
            </w:r>
          </w:p>
        </w:tc>
        <w:tc>
          <w:tcPr>
            <w:tcW w:w="20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142,500</w:t>
            </w:r>
          </w:p>
        </w:tc>
        <w:tc>
          <w:tcPr>
            <w:tcW w:w="200" w:type="dxa"/>
            <w:vAlign w:val="bottom"/>
          </w:tcPr>
          <w:p>
            <w:pPr>
              <w:spacing w:after="0"/>
              <w:rPr>
                <w:sz w:val="22"/>
                <w:szCs w:val="22"/>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73,940</w:t>
            </w:r>
          </w:p>
        </w:tc>
        <w:tc>
          <w:tcPr>
            <w:tcW w:w="200" w:type="dxa"/>
            <w:vAlign w:val="bottom"/>
          </w:tcPr>
          <w:p>
            <w:pPr>
              <w:spacing w:after="0"/>
              <w:rPr>
                <w:sz w:val="22"/>
                <w:szCs w:val="22"/>
                <w:color w:val="auto"/>
              </w:rPr>
            </w:pPr>
          </w:p>
        </w:tc>
        <w:tc>
          <w:tcPr>
            <w:tcW w:w="1000" w:type="dxa"/>
            <w:vAlign w:val="bottom"/>
          </w:tcPr>
          <w:p>
            <w:pPr>
              <w:jc w:val="right"/>
              <w:ind w:right="16"/>
              <w:spacing w:after="0" w:line="255" w:lineRule="exact"/>
              <w:rPr>
                <w:sz w:val="20"/>
                <w:szCs w:val="20"/>
                <w:color w:val="auto"/>
              </w:rPr>
            </w:pPr>
            <w:r>
              <w:rPr>
                <w:rFonts w:ascii="Arial" w:cs="Arial" w:eastAsia="Arial" w:hAnsi="Arial"/>
                <w:sz w:val="18"/>
                <w:szCs w:val="18"/>
                <w:color w:val="auto"/>
                <w:w w:val="99"/>
              </w:rPr>
              <w:t>104,804</w:t>
            </w:r>
            <w:r>
              <w:rPr>
                <w:rFonts w:ascii="Arial" w:cs="Arial" w:eastAsia="Arial" w:hAnsi="Arial"/>
                <w:sz w:val="29"/>
                <w:szCs w:val="29"/>
                <w:color w:val="auto"/>
                <w:w w:val="99"/>
                <w:vertAlign w:val="superscript"/>
              </w:rPr>
              <w:t>(6)</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794,577</w:t>
            </w:r>
          </w:p>
        </w:tc>
        <w:tc>
          <w:tcPr>
            <w:tcW w:w="0" w:type="dxa"/>
            <w:vAlign w:val="bottom"/>
          </w:tcPr>
          <w:p>
            <w:pPr>
              <w:spacing w:after="0"/>
              <w:rPr>
                <w:sz w:val="1"/>
                <w:szCs w:val="1"/>
                <w:color w:val="auto"/>
              </w:rPr>
            </w:pPr>
          </w:p>
        </w:tc>
      </w:tr>
      <w:tr>
        <w:trPr>
          <w:trHeight w:val="230"/>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M.D., Chief Medical Officer</w:t>
            </w:r>
          </w:p>
        </w:tc>
        <w:tc>
          <w:tcPr>
            <w:tcW w:w="6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4"/>
              </w:rPr>
              <w:t>2021</w:t>
            </w:r>
            <w:r>
              <w:rPr>
                <w:rFonts w:ascii="Arial" w:cs="Arial" w:eastAsia="Arial" w:hAnsi="Arial"/>
                <w:sz w:val="29"/>
                <w:szCs w:val="29"/>
                <w:color w:val="auto"/>
                <w:w w:val="84"/>
                <w:vertAlign w:val="superscript"/>
              </w:rPr>
              <w:t>(5)</w:t>
            </w:r>
          </w:p>
        </w:tc>
        <w:tc>
          <w:tcPr>
            <w:tcW w:w="26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452,583</w:t>
            </w:r>
          </w:p>
        </w:tc>
        <w:tc>
          <w:tcPr>
            <w:tcW w:w="200" w:type="dxa"/>
            <w:vAlign w:val="bottom"/>
          </w:tcPr>
          <w:p>
            <w:pPr>
              <w:spacing w:after="0"/>
              <w:rPr>
                <w:sz w:val="20"/>
                <w:szCs w:val="20"/>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9"/>
              </w:rPr>
              <w:t>136,500</w:t>
            </w:r>
          </w:p>
        </w:tc>
        <w:tc>
          <w:tcPr>
            <w:tcW w:w="200" w:type="dxa"/>
            <w:vAlign w:val="bottom"/>
          </w:tcPr>
          <w:p>
            <w:pPr>
              <w:spacing w:after="0"/>
              <w:rPr>
                <w:sz w:val="20"/>
                <w:szCs w:val="20"/>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9"/>
              </w:rPr>
              <w:t>235,126</w:t>
            </w:r>
          </w:p>
        </w:tc>
        <w:tc>
          <w:tcPr>
            <w:tcW w:w="200" w:type="dxa"/>
            <w:vAlign w:val="bottom"/>
          </w:tcPr>
          <w:p>
            <w:pPr>
              <w:spacing w:after="0"/>
              <w:rPr>
                <w:sz w:val="20"/>
                <w:szCs w:val="20"/>
                <w:color w:val="auto"/>
              </w:rPr>
            </w:pPr>
          </w:p>
        </w:tc>
        <w:tc>
          <w:tcPr>
            <w:tcW w:w="1000" w:type="dxa"/>
            <w:vAlign w:val="bottom"/>
            <w:vMerge w:val="restart"/>
          </w:tcPr>
          <w:p>
            <w:pPr>
              <w:jc w:val="right"/>
              <w:ind w:right="16"/>
              <w:spacing w:after="0"/>
              <w:rPr>
                <w:sz w:val="20"/>
                <w:szCs w:val="20"/>
                <w:color w:val="auto"/>
              </w:rPr>
            </w:pPr>
            <w:r>
              <w:rPr>
                <w:rFonts w:ascii="Arial" w:cs="Arial" w:eastAsia="Arial" w:hAnsi="Arial"/>
                <w:sz w:val="18"/>
                <w:szCs w:val="18"/>
                <w:color w:val="auto"/>
              </w:rPr>
              <w:t>99,474</w:t>
            </w:r>
            <w:r>
              <w:rPr>
                <w:rFonts w:ascii="Arial" w:cs="Arial" w:eastAsia="Arial" w:hAnsi="Arial"/>
                <w:sz w:val="29"/>
                <w:szCs w:val="29"/>
                <w:color w:val="auto"/>
                <w:vertAlign w:val="superscript"/>
              </w:rPr>
              <w:t>(7)</w:t>
            </w: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923,683</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line="255" w:lineRule="exact"/>
              <w:rPr>
                <w:sz w:val="20"/>
                <w:szCs w:val="20"/>
                <w:color w:val="auto"/>
              </w:rPr>
            </w:pPr>
            <w:r>
              <w:rPr>
                <w:rFonts w:ascii="Arial" w:cs="Arial" w:eastAsia="Arial" w:hAnsi="Arial"/>
                <w:sz w:val="18"/>
                <w:szCs w:val="18"/>
                <w:color w:val="auto"/>
                <w:w w:val="84"/>
              </w:rPr>
              <w:t>2022</w:t>
            </w:r>
            <w:r>
              <w:rPr>
                <w:rFonts w:ascii="Arial" w:cs="Arial" w:eastAsia="Arial" w:hAnsi="Arial"/>
                <w:sz w:val="29"/>
                <w:szCs w:val="29"/>
                <w:color w:val="auto"/>
                <w:w w:val="84"/>
                <w:vertAlign w:val="superscript"/>
              </w:rPr>
              <w:t>(8)</w:t>
            </w: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318,508</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96,000</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73,940</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6"/>
              <w:spacing w:after="0" w:line="255" w:lineRule="exact"/>
              <w:rPr>
                <w:sz w:val="20"/>
                <w:szCs w:val="20"/>
                <w:color w:val="auto"/>
              </w:rPr>
            </w:pPr>
            <w:r>
              <w:rPr>
                <w:rFonts w:ascii="Arial" w:cs="Arial" w:eastAsia="Arial" w:hAnsi="Arial"/>
                <w:sz w:val="18"/>
                <w:szCs w:val="18"/>
                <w:color w:val="auto"/>
              </w:rPr>
              <w:t>78,116</w:t>
            </w:r>
            <w:r>
              <w:rPr>
                <w:rFonts w:ascii="Arial" w:cs="Arial" w:eastAsia="Arial" w:hAnsi="Arial"/>
                <w:sz w:val="29"/>
                <w:szCs w:val="29"/>
                <w:color w:val="auto"/>
                <w:vertAlign w:val="superscript"/>
              </w:rPr>
              <w:t>(9)</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566,564</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10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2021</w:t>
            </w:r>
            <w:r>
              <w:rPr>
                <w:rFonts w:ascii="Arial" w:cs="Arial" w:eastAsia="Arial" w:hAnsi="Arial"/>
                <w:sz w:val="29"/>
                <w:szCs w:val="29"/>
                <w:color w:val="auto"/>
                <w:w w:val="84"/>
                <w:vertAlign w:val="superscript"/>
              </w:rPr>
              <w:t>(8)</w:t>
            </w: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302,100</w:t>
            </w:r>
          </w:p>
        </w:tc>
        <w:tc>
          <w:tcPr>
            <w:tcW w:w="200" w:type="dxa"/>
            <w:vAlign w:val="bottom"/>
            <w:shd w:val="clear" w:color="auto" w:fill="CCEEFF"/>
          </w:tcPr>
          <w:p>
            <w:pPr>
              <w:spacing w:after="0"/>
              <w:rPr>
                <w:sz w:val="20"/>
                <w:szCs w:val="20"/>
                <w:color w:val="auto"/>
              </w:rPr>
            </w:pPr>
          </w:p>
        </w:tc>
        <w:tc>
          <w:tcPr>
            <w:tcW w:w="5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87"/>
              </w:rPr>
              <w:t>90,630</w:t>
            </w:r>
          </w:p>
        </w:tc>
        <w:tc>
          <w:tcPr>
            <w:tcW w:w="200" w:type="dxa"/>
            <w:vAlign w:val="bottom"/>
            <w:shd w:val="clear" w:color="auto" w:fill="CCEEFF"/>
          </w:tcPr>
          <w:p>
            <w:pPr>
              <w:spacing w:after="0"/>
              <w:rPr>
                <w:sz w:val="20"/>
                <w:szCs w:val="20"/>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235,126</w:t>
            </w:r>
          </w:p>
        </w:tc>
        <w:tc>
          <w:tcPr>
            <w:tcW w:w="20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78,062</w:t>
            </w:r>
            <w:r>
              <w:rPr>
                <w:rFonts w:ascii="Arial" w:cs="Arial" w:eastAsia="Arial" w:hAnsi="Arial"/>
                <w:sz w:val="29"/>
                <w:szCs w:val="29"/>
                <w:color w:val="auto"/>
                <w:vertAlign w:val="superscript"/>
              </w:rPr>
              <w:t>(10)</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705,918</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-1250950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-1250950</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-1250950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-1250950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-1250950</wp:posOffset>
            </wp:positionV>
            <wp:extent cx="1714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-1250950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419" w:hanging="348"/>
        <w:spacing w:after="0" w:line="255"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option awards made during 2022 and 2021 computed in accordance with the Stock Compensation Topic of the FASB ASC, as modified of supplemented. Fair value was calculated using the Black-Scholes options pricing model. For a description of the assumptions used to determine these amounts, see Note 9 of the Notes to the Consolidated Financial Statements in our Annual Reports on Form 10-K (or Form 10-K/A, as applicable) for the fiscal years ended December 31, 2022 and 2021.</w:t>
      </w:r>
    </w:p>
    <w:p>
      <w:pPr>
        <w:spacing w:after="0" w:line="12" w:lineRule="exact"/>
        <w:rPr>
          <w:rFonts w:ascii="Arial" w:cs="Arial" w:eastAsia="Arial" w:hAnsi="Arial"/>
          <w:sz w:val="13"/>
          <w:szCs w:val="13"/>
          <w:color w:val="auto"/>
        </w:rPr>
      </w:pPr>
    </w:p>
    <w:p>
      <w:pPr>
        <w:ind w:left="640" w:right="759" w:hanging="348"/>
        <w:spacing w:after="0" w:line="281"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Lewis’s performance bonuses for 2022 and 2021 were approved in January 2022 and January 2023, respectively. Pursuant to his employment agreement 20% of his salary and bonus are paid in cash and 80% are awarded in deferred stock units.</w:t>
      </w: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$73,047 for health and other insurance and $12,200 for 401(k) plan contributions.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$76,844 for health and other insurance and $11,600 for 401(k) plan contributions.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Dr. Boudes’ performance bonuses for 2022 and 2021 were approved in January 2022 and January 2023, respectively.</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$92,604 for health and other insurance and $11,200 for 401(k) plan contributions.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$87,874 for health and other insurance and $11,600 for 401(k) plan contributions.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Callicutt’s performance bonuses for 2022 and 2021 were approved in January 2022 and January 2023, respectively.</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$65,916 for health and other insurance and $12,200 for 401(k) plan contributions.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$66,462 for health and other insurance and $11,600 for 401(k) plan contributions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2021</w:t>
      </w:r>
    </w:p>
    <w:p>
      <w:pPr>
        <w:spacing w:after="0" w:line="121" w:lineRule="exact"/>
        <w:rPr>
          <w:sz w:val="20"/>
          <w:szCs w:val="20"/>
          <w:color w:val="auto"/>
        </w:rPr>
      </w:pPr>
    </w:p>
    <w:p>
      <w:pPr>
        <w:ind w:left="300" w:right="399" w:firstLine="360"/>
        <w:spacing w:after="0" w:line="311" w:lineRule="auto"/>
        <w:rPr>
          <w:sz w:val="20"/>
          <w:szCs w:val="20"/>
          <w:color w:val="auto"/>
        </w:rPr>
      </w:pPr>
      <w:r>
        <w:rPr>
          <w:rFonts w:ascii="Arial" w:cs="Arial" w:eastAsia="Arial" w:hAnsi="Arial"/>
          <w:sz w:val="16"/>
          <w:szCs w:val="16"/>
          <w:color w:val="auto"/>
        </w:rPr>
        <w:t>The following table sets forth information regarding all outstanding equity awards held by the NEOs at December 31, 2022. The exercise price of the options is set at the closing price of our stock at the date prior to or as of the date of grant. Outstanding options have been approved by our Compensation Committee and our Board.</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66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ind w:left="260"/>
              <w:spacing w:after="0"/>
              <w:rPr>
                <w:sz w:val="20"/>
                <w:szCs w:val="20"/>
                <w:color w:val="auto"/>
              </w:rPr>
            </w:pPr>
            <w:r>
              <w:rPr>
                <w:rFonts w:ascii="Arial" w:cs="Arial" w:eastAsia="Arial" w:hAnsi="Arial"/>
                <w:sz w:val="13"/>
                <w:szCs w:val="13"/>
                <w:b w:val="1"/>
                <w:bCs w:val="1"/>
                <w:color w:val="auto"/>
              </w:rPr>
              <w:t>Stock Awards</w:t>
            </w:r>
          </w:p>
        </w:tc>
        <w:tc>
          <w:tcPr>
            <w:tcW w:w="580" w:type="dxa"/>
            <w:vAlign w:val="bottom"/>
          </w:tcPr>
          <w:p>
            <w:pPr>
              <w:spacing w:after="0"/>
              <w:rPr>
                <w:sz w:val="15"/>
                <w:szCs w:val="15"/>
                <w:color w:val="auto"/>
              </w:rPr>
            </w:pPr>
          </w:p>
        </w:tc>
      </w:tr>
      <w:tr>
        <w:trPr>
          <w:trHeight w:val="55"/>
        </w:trPr>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197"/>
        </w:trPr>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Equity</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149"/>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Incentive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Plan</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Awards: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or Payout</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Unearned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0"/>
              </w:rPr>
              <w:t>Value of</w:t>
            </w:r>
          </w:p>
        </w:tc>
      </w:tr>
      <w:tr>
        <w:trPr>
          <w:trHeight w:val="149"/>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Market</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Shares,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6"/>
              </w:rPr>
              <w:t>Unearned</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Number</w:t>
            </w: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Value of</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Units 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Shares,</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of Shares</w:t>
            </w: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Other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or Units</w:t>
            </w: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or Units</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Rights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of Stock</w:t>
            </w: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of Stock</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That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Rights</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Unexercised</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Unexercised</w:t>
            </w:r>
          </w:p>
        </w:tc>
        <w:tc>
          <w:tcPr>
            <w:tcW w:w="10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That</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That</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Have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That</w:t>
            </w:r>
          </w:p>
        </w:tc>
      </w:tr>
      <w:tr>
        <w:trPr>
          <w:trHeight w:val="149"/>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c>
          <w:tcPr>
            <w:tcW w:w="10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Exercise</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Have Not</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Have Not</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Not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Price</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Expiration</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Vested</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Vested</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Vested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r>
      <w:tr>
        <w:trPr>
          <w:trHeight w:val="174"/>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Unexercisable</w:t>
            </w:r>
          </w:p>
        </w:tc>
        <w:tc>
          <w:tcPr>
            <w:tcW w:w="82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w:t>
            </w:r>
          </w:p>
        </w:tc>
        <w:tc>
          <w:tcPr>
            <w:tcW w:w="56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5"/>
                <w:szCs w:val="15"/>
                <w:color w:val="auto"/>
              </w:rPr>
            </w:pPr>
          </w:p>
        </w:tc>
        <w:tc>
          <w:tcPr>
            <w:tcW w:w="580" w:type="dxa"/>
            <w:vAlign w:val="bottom"/>
          </w:tcPr>
          <w:p>
            <w:pPr>
              <w:jc w:val="right"/>
              <w:ind w:right="150"/>
              <w:spacing w:after="0"/>
              <w:rPr>
                <w:sz w:val="20"/>
                <w:szCs w:val="20"/>
                <w:color w:val="auto"/>
              </w:rPr>
            </w:pPr>
            <w:r>
              <w:rPr>
                <w:rFonts w:ascii="Arial" w:cs="Arial" w:eastAsia="Arial" w:hAnsi="Arial"/>
                <w:sz w:val="13"/>
                <w:szCs w:val="13"/>
                <w:b w:val="1"/>
                <w:bCs w:val="1"/>
                <w:color w:val="auto"/>
              </w:rPr>
              <w:t>($)</w:t>
            </w:r>
          </w:p>
        </w:tc>
      </w:tr>
      <w:tr>
        <w:trPr>
          <w:trHeight w:val="55"/>
        </w:trPr>
        <w:tc>
          <w:tcPr>
            <w:tcW w:w="1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8"/>
        </w:trPr>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Joel Lewis</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7" w:lineRule="exact"/>
              <w:rPr>
                <w:sz w:val="20"/>
                <w:szCs w:val="20"/>
                <w:color w:val="auto"/>
              </w:rPr>
            </w:pPr>
            <w:r>
              <w:rPr>
                <w:rFonts w:ascii="Arial" w:cs="Arial" w:eastAsia="Arial" w:hAnsi="Arial"/>
                <w:sz w:val="17"/>
                <w:szCs w:val="17"/>
                <w:color w:val="auto"/>
              </w:rPr>
              <w:t>54,250</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12/14/2027</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7"/>
                <w:szCs w:val="17"/>
                <w:color w:val="auto"/>
              </w:rPr>
              <w:t>—</w:t>
            </w: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0" w:lineRule="exact"/>
              <w:rPr>
                <w:sz w:val="20"/>
                <w:szCs w:val="20"/>
                <w:color w:val="auto"/>
              </w:rPr>
            </w:pPr>
            <w:r>
              <w:rPr>
                <w:rFonts w:ascii="Arial" w:cs="Arial" w:eastAsia="Arial" w:hAnsi="Arial"/>
                <w:sz w:val="17"/>
                <w:szCs w:val="17"/>
                <w:color w:val="auto"/>
              </w:rPr>
              <w:t>35,000</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01/16/2029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1"/>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0" w:lineRule="exact"/>
              <w:rPr>
                <w:sz w:val="20"/>
                <w:szCs w:val="20"/>
                <w:color w:val="auto"/>
              </w:rPr>
            </w:pPr>
            <w:r>
              <w:rPr>
                <w:rFonts w:ascii="Arial" w:cs="Arial" w:eastAsia="Arial" w:hAnsi="Arial"/>
                <w:sz w:val="17"/>
                <w:szCs w:val="17"/>
                <w:color w:val="auto"/>
              </w:rPr>
              <w:t>40,000</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01/09/2030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2"/>
              </w:rPr>
              <w:t>187,500</w:t>
            </w:r>
            <w:r>
              <w:rPr>
                <w:rFonts w:ascii="Arial" w:cs="Arial" w:eastAsia="Arial" w:hAnsi="Arial"/>
                <w:sz w:val="28"/>
                <w:szCs w:val="28"/>
                <w:color w:val="auto"/>
                <w:w w:val="92"/>
                <w:vertAlign w:val="superscript"/>
              </w:rPr>
              <w:t>(4)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62,500</w:t>
            </w:r>
            <w:r>
              <w:rPr>
                <w:rFonts w:ascii="Arial" w:cs="Arial" w:eastAsia="Arial" w:hAnsi="Arial"/>
                <w:sz w:val="28"/>
                <w:szCs w:val="28"/>
                <w:color w:val="auto"/>
                <w:vertAlign w:val="superscript"/>
              </w:rPr>
              <w:t>(4)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08/31/2030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1"/>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0" w:lineRule="exact"/>
              <w:rPr>
                <w:sz w:val="20"/>
                <w:szCs w:val="20"/>
                <w:color w:val="auto"/>
              </w:rPr>
            </w:pPr>
            <w:r>
              <w:rPr>
                <w:rFonts w:ascii="Arial" w:cs="Arial" w:eastAsia="Arial" w:hAnsi="Arial"/>
                <w:sz w:val="17"/>
                <w:szCs w:val="17"/>
                <w:color w:val="auto"/>
              </w:rPr>
              <w:t>52,500</w:t>
            </w:r>
            <w:r>
              <w:rPr>
                <w:rFonts w:ascii="Arial" w:cs="Arial" w:eastAsia="Arial" w:hAnsi="Arial"/>
                <w:sz w:val="28"/>
                <w:szCs w:val="28"/>
                <w:color w:val="auto"/>
                <w:vertAlign w:val="superscript"/>
              </w:rPr>
              <w:t>(5)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17,500</w:t>
            </w:r>
            <w:r>
              <w:rPr>
                <w:rFonts w:ascii="Arial" w:cs="Arial" w:eastAsia="Arial" w:hAnsi="Arial"/>
                <w:sz w:val="28"/>
                <w:szCs w:val="28"/>
                <w:color w:val="auto"/>
                <w:vertAlign w:val="superscript"/>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03/25/2031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1"/>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9"/>
              </w:rPr>
              <w:t>140,000</w:t>
            </w:r>
            <w:r>
              <w:rPr>
                <w:rFonts w:ascii="Arial" w:cs="Arial" w:eastAsia="Arial" w:hAnsi="Arial"/>
                <w:sz w:val="28"/>
                <w:szCs w:val="28"/>
                <w:color w:val="auto"/>
                <w:w w:val="99"/>
                <w:vertAlign w:val="superscript"/>
              </w:rPr>
              <w:t>(6)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03/25/2031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0" w:lineRule="exact"/>
              <w:rPr>
                <w:sz w:val="20"/>
                <w:szCs w:val="20"/>
                <w:color w:val="auto"/>
              </w:rPr>
            </w:pPr>
            <w:r>
              <w:rPr>
                <w:rFonts w:ascii="Arial" w:cs="Arial" w:eastAsia="Arial" w:hAnsi="Arial"/>
                <w:sz w:val="17"/>
                <w:szCs w:val="17"/>
                <w:color w:val="auto"/>
              </w:rPr>
              <w:t>35,000</w:t>
            </w:r>
            <w:r>
              <w:rPr>
                <w:rFonts w:ascii="Arial" w:cs="Arial" w:eastAsia="Arial" w:hAnsi="Arial"/>
                <w:sz w:val="28"/>
                <w:szCs w:val="28"/>
                <w:color w:val="auto"/>
                <w:vertAlign w:val="superscript"/>
              </w:rPr>
              <w:t>(7)</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35,000</w:t>
            </w:r>
            <w:r>
              <w:rPr>
                <w:rFonts w:ascii="Arial" w:cs="Arial" w:eastAsia="Arial" w:hAnsi="Arial"/>
                <w:sz w:val="28"/>
                <w:szCs w:val="28"/>
                <w:color w:val="auto"/>
                <w:vertAlign w:val="superscript"/>
              </w:rPr>
              <w:t>(7)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01/24/2032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34"/>
        </w:trPr>
        <w:tc>
          <w:tcPr>
            <w:tcW w:w="1460" w:type="dxa"/>
            <w:vAlign w:val="bottom"/>
            <w:gridSpan w:val="2"/>
          </w:tcPr>
          <w:p>
            <w:pPr>
              <w:spacing w:after="0"/>
              <w:rPr>
                <w:sz w:val="20"/>
                <w:szCs w:val="20"/>
                <w:color w:val="auto"/>
              </w:rPr>
            </w:pPr>
            <w:r>
              <w:rPr>
                <w:rFonts w:ascii="Arial" w:cs="Arial" w:eastAsia="Arial" w:hAnsi="Arial"/>
                <w:sz w:val="17"/>
                <w:szCs w:val="17"/>
                <w:color w:val="auto"/>
                <w:w w:val="94"/>
              </w:rPr>
              <w:t>Pol F. Boudes, M.D.</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9"/>
              </w:rPr>
              <w:t>120,000</w:t>
            </w:r>
            <w:r>
              <w:rPr>
                <w:rFonts w:ascii="Arial" w:cs="Arial" w:eastAsia="Arial" w:hAnsi="Arial"/>
                <w:sz w:val="28"/>
                <w:szCs w:val="28"/>
                <w:color w:val="auto"/>
                <w:w w:val="99"/>
                <w:vertAlign w:val="superscript"/>
              </w:rPr>
              <w:t>(8)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180,000</w:t>
            </w:r>
            <w:r>
              <w:rPr>
                <w:rFonts w:ascii="Arial" w:cs="Arial" w:eastAsia="Arial" w:hAnsi="Arial"/>
                <w:sz w:val="28"/>
                <w:szCs w:val="28"/>
                <w:color w:val="auto"/>
                <w:vertAlign w:val="superscript"/>
              </w:rPr>
              <w:t>(8)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03/12/2030</w:t>
            </w:r>
          </w:p>
        </w:tc>
        <w:tc>
          <w:tcPr>
            <w:tcW w:w="100" w:type="dxa"/>
            <w:vAlign w:val="bottom"/>
          </w:tcPr>
          <w:p>
            <w:pPr>
              <w:spacing w:after="0"/>
              <w:rPr>
                <w:sz w:val="24"/>
                <w:szCs w:val="24"/>
                <w:color w:val="auto"/>
              </w:rPr>
            </w:pP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0"/>
              <w:spacing w:after="0"/>
              <w:rPr>
                <w:sz w:val="20"/>
                <w:szCs w:val="20"/>
                <w:color w:val="auto"/>
              </w:rPr>
            </w:pPr>
            <w:r>
              <w:rPr>
                <w:rFonts w:ascii="Arial" w:cs="Arial" w:eastAsia="Arial" w:hAnsi="Arial"/>
                <w:sz w:val="17"/>
                <w:szCs w:val="17"/>
                <w:color w:val="auto"/>
              </w:rPr>
              <w:t>—</w:t>
            </w:r>
          </w:p>
        </w:tc>
      </w:tr>
      <w:tr>
        <w:trPr>
          <w:trHeight w:val="310"/>
        </w:trPr>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9"/>
              <w:spacing w:after="0" w:line="310" w:lineRule="exact"/>
              <w:rPr>
                <w:sz w:val="20"/>
                <w:szCs w:val="20"/>
                <w:color w:val="auto"/>
              </w:rPr>
            </w:pPr>
            <w:r>
              <w:rPr>
                <w:rFonts w:ascii="Arial" w:cs="Arial" w:eastAsia="Arial" w:hAnsi="Arial"/>
                <w:sz w:val="17"/>
                <w:szCs w:val="17"/>
                <w:color w:val="auto"/>
              </w:rPr>
              <w:t>37,500</w:t>
            </w:r>
            <w:r>
              <w:rPr>
                <w:rFonts w:ascii="Arial" w:cs="Arial" w:eastAsia="Arial" w:hAnsi="Arial"/>
                <w:sz w:val="28"/>
                <w:szCs w:val="28"/>
                <w:color w:val="auto"/>
                <w:vertAlign w:val="superscript"/>
              </w:rPr>
              <w:t>(5)</w:t>
            </w:r>
          </w:p>
        </w:tc>
        <w:tc>
          <w:tcPr>
            <w:tcW w:w="960" w:type="dxa"/>
            <w:vAlign w:val="bottom"/>
            <w:gridSpan w:val="2"/>
          </w:tcPr>
          <w:p>
            <w:pPr>
              <w:jc w:val="right"/>
              <w:spacing w:after="0" w:line="310" w:lineRule="exact"/>
              <w:rPr>
                <w:sz w:val="20"/>
                <w:szCs w:val="20"/>
                <w:color w:val="auto"/>
              </w:rPr>
            </w:pPr>
            <w:r>
              <w:rPr>
                <w:rFonts w:ascii="Arial" w:cs="Arial" w:eastAsia="Arial" w:hAnsi="Arial"/>
                <w:sz w:val="17"/>
                <w:szCs w:val="17"/>
                <w:color w:val="auto"/>
              </w:rPr>
              <w:t>12,500</w:t>
            </w:r>
            <w:r>
              <w:rPr>
                <w:rFonts w:ascii="Arial" w:cs="Arial" w:eastAsia="Arial" w:hAnsi="Arial"/>
                <w:sz w:val="28"/>
                <w:szCs w:val="28"/>
                <w:color w:val="auto"/>
                <w:vertAlign w:val="superscript"/>
              </w:rPr>
              <w:t>(5)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gridSpan w:val="2"/>
          </w:tcPr>
          <w:p>
            <w:pPr>
              <w:jc w:val="right"/>
              <w:ind w:right="13"/>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03/25/2031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0"/>
        </w:trPr>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line="310" w:lineRule="exact"/>
              <w:rPr>
                <w:sz w:val="20"/>
                <w:szCs w:val="20"/>
                <w:color w:val="auto"/>
              </w:rPr>
            </w:pPr>
            <w:r>
              <w:rPr>
                <w:rFonts w:ascii="Arial" w:cs="Arial" w:eastAsia="Arial" w:hAnsi="Arial"/>
                <w:sz w:val="17"/>
                <w:szCs w:val="17"/>
                <w:color w:val="auto"/>
              </w:rPr>
              <w:t>100,000</w:t>
            </w:r>
            <w:r>
              <w:rPr>
                <w:rFonts w:ascii="Arial" w:cs="Arial" w:eastAsia="Arial" w:hAnsi="Arial"/>
                <w:sz w:val="28"/>
                <w:szCs w:val="28"/>
                <w:color w:val="auto"/>
                <w:vertAlign w:val="superscript"/>
              </w:rPr>
              <w:t>(6)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gridSpan w:val="2"/>
          </w:tcPr>
          <w:p>
            <w:pPr>
              <w:jc w:val="right"/>
              <w:ind w:right="13"/>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03/25/2031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7"/>
        </w:trPr>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9"/>
              <w:spacing w:after="0" w:line="288" w:lineRule="exact"/>
              <w:rPr>
                <w:sz w:val="20"/>
                <w:szCs w:val="20"/>
                <w:color w:val="auto"/>
              </w:rPr>
            </w:pPr>
            <w:r>
              <w:rPr>
                <w:rFonts w:ascii="Arial" w:cs="Arial" w:eastAsia="Arial" w:hAnsi="Arial"/>
                <w:sz w:val="17"/>
                <w:szCs w:val="17"/>
                <w:color w:val="auto"/>
              </w:rPr>
              <w:t>25,000</w:t>
            </w:r>
            <w:r>
              <w:rPr>
                <w:rFonts w:ascii="Arial" w:cs="Arial" w:eastAsia="Arial" w:hAnsi="Arial"/>
                <w:sz w:val="28"/>
                <w:szCs w:val="28"/>
                <w:color w:val="auto"/>
                <w:vertAlign w:val="superscript"/>
              </w:rPr>
              <w:t>(7)</w:t>
            </w:r>
          </w:p>
        </w:tc>
        <w:tc>
          <w:tcPr>
            <w:tcW w:w="960" w:type="dxa"/>
            <w:vAlign w:val="bottom"/>
            <w:gridSpan w:val="2"/>
          </w:tcPr>
          <w:p>
            <w:pPr>
              <w:jc w:val="right"/>
              <w:spacing w:after="0" w:line="288" w:lineRule="exact"/>
              <w:rPr>
                <w:sz w:val="20"/>
                <w:szCs w:val="20"/>
                <w:color w:val="auto"/>
              </w:rPr>
            </w:pPr>
            <w:r>
              <w:rPr>
                <w:rFonts w:ascii="Arial" w:cs="Arial" w:eastAsia="Arial" w:hAnsi="Arial"/>
                <w:sz w:val="17"/>
                <w:szCs w:val="17"/>
                <w:color w:val="auto"/>
              </w:rPr>
              <w:t>25,000</w:t>
            </w:r>
            <w:r>
              <w:rPr>
                <w:rFonts w:ascii="Arial" w:cs="Arial" w:eastAsia="Arial" w:hAnsi="Arial"/>
                <w:sz w:val="28"/>
                <w:szCs w:val="28"/>
                <w:color w:val="auto"/>
                <w:vertAlign w:val="superscript"/>
              </w:rPr>
              <w:t>(7)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01/24/2032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0"/>
        </w:trPr>
        <w:tc>
          <w:tcPr>
            <w:tcW w:w="1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Jack W.Callicutt</w:t>
            </w: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0" w:lineRule="exact"/>
              <w:rPr>
                <w:sz w:val="20"/>
                <w:szCs w:val="20"/>
                <w:color w:val="auto"/>
              </w:rPr>
            </w:pPr>
            <w:r>
              <w:rPr>
                <w:rFonts w:ascii="Arial" w:cs="Arial" w:eastAsia="Arial" w:hAnsi="Arial"/>
                <w:sz w:val="17"/>
                <w:szCs w:val="17"/>
                <w:color w:val="auto"/>
              </w:rPr>
              <w:t>26,000</w:t>
            </w:r>
            <w:r>
              <w:rPr>
                <w:rFonts w:ascii="Arial" w:cs="Arial" w:eastAsia="Arial" w:hAnsi="Arial"/>
                <w:sz w:val="28"/>
                <w:szCs w:val="28"/>
                <w:color w:val="auto"/>
                <w:vertAlign w:val="superscript"/>
              </w:rPr>
              <w:t>(9)</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01/21/2024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7"/>
                <w:szCs w:val="17"/>
                <w:color w:val="auto"/>
              </w:rPr>
              <w:t>—</w:t>
            </w: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8,706</w:t>
            </w:r>
            <w:r>
              <w:rPr>
                <w:rFonts w:ascii="Arial" w:cs="Arial" w:eastAsia="Arial" w:hAnsi="Arial"/>
                <w:sz w:val="28"/>
                <w:szCs w:val="28"/>
                <w:color w:val="auto"/>
                <w:vertAlign w:val="superscript"/>
              </w:rPr>
              <w:t>(10)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01/20/2026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90,000</w:t>
            </w:r>
            <w:r>
              <w:rPr>
                <w:rFonts w:ascii="Arial" w:cs="Arial" w:eastAsia="Arial" w:hAnsi="Arial"/>
                <w:sz w:val="28"/>
                <w:szCs w:val="28"/>
                <w:color w:val="auto"/>
                <w:w w:val="98"/>
                <w:vertAlign w:val="superscript"/>
              </w:rPr>
              <w:t>(11)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01/15/2028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90,000</w:t>
            </w:r>
            <w:r>
              <w:rPr>
                <w:rFonts w:ascii="Arial" w:cs="Arial" w:eastAsia="Arial" w:hAnsi="Arial"/>
                <w:sz w:val="28"/>
                <w:szCs w:val="28"/>
                <w:color w:val="auto"/>
                <w:w w:val="98"/>
                <w:vertAlign w:val="superscript"/>
              </w:rPr>
              <w:t>(12)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05/22/2028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1"/>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50,000</w:t>
            </w:r>
            <w:r>
              <w:rPr>
                <w:rFonts w:ascii="Arial" w:cs="Arial" w:eastAsia="Arial" w:hAnsi="Arial"/>
                <w:sz w:val="28"/>
                <w:szCs w:val="28"/>
                <w:color w:val="auto"/>
                <w:w w:val="98"/>
                <w:vertAlign w:val="superscript"/>
              </w:rPr>
              <w:t>(13)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01/16/2029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8"/>
              </w:rPr>
              <w:t>50,000</w:t>
            </w:r>
            <w:r>
              <w:rPr>
                <w:rFonts w:ascii="Arial" w:cs="Arial" w:eastAsia="Arial" w:hAnsi="Arial"/>
                <w:sz w:val="28"/>
                <w:szCs w:val="28"/>
                <w:color w:val="auto"/>
                <w:w w:val="98"/>
                <w:vertAlign w:val="superscript"/>
              </w:rPr>
              <w:t>(14)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01/09/2030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0" w:lineRule="exact"/>
              <w:rPr>
                <w:sz w:val="20"/>
                <w:szCs w:val="20"/>
                <w:color w:val="auto"/>
              </w:rPr>
            </w:pPr>
            <w:r>
              <w:rPr>
                <w:rFonts w:ascii="Arial" w:cs="Arial" w:eastAsia="Arial" w:hAnsi="Arial"/>
                <w:sz w:val="17"/>
                <w:szCs w:val="17"/>
                <w:color w:val="auto"/>
              </w:rPr>
              <w:t>37,500</w:t>
            </w:r>
            <w:r>
              <w:rPr>
                <w:rFonts w:ascii="Arial" w:cs="Arial" w:eastAsia="Arial" w:hAnsi="Arial"/>
                <w:sz w:val="28"/>
                <w:szCs w:val="28"/>
                <w:color w:val="auto"/>
                <w:vertAlign w:val="superscript"/>
              </w:rPr>
              <w:t>(5)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12,500</w:t>
            </w:r>
            <w:r>
              <w:rPr>
                <w:rFonts w:ascii="Arial" w:cs="Arial" w:eastAsia="Arial" w:hAnsi="Arial"/>
                <w:sz w:val="28"/>
                <w:szCs w:val="28"/>
                <w:color w:val="auto"/>
                <w:vertAlign w:val="superscript"/>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03/25/2031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w w:val="99"/>
              </w:rPr>
              <w:t>100,000</w:t>
            </w:r>
            <w:r>
              <w:rPr>
                <w:rFonts w:ascii="Arial" w:cs="Arial" w:eastAsia="Arial" w:hAnsi="Arial"/>
                <w:sz w:val="28"/>
                <w:szCs w:val="28"/>
                <w:color w:val="auto"/>
                <w:w w:val="99"/>
                <w:vertAlign w:val="superscript"/>
              </w:rPr>
              <w:t>(6)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03/25/2031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310"/>
        </w:trPr>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line="310" w:lineRule="exact"/>
              <w:rPr>
                <w:sz w:val="20"/>
                <w:szCs w:val="20"/>
                <w:color w:val="auto"/>
              </w:rPr>
            </w:pPr>
            <w:r>
              <w:rPr>
                <w:rFonts w:ascii="Arial" w:cs="Arial" w:eastAsia="Arial" w:hAnsi="Arial"/>
                <w:sz w:val="17"/>
                <w:szCs w:val="17"/>
                <w:color w:val="auto"/>
              </w:rPr>
              <w:t>25,000</w:t>
            </w:r>
            <w:r>
              <w:rPr>
                <w:rFonts w:ascii="Arial" w:cs="Arial" w:eastAsia="Arial" w:hAnsi="Arial"/>
                <w:sz w:val="28"/>
                <w:szCs w:val="28"/>
                <w:color w:val="auto"/>
                <w:vertAlign w:val="superscript"/>
              </w:rPr>
              <w:t>(7)</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25,000</w:t>
            </w:r>
            <w:r>
              <w:rPr>
                <w:rFonts w:ascii="Arial" w:cs="Arial" w:eastAsia="Arial" w:hAnsi="Arial"/>
                <w:sz w:val="28"/>
                <w:szCs w:val="28"/>
                <w:color w:val="auto"/>
                <w:vertAlign w:val="superscript"/>
              </w:rPr>
              <w:t>(7)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01/24/2032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-3959860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-3959860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-3959860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-3959860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-3959860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-3959860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-3959860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-3959860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-3959860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options vested in full on December 14, 2018.</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options vested in full on January 16,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options vested in full on December 31,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One-twelfth of the total options vest quarterly from August 31, 2020, which was the grant date.</w:t>
      </w:r>
    </w:p>
    <w:p>
      <w:pPr>
        <w:spacing w:after="0" w:line="41"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September 30, 2021, 25% vested on March 31, 2022, 25% vested on September 30, 2022, 25% vest on March 31, 2023.</w:t>
      </w:r>
    </w:p>
    <w:p>
      <w:pPr>
        <w:spacing w:after="0" w:line="11" w:lineRule="exact"/>
        <w:rPr>
          <w:rFonts w:ascii="Arial" w:cs="Arial" w:eastAsia="Arial" w:hAnsi="Arial"/>
          <w:sz w:val="14"/>
          <w:szCs w:val="14"/>
          <w:color w:val="auto"/>
        </w:rPr>
      </w:pPr>
    </w:p>
    <w:p>
      <w:pPr>
        <w:ind w:left="640" w:right="97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options vest when the Company has received the interim results of the NAVIGATE clinical trial and makes a public announcement that it has received the interim results.</w:t>
      </w:r>
    </w:p>
    <w:p>
      <w:pPr>
        <w:spacing w:after="0" w:line="11" w:lineRule="exact"/>
        <w:rPr>
          <w:rFonts w:ascii="Arial" w:cs="Arial" w:eastAsia="Arial" w:hAnsi="Arial"/>
          <w:sz w:val="14"/>
          <w:szCs w:val="14"/>
          <w:color w:val="auto"/>
        </w:rPr>
      </w:pPr>
    </w:p>
    <w:p>
      <w:pPr>
        <w:ind w:left="640" w:right="5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June 30, 2022, 25% vested on December 31, 2022, 25% vest on June 30, 2023, 25% vest on December 31, 2023.</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20% of the options vest on each of March 2, 2021, March 2, 2022, and March 2023 and 40% of the options vest on March 2, 2024.</w:t>
      </w:r>
    </w:p>
    <w:p>
      <w:pPr>
        <w:spacing w:after="0" w:line="41"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January 21, 2014, the grant date with the remainder vested ratably on a monthly basis over a three-year period.</w:t>
      </w:r>
    </w:p>
    <w:p>
      <w:pPr>
        <w:spacing w:after="0" w:line="11"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January 29, 2015, the grant date with the remainder vested ratably on a monthly basis over a three-year period.</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25% of the options vested on January 15, 2018 (grant date), 25% vested on June 30, 2018, and 50% vested on December 31, 2018.</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options vested on June 30, 2018, 25% vested on September 30, 2018, and 50% vested on December 31,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right="859" w:hanging="348"/>
        <w:spacing w:after="0" w:line="253"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25% of the options vested on June 30, 2019, 25% vested on December 31, 2019, 25% vested on June 30, 2020, and 25% vested on December 31, 2020.</w:t>
      </w:r>
    </w:p>
    <w:p>
      <w:pPr>
        <w:spacing w:after="0" w:line="11" w:lineRule="exact"/>
        <w:rPr>
          <w:rFonts w:ascii="Arial" w:cs="Arial" w:eastAsia="Arial" w:hAnsi="Arial"/>
          <w:sz w:val="14"/>
          <w:szCs w:val="14"/>
          <w:color w:val="auto"/>
        </w:rPr>
      </w:pPr>
    </w:p>
    <w:p>
      <w:pPr>
        <w:ind w:left="640" w:right="859" w:hanging="348"/>
        <w:spacing w:after="0" w:line="253"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25% of the options vested on June 30, 2020, 25% vested on December 31, 2020, 25% vested on June 30, 2021, and 25% vested on December 31, 2021.</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The options granted under our 2009 Incentive Compensation Plan, the options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17" w:lineRule="exact"/>
        <w:rPr>
          <w:sz w:val="20"/>
          <w:szCs w:val="20"/>
          <w:color w:val="auto"/>
        </w:rPr>
      </w:pPr>
    </w:p>
    <w:p>
      <w:pPr>
        <w:ind w:left="1000" w:right="539" w:hanging="348"/>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8" w:lineRule="exact"/>
        <w:rPr>
          <w:rFonts w:ascii="Arial" w:cs="Arial" w:eastAsia="Arial" w:hAnsi="Arial"/>
          <w:sz w:val="18"/>
          <w:szCs w:val="18"/>
          <w:color w:val="auto"/>
        </w:rPr>
      </w:pPr>
    </w:p>
    <w:p>
      <w:pPr>
        <w:ind w:left="1000" w:right="919" w:hanging="348"/>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1000" w:right="419" w:hanging="348"/>
        <w:spacing w:after="0" w:line="287"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63" w:lineRule="exact"/>
        <w:rPr>
          <w:rFonts w:ascii="Arial" w:cs="Arial" w:eastAsia="Arial" w:hAnsi="Arial"/>
          <w:sz w:val="16"/>
          <w:szCs w:val="16"/>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117"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62"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2019 Omnibus Equity Incentive Plan</w:t>
      </w:r>
    </w:p>
    <w:p>
      <w:pPr>
        <w:spacing w:after="0" w:line="117"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39"/>
        <w:spacing w:after="0" w:line="254" w:lineRule="auto"/>
        <w:rPr>
          <w:sz w:val="20"/>
          <w:szCs w:val="20"/>
          <w:color w:val="auto"/>
        </w:rPr>
      </w:pPr>
      <w:r>
        <w:rPr>
          <w:rFonts w:ascii="Arial" w:cs="Arial" w:eastAsia="Arial" w:hAnsi="Arial"/>
          <w:sz w:val="18"/>
          <w:szCs w:val="18"/>
          <w:color w:val="auto"/>
        </w:rPr>
        <w:t>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Potential Payments Upon Termination or Change-in-Control</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Joel Lewis:</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79"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Pol Boudes: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Under the Employment Agreement with Dr. Boudes, if (i) Dr. Boudes terminates the Agreement for Good Reason (as defined in the Agreement) or the Company terminates the Agreement without Cause (as defined in the Agreement), then the Company shall pay to Dr. Boudes: (1) the Base Salary accrued through the date of termination,</w:t>
      </w:r>
    </w:p>
    <w:p>
      <w:pPr>
        <w:spacing w:after="0" w:line="2" w:lineRule="exact"/>
        <w:rPr>
          <w:sz w:val="20"/>
          <w:szCs w:val="20"/>
          <w:color w:val="auto"/>
        </w:rPr>
      </w:pPr>
    </w:p>
    <w:p>
      <w:pPr>
        <w:ind w:left="300" w:right="379"/>
        <w:spacing w:after="0" w:line="268" w:lineRule="auto"/>
        <w:rPr>
          <w:sz w:val="20"/>
          <w:szCs w:val="20"/>
          <w:color w:val="auto"/>
        </w:rPr>
      </w:pPr>
      <w:r>
        <w:rPr>
          <w:rFonts w:ascii="Arial" w:cs="Arial" w:eastAsia="Arial" w:hAnsi="Arial"/>
          <w:sz w:val="17"/>
          <w:szCs w:val="17"/>
          <w:color w:val="auto"/>
        </w:rPr>
        <w:t>(2)(A)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75"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Jack Callicutt:</w:t>
      </w:r>
    </w:p>
    <w:p>
      <w:pPr>
        <w:spacing w:after="0" w:line="117"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In accordance with rules adopted by the Securities and Exchange Commission (“SEC”) pursuant to the Dodd-Frank Wall Street Reform and Consumer Protection Act of 2010, we provide the following disclosure regarding executive “Compensation Actually Paid” (“CAP”) and certain performance measures required for Smaller Reporting Companies. The following table provides the information required for our NEOs for each of the fiscal years ended December 31, 2022 and December 31, 2021, along with the financial information required for each fiscal year:</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summary</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 of Initial</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Summary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Fixed $100</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Compensation</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table total for</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actually paid to</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based on Total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5"/>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table total CEO</w:t>
            </w:r>
          </w:p>
        </w:tc>
        <w:tc>
          <w:tcPr>
            <w:tcW w:w="11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actually paid to</w:t>
            </w:r>
          </w:p>
        </w:tc>
        <w:tc>
          <w:tcPr>
            <w:tcW w:w="12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non-CEO NEOs</w:t>
            </w:r>
          </w:p>
        </w:tc>
        <w:tc>
          <w:tcPr>
            <w:tcW w:w="10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8"/>
              </w:rPr>
              <w:t>non-CEO</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shareholder</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42"/>
        </w:trPr>
        <w:tc>
          <w:tcPr>
            <w:tcW w:w="2080" w:type="dxa"/>
            <w:vAlign w:val="bottom"/>
            <w:gridSpan w:val="2"/>
            <w:vMerge w:val="continue"/>
          </w:tcPr>
          <w:p>
            <w:pPr>
              <w:spacing w:after="0"/>
              <w:rPr>
                <w:sz w:val="21"/>
                <w:szCs w:val="21"/>
                <w:color w:val="auto"/>
              </w:rPr>
            </w:pPr>
          </w:p>
        </w:tc>
        <w:tc>
          <w:tcPr>
            <w:tcW w:w="1000" w:type="dxa"/>
            <w:vAlign w:val="bottom"/>
          </w:tcPr>
          <w:p>
            <w:pPr>
              <w:jc w:val="center"/>
              <w:spacing w:after="0" w:line="242" w:lineRule="exact"/>
              <w:rPr>
                <w:sz w:val="20"/>
                <w:szCs w:val="20"/>
                <w:color w:val="auto"/>
              </w:rPr>
            </w:pPr>
            <w:r>
              <w:rPr>
                <w:rFonts w:ascii="Arial" w:cs="Arial" w:eastAsia="Arial" w:hAnsi="Arial"/>
                <w:sz w:val="28"/>
                <w:szCs w:val="28"/>
                <w:b w:val="1"/>
                <w:bCs w:val="1"/>
                <w:color w:val="auto"/>
                <w:w w:val="84"/>
                <w:vertAlign w:val="subscript"/>
              </w:rPr>
              <w:t>($)</w:t>
            </w:r>
            <w:r>
              <w:rPr>
                <w:rFonts w:ascii="Arial" w:cs="Arial" w:eastAsia="Arial" w:hAnsi="Arial"/>
                <w:sz w:val="12"/>
                <w:szCs w:val="12"/>
                <w:b w:val="1"/>
                <w:bCs w:val="1"/>
                <w:color w:val="auto"/>
                <w:w w:val="84"/>
              </w:rPr>
              <w:t>(1)(2)</w:t>
            </w:r>
          </w:p>
        </w:tc>
        <w:tc>
          <w:tcPr>
            <w:tcW w:w="140" w:type="dxa"/>
            <w:vAlign w:val="bottom"/>
          </w:tcPr>
          <w:p>
            <w:pPr>
              <w:spacing w:after="0"/>
              <w:rPr>
                <w:sz w:val="21"/>
                <w:szCs w:val="21"/>
                <w:color w:val="auto"/>
              </w:rPr>
            </w:pPr>
          </w:p>
        </w:tc>
        <w:tc>
          <w:tcPr>
            <w:tcW w:w="1100" w:type="dxa"/>
            <w:vAlign w:val="bottom"/>
            <w:gridSpan w:val="2"/>
          </w:tcPr>
          <w:p>
            <w:pPr>
              <w:jc w:val="center"/>
              <w:ind w:right="120"/>
              <w:spacing w:after="0" w:line="242" w:lineRule="exact"/>
              <w:rPr>
                <w:sz w:val="20"/>
                <w:szCs w:val="20"/>
                <w:color w:val="auto"/>
              </w:rPr>
            </w:pPr>
            <w:r>
              <w:rPr>
                <w:rFonts w:ascii="Arial" w:cs="Arial" w:eastAsia="Arial" w:hAnsi="Arial"/>
                <w:sz w:val="14"/>
                <w:szCs w:val="14"/>
                <w:b w:val="1"/>
                <w:bCs w:val="1"/>
                <w:color w:val="auto"/>
                <w:w w:val="87"/>
              </w:rPr>
              <w:t>CEO ($)</w:t>
            </w:r>
            <w:r>
              <w:rPr>
                <w:rFonts w:ascii="Arial" w:cs="Arial" w:eastAsia="Arial" w:hAnsi="Arial"/>
                <w:sz w:val="23"/>
                <w:szCs w:val="23"/>
                <w:b w:val="1"/>
                <w:bCs w:val="1"/>
                <w:color w:val="auto"/>
                <w:w w:val="87"/>
                <w:vertAlign w:val="superscript"/>
              </w:rPr>
              <w:t>(1)(3)</w:t>
            </w:r>
          </w:p>
        </w:tc>
        <w:tc>
          <w:tcPr>
            <w:tcW w:w="1120" w:type="dxa"/>
            <w:vAlign w:val="bottom"/>
          </w:tcPr>
          <w:p>
            <w:pPr>
              <w:jc w:val="center"/>
              <w:spacing w:after="0" w:line="242" w:lineRule="exact"/>
              <w:rPr>
                <w:sz w:val="20"/>
                <w:szCs w:val="20"/>
                <w:color w:val="auto"/>
              </w:rPr>
            </w:pPr>
            <w:r>
              <w:rPr>
                <w:rFonts w:ascii="Arial" w:cs="Arial" w:eastAsia="Arial" w:hAnsi="Arial"/>
                <w:sz w:val="28"/>
                <w:szCs w:val="28"/>
                <w:b w:val="1"/>
                <w:bCs w:val="1"/>
                <w:color w:val="auto"/>
                <w:w w:val="84"/>
                <w:vertAlign w:val="subscript"/>
              </w:rPr>
              <w:t>($)</w:t>
            </w:r>
            <w:r>
              <w:rPr>
                <w:rFonts w:ascii="Arial" w:cs="Arial" w:eastAsia="Arial" w:hAnsi="Arial"/>
                <w:sz w:val="12"/>
                <w:szCs w:val="12"/>
                <w:b w:val="1"/>
                <w:bCs w:val="1"/>
                <w:color w:val="auto"/>
                <w:w w:val="84"/>
              </w:rPr>
              <w:t>(2)(4)</w:t>
            </w:r>
          </w:p>
        </w:tc>
        <w:tc>
          <w:tcPr>
            <w:tcW w:w="120" w:type="dxa"/>
            <w:vAlign w:val="bottom"/>
          </w:tcPr>
          <w:p>
            <w:pPr>
              <w:spacing w:after="0"/>
              <w:rPr>
                <w:sz w:val="21"/>
                <w:szCs w:val="21"/>
                <w:color w:val="auto"/>
              </w:rPr>
            </w:pPr>
          </w:p>
        </w:tc>
        <w:tc>
          <w:tcPr>
            <w:tcW w:w="1080" w:type="dxa"/>
            <w:vAlign w:val="bottom"/>
            <w:gridSpan w:val="2"/>
          </w:tcPr>
          <w:p>
            <w:pPr>
              <w:jc w:val="center"/>
              <w:ind w:right="120"/>
              <w:spacing w:after="0" w:line="242" w:lineRule="exact"/>
              <w:rPr>
                <w:sz w:val="20"/>
                <w:szCs w:val="20"/>
                <w:color w:val="auto"/>
              </w:rPr>
            </w:pPr>
            <w:r>
              <w:rPr>
                <w:rFonts w:ascii="Arial" w:cs="Arial" w:eastAsia="Arial" w:hAnsi="Arial"/>
                <w:sz w:val="28"/>
                <w:szCs w:val="28"/>
                <w:b w:val="1"/>
                <w:bCs w:val="1"/>
                <w:color w:val="auto"/>
                <w:w w:val="79"/>
                <w:vertAlign w:val="subscript"/>
              </w:rPr>
              <w:t>NEOs</w:t>
            </w:r>
            <w:r>
              <w:rPr>
                <w:rFonts w:ascii="Arial" w:cs="Arial" w:eastAsia="Arial" w:hAnsi="Arial"/>
                <w:sz w:val="12"/>
                <w:szCs w:val="12"/>
                <w:b w:val="1"/>
                <w:bCs w:val="1"/>
                <w:color w:val="auto"/>
                <w:w w:val="79"/>
              </w:rPr>
              <w:t>(3)(4)</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return($)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311"/>
        </w:trPr>
        <w:tc>
          <w:tcPr>
            <w:tcW w:w="1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  974,181</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  665,811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$680,571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$468,319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$54.59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$1,167,621</w:t>
            </w:r>
          </w:p>
        </w:tc>
        <w:tc>
          <w:tcPr>
            <w:tcW w:w="14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$1,118,630</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$814,801</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$742,387</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$92.41</w:t>
            </w:r>
          </w:p>
        </w:tc>
        <w:tc>
          <w:tcPr>
            <w:tcW w:w="120" w:type="dxa"/>
            <w:vAlign w:val="bottom"/>
          </w:tcPr>
          <w:p>
            <w:pPr>
              <w:spacing w:after="0"/>
              <w:rPr>
                <w:sz w:val="23"/>
                <w:szCs w:val="23"/>
                <w:color w:val="auto"/>
              </w:rPr>
            </w:pP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-393700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-393700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-393700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-393700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-393700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-393700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hanging="34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each year shown the CEO was Joel Lewis.</w:t>
      </w:r>
    </w:p>
    <w:p>
      <w:pPr>
        <w:spacing w:after="0" w:line="41" w:lineRule="exact"/>
        <w:rPr>
          <w:rFonts w:ascii="Arial" w:cs="Arial" w:eastAsia="Arial" w:hAnsi="Arial"/>
          <w:sz w:val="14"/>
          <w:szCs w:val="14"/>
          <w:color w:val="auto"/>
        </w:rPr>
      </w:pPr>
    </w:p>
    <w:p>
      <w:pPr>
        <w:ind w:left="640" w:right="359" w:hanging="348"/>
        <w:spacing w:after="0" w:line="25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Amounts in this column represent the “Total” column set forth in the Summary Compensation Table (“SCT”) on page </w:t>
      </w:r>
      <w:r>
        <w:rPr>
          <w:rFonts w:ascii="Arial" w:cs="Arial" w:eastAsia="Arial" w:hAnsi="Arial"/>
          <w:sz w:val="14"/>
          <w:szCs w:val="14"/>
          <w:u w:val="single" w:color="auto"/>
          <w:color w:val="0000EE"/>
        </w:rPr>
        <w:t>28</w:t>
      </w:r>
      <w:r>
        <w:rPr>
          <w:rFonts w:ascii="Arial" w:cs="Arial" w:eastAsia="Arial" w:hAnsi="Arial"/>
          <w:sz w:val="14"/>
          <w:szCs w:val="14"/>
          <w:color w:val="auto"/>
        </w:rPr>
        <w:t>. See the footnotes to the SCT for further detail regarding the amounts in these columns.</w:t>
      </w:r>
    </w:p>
    <w:p>
      <w:pPr>
        <w:spacing w:after="0" w:line="11" w:lineRule="exact"/>
        <w:rPr>
          <w:rFonts w:ascii="Arial" w:cs="Arial" w:eastAsia="Arial" w:hAnsi="Arial"/>
          <w:sz w:val="14"/>
          <w:szCs w:val="14"/>
          <w:color w:val="auto"/>
        </w:rPr>
      </w:pPr>
    </w:p>
    <w:p>
      <w:pPr>
        <w:ind w:left="640" w:right="539" w:hanging="348"/>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p>
      <w:pPr>
        <w:spacing w:after="0" w:line="22"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Non-CEO NEOs reflect the compensation of Pol Boudes, CMO, and Jack Callicutt, CFO, who were the only Non-CEO NEO for the periods indicated.</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right="860"/>
        <w:spacing w:after="0" w:line="405" w:lineRule="auto"/>
        <w:rPr>
          <w:sz w:val="20"/>
          <w:szCs w:val="20"/>
          <w:color w:val="auto"/>
        </w:rPr>
      </w:pPr>
      <w:r>
        <w:rPr>
          <w:rFonts w:ascii="Arial" w:cs="Arial" w:eastAsia="Arial" w:hAnsi="Arial"/>
          <w:sz w:val="14"/>
          <w:szCs w:val="14"/>
          <w:b w:val="1"/>
          <w:bCs w:val="1"/>
          <w:color w:val="auto"/>
        </w:rPr>
        <w:t>Total Compensation from Summary Compensation Table Adjustments for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-29845</wp:posOffset>
            </wp:positionV>
            <wp:extent cx="511746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17465" cy="1714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-381635</wp:posOffset>
            </wp:positionV>
            <wp:extent cx="5117465"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17465" cy="179705"/>
                    </a:xfrm>
                    <a:prstGeom prst="rect">
                      <a:avLst/>
                    </a:prstGeom>
                    <a:noFill/>
                  </pic:spPr>
                </pic:pic>
              </a:graphicData>
            </a:graphic>
          </wp:anchor>
        </w:drawing>
      </w:r>
    </w:p>
    <w:p>
      <w:pPr>
        <w:ind w:left="840" w:right="120"/>
        <w:spacing w:after="0" w:line="411" w:lineRule="auto"/>
        <w:rPr>
          <w:sz w:val="20"/>
          <w:szCs w:val="20"/>
          <w:color w:val="auto"/>
        </w:rPr>
      </w:pPr>
      <w:r>
        <w:rPr>
          <w:rFonts w:ascii="Arial" w:cs="Arial" w:eastAsia="Arial" w:hAnsi="Arial"/>
          <w:sz w:val="13"/>
          <w:szCs w:val="13"/>
          <w:color w:val="auto"/>
        </w:rPr>
        <w:t>Adjustment for grant date values in the Summary Compensation Table Year-end fair value of unvested awards granted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wp:posOffset>
            </wp:positionV>
            <wp:extent cx="5117465"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17465" cy="257175"/>
                    </a:xfrm>
                    <a:prstGeom prst="rect">
                      <a:avLst/>
                    </a:prstGeom>
                    <a:noFill/>
                  </pic:spPr>
                </pic:pic>
              </a:graphicData>
            </a:graphic>
          </wp:anchor>
        </w:drawing>
      </w:r>
    </w:p>
    <w:p>
      <w:pPr>
        <w:ind w:left="1020" w:right="180" w:hanging="179"/>
        <w:spacing w:after="0" w:line="253" w:lineRule="auto"/>
        <w:rPr>
          <w:sz w:val="20"/>
          <w:szCs w:val="20"/>
          <w:color w:val="auto"/>
        </w:rPr>
      </w:pPr>
      <w:r>
        <w:rPr>
          <w:rFonts w:ascii="Arial" w:cs="Arial" w:eastAsia="Arial" w:hAnsi="Arial"/>
          <w:sz w:val="14"/>
          <w:szCs w:val="14"/>
          <w:color w:val="auto"/>
        </w:rPr>
        <w:t>Year-over-year difference of year-end fair values for unvested awards granted in prior years</w:t>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3"/>
          <w:szCs w:val="13"/>
          <w:color w:val="auto"/>
        </w:rPr>
        <w:t>Fair values at vest date for awards granted and vested in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45720</wp:posOffset>
            </wp:positionV>
            <wp:extent cx="5117465"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17465" cy="257175"/>
                    </a:xfrm>
                    <a:prstGeom prst="rect">
                      <a:avLst/>
                    </a:prstGeom>
                    <a:noFill/>
                  </pic:spPr>
                </pic:pic>
              </a:graphicData>
            </a:graphic>
          </wp:anchor>
        </w:drawing>
      </w:r>
    </w:p>
    <w:p>
      <w:pPr>
        <w:spacing w:after="0" w:line="87" w:lineRule="exact"/>
        <w:rPr>
          <w:sz w:val="20"/>
          <w:szCs w:val="20"/>
          <w:color w:val="auto"/>
        </w:rPr>
      </w:pPr>
    </w:p>
    <w:p>
      <w:pPr>
        <w:ind w:left="1020" w:hanging="179"/>
        <w:spacing w:after="0" w:line="253" w:lineRule="auto"/>
        <w:rPr>
          <w:sz w:val="20"/>
          <w:szCs w:val="20"/>
          <w:color w:val="auto"/>
        </w:rPr>
      </w:pPr>
      <w:r>
        <w:rPr>
          <w:rFonts w:ascii="Arial" w:cs="Arial" w:eastAsia="Arial" w:hAnsi="Arial"/>
          <w:sz w:val="14"/>
          <w:szCs w:val="14"/>
          <w:color w:val="auto"/>
        </w:rPr>
        <w:t>Difference in fair values between prior year-end fair values and vest date fair values for awards granted in prior years</w:t>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Forfeitures during current year equal to prior year-end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5117465" cy="282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17465" cy="282575"/>
                    </a:xfrm>
                    <a:prstGeom prst="rect">
                      <a:avLst/>
                    </a:prstGeom>
                    <a:noFill/>
                  </pic:spPr>
                </pic:pic>
              </a:graphicData>
            </a:graphic>
          </wp:anchor>
        </w:drawing>
      </w:r>
    </w:p>
    <w:p>
      <w:pPr>
        <w:spacing w:after="0" w:line="76" w:lineRule="exact"/>
        <w:rPr>
          <w:sz w:val="20"/>
          <w:szCs w:val="20"/>
          <w:color w:val="auto"/>
        </w:rPr>
      </w:pPr>
    </w:p>
    <w:p>
      <w:pPr>
        <w:ind w:left="1020" w:right="420" w:hanging="179"/>
        <w:spacing w:after="0" w:line="253" w:lineRule="auto"/>
        <w:rPr>
          <w:sz w:val="20"/>
          <w:szCs w:val="20"/>
          <w:color w:val="auto"/>
        </w:rPr>
      </w:pPr>
      <w:r>
        <w:rPr>
          <w:rFonts w:ascii="Arial" w:cs="Arial" w:eastAsia="Arial" w:hAnsi="Arial"/>
          <w:sz w:val="14"/>
          <w:szCs w:val="14"/>
          <w:color w:val="auto"/>
        </w:rPr>
        <w:t>Dividends or dividend equivalents not otherwise included in total compensation</w:t>
      </w:r>
    </w:p>
    <w:p>
      <w:pPr>
        <w:spacing w:after="0" w:line="143" w:lineRule="exact"/>
        <w:rPr>
          <w:sz w:val="20"/>
          <w:szCs w:val="20"/>
          <w:color w:val="auto"/>
        </w:rPr>
      </w:pPr>
    </w:p>
    <w:p>
      <w:pPr>
        <w:ind w:left="660" w:right="1700"/>
        <w:spacing w:after="0" w:line="530" w:lineRule="auto"/>
        <w:rPr>
          <w:sz w:val="20"/>
          <w:szCs w:val="20"/>
          <w:color w:val="auto"/>
        </w:rPr>
      </w:pPr>
      <w:r>
        <w:rPr>
          <w:rFonts w:ascii="Arial" w:cs="Arial" w:eastAsia="Arial" w:hAnsi="Arial"/>
          <w:sz w:val="12"/>
          <w:szCs w:val="12"/>
          <w:b w:val="1"/>
          <w:bCs w:val="1"/>
          <w:color w:val="auto"/>
        </w:rPr>
        <w:t>Total Adjustments for Equity Awards Compensation Actually Paid (as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-243205</wp:posOffset>
            </wp:positionV>
            <wp:extent cx="511746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1746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5"/>
          </w:tcPr>
          <w:p>
            <w:pPr>
              <w:jc w:val="center"/>
              <w:ind w:left="355"/>
              <w:spacing w:after="0"/>
              <w:rPr>
                <w:sz w:val="20"/>
                <w:szCs w:val="20"/>
                <w:color w:val="auto"/>
              </w:rPr>
            </w:pPr>
            <w:r>
              <w:rPr>
                <w:rFonts w:ascii="Arial" w:cs="Arial" w:eastAsia="Arial" w:hAnsi="Arial"/>
                <w:sz w:val="14"/>
                <w:szCs w:val="14"/>
                <w:b w:val="1"/>
                <w:bCs w:val="1"/>
                <w:color w:val="auto"/>
                <w:w w:val="96"/>
              </w:rPr>
              <w:t>2022</w:t>
            </w:r>
          </w:p>
        </w:tc>
        <w:tc>
          <w:tcPr>
            <w:tcW w:w="48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5"/>
        </w:trPr>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187"/>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Average</w:t>
            </w:r>
          </w:p>
        </w:tc>
      </w:tr>
      <w:tr>
        <w:trPr>
          <w:trHeight w:val="14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4"/>
                <w:szCs w:val="4"/>
                <w:color w:val="auto"/>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 xml:space="preserve">Non-CEO </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jc w:val="right"/>
              <w:ind w:right="6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Non-CEO</w:t>
            </w:r>
          </w:p>
        </w:tc>
      </w:tr>
      <w:tr>
        <w:trPr>
          <w:trHeight w:val="186"/>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Joel Lewis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24"/>
              <w:spacing w:after="0"/>
              <w:rPr>
                <w:sz w:val="20"/>
                <w:szCs w:val="20"/>
                <w:color w:val="auto"/>
              </w:rPr>
            </w:pPr>
            <w:r>
              <w:rPr>
                <w:rFonts w:ascii="Arial" w:cs="Arial" w:eastAsia="Arial" w:hAnsi="Arial"/>
                <w:sz w:val="14"/>
                <w:szCs w:val="14"/>
                <w:b w:val="1"/>
                <w:bCs w:val="1"/>
                <w:color w:val="auto"/>
                <w:w w:val="99"/>
              </w:rPr>
              <w:t>NEOs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3"/>
              </w:rPr>
              <w:t>Joel Lewis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NEOs</w:t>
            </w:r>
          </w:p>
        </w:tc>
      </w:tr>
      <w:tr>
        <w:trPr>
          <w:trHeight w:val="53"/>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95"/>
              </w:rPr>
              <w:t xml:space="preserve">974,181 </w:t>
            </w:r>
            <w:r>
              <w:rPr>
                <w:rFonts w:ascii="Arial" w:cs="Arial" w:eastAsia="Arial" w:hAnsi="Arial"/>
                <w:sz w:val="3"/>
                <w:szCs w:val="3"/>
                <w:color w:val="auto"/>
                <w:w w:val="95"/>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color w:val="auto"/>
                <w:w w:val="99"/>
              </w:rPr>
              <w:t xml:space="preserve">680,571 </w:t>
            </w:r>
            <w:r>
              <w:rPr>
                <w:rFonts w:ascii="Arial" w:cs="Arial" w:eastAsia="Arial" w:hAnsi="Arial"/>
                <w:sz w:val="3"/>
                <w:szCs w:val="3"/>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00" w:type="dxa"/>
            <w:vAlign w:val="bottom"/>
            <w:gridSpan w:val="6"/>
          </w:tcPr>
          <w:p>
            <w:pPr>
              <w:jc w:val="right"/>
              <w:ind w:right="60"/>
              <w:spacing w:after="0"/>
              <w:rPr>
                <w:sz w:val="20"/>
                <w:szCs w:val="20"/>
                <w:color w:val="auto"/>
              </w:rPr>
            </w:pPr>
            <w:r>
              <w:rPr>
                <w:rFonts w:ascii="Arial" w:cs="Arial" w:eastAsia="Arial" w:hAnsi="Arial"/>
                <w:sz w:val="14"/>
                <w:szCs w:val="14"/>
                <w:color w:val="auto"/>
                <w:w w:val="97"/>
              </w:rPr>
              <w:t xml:space="preserve">$1,167,621 </w:t>
            </w:r>
            <w:r>
              <w:rPr>
                <w:rFonts w:ascii="Arial" w:cs="Arial" w:eastAsia="Arial" w:hAnsi="Arial"/>
                <w:sz w:val="3"/>
                <w:szCs w:val="3"/>
                <w:color w:val="auto"/>
                <w:w w:val="97"/>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814,801</w:t>
            </w:r>
          </w:p>
        </w:tc>
        <w:tc>
          <w:tcPr>
            <w:tcW w:w="80" w:type="dxa"/>
            <w:vAlign w:val="bottom"/>
          </w:tcPr>
          <w:p>
            <w:pPr>
              <w:spacing w:after="0"/>
              <w:rPr>
                <w:sz w:val="19"/>
                <w:szCs w:val="19"/>
                <w:color w:val="auto"/>
              </w:rPr>
            </w:pPr>
          </w:p>
        </w:tc>
      </w:tr>
      <w:tr>
        <w:trPr>
          <w:trHeight w:val="184"/>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4"/>
                <w:szCs w:val="4"/>
                <w:color w:val="auto"/>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jc w:val="right"/>
              <w:ind w:right="6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71"/>
        </w:trPr>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auto"/>
            </w:tcBorders>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auto"/>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6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23"/>
                <w:szCs w:val="23"/>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4"/>
                <w:szCs w:val="14"/>
                <w:color w:val="auto"/>
                <w:w w:val="91"/>
              </w:rPr>
              <w:t>$(103,517)</w:t>
            </w:r>
            <w:r>
              <w:rPr>
                <w:rFonts w:ascii="Arial" w:cs="Arial" w:eastAsia="Arial" w:hAnsi="Arial"/>
                <w:sz w:val="3"/>
                <w:szCs w:val="3"/>
                <w:color w:val="auto"/>
                <w:w w:val="91"/>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 xml:space="preserve">(73,940) </w:t>
            </w:r>
            <w:r>
              <w:rPr>
                <w:rFonts w:ascii="Arial" w:cs="Arial" w:eastAsia="Arial" w:hAnsi="Arial"/>
                <w:sz w:val="3"/>
                <w:szCs w:val="3"/>
                <w:color w:val="auto"/>
                <w:w w:val="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4"/>
                <w:szCs w:val="14"/>
                <w:color w:val="auto"/>
                <w:w w:val="96"/>
              </w:rPr>
              <w:t>(329,177)</w:t>
            </w:r>
            <w:r>
              <w:rPr>
                <w:rFonts w:ascii="Arial" w:cs="Arial" w:eastAsia="Arial" w:hAnsi="Arial"/>
                <w:sz w:val="3"/>
                <w:szCs w:val="3"/>
                <w:color w:val="auto"/>
                <w:w w:val="96"/>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660" w:type="dxa"/>
            <w:vAlign w:val="bottom"/>
            <w:gridSpan w:val="3"/>
          </w:tcPr>
          <w:p>
            <w:pPr>
              <w:spacing w:after="0"/>
              <w:rPr>
                <w:sz w:val="20"/>
                <w:szCs w:val="20"/>
                <w:color w:val="auto"/>
              </w:rPr>
            </w:pPr>
            <w:r>
              <w:rPr>
                <w:rFonts w:ascii="Arial" w:cs="Arial" w:eastAsia="Arial" w:hAnsi="Arial"/>
                <w:sz w:val="14"/>
                <w:szCs w:val="14"/>
                <w:color w:val="auto"/>
                <w:w w:val="94"/>
              </w:rPr>
              <w:t>$(235,126)</w:t>
            </w:r>
          </w:p>
        </w:tc>
      </w:tr>
      <w:tr>
        <w:trPr>
          <w:trHeight w:val="256"/>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21,350 </w:t>
            </w:r>
            <w:r>
              <w:rPr>
                <w:rFonts w:ascii="Arial" w:cs="Arial" w:eastAsia="Arial" w:hAnsi="Arial"/>
                <w:sz w:val="3"/>
                <w:szCs w:val="3"/>
                <w:color w:val="auto"/>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15,250</w:t>
            </w:r>
          </w:p>
        </w:tc>
        <w:tc>
          <w:tcPr>
            <w:tcW w:w="120" w:type="dxa"/>
            <w:vAlign w:val="bottom"/>
            <w:gridSpan w:val="2"/>
          </w:tcPr>
          <w:p>
            <w:pPr>
              <w:jc w:val="right"/>
              <w:ind w:right="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4"/>
                <w:szCs w:val="14"/>
                <w:color w:val="auto"/>
              </w:rPr>
              <w:t xml:space="preserve">208,072 </w:t>
            </w:r>
            <w:r>
              <w:rPr>
                <w:rFonts w:ascii="Arial" w:cs="Arial" w:eastAsia="Arial" w:hAnsi="Arial"/>
                <w:sz w:val="3"/>
                <w:szCs w:val="3"/>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148,623</w:t>
            </w:r>
          </w:p>
        </w:tc>
        <w:tc>
          <w:tcPr>
            <w:tcW w:w="80" w:type="dxa"/>
            <w:vAlign w:val="bottom"/>
          </w:tcPr>
          <w:p>
            <w:pPr>
              <w:spacing w:after="0"/>
              <w:rPr>
                <w:sz w:val="22"/>
                <w:szCs w:val="22"/>
                <w:color w:val="auto"/>
              </w:rPr>
            </w:pPr>
          </w:p>
        </w:tc>
      </w:tr>
      <w:tr>
        <w:trPr>
          <w:trHeight w:val="40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24"/>
                <w:szCs w:val="24"/>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4"/>
                <w:szCs w:val="14"/>
                <w:color w:val="auto"/>
                <w:w w:val="91"/>
              </w:rPr>
              <w:t>$(201,028)</w:t>
            </w:r>
            <w:r>
              <w:rPr>
                <w:rFonts w:ascii="Arial" w:cs="Arial" w:eastAsia="Arial" w:hAnsi="Arial"/>
                <w:sz w:val="7"/>
                <w:szCs w:val="7"/>
                <w:color w:val="auto"/>
                <w:w w:val="91"/>
                <w:vertAlign w:val="superscript"/>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700" w:type="dxa"/>
            <w:vAlign w:val="bottom"/>
            <w:gridSpan w:val="4"/>
          </w:tcPr>
          <w:p>
            <w:pPr>
              <w:jc w:val="right"/>
              <w:ind w:right="40"/>
              <w:spacing w:after="0"/>
              <w:rPr>
                <w:sz w:val="20"/>
                <w:szCs w:val="20"/>
                <w:color w:val="auto"/>
              </w:rPr>
            </w:pPr>
            <w:r>
              <w:rPr>
                <w:rFonts w:ascii="Arial" w:cs="Arial" w:eastAsia="Arial" w:hAnsi="Arial"/>
                <w:sz w:val="14"/>
                <w:szCs w:val="14"/>
                <w:color w:val="auto"/>
                <w:w w:val="94"/>
              </w:rPr>
              <w:t>$(150,625)</w:t>
            </w:r>
            <w:r>
              <w:rPr>
                <w:rFonts w:ascii="Arial" w:cs="Arial" w:eastAsia="Arial" w:hAnsi="Arial"/>
                <w:sz w:val="7"/>
                <w:szCs w:val="7"/>
                <w:color w:val="auto"/>
                <w:w w:val="94"/>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4"/>
                <w:szCs w:val="14"/>
                <w:color w:val="auto"/>
              </w:rPr>
              <w:t>(44,873)</w:t>
            </w:r>
            <w:r>
              <w:rPr>
                <w:rFonts w:ascii="Arial" w:cs="Arial" w:eastAsia="Arial" w:hAnsi="Arial"/>
                <w:sz w:val="7"/>
                <w:szCs w:val="7"/>
                <w:color w:val="auto"/>
                <w:vertAlign w:val="superscript"/>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(28,280)</w:t>
            </w:r>
          </w:p>
        </w:tc>
      </w:tr>
      <w:tr>
        <w:trPr>
          <w:trHeight w:val="25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25,200 </w:t>
            </w:r>
            <w:r>
              <w:rPr>
                <w:rFonts w:ascii="Arial" w:cs="Arial" w:eastAsia="Arial" w:hAnsi="Arial"/>
                <w:sz w:val="3"/>
                <w:szCs w:val="3"/>
                <w:color w:val="auto"/>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21,813</w:t>
            </w:r>
          </w:p>
        </w:tc>
        <w:tc>
          <w:tcPr>
            <w:tcW w:w="120" w:type="dxa"/>
            <w:vAlign w:val="bottom"/>
            <w:gridSpan w:val="2"/>
          </w:tcPr>
          <w:p>
            <w:pPr>
              <w:jc w:val="right"/>
              <w:ind w:right="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4"/>
                <w:szCs w:val="14"/>
                <w:color w:val="auto"/>
              </w:rPr>
              <w:t xml:space="preserve">54,950 </w:t>
            </w:r>
            <w:r>
              <w:rPr>
                <w:rFonts w:ascii="Arial" w:cs="Arial" w:eastAsia="Arial" w:hAnsi="Arial"/>
                <w:sz w:val="3"/>
                <w:szCs w:val="3"/>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39,250</w:t>
            </w:r>
          </w:p>
        </w:tc>
        <w:tc>
          <w:tcPr>
            <w:tcW w:w="80" w:type="dxa"/>
            <w:vAlign w:val="bottom"/>
          </w:tcPr>
          <w:p>
            <w:pPr>
              <w:spacing w:after="0"/>
              <w:rPr>
                <w:sz w:val="22"/>
                <w:szCs w:val="22"/>
                <w:color w:val="auto"/>
              </w:rPr>
            </w:pPr>
          </w:p>
        </w:tc>
      </w:tr>
      <w:tr>
        <w:trPr>
          <w:trHeight w:val="40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(50,375)</w:t>
            </w:r>
            <w:r>
              <w:rPr>
                <w:rFonts w:ascii="Arial" w:cs="Arial" w:eastAsia="Arial" w:hAnsi="Arial"/>
                <w:sz w:val="7"/>
                <w:szCs w:val="7"/>
                <w:color w:val="auto"/>
                <w:w w:val="99"/>
                <w:vertAlign w:val="superscript"/>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 xml:space="preserve">(24,750) </w:t>
            </w:r>
            <w:r>
              <w:rPr>
                <w:rFonts w:ascii="Arial" w:cs="Arial" w:eastAsia="Arial" w:hAnsi="Arial"/>
                <w:sz w:val="7"/>
                <w:szCs w:val="7"/>
                <w:color w:val="auto"/>
                <w:w w:val="96"/>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4"/>
                <w:szCs w:val="14"/>
                <w:color w:val="auto"/>
              </w:rPr>
              <w:t xml:space="preserve">62,037 </w:t>
            </w:r>
            <w:r>
              <w:rPr>
                <w:rFonts w:ascii="Arial" w:cs="Arial" w:eastAsia="Arial" w:hAnsi="Arial"/>
                <w:sz w:val="7"/>
                <w:szCs w:val="7"/>
                <w:color w:val="auto"/>
                <w:vertAlign w:val="superscript"/>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3,119</w:t>
            </w:r>
          </w:p>
        </w:tc>
        <w:tc>
          <w:tcPr>
            <w:tcW w:w="80" w:type="dxa"/>
            <w:vAlign w:val="bottom"/>
          </w:tcPr>
          <w:p>
            <w:pPr>
              <w:spacing w:after="0"/>
              <w:rPr>
                <w:sz w:val="24"/>
                <w:szCs w:val="24"/>
                <w:color w:val="auto"/>
              </w:rPr>
            </w:pPr>
          </w:p>
        </w:tc>
      </w:tr>
      <w:tr>
        <w:trPr>
          <w:trHeight w:val="37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 xml:space="preserve"> ​</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40"/>
              <w:spacing w:after="0" w:line="32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 xml:space="preserve"> ​</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7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7"/>
                <w:szCs w:val="7"/>
                <w:color w:val="auto"/>
                <w:vertAlign w:val="superscript"/>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7"/>
                <w:szCs w:val="7"/>
                <w:color w:val="auto"/>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7"/>
                <w:szCs w:val="7"/>
                <w:color w:val="auto"/>
                <w:vertAlign w:val="superscript"/>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24"/>
                <w:szCs w:val="24"/>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1"/>
              </w:rPr>
              <w:t>$(308,370)</w:t>
            </w:r>
            <w:r>
              <w:rPr>
                <w:rFonts w:ascii="Arial" w:cs="Arial" w:eastAsia="Arial" w:hAnsi="Arial"/>
                <w:sz w:val="3"/>
                <w:szCs w:val="3"/>
                <w:color w:val="auto"/>
                <w:w w:val="91"/>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7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4"/>
              </w:rPr>
              <w:t>$(212,253)</w:t>
            </w:r>
            <w:r>
              <w:rPr>
                <w:rFonts w:ascii="Arial" w:cs="Arial" w:eastAsia="Arial" w:hAnsi="Arial"/>
                <w:sz w:val="3"/>
                <w:szCs w:val="3"/>
                <w:color w:val="auto"/>
                <w:w w:val="94"/>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(48,991)</w:t>
            </w:r>
            <w:r>
              <w:rPr>
                <w:rFonts w:ascii="Arial" w:cs="Arial" w:eastAsia="Arial" w:hAnsi="Arial"/>
                <w:sz w:val="3"/>
                <w:szCs w:val="3"/>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(72,414)</w:t>
            </w:r>
          </w:p>
        </w:tc>
      </w:tr>
      <w:tr>
        <w:trPr>
          <w:trHeight w:val="24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 xml:space="preserve">665,811 </w:t>
            </w:r>
            <w:r>
              <w:rPr>
                <w:rFonts w:ascii="Arial" w:cs="Arial" w:eastAsia="Arial" w:hAnsi="Arial"/>
                <w:sz w:val="3"/>
                <w:szCs w:val="3"/>
                <w:color w:val="auto"/>
                <w:w w:val="95"/>
              </w:rPr>
              <w:t>​</w:t>
            </w:r>
          </w:p>
        </w:tc>
        <w:tc>
          <w:tcPr>
            <w:tcW w:w="140" w:type="dxa"/>
            <w:vAlign w:val="bottom"/>
          </w:tcPr>
          <w:p>
            <w:pPr>
              <w:jc w:val="center"/>
              <w:ind w:right="51"/>
              <w:spacing w:after="0"/>
              <w:rPr>
                <w:sz w:val="20"/>
                <w:szCs w:val="20"/>
                <w:color w:val="auto"/>
              </w:rPr>
            </w:pPr>
            <w:r>
              <w:rPr>
                <w:rFonts w:ascii="Arial" w:cs="Arial" w:eastAsia="Arial" w:hAnsi="Arial"/>
                <w:sz w:val="2"/>
                <w:szCs w:val="2"/>
                <w:color w:val="auto"/>
                <w:w w:val="4294942296"/>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 xml:space="preserve">468,319 </w:t>
            </w:r>
            <w:r>
              <w:rPr>
                <w:rFonts w:ascii="Arial" w:cs="Arial" w:eastAsia="Arial" w:hAnsi="Arial"/>
                <w:sz w:val="3"/>
                <w:szCs w:val="3"/>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00" w:type="dxa"/>
            <w:vAlign w:val="bottom"/>
            <w:gridSpan w:val="6"/>
          </w:tcPr>
          <w:p>
            <w:pPr>
              <w:jc w:val="right"/>
              <w:ind w:right="6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 xml:space="preserve">1,118,630 </w:t>
            </w:r>
            <w:r>
              <w:rPr>
                <w:rFonts w:ascii="Arial" w:cs="Arial" w:eastAsia="Arial" w:hAnsi="Arial"/>
                <w:sz w:val="3"/>
                <w:szCs w:val="3"/>
                <w:color w:val="auto"/>
                <w:w w:val="97"/>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742,387</w:t>
            </w: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5020" w:space="240"/>
            <w:col w:w="375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Pay Versus Performance Table</w:t>
      </w:r>
    </w:p>
    <w:p>
      <w:pPr>
        <w:spacing w:after="0" w:line="12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The illustrations below provide a graphical description of CAP (as calculated in accordance with the SEC rules) and the following measures:</w:t>
      </w:r>
    </w:p>
    <w:p>
      <w:pPr>
        <w:spacing w:after="0" w:line="62"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Galectin’s cumulative TSR;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Galectin Net Income</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51755" cy="43287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51755" cy="432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180340</wp:posOffset>
            </wp:positionV>
            <wp:extent cx="4972050" cy="4225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72050"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03"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2023. We expect that a representative from Cherry Bekaert LLP will be present at the 2023 Annual Meeting, and accordingly, the representative will be given the opportunity to make a statement and respond to any questions.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660" w:right="479" w:firstLine="36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319" w:lineRule="exact"/>
        <w:rPr>
          <w:sz w:val="20"/>
          <w:szCs w:val="20"/>
          <w:color w:val="auto"/>
        </w:rPr>
      </w:pPr>
    </w:p>
    <w:p>
      <w:pPr>
        <w:jc w:val="center"/>
        <w:ind w:left="292" w:right="311"/>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CHERRY BEKAERT LLP</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Fiscal Year</w:t>
            </w:r>
          </w:p>
        </w:tc>
      </w:tr>
      <w:tr>
        <w:trPr>
          <w:trHeight w:val="186"/>
        </w:trPr>
        <w:tc>
          <w:tcPr>
            <w:tcW w:w="67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67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676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$155,000</w:t>
            </w: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$143,000</w:t>
            </w:r>
          </w:p>
        </w:tc>
        <w:tc>
          <w:tcPr>
            <w:tcW w:w="20" w:type="dxa"/>
            <w:vAlign w:val="bottom"/>
            <w:shd w:val="clear" w:color="auto" w:fill="CCEEFF"/>
          </w:tcPr>
          <w:p>
            <w:pPr>
              <w:spacing w:after="0"/>
              <w:rPr>
                <w:sz w:val="24"/>
                <w:szCs w:val="24"/>
                <w:color w:val="auto"/>
              </w:rPr>
            </w:pPr>
          </w:p>
        </w:tc>
      </w:tr>
      <w:tr>
        <w:trPr>
          <w:trHeight w:val="324"/>
        </w:trPr>
        <w:tc>
          <w:tcPr>
            <w:tcW w:w="6760" w:type="dxa"/>
            <w:vAlign w:val="bottom"/>
          </w:tcPr>
          <w:p>
            <w:pPr>
              <w:spacing w:after="0" w:line="3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8,500</w:t>
            </w:r>
          </w:p>
        </w:tc>
        <w:tc>
          <w:tcPr>
            <w:tcW w:w="20" w:type="dxa"/>
            <w:vAlign w:val="bottom"/>
          </w:tcPr>
          <w:p>
            <w:pPr>
              <w:spacing w:after="0"/>
              <w:rPr>
                <w:sz w:val="24"/>
                <w:szCs w:val="24"/>
                <w:color w:val="auto"/>
              </w:rPr>
            </w:pPr>
          </w:p>
        </w:tc>
      </w:tr>
      <w:tr>
        <w:trPr>
          <w:trHeight w:val="30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All Other Fees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8"/>
        </w:trPr>
        <w:tc>
          <w:tcPr>
            <w:tcW w:w="67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197,875</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184,775</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-1062355</wp:posOffset>
            </wp:positionV>
            <wp:extent cx="171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-1062355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619" w:hanging="348"/>
        <w:spacing w:after="0" w:line="238"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Audit Fees. </w:t>
      </w:r>
      <w:r>
        <w:rPr>
          <w:rFonts w:ascii="Arial" w:cs="Arial" w:eastAsia="Arial" w:hAnsi="Arial"/>
          <w:sz w:val="14"/>
          <w:szCs w:val="14"/>
          <w:color w:val="auto"/>
        </w:rPr>
        <w:t>These are fees for professional services for the audit of our annual financial statements dated December 31, 2022 and 2021</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our Annual Reports on Form 10-K for fiscal years then ended, and review of financial statements included in our Quarterly Reports on Form 10-Q for each fiscal quarter during the 2022 and 2021 fiscal years.</w:t>
      </w:r>
    </w:p>
    <w:p>
      <w:pPr>
        <w:spacing w:after="0" w:line="20" w:lineRule="exact"/>
        <w:rPr>
          <w:rFonts w:ascii="Arial" w:cs="Arial" w:eastAsia="Arial" w:hAnsi="Arial"/>
          <w:sz w:val="14"/>
          <w:szCs w:val="14"/>
          <w:color w:val="auto"/>
        </w:rPr>
      </w:pPr>
    </w:p>
    <w:p>
      <w:pPr>
        <w:ind w:left="640" w:right="299" w:hanging="348"/>
        <w:spacing w:after="0" w:line="23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Audit-Related Fees</w:t>
      </w:r>
      <w:r>
        <w:rPr>
          <w:rFonts w:ascii="Arial" w:cs="Arial" w:eastAsia="Arial" w:hAnsi="Arial"/>
          <w:sz w:val="14"/>
          <w:szCs w:val="14"/>
          <w:color w:val="auto"/>
        </w:rPr>
        <w:t>. These are fees for assurance and related services that are reasonably related to the performance of the audit or review of</w:t>
      </w:r>
      <w:r>
        <w:rPr>
          <w:rFonts w:ascii="Arial" w:cs="Arial" w:eastAsia="Arial" w:hAnsi="Arial"/>
          <w:sz w:val="14"/>
          <w:szCs w:val="14"/>
          <w:i w:val="1"/>
          <w:iCs w:val="1"/>
          <w:color w:val="auto"/>
        </w:rPr>
        <w:t xml:space="preserve"> </w:t>
      </w:r>
      <w:r>
        <w:rPr>
          <w:rFonts w:ascii="Arial" w:cs="Arial" w:eastAsia="Arial" w:hAnsi="Arial"/>
          <w:sz w:val="14"/>
          <w:szCs w:val="14"/>
          <w:color w:val="auto"/>
        </w:rPr>
        <w:t>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8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5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79"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39"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TO APPROVE AN AMENDMENT TO OUR 2019 OMNIBUS EQUITY INCENTIVE PLAN TO RESERVE AN ADDITIONAL 3,000,000 SHARES FOR ISSUANCE UNDER THE PLAN</w:t>
      </w:r>
    </w:p>
    <w:p>
      <w:pPr>
        <w:spacing w:after="0" w:line="58"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On September 28, 2023, upon recommendation of the Compensation Committee, the Board approved, subject to stockholder approval, an amendment to our 2019 Omnibus Equity Incentive Plan (the “Plan”) to reserve 3,000,000 additional shares for issuance under the Plan.</w:t>
      </w:r>
    </w:p>
    <w:p>
      <w:pPr>
        <w:spacing w:after="0" w:line="76"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 xml:space="preserve">The Plan, as amended to reflect the additional 3,000,000 shares for issuance under the plan, is attached hereto as </w:t>
      </w:r>
      <w:r>
        <w:rPr>
          <w:rFonts w:ascii="Arial" w:cs="Arial" w:eastAsia="Arial" w:hAnsi="Arial"/>
          <w:sz w:val="18"/>
          <w:szCs w:val="18"/>
          <w:b w:val="1"/>
          <w:bCs w:val="1"/>
          <w:color w:val="auto"/>
        </w:rPr>
        <w:t>Appendix A</w:t>
      </w:r>
      <w:r>
        <w:rPr>
          <w:rFonts w:ascii="Arial" w:cs="Arial" w:eastAsia="Arial" w:hAnsi="Arial"/>
          <w:sz w:val="18"/>
          <w:szCs w:val="18"/>
          <w:color w:val="auto"/>
        </w:rPr>
        <w:t>, and we urge stockholders to review the Plan carefully.</w:t>
      </w:r>
    </w:p>
    <w:p>
      <w:pPr>
        <w:spacing w:after="0" w:line="62"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Under applicable NASDAQ rules, the Company is required to obtain stockholder approval of amendment to the Plan. Stockholder approval of the Plan is also required to comply with the incentive stock options rules under Section 422 of the Code. On October 4, 2023, the closing price of our Common Stock as reported by NASDAQ was $2.04.</w:t>
      </w:r>
    </w:p>
    <w:p>
      <w:pPr>
        <w:spacing w:after="0" w:line="79"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If approved by the Company’s stockholders, the Plan increase would authorize 3,000,000 additional shares for issuance under the Plan. The number of shares under the Plan would increase from 7,000,000 shares to 10,000,000 shares. The material terms of the Plan are as follows: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Objectives of the Plan</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adopted. This summary is qualified in its entirety by reference to the complete text of the Plan. Stockholders are urged to read the actual text of the Plan, as proposed to be amended and restated, in its entirety which is set forth as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to this proxy statement.</w:t>
      </w:r>
    </w:p>
    <w:p>
      <w:pPr>
        <w:spacing w:after="0" w:line="79" w:lineRule="exact"/>
        <w:rPr>
          <w:sz w:val="20"/>
          <w:szCs w:val="20"/>
          <w:color w:val="auto"/>
        </w:rPr>
      </w:pPr>
    </w:p>
    <w:p>
      <w:pPr>
        <w:ind w:left="300" w:right="499" w:firstLine="360"/>
        <w:spacing w:after="0" w:line="273" w:lineRule="auto"/>
        <w:rPr>
          <w:sz w:val="20"/>
          <w:szCs w:val="20"/>
          <w:color w:val="auto"/>
        </w:rPr>
      </w:pPr>
      <w:r>
        <w:rPr>
          <w:rFonts w:ascii="Arial" w:cs="Arial" w:eastAsia="Arial" w:hAnsi="Arial"/>
          <w:sz w:val="17"/>
          <w:szCs w:val="17"/>
          <w:color w:val="auto"/>
        </w:rPr>
        <w:t>The Plan will be administered by a committee (the “Incentive Plan Committee” or the “Committee”), which will consist of directors of the Company. However, the Board or the Compensation Committee, as applicable, may reserve administrative powers to itself as the Committee or exercise any of the administrative powers of the Committee. Further, the Board of Directors or the Compensation Committee may delegate any or all of its administrative authority to our Chief Executive Officer or to a management committee, except with respect to awards to executive officers who are subject to Section 16 of the Exchange Act.</w:t>
      </w:r>
    </w:p>
    <w:p>
      <w:pPr>
        <w:spacing w:after="0" w:line="70"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The stock delivered to settle awards made under the Plan may be authorized and unissued shares or treasury shares, including shares repurchased by us for purposes of the Plan. If any shares subject to any award granted under the Plan (other than a substitute award) are forfeited or otherwise terminated without delivery of such shares (or if such shares are returned to us due to a forfeiture restriction under such award), the shares subject to such awards will again be available for issuance under the Plan. If any option or other award granted under the Plan is exercised through the tendering of shares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58"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If a dividend or other distribution (whether in cash, shares of Common Stock or other property), recapitalization, forward or reverse stock split, subdivision, consolidation or reduction of capital, reorganization,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Committee determines that an adjustment is appropriate in order to prevent dilution or enlargement of the benefits (or potential benefits) provided to grantees under the Plan, the committee will make an equitable change or adjustment as it deems appropriate in the number and kind of securities subject to awards and the related exercise price relating to an award.</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permits the granting of any or all of the following types of awards to all grantees:</w:t>
      </w:r>
    </w:p>
    <w:p>
      <w:pPr>
        <w:spacing w:after="0" w:line="117" w:lineRule="exact"/>
        <w:rPr>
          <w:sz w:val="20"/>
          <w:szCs w:val="20"/>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options, including incentive stock options, or ISO;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appreciation rights, or SARs;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stock and restricted stock units;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1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Awards under the Plan may be granted for no consideration other than prior and future services.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The material terms of each award will be set forth in a written award agreement between the grantee and us.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Options and SARs</w:t>
      </w:r>
    </w:p>
    <w:p>
      <w:pPr>
        <w:spacing w:after="0" w:line="11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The Committee is authorized to grant SARs and stock options (including ISOs except that an ISO may only be granted to an employee of ours or one of our subsidiary corporations). A stock option allows a grantee to purchase a specified number of shares of our Common Stock at a predetermined price per share (the “exercise price”)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Committee and will be set forth in the award agreement, but the exercise price may not be less than the fair market value of a share of Common Stock on the grant date. The term of each option or SAR is determined by the Committee and set forth in the award agreement, except that the term may not exceed 10 years. Options may be exercised by payment of the purchase price through one or more of the following means: payment in cash (including personal check or wire transfer), by delivering shares of our Common Stock previously owned by the grantee, or with the approval of the Committee, by delivery of shares of our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to us.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The Committee may award restricted shares consisting of shares of our Common Stock that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award agreement. Upon termination of the grantee’s affiliation with us during the restriction period (or, if applicable, upon the failure to satisfy the specified performance objectives during the restriction period), the restricted shares will be forfeited as provided in the award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 Units and Deferred Stock</w:t>
      </w:r>
    </w:p>
    <w:p>
      <w:pPr>
        <w:spacing w:after="0" w:line="11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Committee may also grant restricted stock unit awards and/or deferred stock awards. A deferred stock award is the grant of a right to receive a specified number of shares of our Common Stock at the end of specified deferral periods or upon the occurrence of a specified event, which satisfies the requirements of Section 409A of the Code. A restricted stock unit award is the grant of a right to receive a specified number of shares of our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be lapse without the issuance of the shares underlying such award.</w:t>
      </w:r>
    </w:p>
    <w:p>
      <w:pPr>
        <w:spacing w:after="0" w:line="84"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Restricted stock units and deferred stock awards carry no voting or other rights associated with stock ownership. The award agreement will provide whether grantees may receive dividend equivalents with respect to restricted stock units or deferred stock, and if so, whether such dividend equivalents are distributed when credited or deemed to be reinvested in additional shares of restricted stock units or deferred stock.</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17"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The Committee may grant performance units, which entitle a grantee to cash or shares conditioned upon the fulfillment of certain performance conditions and other restrictions as specified by the Committee and reflected in the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award agreement.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1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award agreement. The Committee will determine the terms and conditions of such awards, including performance and other restrictions placed on these awards, which will be reflected in the award agreement.</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Bonus Shares</w:t>
      </w:r>
    </w:p>
    <w:p>
      <w:pPr>
        <w:spacing w:after="0" w:line="117" w:lineRule="exact"/>
        <w:rPr>
          <w:sz w:val="20"/>
          <w:szCs w:val="20"/>
          <w:color w:val="auto"/>
        </w:rPr>
      </w:pPr>
    </w:p>
    <w:p>
      <w:pPr>
        <w:ind w:left="300" w:right="919" w:firstLine="360"/>
        <w:spacing w:after="0" w:line="277" w:lineRule="auto"/>
        <w:rPr>
          <w:sz w:val="20"/>
          <w:szCs w:val="20"/>
          <w:color w:val="auto"/>
        </w:rPr>
      </w:pPr>
      <w:r>
        <w:rPr>
          <w:rFonts w:ascii="Arial" w:cs="Arial" w:eastAsia="Arial" w:hAnsi="Arial"/>
          <w:sz w:val="18"/>
          <w:szCs w:val="18"/>
          <w:color w:val="auto"/>
        </w:rPr>
        <w:t>The Committee may grant fully vested shares of our Common Stock as bonus shares on such terms and conditions as specified in the award agreement.</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117" w:lineRule="exact"/>
        <w:rPr>
          <w:sz w:val="20"/>
          <w:szCs w:val="20"/>
          <w:color w:val="auto"/>
        </w:rPr>
      </w:pPr>
    </w:p>
    <w:p>
      <w:pPr>
        <w:ind w:left="300" w:right="599" w:firstLine="360"/>
        <w:spacing w:after="0" w:line="275" w:lineRule="auto"/>
        <w:rPr>
          <w:sz w:val="20"/>
          <w:szCs w:val="20"/>
          <w:color w:val="auto"/>
        </w:rPr>
      </w:pPr>
      <w:r>
        <w:rPr>
          <w:rFonts w:ascii="Arial" w:cs="Arial" w:eastAsia="Arial" w:hAnsi="Arial"/>
          <w:sz w:val="17"/>
          <w:szCs w:val="17"/>
          <w:color w:val="auto"/>
        </w:rPr>
        <w:t>The Committee is authorized to grant dividend equivalents which provide a grantee the right to receive payment equal to the dividends paid on a specified number of shares of our common stock. Dividend equivalents may be paid directly to grantees or may be deferred for later delivery under the Plan. If deferred such dividend equivalents may be credited with interest or may be deemed to be invested in shares of our Common Stock or in other property. Dividend equivalents may be granted in conjunction with other awards.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1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In order to enable us to respond to material developments in the area of taxes and other legislation and regulations and interpretations thereof, and to trends in executive compensation practices, the Plan authorizes the Committee to grant awards that are valued in whole or in part by reference to or otherwise based on our securities. The Committee determines the terms and conditions of such awards, including consideration paid for awards granted as share purchase rights and whether awards are paid in shares or cash.</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jc w:val="both"/>
        <w:ind w:left="300" w:right="759" w:firstLine="360"/>
        <w:spacing w:after="0" w:line="311" w:lineRule="auto"/>
        <w:rPr>
          <w:sz w:val="20"/>
          <w:szCs w:val="20"/>
          <w:color w:val="auto"/>
        </w:rPr>
      </w:pPr>
      <w:r>
        <w:rPr>
          <w:rFonts w:ascii="Arial" w:cs="Arial" w:eastAsia="Arial" w:hAnsi="Arial"/>
          <w:sz w:val="16"/>
          <w:szCs w:val="16"/>
          <w:color w:val="auto"/>
        </w:rPr>
        <w:t>The Committee may require satisfaction of pre-established performance goals, consisting of one or more business criteria and a targeted performance level with respect to such criteria, as a condition of awards being granted or becoming exercisable or payable under the Plan, or as a condition to accelerating the timing of such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311" w:lineRule="auto"/>
        <w:rPr>
          <w:sz w:val="20"/>
          <w:szCs w:val="20"/>
          <w:color w:val="auto"/>
        </w:rPr>
      </w:pPr>
      <w:r>
        <w:rPr>
          <w:rFonts w:ascii="Arial" w:cs="Arial" w:eastAsia="Arial" w:hAnsi="Arial"/>
          <w:sz w:val="16"/>
          <w:szCs w:val="16"/>
          <w:color w:val="auto"/>
        </w:rPr>
        <w:t>events. The Committee has the discretion to adjust the determinations of the degree of attainment of the pre-established performance goals. The Committee retains the discretion in all events to adjust such awards downward. Awards may be settled in cash, stock, other awards or other property, in the discretion of the Committee.</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17"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If there is a merger or consolidation of us with or into another corporation or a sale of substantially all of our stock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Amendment to and Termination of the Plan</w:t>
      </w:r>
    </w:p>
    <w:p>
      <w:pPr>
        <w:spacing w:after="0" w:line="117"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70"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In addition, subject to the terms of the Plan, no amendment or termination of the Plan may materially and adversely affect the right of a grantee under any award granted under the Plan, without the written consent of the grantee of such award.</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Plan. The Board believes that approval of the Plan will advance the interests of the Company and its stockholders by encouraging employees and directors to make significant contributions to the long-term success of the Company.</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left="300" w:right="399" w:firstLine="360"/>
        <w:spacing w:after="0" w:line="308" w:lineRule="auto"/>
        <w:rPr>
          <w:sz w:val="20"/>
          <w:szCs w:val="20"/>
          <w:color w:val="auto"/>
        </w:rPr>
      </w:pPr>
      <w:r>
        <w:rPr>
          <w:rFonts w:ascii="Arial" w:cs="Arial" w:eastAsia="Arial" w:hAnsi="Arial"/>
          <w:sz w:val="17"/>
          <w:szCs w:val="17"/>
          <w:color w:val="auto"/>
        </w:rPr>
        <w:t>Information about the securities issued, or authorized for future issuance, under our equity compensation plans is set forth in the table under the heading “Equity Compensation Plan Information” above.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OF STOCKHOLDERS</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8, 2024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8, 2024 nor earlier than August 8, 2024, in order to be considered timely.</w:t>
      </w:r>
    </w:p>
    <w:p>
      <w:pPr>
        <w:spacing w:after="0" w:line="58" w:lineRule="exact"/>
        <w:rPr>
          <w:sz w:val="20"/>
          <w:szCs w:val="20"/>
          <w:color w:val="auto"/>
        </w:rPr>
      </w:pPr>
    </w:p>
    <w:p>
      <w:pPr>
        <w:ind w:left="300" w:right="579" w:firstLine="360"/>
        <w:spacing w:after="0" w:line="273" w:lineRule="auto"/>
        <w:rPr>
          <w:sz w:val="20"/>
          <w:szCs w:val="20"/>
          <w:color w:val="auto"/>
        </w:rPr>
      </w:pPr>
      <w:r>
        <w:rPr>
          <w:rFonts w:ascii="Arial" w:cs="Arial" w:eastAsia="Arial" w:hAnsi="Arial"/>
          <w:sz w:val="17"/>
          <w:szCs w:val="17"/>
          <w:color w:val="auto"/>
        </w:rPr>
        <w:t>Notwithstanding the foregoing, if the date of the 2024 annual meeting of stockholders is scheduled to take place on a date that is more than 30 calendar days from the one year anniversary of the 2023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0" w:lineRule="exact"/>
        <w:rPr>
          <w:sz w:val="20"/>
          <w:szCs w:val="20"/>
          <w:color w:val="auto"/>
        </w:rPr>
      </w:pPr>
    </w:p>
    <w:p>
      <w:pPr>
        <w:ind w:left="300" w:right="719" w:firstLine="360"/>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2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Our Annual Report on Form 10-K, filed with the SEC for the fiscal year ended December 31, 2022,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79"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70"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83185</wp:posOffset>
            </wp:positionV>
            <wp:extent cx="1156970" cy="3689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Corporate Secretary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ATTEND THE 2023 ANNUAL MEETING</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This year our annual meeting will be a virtual online-only meeting. There will be no physical meeting location. The meeting will only be conducted via live webcast. To participate in the 2023 Annual Meeting, visit www.virtualshareholdermeeting.com/GALT2023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7, 2023. The meeting will begin promptly at 11:00 a.m. Eastern Standard Time on December 7, 2023.</w:t>
      </w:r>
    </w:p>
    <w:p>
      <w:pPr>
        <w:spacing w:after="0" w:line="56"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80"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If you want to submit question during the meeting, log into the virtual meeting platform at www.virtualshareholdermeeting.com/GALT2023,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2023 Annual Meeting has been designed to provide the same rights to participate as you would have at an in-person meeting. If you encounter any difficulties accessing the 2023 Annual Meeting during the check-in or meeting time, please call the technical support number that will be posted on the Virtual Shareholder Meeting log in page at www.virtualshareholdermeeting.com/GALT2023.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r>
      <w:tr>
        <w:trPr>
          <w:trHeight w:val="53"/>
        </w:trPr>
        <w:tc>
          <w:tcPr>
            <w:tcW w:w="1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0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37"/>
        </w:trPr>
        <w:tc>
          <w:tcPr>
            <w:tcW w:w="7980" w:type="dxa"/>
            <w:vAlign w:val="bottom"/>
            <w:gridSpan w:val="39"/>
            <w:shd w:val="clear" w:color="auto" w:fill="CCEEFF"/>
          </w:tcPr>
          <w:p>
            <w:pPr>
              <w:spacing w:after="0"/>
              <w:rPr>
                <w:sz w:val="20"/>
                <w:szCs w:val="20"/>
                <w:color w:val="auto"/>
              </w:rPr>
            </w:pPr>
            <w:r>
              <w:rPr>
                <w:rFonts w:ascii="Arial" w:cs="Arial" w:eastAsia="Arial" w:hAnsi="Arial"/>
                <w:sz w:val="18"/>
                <w:szCs w:val="18"/>
                <w:color w:val="0000EE"/>
              </w:rPr>
              <w:t>Article 1. Effective Date, Objectives and Duration</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1.</w:t>
            </w:r>
            <w:r>
              <w:rPr>
                <w:rFonts w:ascii="Arial" w:cs="Arial" w:eastAsia="Arial" w:hAnsi="Arial"/>
                <w:sz w:val="18"/>
                <w:szCs w:val="18"/>
                <w:u w:val="single" w:color="auto"/>
                <w:color w:val="0000EE"/>
              </w:rPr>
              <w:t>1</w:t>
            </w:r>
          </w:p>
        </w:tc>
        <w:tc>
          <w:tcPr>
            <w:tcW w:w="260" w:type="dxa"/>
            <w:vAlign w:val="bottom"/>
          </w:tcPr>
          <w:p>
            <w:pPr>
              <w:spacing w:after="0"/>
              <w:rPr>
                <w:sz w:val="19"/>
                <w:szCs w:val="19"/>
                <w:color w:val="auto"/>
              </w:rPr>
            </w:pPr>
          </w:p>
        </w:tc>
        <w:tc>
          <w:tcPr>
            <w:tcW w:w="7240" w:type="dxa"/>
            <w:vAlign w:val="bottom"/>
            <w:gridSpan w:val="35"/>
          </w:tcPr>
          <w:p>
            <w:pPr>
              <w:spacing w:after="0"/>
              <w:rPr>
                <w:sz w:val="20"/>
                <w:szCs w:val="20"/>
                <w:color w:val="auto"/>
              </w:rPr>
            </w:pPr>
            <w:r>
              <w:rPr>
                <w:rFonts w:ascii="Arial" w:cs="Arial" w:eastAsia="Arial" w:hAnsi="Arial"/>
                <w:sz w:val="18"/>
                <w:szCs w:val="18"/>
                <w:color w:val="0000EE"/>
              </w:rPr>
              <w:t>Effective Date of the Plan</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A-1</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1.</w:t>
            </w:r>
            <w:r>
              <w:rPr>
                <w:rFonts w:ascii="Arial" w:cs="Arial" w:eastAsia="Arial" w:hAnsi="Arial"/>
                <w:sz w:val="18"/>
                <w:szCs w:val="18"/>
                <w:u w:val="single" w:color="auto"/>
                <w:color w:val="0000EE"/>
              </w:rPr>
              <w:t>2</w:t>
            </w:r>
          </w:p>
        </w:tc>
        <w:tc>
          <w:tcPr>
            <w:tcW w:w="260" w:type="dxa"/>
            <w:vAlign w:val="bottom"/>
            <w:shd w:val="clear" w:color="auto" w:fill="CCEEFF"/>
          </w:tcPr>
          <w:p>
            <w:pPr>
              <w:spacing w:after="0"/>
              <w:rPr>
                <w:sz w:val="19"/>
                <w:szCs w:val="19"/>
                <w:color w:val="auto"/>
              </w:rPr>
            </w:pP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Objectives of the Plan</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A-1</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1.</w:t>
            </w:r>
            <w:r>
              <w:rPr>
                <w:rFonts w:ascii="Arial" w:cs="Arial" w:eastAsia="Arial" w:hAnsi="Arial"/>
                <w:sz w:val="18"/>
                <w:szCs w:val="18"/>
                <w:u w:val="single" w:color="auto"/>
                <w:color w:val="0000EE"/>
              </w:rPr>
              <w:t>3</w:t>
            </w:r>
          </w:p>
        </w:tc>
        <w:tc>
          <w:tcPr>
            <w:tcW w:w="260" w:type="dxa"/>
            <w:vAlign w:val="bottom"/>
          </w:tcPr>
          <w:p>
            <w:pPr>
              <w:spacing w:after="0"/>
              <w:rPr>
                <w:sz w:val="19"/>
                <w:szCs w:val="19"/>
                <w:color w:val="auto"/>
              </w:rPr>
            </w:pPr>
          </w:p>
        </w:tc>
        <w:tc>
          <w:tcPr>
            <w:tcW w:w="7240" w:type="dxa"/>
            <w:vAlign w:val="bottom"/>
            <w:gridSpan w:val="35"/>
          </w:tcPr>
          <w:p>
            <w:pPr>
              <w:spacing w:after="0"/>
              <w:rPr>
                <w:sz w:val="20"/>
                <w:szCs w:val="20"/>
                <w:color w:val="auto"/>
              </w:rPr>
            </w:pPr>
            <w:r>
              <w:rPr>
                <w:rFonts w:ascii="Arial" w:cs="Arial" w:eastAsia="Arial" w:hAnsi="Arial"/>
                <w:sz w:val="18"/>
                <w:szCs w:val="18"/>
                <w:color w:val="0000EE"/>
              </w:rPr>
              <w:t>Duration of the Plan</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A-1</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324"/>
        </w:trPr>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30"/>
        </w:trPr>
        <w:tc>
          <w:tcPr>
            <w:tcW w:w="7980" w:type="dxa"/>
            <w:vAlign w:val="bottom"/>
            <w:gridSpan w:val="39"/>
          </w:tcPr>
          <w:p>
            <w:pPr>
              <w:spacing w:after="0"/>
              <w:rPr>
                <w:sz w:val="20"/>
                <w:szCs w:val="20"/>
                <w:color w:val="auto"/>
              </w:rPr>
            </w:pPr>
            <w:r>
              <w:rPr>
                <w:rFonts w:ascii="Arial" w:cs="Arial" w:eastAsia="Arial" w:hAnsi="Arial"/>
                <w:sz w:val="18"/>
                <w:szCs w:val="18"/>
                <w:color w:val="0000EE"/>
              </w:rPr>
              <w:t>Article 2. Definitions</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A-1</w:t>
            </w:r>
          </w:p>
        </w:tc>
      </w:tr>
      <w:tr>
        <w:trPr>
          <w:trHeight w:val="74"/>
        </w:trPr>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w:t>
            </w:r>
          </w:p>
        </w:tc>
        <w:tc>
          <w:tcPr>
            <w:tcW w:w="260" w:type="dxa"/>
            <w:vAlign w:val="bottom"/>
            <w:shd w:val="clear" w:color="auto" w:fill="CCEEFF"/>
          </w:tcPr>
          <w:p>
            <w:pPr>
              <w:spacing w:after="0"/>
              <w:rPr>
                <w:sz w:val="19"/>
                <w:szCs w:val="19"/>
                <w:color w:val="auto"/>
              </w:rPr>
            </w:pP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“Affiliate”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A-1</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w:t>
            </w:r>
          </w:p>
        </w:tc>
        <w:tc>
          <w:tcPr>
            <w:tcW w:w="260" w:type="dxa"/>
            <w:vAlign w:val="bottom"/>
          </w:tcPr>
          <w:p>
            <w:pPr>
              <w:spacing w:after="0"/>
              <w:rPr>
                <w:sz w:val="19"/>
                <w:szCs w:val="19"/>
                <w:color w:val="auto"/>
              </w:rPr>
            </w:pPr>
          </w:p>
        </w:tc>
        <w:tc>
          <w:tcPr>
            <w:tcW w:w="7240" w:type="dxa"/>
            <w:vAlign w:val="bottom"/>
            <w:gridSpan w:val="35"/>
          </w:tcPr>
          <w:p>
            <w:pPr>
              <w:spacing w:after="0"/>
              <w:rPr>
                <w:sz w:val="20"/>
                <w:szCs w:val="20"/>
                <w:color w:val="auto"/>
              </w:rPr>
            </w:pPr>
            <w:r>
              <w:rPr>
                <w:rFonts w:ascii="Arial" w:cs="Arial" w:eastAsia="Arial" w:hAnsi="Arial"/>
                <w:sz w:val="18"/>
                <w:szCs w:val="18"/>
                <w:color w:val="0000EE"/>
              </w:rPr>
              <w:t>“Award”</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A-1</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w:t>
            </w:r>
          </w:p>
        </w:tc>
        <w:tc>
          <w:tcPr>
            <w:tcW w:w="260" w:type="dxa"/>
            <w:vAlign w:val="bottom"/>
            <w:shd w:val="clear" w:color="auto" w:fill="CCEEFF"/>
          </w:tcPr>
          <w:p>
            <w:pPr>
              <w:spacing w:after="0"/>
              <w:rPr>
                <w:sz w:val="19"/>
                <w:szCs w:val="19"/>
                <w:color w:val="auto"/>
              </w:rPr>
            </w:pP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“Award Agreement”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A-1</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w:t>
            </w:r>
          </w:p>
        </w:tc>
        <w:tc>
          <w:tcPr>
            <w:tcW w:w="260" w:type="dxa"/>
            <w:vAlign w:val="bottom"/>
          </w:tcPr>
          <w:p>
            <w:pPr>
              <w:spacing w:after="0"/>
              <w:rPr>
                <w:sz w:val="19"/>
                <w:szCs w:val="19"/>
                <w:color w:val="auto"/>
              </w:rPr>
            </w:pPr>
          </w:p>
        </w:tc>
        <w:tc>
          <w:tcPr>
            <w:tcW w:w="7240" w:type="dxa"/>
            <w:vAlign w:val="bottom"/>
            <w:gridSpan w:val="35"/>
          </w:tcPr>
          <w:p>
            <w:pPr>
              <w:spacing w:after="0"/>
              <w:rPr>
                <w:sz w:val="20"/>
                <w:szCs w:val="20"/>
                <w:color w:val="auto"/>
              </w:rPr>
            </w:pPr>
            <w:r>
              <w:rPr>
                <w:rFonts w:ascii="Arial" w:cs="Arial" w:eastAsia="Arial" w:hAnsi="Arial"/>
                <w:sz w:val="18"/>
                <w:szCs w:val="18"/>
                <w:color w:val="0000EE"/>
              </w:rPr>
              <w:t>“Board”</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A-1</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5</w:t>
            </w:r>
          </w:p>
        </w:tc>
        <w:tc>
          <w:tcPr>
            <w:tcW w:w="260" w:type="dxa"/>
            <w:vAlign w:val="bottom"/>
            <w:shd w:val="clear" w:color="auto" w:fill="CCEEFF"/>
          </w:tcPr>
          <w:p>
            <w:pPr>
              <w:spacing w:after="0"/>
              <w:rPr>
                <w:sz w:val="19"/>
                <w:szCs w:val="19"/>
                <w:color w:val="auto"/>
              </w:rPr>
            </w:pP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“Bonus Shares”</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A-1</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6</w:t>
            </w:r>
          </w:p>
        </w:tc>
        <w:tc>
          <w:tcPr>
            <w:tcW w:w="260" w:type="dxa"/>
            <w:vAlign w:val="bottom"/>
          </w:tcPr>
          <w:p>
            <w:pPr>
              <w:spacing w:after="0"/>
              <w:rPr>
                <w:sz w:val="19"/>
                <w:szCs w:val="19"/>
                <w:color w:val="auto"/>
              </w:rPr>
            </w:pPr>
          </w:p>
        </w:tc>
        <w:tc>
          <w:tcPr>
            <w:tcW w:w="7240" w:type="dxa"/>
            <w:vAlign w:val="bottom"/>
            <w:gridSpan w:val="35"/>
          </w:tcPr>
          <w:p>
            <w:pPr>
              <w:spacing w:after="0"/>
              <w:rPr>
                <w:sz w:val="20"/>
                <w:szCs w:val="20"/>
                <w:color w:val="auto"/>
              </w:rPr>
            </w:pPr>
            <w:r>
              <w:rPr>
                <w:rFonts w:ascii="Arial" w:cs="Arial" w:eastAsia="Arial" w:hAnsi="Arial"/>
                <w:sz w:val="18"/>
                <w:szCs w:val="18"/>
                <w:color w:val="0000EE"/>
              </w:rPr>
              <w:t>“Cause”</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A-1</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7</w:t>
            </w:r>
          </w:p>
        </w:tc>
        <w:tc>
          <w:tcPr>
            <w:tcW w:w="260" w:type="dxa"/>
            <w:vAlign w:val="bottom"/>
            <w:shd w:val="clear" w:color="auto" w:fill="CCEEFF"/>
          </w:tcPr>
          <w:p>
            <w:pPr>
              <w:spacing w:after="0"/>
              <w:rPr>
                <w:sz w:val="19"/>
                <w:szCs w:val="19"/>
                <w:color w:val="auto"/>
              </w:rPr>
            </w:pP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“CEO”</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A-2</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8</w:t>
            </w:r>
          </w:p>
        </w:tc>
        <w:tc>
          <w:tcPr>
            <w:tcW w:w="260" w:type="dxa"/>
            <w:vAlign w:val="bottom"/>
          </w:tcPr>
          <w:p>
            <w:pPr>
              <w:spacing w:after="0"/>
              <w:rPr>
                <w:sz w:val="19"/>
                <w:szCs w:val="19"/>
                <w:color w:val="auto"/>
              </w:rPr>
            </w:pPr>
          </w:p>
        </w:tc>
        <w:tc>
          <w:tcPr>
            <w:tcW w:w="7240" w:type="dxa"/>
            <w:vAlign w:val="bottom"/>
            <w:gridSpan w:val="35"/>
          </w:tcPr>
          <w:p>
            <w:pPr>
              <w:spacing w:after="0"/>
              <w:rPr>
                <w:sz w:val="20"/>
                <w:szCs w:val="20"/>
                <w:color w:val="auto"/>
              </w:rPr>
            </w:pPr>
            <w:r>
              <w:rPr>
                <w:rFonts w:ascii="Arial" w:cs="Arial" w:eastAsia="Arial" w:hAnsi="Arial"/>
                <w:sz w:val="18"/>
                <w:szCs w:val="18"/>
                <w:color w:val="0000EE"/>
              </w:rPr>
              <w:t>“Change in Control”</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A-2</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9</w:t>
            </w:r>
          </w:p>
        </w:tc>
        <w:tc>
          <w:tcPr>
            <w:tcW w:w="260" w:type="dxa"/>
            <w:vAlign w:val="bottom"/>
            <w:shd w:val="clear" w:color="auto" w:fill="CCEEFF"/>
          </w:tcPr>
          <w:p>
            <w:pPr>
              <w:spacing w:after="0"/>
              <w:rPr>
                <w:sz w:val="19"/>
                <w:szCs w:val="19"/>
                <w:color w:val="auto"/>
              </w:rPr>
            </w:pP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“Code”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A-2</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10</w:t>
            </w:r>
          </w:p>
        </w:tc>
        <w:tc>
          <w:tcPr>
            <w:tcW w:w="7240" w:type="dxa"/>
            <w:vAlign w:val="bottom"/>
            <w:gridSpan w:val="35"/>
          </w:tcPr>
          <w:p>
            <w:pPr>
              <w:spacing w:after="0"/>
              <w:rPr>
                <w:sz w:val="20"/>
                <w:szCs w:val="20"/>
                <w:color w:val="auto"/>
              </w:rPr>
            </w:pPr>
            <w:r>
              <w:rPr>
                <w:rFonts w:ascii="Arial" w:cs="Arial" w:eastAsia="Arial" w:hAnsi="Arial"/>
                <w:sz w:val="18"/>
                <w:szCs w:val="18"/>
                <w:color w:val="0000EE"/>
              </w:rPr>
              <w:t>“Committee” or “Incentive Plan Committee”</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A-2</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11</w:t>
            </w:r>
          </w:p>
        </w:tc>
        <w:tc>
          <w:tcPr>
            <w:tcW w:w="260" w:type="dxa"/>
            <w:vAlign w:val="bottom"/>
            <w:shd w:val="clear" w:color="auto" w:fill="CCEEFF"/>
          </w:tcPr>
          <w:p>
            <w:pPr>
              <w:spacing w:after="0"/>
              <w:rPr>
                <w:sz w:val="19"/>
                <w:szCs w:val="19"/>
                <w:color w:val="auto"/>
              </w:rPr>
            </w:pP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“Compensation Committee”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A-2</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12</w:t>
            </w:r>
          </w:p>
        </w:tc>
        <w:tc>
          <w:tcPr>
            <w:tcW w:w="7240" w:type="dxa"/>
            <w:vAlign w:val="bottom"/>
            <w:gridSpan w:val="35"/>
          </w:tcPr>
          <w:p>
            <w:pPr>
              <w:spacing w:after="0"/>
              <w:rPr>
                <w:sz w:val="20"/>
                <w:szCs w:val="20"/>
                <w:color w:val="auto"/>
              </w:rPr>
            </w:pPr>
            <w:r>
              <w:rPr>
                <w:rFonts w:ascii="Arial" w:cs="Arial" w:eastAsia="Arial" w:hAnsi="Arial"/>
                <w:sz w:val="18"/>
                <w:szCs w:val="18"/>
                <w:color w:val="0000EE"/>
              </w:rPr>
              <w:t>“Common Stock”</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A-2</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13</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“Corporate Transaction”</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A-2</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14</w:t>
            </w:r>
          </w:p>
        </w:tc>
        <w:tc>
          <w:tcPr>
            <w:tcW w:w="7240" w:type="dxa"/>
            <w:vAlign w:val="bottom"/>
            <w:gridSpan w:val="35"/>
          </w:tcPr>
          <w:p>
            <w:pPr>
              <w:spacing w:after="0"/>
              <w:rPr>
                <w:sz w:val="20"/>
                <w:szCs w:val="20"/>
                <w:color w:val="auto"/>
              </w:rPr>
            </w:pPr>
            <w:r>
              <w:rPr>
                <w:rFonts w:ascii="Arial" w:cs="Arial" w:eastAsia="Arial" w:hAnsi="Arial"/>
                <w:sz w:val="18"/>
                <w:szCs w:val="18"/>
                <w:color w:val="0000EE"/>
              </w:rPr>
              <w:t>“Deferred Stock”</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A-2</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15</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“Disability” or “Disabled”</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A-2</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16</w:t>
            </w:r>
          </w:p>
        </w:tc>
        <w:tc>
          <w:tcPr>
            <w:tcW w:w="7240" w:type="dxa"/>
            <w:vAlign w:val="bottom"/>
            <w:gridSpan w:val="35"/>
          </w:tcPr>
          <w:p>
            <w:pPr>
              <w:spacing w:after="0"/>
              <w:rPr>
                <w:sz w:val="20"/>
                <w:szCs w:val="20"/>
                <w:color w:val="auto"/>
              </w:rPr>
            </w:pPr>
            <w:r>
              <w:rPr>
                <w:rFonts w:ascii="Arial" w:cs="Arial" w:eastAsia="Arial" w:hAnsi="Arial"/>
                <w:sz w:val="18"/>
                <w:szCs w:val="18"/>
                <w:color w:val="0000EE"/>
              </w:rPr>
              <w:t>“Dividend Equivalent”</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A-2</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17</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“Effective Date”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A-2</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18</w:t>
            </w:r>
          </w:p>
        </w:tc>
        <w:tc>
          <w:tcPr>
            <w:tcW w:w="7240" w:type="dxa"/>
            <w:vAlign w:val="bottom"/>
            <w:gridSpan w:val="35"/>
          </w:tcPr>
          <w:p>
            <w:pPr>
              <w:spacing w:after="0"/>
              <w:rPr>
                <w:sz w:val="20"/>
                <w:szCs w:val="20"/>
                <w:color w:val="auto"/>
              </w:rPr>
            </w:pPr>
            <w:r>
              <w:rPr>
                <w:rFonts w:ascii="Arial" w:cs="Arial" w:eastAsia="Arial" w:hAnsi="Arial"/>
                <w:sz w:val="18"/>
                <w:szCs w:val="18"/>
                <w:color w:val="0000EE"/>
              </w:rPr>
              <w:t>“Eligible Person”</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19</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“Exchange Act”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20</w:t>
            </w:r>
          </w:p>
        </w:tc>
        <w:tc>
          <w:tcPr>
            <w:tcW w:w="7240" w:type="dxa"/>
            <w:vAlign w:val="bottom"/>
            <w:gridSpan w:val="35"/>
          </w:tcPr>
          <w:p>
            <w:pPr>
              <w:spacing w:after="0"/>
              <w:rPr>
                <w:sz w:val="20"/>
                <w:szCs w:val="20"/>
                <w:color w:val="auto"/>
              </w:rPr>
            </w:pPr>
            <w:r>
              <w:rPr>
                <w:rFonts w:ascii="Arial" w:cs="Arial" w:eastAsia="Arial" w:hAnsi="Arial"/>
                <w:sz w:val="18"/>
                <w:szCs w:val="18"/>
                <w:color w:val="0000EE"/>
              </w:rPr>
              <w:t>“Exercise Price”</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21</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“Fair Market Value”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22</w:t>
            </w:r>
          </w:p>
        </w:tc>
        <w:tc>
          <w:tcPr>
            <w:tcW w:w="7240" w:type="dxa"/>
            <w:vAlign w:val="bottom"/>
            <w:gridSpan w:val="35"/>
          </w:tcPr>
          <w:p>
            <w:pPr>
              <w:spacing w:after="0"/>
              <w:rPr>
                <w:sz w:val="20"/>
                <w:szCs w:val="20"/>
                <w:color w:val="auto"/>
              </w:rPr>
            </w:pPr>
            <w:r>
              <w:rPr>
                <w:rFonts w:ascii="Arial" w:cs="Arial" w:eastAsia="Arial" w:hAnsi="Arial"/>
                <w:sz w:val="18"/>
                <w:szCs w:val="18"/>
                <w:color w:val="0000EE"/>
              </w:rPr>
              <w:t>“Grant Date”</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23</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“Grantee”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24</w:t>
            </w:r>
          </w:p>
        </w:tc>
        <w:tc>
          <w:tcPr>
            <w:tcW w:w="7240" w:type="dxa"/>
            <w:vAlign w:val="bottom"/>
            <w:gridSpan w:val="35"/>
          </w:tcPr>
          <w:p>
            <w:pPr>
              <w:spacing w:after="0"/>
              <w:rPr>
                <w:sz w:val="20"/>
                <w:szCs w:val="20"/>
                <w:color w:val="auto"/>
              </w:rPr>
            </w:pPr>
            <w:r>
              <w:rPr>
                <w:rFonts w:ascii="Arial" w:cs="Arial" w:eastAsia="Arial" w:hAnsi="Arial"/>
                <w:sz w:val="18"/>
                <w:szCs w:val="18"/>
                <w:color w:val="0000EE"/>
              </w:rPr>
              <w:t>“Incentive Stock Option”</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25</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“Including” or “includes”</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26</w:t>
            </w:r>
          </w:p>
        </w:tc>
        <w:tc>
          <w:tcPr>
            <w:tcW w:w="7240" w:type="dxa"/>
            <w:vAlign w:val="bottom"/>
            <w:gridSpan w:val="35"/>
          </w:tcPr>
          <w:p>
            <w:pPr>
              <w:spacing w:after="0"/>
              <w:rPr>
                <w:sz w:val="20"/>
                <w:szCs w:val="20"/>
                <w:color w:val="auto"/>
              </w:rPr>
            </w:pPr>
            <w:r>
              <w:rPr>
                <w:rFonts w:ascii="Arial" w:cs="Arial" w:eastAsia="Arial" w:hAnsi="Arial"/>
                <w:sz w:val="18"/>
                <w:szCs w:val="18"/>
                <w:color w:val="0000EE"/>
              </w:rPr>
              <w:t>“Management Committee”</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27</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“Non-Employee Director”</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28</w:t>
            </w:r>
          </w:p>
        </w:tc>
        <w:tc>
          <w:tcPr>
            <w:tcW w:w="7240" w:type="dxa"/>
            <w:vAlign w:val="bottom"/>
            <w:gridSpan w:val="35"/>
          </w:tcPr>
          <w:p>
            <w:pPr>
              <w:spacing w:after="0"/>
              <w:rPr>
                <w:sz w:val="20"/>
                <w:szCs w:val="20"/>
                <w:color w:val="auto"/>
              </w:rPr>
            </w:pPr>
            <w:r>
              <w:rPr>
                <w:rFonts w:ascii="Arial" w:cs="Arial" w:eastAsia="Arial" w:hAnsi="Arial"/>
                <w:sz w:val="18"/>
                <w:szCs w:val="18"/>
                <w:color w:val="0000EE"/>
              </w:rPr>
              <w:t>“Option”</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A-3</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29</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“Other Stock-Based Award”</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30</w:t>
            </w:r>
          </w:p>
        </w:tc>
        <w:tc>
          <w:tcPr>
            <w:tcW w:w="7240" w:type="dxa"/>
            <w:vAlign w:val="bottom"/>
            <w:gridSpan w:val="35"/>
          </w:tcPr>
          <w:p>
            <w:pPr>
              <w:spacing w:after="0"/>
              <w:rPr>
                <w:sz w:val="20"/>
                <w:szCs w:val="20"/>
                <w:color w:val="auto"/>
              </w:rPr>
            </w:pPr>
            <w:r>
              <w:rPr>
                <w:rFonts w:ascii="Arial" w:cs="Arial" w:eastAsia="Arial" w:hAnsi="Arial"/>
                <w:sz w:val="18"/>
                <w:szCs w:val="18"/>
                <w:color w:val="0000EE"/>
              </w:rPr>
              <w:t>“Performance Period”</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A-3</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31</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“Performance Share”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32</w:t>
            </w:r>
          </w:p>
        </w:tc>
        <w:tc>
          <w:tcPr>
            <w:tcW w:w="7240" w:type="dxa"/>
            <w:vAlign w:val="bottom"/>
            <w:gridSpan w:val="35"/>
          </w:tcPr>
          <w:p>
            <w:pPr>
              <w:spacing w:after="0"/>
              <w:rPr>
                <w:sz w:val="20"/>
                <w:szCs w:val="20"/>
                <w:color w:val="auto"/>
              </w:rPr>
            </w:pPr>
            <w:r>
              <w:rPr>
                <w:rFonts w:ascii="Arial" w:cs="Arial" w:eastAsia="Arial" w:hAnsi="Arial"/>
                <w:sz w:val="18"/>
                <w:szCs w:val="18"/>
                <w:color w:val="0000EE"/>
              </w:rPr>
              <w:t>“Performance Unit”</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33</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“Period of Restriction”</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34</w:t>
            </w:r>
          </w:p>
        </w:tc>
        <w:tc>
          <w:tcPr>
            <w:tcW w:w="7240" w:type="dxa"/>
            <w:vAlign w:val="bottom"/>
            <w:gridSpan w:val="35"/>
          </w:tcPr>
          <w:p>
            <w:pPr>
              <w:spacing w:after="0"/>
              <w:rPr>
                <w:sz w:val="20"/>
                <w:szCs w:val="20"/>
                <w:color w:val="auto"/>
              </w:rPr>
            </w:pPr>
            <w:r>
              <w:rPr>
                <w:rFonts w:ascii="Arial" w:cs="Arial" w:eastAsia="Arial" w:hAnsi="Arial"/>
                <w:sz w:val="18"/>
                <w:szCs w:val="18"/>
                <w:color w:val="0000EE"/>
              </w:rPr>
              <w:t>“Person”</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A-4</w:t>
            </w: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35</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“Restricted Shares”</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36</w:t>
            </w:r>
          </w:p>
        </w:tc>
        <w:tc>
          <w:tcPr>
            <w:tcW w:w="7240" w:type="dxa"/>
            <w:vAlign w:val="bottom"/>
            <w:gridSpan w:val="35"/>
          </w:tcPr>
          <w:p>
            <w:pPr>
              <w:spacing w:after="0"/>
              <w:rPr>
                <w:sz w:val="20"/>
                <w:szCs w:val="20"/>
                <w:color w:val="auto"/>
              </w:rPr>
            </w:pPr>
            <w:r>
              <w:rPr>
                <w:rFonts w:ascii="Arial" w:cs="Arial" w:eastAsia="Arial" w:hAnsi="Arial"/>
                <w:sz w:val="18"/>
                <w:szCs w:val="18"/>
                <w:color w:val="0000EE"/>
              </w:rPr>
              <w:t>“Restricted Stock Units”</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37</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“Rule 16b-3”</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A-4</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38</w:t>
            </w:r>
          </w:p>
        </w:tc>
        <w:tc>
          <w:tcPr>
            <w:tcW w:w="7240" w:type="dxa"/>
            <w:vAlign w:val="bottom"/>
            <w:gridSpan w:val="35"/>
          </w:tcPr>
          <w:p>
            <w:pPr>
              <w:spacing w:after="0"/>
              <w:rPr>
                <w:sz w:val="20"/>
                <w:szCs w:val="20"/>
                <w:color w:val="auto"/>
              </w:rPr>
            </w:pPr>
            <w:r>
              <w:rPr>
                <w:rFonts w:ascii="Arial" w:cs="Arial" w:eastAsia="Arial" w:hAnsi="Arial"/>
                <w:sz w:val="18"/>
                <w:szCs w:val="18"/>
                <w:color w:val="0000EE"/>
              </w:rPr>
              <w:t>“SEC”</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39</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“Section 16 Non-Employee Director”</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r>
        <w:trPr>
          <w:trHeight w:val="229"/>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40</w:t>
            </w:r>
          </w:p>
        </w:tc>
        <w:tc>
          <w:tcPr>
            <w:tcW w:w="7240" w:type="dxa"/>
            <w:vAlign w:val="bottom"/>
            <w:gridSpan w:val="35"/>
          </w:tcPr>
          <w:p>
            <w:pPr>
              <w:spacing w:after="0"/>
              <w:rPr>
                <w:sz w:val="20"/>
                <w:szCs w:val="20"/>
                <w:color w:val="auto"/>
              </w:rPr>
            </w:pPr>
            <w:r>
              <w:rPr>
                <w:rFonts w:ascii="Arial" w:cs="Arial" w:eastAsia="Arial" w:hAnsi="Arial"/>
                <w:sz w:val="18"/>
                <w:szCs w:val="18"/>
                <w:color w:val="0000EE"/>
              </w:rPr>
              <w:t>“Section 16 Person”</w:t>
            </w:r>
          </w:p>
        </w:tc>
        <w:tc>
          <w:tcPr>
            <w:tcW w:w="440" w:type="dxa"/>
            <w:vAlign w:val="bottom"/>
            <w:gridSpan w:val="2"/>
          </w:tcPr>
          <w:p>
            <w:pPr>
              <w:ind w:left="16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41</w:t>
            </w:r>
          </w:p>
        </w:tc>
        <w:tc>
          <w:tcPr>
            <w:tcW w:w="724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“Separation from Service”</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0000EE"/>
                <w:w w:val="92"/>
              </w:rPr>
              <w:t>A-4</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-9686290</wp:posOffset>
            </wp:positionV>
            <wp:extent cx="25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49" w:name="page50"/>
    <w:bookmarkEnd w:id="49"/>
    <w:tbl>
      <w:tblPr>
        <w:tblLayout w:type="fixed"/>
        <w:tblInd w:w="300" w:type="dxa"/>
        <w:tblCellMar>
          <w:top w:w="0" w:type="dxa"/>
          <w:left w:w="0" w:type="dxa"/>
          <w:bottom w:w="0" w:type="dxa"/>
          <w:right w:w="0" w:type="dxa"/>
        </w:tblCellMar>
      </w:tblPr>
      <w:tr>
        <w:trPr>
          <w:trHeight w:val="207"/>
        </w:trPr>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42</w:t>
            </w:r>
          </w:p>
        </w:tc>
        <w:tc>
          <w:tcPr>
            <w:tcW w:w="5080" w:type="dxa"/>
            <w:vAlign w:val="bottom"/>
            <w:gridSpan w:val="3"/>
          </w:tcPr>
          <w:p>
            <w:pPr>
              <w:spacing w:after="0"/>
              <w:rPr>
                <w:sz w:val="20"/>
                <w:szCs w:val="20"/>
                <w:color w:val="auto"/>
              </w:rPr>
            </w:pPr>
            <w:r>
              <w:rPr>
                <w:rFonts w:ascii="Arial" w:cs="Arial" w:eastAsia="Arial" w:hAnsi="Arial"/>
                <w:sz w:val="18"/>
                <w:szCs w:val="18"/>
                <w:color w:val="0000EE"/>
              </w:rPr>
              <w:t>“Share”</w:t>
            </w:r>
          </w:p>
        </w:tc>
        <w:tc>
          <w:tcPr>
            <w:tcW w:w="2600" w:type="dxa"/>
            <w:vAlign w:val="bottom"/>
            <w:gridSpan w:val="2"/>
          </w:tcPr>
          <w:p>
            <w:pPr>
              <w:ind w:left="232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1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r>
      <w:tr>
        <w:trPr>
          <w:trHeight w:val="230"/>
        </w:trPr>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43</w:t>
            </w: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0000EE"/>
              </w:rPr>
              <w:t>“Stock Appreciation Right” or “SAR”</w:t>
            </w:r>
          </w:p>
        </w:tc>
        <w:tc>
          <w:tcPr>
            <w:tcW w:w="260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0000EE"/>
                <w:w w:val="92"/>
              </w:rPr>
              <w:t>A-4</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180" w:type="dxa"/>
            <w:vAlign w:val="bottom"/>
            <w:tcBorders>
              <w:top w:val="single" w:sz="8" w:color="0000EE"/>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spacing w:after="0" w:line="62" w:lineRule="exact"/>
        <w:rPr>
          <w:sz w:val="20"/>
          <w:szCs w:val="20"/>
          <w:color w:val="auto"/>
        </w:rPr>
      </w:pPr>
    </w:p>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3"/>
        </w:trPr>
        <w:tc>
          <w:tcPr>
            <w:tcW w:w="1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40" w:type="dxa"/>
            <w:vAlign w:val="bottom"/>
            <w:gridSpan w:val="4"/>
            <w:shd w:val="clear" w:color="auto" w:fill="CCEEFF"/>
          </w:tcPr>
          <w:p>
            <w:pPr>
              <w:ind w:left="180"/>
              <w:spacing w:after="0" w:line="203" w:lineRule="exact"/>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44</w:t>
            </w: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“Subsidiary Corporation”</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A-4</w:t>
            </w:r>
          </w:p>
        </w:tc>
        <w:tc>
          <w:tcPr>
            <w:tcW w:w="0" w:type="dxa"/>
            <w:vAlign w:val="bottom"/>
          </w:tcPr>
          <w:p>
            <w:pPr>
              <w:spacing w:after="0"/>
              <w:rPr>
                <w:sz w:val="1"/>
                <w:szCs w:val="1"/>
                <w:color w:val="auto"/>
              </w:rPr>
            </w:pPr>
          </w:p>
        </w:tc>
      </w:tr>
      <w:tr>
        <w:trPr>
          <w:trHeight w:val="81"/>
        </w:trPr>
        <w:tc>
          <w:tcPr>
            <w:tcW w:w="1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3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45</w:t>
            </w:r>
          </w:p>
        </w:tc>
        <w:tc>
          <w:tcPr>
            <w:tcW w:w="7240" w:type="dxa"/>
            <w:vAlign w:val="bottom"/>
            <w:gridSpan w:val="31"/>
          </w:tcPr>
          <w:p>
            <w:pPr>
              <w:spacing w:after="0"/>
              <w:rPr>
                <w:sz w:val="20"/>
                <w:szCs w:val="20"/>
                <w:color w:val="auto"/>
              </w:rPr>
            </w:pPr>
            <w:r>
              <w:rPr>
                <w:rFonts w:ascii="Arial" w:cs="Arial" w:eastAsia="Arial" w:hAnsi="Arial"/>
                <w:sz w:val="18"/>
                <w:szCs w:val="18"/>
                <w:color w:val="0000EE"/>
              </w:rPr>
              <w:t>“Surviving Company”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A-4</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46</w:t>
            </w: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“Term”</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A-5</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40" w:type="dxa"/>
            <w:vAlign w:val="bottom"/>
            <w:gridSpan w:val="4"/>
          </w:tcPr>
          <w:p>
            <w:pPr>
              <w:ind w:left="180"/>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u w:val="single" w:color="auto"/>
                <w:color w:val="0000EE"/>
              </w:rPr>
              <w:t>47</w:t>
            </w:r>
          </w:p>
        </w:tc>
        <w:tc>
          <w:tcPr>
            <w:tcW w:w="7240" w:type="dxa"/>
            <w:vAlign w:val="bottom"/>
            <w:gridSpan w:val="31"/>
          </w:tcPr>
          <w:p>
            <w:pPr>
              <w:spacing w:after="0"/>
              <w:rPr>
                <w:sz w:val="20"/>
                <w:szCs w:val="20"/>
                <w:color w:val="auto"/>
              </w:rPr>
            </w:pPr>
            <w:r>
              <w:rPr>
                <w:rFonts w:ascii="Arial" w:cs="Arial" w:eastAsia="Arial" w:hAnsi="Arial"/>
                <w:sz w:val="18"/>
                <w:szCs w:val="18"/>
                <w:color w:val="0000EE"/>
              </w:rPr>
              <w:t>“Termination of Affiliation”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A-5</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35"/>
          </w:tcPr>
          <w:p>
            <w:pPr>
              <w:spacing w:after="0"/>
              <w:rPr>
                <w:sz w:val="20"/>
                <w:szCs w:val="20"/>
                <w:color w:val="auto"/>
              </w:rPr>
            </w:pPr>
            <w:r>
              <w:rPr>
                <w:rFonts w:ascii="Arial" w:cs="Arial" w:eastAsia="Arial" w:hAnsi="Arial"/>
                <w:sz w:val="18"/>
                <w:szCs w:val="18"/>
                <w:color w:val="0000EE"/>
              </w:rPr>
              <w:t>Article 3. Administration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A-5</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1</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Committee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A-5</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2</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Powers of Committee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A-5</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3</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No Repricings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A-7</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Article 4. Shares Subject to the Plan</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A-7</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u w:val="single" w:color="auto"/>
                <w:color w:val="0000EE"/>
              </w:rPr>
              <w:t>1</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Number of Shares Available for Grants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A-7</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u w:val="single" w:color="auto"/>
                <w:color w:val="0000EE"/>
              </w:rPr>
              <w:t>2</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w w:val="93"/>
              </w:rPr>
              <w:t>Adjustments in Authorized Shares and Awards; Corporate Transaction, Liquidation or Dissolution</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rPr>
              <w:t>A-7</w:t>
            </w:r>
          </w:p>
        </w:tc>
        <w:tc>
          <w:tcPr>
            <w:tcW w:w="0" w:type="dxa"/>
            <w:vAlign w:val="bottom"/>
          </w:tcPr>
          <w:p>
            <w:pPr>
              <w:spacing w:after="0"/>
              <w:rPr>
                <w:sz w:val="1"/>
                <w:szCs w:val="1"/>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1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Article 5. Eligibility and General Conditions of Awards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A-8</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Eligibility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A-8</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2</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Award Agreement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A-8</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3</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General Terms and Termination of Affiliation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A-8</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4</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Nontransferability of Awards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A-9</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5</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Cancellation and Rescission of Awards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rPr>
              <w:t>A-9</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6</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Stand-Alone, Tandem and Substitute Awards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A-9</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7</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Compliance with Rule 16b-3</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A-10</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8</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Deferral of Award Payouts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A-10</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Article 6. Stock Options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A-10</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u w:val="single" w:color="auto"/>
                <w:color w:val="0000EE"/>
              </w:rPr>
              <w:t>1</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Grant of Options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A-10</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u w:val="single" w:color="auto"/>
                <w:color w:val="0000EE"/>
              </w:rPr>
              <w:t>2</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Award Agreement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A-10</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u w:val="single" w:color="auto"/>
                <w:color w:val="0000EE"/>
              </w:rPr>
              <w:t>3</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Option Exercise Price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w w:val="89"/>
              </w:rPr>
              <w:t>A-11</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u w:val="single" w:color="auto"/>
                <w:color w:val="0000EE"/>
              </w:rPr>
              <w:t>4</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Grant of Incentive Stock Options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89"/>
              </w:rPr>
              <w:t>A-11</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u w:val="single" w:color="auto"/>
                <w:color w:val="0000EE"/>
              </w:rPr>
              <w:t>5</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Payment of Exercise Price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000EE"/>
                <w:w w:val="89"/>
              </w:rPr>
              <w:t>A-11</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35"/>
          </w:tcPr>
          <w:p>
            <w:pPr>
              <w:spacing w:after="0"/>
              <w:rPr>
                <w:sz w:val="20"/>
                <w:szCs w:val="20"/>
                <w:color w:val="auto"/>
              </w:rPr>
            </w:pPr>
            <w:r>
              <w:rPr>
                <w:rFonts w:ascii="Arial" w:cs="Arial" w:eastAsia="Arial" w:hAnsi="Arial"/>
                <w:sz w:val="18"/>
                <w:szCs w:val="18"/>
                <w:color w:val="0000EE"/>
              </w:rPr>
              <w:t>Article 7. Stock Appreciation Rights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7.</w:t>
            </w:r>
            <w:r>
              <w:rPr>
                <w:rFonts w:ascii="Arial" w:cs="Arial" w:eastAsia="Arial" w:hAnsi="Arial"/>
                <w:sz w:val="18"/>
                <w:szCs w:val="18"/>
                <w:u w:val="single" w:color="auto"/>
                <w:color w:val="0000EE"/>
              </w:rPr>
              <w:t>1</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Issuance</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7.</w:t>
            </w:r>
            <w:r>
              <w:rPr>
                <w:rFonts w:ascii="Arial" w:cs="Arial" w:eastAsia="Arial" w:hAnsi="Arial"/>
                <w:sz w:val="18"/>
                <w:szCs w:val="18"/>
                <w:u w:val="single" w:color="auto"/>
                <w:color w:val="0000EE"/>
              </w:rPr>
              <w:t>2</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Award Agreements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7.</w:t>
            </w:r>
            <w:r>
              <w:rPr>
                <w:rFonts w:ascii="Arial" w:cs="Arial" w:eastAsia="Arial" w:hAnsi="Arial"/>
                <w:sz w:val="18"/>
                <w:szCs w:val="18"/>
                <w:u w:val="single" w:color="auto"/>
                <w:color w:val="0000EE"/>
              </w:rPr>
              <w:t>3</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SAR Exercise Price</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7.</w:t>
            </w:r>
            <w:r>
              <w:rPr>
                <w:rFonts w:ascii="Arial" w:cs="Arial" w:eastAsia="Arial" w:hAnsi="Arial"/>
                <w:sz w:val="18"/>
                <w:szCs w:val="18"/>
                <w:u w:val="single" w:color="auto"/>
                <w:color w:val="0000EE"/>
              </w:rPr>
              <w:t>4</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Exercise and Payment</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35"/>
          </w:tcPr>
          <w:p>
            <w:pPr>
              <w:spacing w:after="0"/>
              <w:rPr>
                <w:sz w:val="20"/>
                <w:szCs w:val="20"/>
                <w:color w:val="auto"/>
              </w:rPr>
            </w:pPr>
            <w:r>
              <w:rPr>
                <w:rFonts w:ascii="Arial" w:cs="Arial" w:eastAsia="Arial" w:hAnsi="Arial"/>
                <w:sz w:val="18"/>
                <w:szCs w:val="18"/>
                <w:color w:val="0000EE"/>
              </w:rPr>
              <w:t>Article 8. Restricted Shares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u w:val="single" w:color="auto"/>
                <w:color w:val="0000EE"/>
              </w:rPr>
              <w:t>1</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Grant of Restricted Shares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u w:val="single" w:color="auto"/>
                <w:color w:val="0000EE"/>
              </w:rPr>
              <w:t>2</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Award Agreement</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A-12</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u w:val="single" w:color="auto"/>
                <w:color w:val="0000EE"/>
              </w:rPr>
              <w:t>3</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Consideration for Restricted Shares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A-13</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u w:val="single" w:color="auto"/>
                <w:color w:val="0000EE"/>
              </w:rPr>
              <w:t>4</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Effect of Forfeiture</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A-13</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u w:val="single" w:color="auto"/>
                <w:color w:val="0000EE"/>
              </w:rPr>
              <w:t>5</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Escrow; Legends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A-13</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35"/>
            <w:shd w:val="clear" w:color="auto" w:fill="CCEEFF"/>
          </w:tcPr>
          <w:p>
            <w:pPr>
              <w:spacing w:after="0"/>
              <w:rPr>
                <w:sz w:val="20"/>
                <w:szCs w:val="20"/>
                <w:color w:val="auto"/>
              </w:rPr>
            </w:pPr>
            <w:r>
              <w:rPr>
                <w:rFonts w:ascii="Arial" w:cs="Arial" w:eastAsia="Arial" w:hAnsi="Arial"/>
                <w:sz w:val="18"/>
                <w:szCs w:val="18"/>
                <w:color w:val="0000EE"/>
              </w:rPr>
              <w:t>Article 9. Performance Units and Performance Shares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A-13</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9.</w:t>
            </w:r>
            <w:r>
              <w:rPr>
                <w:rFonts w:ascii="Arial" w:cs="Arial" w:eastAsia="Arial" w:hAnsi="Arial"/>
                <w:sz w:val="18"/>
                <w:szCs w:val="18"/>
                <w:u w:val="single" w:color="auto"/>
                <w:color w:val="0000EE"/>
              </w:rPr>
              <w:t>1</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Grant of Performance Units and Performance Shares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A-13</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000EE"/>
              </w:rPr>
              <w:t>9.</w:t>
            </w:r>
            <w:r>
              <w:rPr>
                <w:rFonts w:ascii="Arial" w:cs="Arial" w:eastAsia="Arial" w:hAnsi="Arial"/>
                <w:sz w:val="18"/>
                <w:szCs w:val="18"/>
                <w:u w:val="single" w:color="auto"/>
                <w:color w:val="0000EE"/>
              </w:rPr>
              <w:t>2</w:t>
            </w:r>
          </w:p>
        </w:tc>
        <w:tc>
          <w:tcPr>
            <w:tcW w:w="260" w:type="dxa"/>
            <w:vAlign w:val="bottom"/>
            <w:shd w:val="clear" w:color="auto" w:fill="CCEEFF"/>
          </w:tcPr>
          <w:p>
            <w:pPr>
              <w:spacing w:after="0"/>
              <w:rPr>
                <w:sz w:val="19"/>
                <w:szCs w:val="19"/>
                <w:color w:val="auto"/>
              </w:rPr>
            </w:pPr>
          </w:p>
        </w:tc>
        <w:tc>
          <w:tcPr>
            <w:tcW w:w="72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Value/Performance Goals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A-13</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ind w:left="180"/>
              <w:spacing w:after="0"/>
              <w:rPr>
                <w:sz w:val="20"/>
                <w:szCs w:val="20"/>
                <w:color w:val="auto"/>
              </w:rPr>
            </w:pPr>
            <w:r>
              <w:rPr>
                <w:rFonts w:ascii="Arial" w:cs="Arial" w:eastAsia="Arial" w:hAnsi="Arial"/>
                <w:sz w:val="18"/>
                <w:szCs w:val="18"/>
                <w:color w:val="0000EE"/>
              </w:rPr>
              <w:t>9.</w:t>
            </w:r>
            <w:r>
              <w:rPr>
                <w:rFonts w:ascii="Arial" w:cs="Arial" w:eastAsia="Arial" w:hAnsi="Arial"/>
                <w:sz w:val="18"/>
                <w:szCs w:val="18"/>
                <w:u w:val="single" w:color="auto"/>
                <w:color w:val="0000EE"/>
              </w:rPr>
              <w:t>3</w:t>
            </w:r>
          </w:p>
        </w:tc>
        <w:tc>
          <w:tcPr>
            <w:tcW w:w="260" w:type="dxa"/>
            <w:vAlign w:val="bottom"/>
          </w:tcPr>
          <w:p>
            <w:pPr>
              <w:spacing w:after="0"/>
              <w:rPr>
                <w:sz w:val="19"/>
                <w:szCs w:val="19"/>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Earning of Performance Units and Performance Shares</w:t>
            </w:r>
          </w:p>
        </w:tc>
        <w:tc>
          <w:tcPr>
            <w:tcW w:w="440" w:type="dxa"/>
            <w:vAlign w:val="bottom"/>
            <w:gridSpan w:val="4"/>
          </w:tcPr>
          <w:p>
            <w:pPr>
              <w:jc w:val="right"/>
              <w:spacing w:after="0"/>
              <w:rPr>
                <w:sz w:val="20"/>
                <w:szCs w:val="20"/>
                <w:color w:val="auto"/>
              </w:rPr>
            </w:pPr>
            <w:r>
              <w:rPr>
                <w:rFonts w:ascii="Arial" w:cs="Arial" w:eastAsia="Arial" w:hAnsi="Arial"/>
                <w:sz w:val="18"/>
                <w:szCs w:val="18"/>
                <w:color w:val="0000EE"/>
              </w:rPr>
              <w:t>A-13</w:t>
            </w:r>
          </w:p>
        </w:tc>
        <w:tc>
          <w:tcPr>
            <w:tcW w:w="0" w:type="dxa"/>
            <w:vAlign w:val="bottom"/>
          </w:tcPr>
          <w:p>
            <w:pPr>
              <w:spacing w:after="0"/>
              <w:rPr>
                <w:sz w:val="1"/>
                <w:szCs w:val="1"/>
                <w:color w:val="auto"/>
              </w:rPr>
            </w:pPr>
          </w:p>
        </w:tc>
      </w:tr>
      <w:tr>
        <w:trPr>
          <w:trHeight w:val="75"/>
        </w:trPr>
        <w:tc>
          <w:tcPr>
            <w:tcW w:w="180" w:type="dxa"/>
            <w:vAlign w:val="bottom"/>
            <w:tcBorders>
              <w:bottom w:val="single" w:sz="8" w:color="CCEEFF"/>
            </w:tcBorders>
          </w:tcPr>
          <w:p>
            <w:pPr>
              <w:spacing w:after="0"/>
              <w:rPr>
                <w:sz w:val="6"/>
                <w:szCs w:val="6"/>
                <w:color w:val="auto"/>
              </w:rPr>
            </w:pPr>
          </w:p>
        </w:tc>
        <w:tc>
          <w:tcPr>
            <w:tcW w:w="220" w:type="dxa"/>
            <w:vAlign w:val="bottom"/>
            <w:tcBorders>
              <w:top w:val="single" w:sz="8" w:color="0000EE"/>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540" w:type="dxa"/>
            <w:vAlign w:val="bottom"/>
            <w:tcBorders>
              <w:top w:val="single" w:sz="8" w:color="0000EE"/>
              <w:bottom w:val="single" w:sz="8" w:color="CCEEFF"/>
            </w:tcBorders>
          </w:tcPr>
          <w:p>
            <w:pPr>
              <w:spacing w:after="0"/>
              <w:rPr>
                <w:sz w:val="6"/>
                <w:szCs w:val="6"/>
                <w:color w:val="auto"/>
              </w:rPr>
            </w:pPr>
          </w:p>
        </w:tc>
        <w:tc>
          <w:tcPr>
            <w:tcW w:w="80" w:type="dxa"/>
            <w:vAlign w:val="bottom"/>
            <w:tcBorders>
              <w:top w:val="single" w:sz="8" w:color="0000EE"/>
              <w:bottom w:val="single" w:sz="8" w:color="CCEEFF"/>
            </w:tcBorders>
          </w:tcPr>
          <w:p>
            <w:pPr>
              <w:spacing w:after="0"/>
              <w:rPr>
                <w:sz w:val="6"/>
                <w:szCs w:val="6"/>
                <w:color w:val="auto"/>
              </w:rPr>
            </w:pPr>
          </w:p>
        </w:tc>
        <w:tc>
          <w:tcPr>
            <w:tcW w:w="120" w:type="dxa"/>
            <w:vAlign w:val="bottom"/>
            <w:tcBorders>
              <w:top w:val="single" w:sz="8" w:color="0000EE"/>
              <w:bottom w:val="single" w:sz="8" w:color="CCEEFF"/>
            </w:tcBorders>
          </w:tcPr>
          <w:p>
            <w:pPr>
              <w:spacing w:after="0"/>
              <w:rPr>
                <w:sz w:val="6"/>
                <w:szCs w:val="6"/>
                <w:color w:val="auto"/>
              </w:rPr>
            </w:pPr>
          </w:p>
        </w:tc>
        <w:tc>
          <w:tcPr>
            <w:tcW w:w="60" w:type="dxa"/>
            <w:vAlign w:val="bottom"/>
            <w:tcBorders>
              <w:top w:val="single" w:sz="8" w:color="0000EE"/>
              <w:bottom w:val="single" w:sz="8" w:color="CCEEFF"/>
            </w:tcBorders>
          </w:tcPr>
          <w:p>
            <w:pPr>
              <w:spacing w:after="0"/>
              <w:rPr>
                <w:sz w:val="6"/>
                <w:szCs w:val="6"/>
                <w:color w:val="auto"/>
              </w:rPr>
            </w:pPr>
          </w:p>
        </w:tc>
        <w:tc>
          <w:tcPr>
            <w:tcW w:w="200" w:type="dxa"/>
            <w:vAlign w:val="bottom"/>
            <w:tcBorders>
              <w:top w:val="single" w:sz="8" w:color="0000EE"/>
              <w:bottom w:val="single" w:sz="8" w:color="CCEEFF"/>
            </w:tcBorders>
          </w:tcPr>
          <w:p>
            <w:pPr>
              <w:spacing w:after="0"/>
              <w:rPr>
                <w:sz w:val="6"/>
                <w:szCs w:val="6"/>
                <w:color w:val="auto"/>
              </w:rPr>
            </w:pPr>
          </w:p>
        </w:tc>
        <w:tc>
          <w:tcPr>
            <w:tcW w:w="60" w:type="dxa"/>
            <w:vAlign w:val="bottom"/>
            <w:tcBorders>
              <w:top w:val="single" w:sz="8" w:color="0000EE"/>
              <w:bottom w:val="single" w:sz="8" w:color="CCEEFF"/>
            </w:tcBorders>
          </w:tcPr>
          <w:p>
            <w:pPr>
              <w:spacing w:after="0"/>
              <w:rPr>
                <w:sz w:val="6"/>
                <w:szCs w:val="6"/>
                <w:color w:val="auto"/>
              </w:rPr>
            </w:pPr>
          </w:p>
        </w:tc>
        <w:tc>
          <w:tcPr>
            <w:tcW w:w="160" w:type="dxa"/>
            <w:vAlign w:val="bottom"/>
            <w:tcBorders>
              <w:top w:val="single" w:sz="8" w:color="0000EE"/>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60" w:type="dxa"/>
            <w:vAlign w:val="bottom"/>
            <w:tcBorders>
              <w:top w:val="single" w:sz="8" w:color="0000EE"/>
              <w:bottom w:val="single" w:sz="8" w:color="CCEEFF"/>
            </w:tcBorders>
          </w:tcPr>
          <w:p>
            <w:pPr>
              <w:spacing w:after="0"/>
              <w:rPr>
                <w:sz w:val="6"/>
                <w:szCs w:val="6"/>
                <w:color w:val="auto"/>
              </w:rPr>
            </w:pPr>
          </w:p>
        </w:tc>
        <w:tc>
          <w:tcPr>
            <w:tcW w:w="80" w:type="dxa"/>
            <w:vAlign w:val="bottom"/>
            <w:tcBorders>
              <w:top w:val="single" w:sz="8" w:color="0000EE"/>
              <w:bottom w:val="single" w:sz="8" w:color="CCEEFF"/>
            </w:tcBorders>
          </w:tcPr>
          <w:p>
            <w:pPr>
              <w:spacing w:after="0"/>
              <w:rPr>
                <w:sz w:val="6"/>
                <w:szCs w:val="6"/>
                <w:color w:val="auto"/>
              </w:rPr>
            </w:pPr>
          </w:p>
        </w:tc>
        <w:tc>
          <w:tcPr>
            <w:tcW w:w="40" w:type="dxa"/>
            <w:vAlign w:val="bottom"/>
            <w:tcBorders>
              <w:top w:val="single" w:sz="8" w:color="0000EE"/>
              <w:bottom w:val="single" w:sz="8" w:color="CCEEFF"/>
            </w:tcBorders>
          </w:tcPr>
          <w:p>
            <w:pPr>
              <w:spacing w:after="0"/>
              <w:rPr>
                <w:sz w:val="6"/>
                <w:szCs w:val="6"/>
                <w:color w:val="auto"/>
              </w:rPr>
            </w:pPr>
          </w:p>
        </w:tc>
        <w:tc>
          <w:tcPr>
            <w:tcW w:w="140" w:type="dxa"/>
            <w:vAlign w:val="bottom"/>
            <w:tcBorders>
              <w:top w:val="single" w:sz="8" w:color="0000EE"/>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240" w:type="dxa"/>
            <w:vAlign w:val="bottom"/>
            <w:tcBorders>
              <w:top w:val="single" w:sz="8" w:color="0000EE"/>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40" w:type="dxa"/>
            <w:vAlign w:val="bottom"/>
            <w:tcBorders>
              <w:top w:val="single" w:sz="8" w:color="0000EE"/>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100" w:type="dxa"/>
            <w:vAlign w:val="bottom"/>
            <w:tcBorders>
              <w:top w:val="single" w:sz="8" w:color="0000EE"/>
              <w:bottom w:val="single" w:sz="8" w:color="CCEEFF"/>
            </w:tcBorders>
          </w:tcPr>
          <w:p>
            <w:pPr>
              <w:spacing w:after="0"/>
              <w:rPr>
                <w:sz w:val="6"/>
                <w:szCs w:val="6"/>
                <w:color w:val="auto"/>
              </w:rPr>
            </w:pPr>
          </w:p>
        </w:tc>
        <w:tc>
          <w:tcPr>
            <w:tcW w:w="60" w:type="dxa"/>
            <w:vAlign w:val="bottom"/>
            <w:tcBorders>
              <w:top w:val="single" w:sz="8" w:color="0000EE"/>
              <w:bottom w:val="single" w:sz="8" w:color="CCEEFF"/>
            </w:tcBorders>
          </w:tcPr>
          <w:p>
            <w:pPr>
              <w:spacing w:after="0"/>
              <w:rPr>
                <w:sz w:val="6"/>
                <w:szCs w:val="6"/>
                <w:color w:val="auto"/>
              </w:rPr>
            </w:pPr>
          </w:p>
        </w:tc>
        <w:tc>
          <w:tcPr>
            <w:tcW w:w="300" w:type="dxa"/>
            <w:vAlign w:val="bottom"/>
            <w:tcBorders>
              <w:top w:val="single" w:sz="8" w:color="0000EE"/>
              <w:bottom w:val="single" w:sz="8" w:color="CCEEFF"/>
            </w:tcBorders>
          </w:tcPr>
          <w:p>
            <w:pPr>
              <w:spacing w:after="0"/>
              <w:rPr>
                <w:sz w:val="6"/>
                <w:szCs w:val="6"/>
                <w:color w:val="auto"/>
              </w:rPr>
            </w:pPr>
          </w:p>
        </w:tc>
        <w:tc>
          <w:tcPr>
            <w:tcW w:w="180" w:type="dxa"/>
            <w:vAlign w:val="bottom"/>
            <w:tcBorders>
              <w:top w:val="single" w:sz="8" w:color="0000EE"/>
              <w:bottom w:val="single" w:sz="8" w:color="CCEEFF"/>
            </w:tcBorders>
          </w:tcPr>
          <w:p>
            <w:pPr>
              <w:spacing w:after="0"/>
              <w:rPr>
                <w:sz w:val="6"/>
                <w:szCs w:val="6"/>
                <w:color w:val="auto"/>
              </w:rPr>
            </w:pPr>
          </w:p>
        </w:tc>
        <w:tc>
          <w:tcPr>
            <w:tcW w:w="240" w:type="dxa"/>
            <w:vAlign w:val="bottom"/>
            <w:tcBorders>
              <w:top w:val="single" w:sz="8" w:color="0000EE"/>
              <w:bottom w:val="single" w:sz="8" w:color="CCEEFF"/>
            </w:tcBorders>
          </w:tcPr>
          <w:p>
            <w:pPr>
              <w:spacing w:after="0"/>
              <w:rPr>
                <w:sz w:val="6"/>
                <w:szCs w:val="6"/>
                <w:color w:val="auto"/>
              </w:rPr>
            </w:pPr>
          </w:p>
        </w:tc>
        <w:tc>
          <w:tcPr>
            <w:tcW w:w="300" w:type="dxa"/>
            <w:vAlign w:val="bottom"/>
            <w:tcBorders>
              <w:top w:val="single" w:sz="8" w:color="0000EE"/>
              <w:bottom w:val="single" w:sz="8" w:color="CCEEFF"/>
            </w:tcBorders>
          </w:tcPr>
          <w:p>
            <w:pPr>
              <w:spacing w:after="0"/>
              <w:rPr>
                <w:sz w:val="6"/>
                <w:szCs w:val="6"/>
                <w:color w:val="auto"/>
              </w:rPr>
            </w:pPr>
          </w:p>
        </w:tc>
        <w:tc>
          <w:tcPr>
            <w:tcW w:w="120" w:type="dxa"/>
            <w:vAlign w:val="bottom"/>
            <w:tcBorders>
              <w:top w:val="single" w:sz="8" w:color="0000EE"/>
              <w:bottom w:val="single" w:sz="8" w:color="CCEEFF"/>
            </w:tcBorders>
          </w:tcPr>
          <w:p>
            <w:pPr>
              <w:spacing w:after="0"/>
              <w:rPr>
                <w:sz w:val="6"/>
                <w:szCs w:val="6"/>
                <w:color w:val="auto"/>
              </w:rPr>
            </w:pPr>
          </w:p>
        </w:tc>
        <w:tc>
          <w:tcPr>
            <w:tcW w:w="60" w:type="dxa"/>
            <w:vAlign w:val="bottom"/>
            <w:tcBorders>
              <w:top w:val="single" w:sz="8" w:color="0000EE"/>
              <w:bottom w:val="single" w:sz="8" w:color="CCEEFF"/>
            </w:tcBorders>
          </w:tcPr>
          <w:p>
            <w:pPr>
              <w:spacing w:after="0"/>
              <w:rPr>
                <w:sz w:val="6"/>
                <w:szCs w:val="6"/>
                <w:color w:val="auto"/>
              </w:rPr>
            </w:pPr>
          </w:p>
        </w:tc>
        <w:tc>
          <w:tcPr>
            <w:tcW w:w="500" w:type="dxa"/>
            <w:vAlign w:val="bottom"/>
            <w:tcBorders>
              <w:top w:val="single" w:sz="8" w:color="0000EE"/>
              <w:bottom w:val="single" w:sz="8" w:color="CCEEFF"/>
            </w:tcBorders>
          </w:tcPr>
          <w:p>
            <w:pPr>
              <w:spacing w:after="0"/>
              <w:rPr>
                <w:sz w:val="6"/>
                <w:szCs w:val="6"/>
                <w:color w:val="auto"/>
              </w:rPr>
            </w:pPr>
          </w:p>
        </w:tc>
        <w:tc>
          <w:tcPr>
            <w:tcW w:w="160" w:type="dxa"/>
            <w:vAlign w:val="bottom"/>
            <w:tcBorders>
              <w:top w:val="single" w:sz="8" w:color="0000EE"/>
              <w:bottom w:val="single" w:sz="8" w:color="CCEEFF"/>
            </w:tcBorders>
          </w:tcPr>
          <w:p>
            <w:pPr>
              <w:spacing w:after="0"/>
              <w:rPr>
                <w:sz w:val="6"/>
                <w:szCs w:val="6"/>
                <w:color w:val="auto"/>
              </w:rPr>
            </w:pPr>
          </w:p>
        </w:tc>
        <w:tc>
          <w:tcPr>
            <w:tcW w:w="3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80" w:type="dxa"/>
            <w:vAlign w:val="bottom"/>
            <w:tcBorders>
              <w:top w:val="single" w:sz="8" w:color="0000EE"/>
              <w:bottom w:val="single" w:sz="8" w:color="CCEEFF"/>
            </w:tcBorders>
          </w:tcPr>
          <w:p>
            <w:pPr>
              <w:spacing w:after="0"/>
              <w:rPr>
                <w:sz w:val="6"/>
                <w:szCs w:val="6"/>
                <w:color w:val="auto"/>
              </w:rPr>
            </w:pPr>
          </w:p>
        </w:tc>
        <w:tc>
          <w:tcPr>
            <w:tcW w:w="280" w:type="dxa"/>
            <w:vAlign w:val="bottom"/>
            <w:tcBorders>
              <w:top w:val="single" w:sz="8" w:color="0000EE"/>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-10034905</wp:posOffset>
            </wp:positionV>
            <wp:extent cx="25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900" w:orient="portrait"/>
          <w:cols w:equalWidth="0" w:num="1">
            <w:col w:w="9019"/>
          </w:cols>
          <w:pgMar w:left="1440" w:top="265" w:right="1440" w:bottom="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1099820</wp:posOffset>
            </wp:positionH>
            <wp:positionV relativeFrom="page">
              <wp:posOffset>88900</wp:posOffset>
            </wp:positionV>
            <wp:extent cx="534924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49240" cy="188595"/>
                    </a:xfrm>
                    <a:prstGeom prst="rect">
                      <a:avLst/>
                    </a:prstGeom>
                    <a:noFill/>
                  </pic:spPr>
                </pic:pic>
              </a:graphicData>
            </a:graphic>
          </wp:anchor>
        </w:drawing>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2" w:name="page53"/>
    <w:bookmarkEnd w:id="5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3"/>
        </w:trPr>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3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80" w:type="dxa"/>
            <w:vAlign w:val="bottom"/>
            <w:gridSpan w:val="40"/>
            <w:shd w:val="clear" w:color="auto" w:fill="CCEEFF"/>
          </w:tcPr>
          <w:p>
            <w:pPr>
              <w:spacing w:after="0" w:line="203" w:lineRule="exact"/>
              <w:rPr>
                <w:sz w:val="20"/>
                <w:szCs w:val="20"/>
                <w:color w:val="auto"/>
              </w:rPr>
            </w:pPr>
            <w:r>
              <w:rPr>
                <w:rFonts w:ascii="Arial" w:cs="Arial" w:eastAsia="Arial" w:hAnsi="Arial"/>
                <w:sz w:val="18"/>
                <w:szCs w:val="18"/>
                <w:color w:val="0000EE"/>
              </w:rPr>
              <w:t>Article 10. Deferred Stock and Restricted Stock Units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A-13</w:t>
            </w:r>
          </w:p>
        </w:tc>
        <w:tc>
          <w:tcPr>
            <w:tcW w:w="0" w:type="dxa"/>
            <w:vAlign w:val="bottom"/>
          </w:tcPr>
          <w:p>
            <w:pPr>
              <w:spacing w:after="0"/>
              <w:rPr>
                <w:sz w:val="1"/>
                <w:szCs w:val="1"/>
                <w:color w:val="auto"/>
              </w:rPr>
            </w:pPr>
          </w:p>
        </w:tc>
      </w:tr>
      <w:tr>
        <w:trPr>
          <w:trHeight w:val="81"/>
        </w:trPr>
        <w:tc>
          <w:tcPr>
            <w:tcW w:w="18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right w:val="single" w:sz="8" w:color="CCEEFF"/>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68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right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3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Grant of Deferred Stock and Restricted Stock Units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A-13</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Vesting and Delivery</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A-14</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3</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w w:val="94"/>
              </w:rPr>
              <w:t>Voting and Dividend Equivalent Rights Attributable to Deferred Stock and Restricted Stock Units</w:t>
            </w:r>
          </w:p>
        </w:tc>
        <w:tc>
          <w:tcPr>
            <w:tcW w:w="440" w:type="dxa"/>
            <w:vAlign w:val="bottom"/>
            <w:gridSpan w:val="2"/>
            <w:vMerge w:val="restart"/>
          </w:tcPr>
          <w:p>
            <w:pPr>
              <w:ind w:left="60"/>
              <w:spacing w:after="0"/>
              <w:rPr>
                <w:sz w:val="20"/>
                <w:szCs w:val="20"/>
                <w:color w:val="auto"/>
              </w:rPr>
            </w:pPr>
            <w:r>
              <w:rPr>
                <w:rFonts w:ascii="Arial" w:cs="Arial" w:eastAsia="Arial" w:hAnsi="Arial"/>
                <w:sz w:val="18"/>
                <w:szCs w:val="18"/>
                <w:color w:val="0000EE"/>
                <w:w w:val="94"/>
              </w:rPr>
              <w:t>A-14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3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40"/>
          </w:tcPr>
          <w:p>
            <w:pPr>
              <w:spacing w:after="0"/>
              <w:rPr>
                <w:sz w:val="20"/>
                <w:szCs w:val="20"/>
                <w:color w:val="auto"/>
              </w:rPr>
            </w:pPr>
            <w:r>
              <w:rPr>
                <w:rFonts w:ascii="Arial" w:cs="Arial" w:eastAsia="Arial" w:hAnsi="Arial"/>
                <w:sz w:val="18"/>
                <w:szCs w:val="18"/>
                <w:color w:val="0000EE"/>
              </w:rPr>
              <w:t>Article 11. Dividend Equivalents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A-14</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40"/>
          </w:tcPr>
          <w:p>
            <w:pPr>
              <w:spacing w:after="0"/>
              <w:rPr>
                <w:sz w:val="20"/>
                <w:szCs w:val="20"/>
                <w:color w:val="auto"/>
              </w:rPr>
            </w:pPr>
            <w:r>
              <w:rPr>
                <w:rFonts w:ascii="Arial" w:cs="Arial" w:eastAsia="Arial" w:hAnsi="Arial"/>
                <w:sz w:val="18"/>
                <w:szCs w:val="18"/>
                <w:color w:val="0000EE"/>
              </w:rPr>
              <w:t>Article 12. Bonus Shares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A-14</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40"/>
          </w:tcPr>
          <w:p>
            <w:pPr>
              <w:spacing w:after="0"/>
              <w:rPr>
                <w:sz w:val="20"/>
                <w:szCs w:val="20"/>
                <w:color w:val="auto"/>
              </w:rPr>
            </w:pPr>
            <w:r>
              <w:rPr>
                <w:rFonts w:ascii="Arial" w:cs="Arial" w:eastAsia="Arial" w:hAnsi="Arial"/>
                <w:sz w:val="18"/>
                <w:szCs w:val="18"/>
                <w:color w:val="0000EE"/>
              </w:rPr>
              <w:t>Article 13. Other Stock-Based Awards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40"/>
          </w:tcPr>
          <w:p>
            <w:pPr>
              <w:spacing w:after="0"/>
              <w:rPr>
                <w:sz w:val="20"/>
                <w:szCs w:val="20"/>
                <w:color w:val="auto"/>
              </w:rPr>
            </w:pPr>
            <w:r>
              <w:rPr>
                <w:rFonts w:ascii="Arial" w:cs="Arial" w:eastAsia="Arial" w:hAnsi="Arial"/>
                <w:sz w:val="18"/>
                <w:szCs w:val="18"/>
                <w:color w:val="0000EE"/>
              </w:rPr>
              <w:t>Article 14. Non-Employee Director Awards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40"/>
          </w:tcPr>
          <w:p>
            <w:pPr>
              <w:spacing w:after="0"/>
              <w:rPr>
                <w:sz w:val="20"/>
                <w:szCs w:val="20"/>
                <w:color w:val="auto"/>
              </w:rPr>
            </w:pPr>
            <w:r>
              <w:rPr>
                <w:rFonts w:ascii="Arial" w:cs="Arial" w:eastAsia="Arial" w:hAnsi="Arial"/>
                <w:sz w:val="18"/>
                <w:szCs w:val="18"/>
                <w:color w:val="0000EE"/>
              </w:rPr>
              <w:t>Article 15. Amendment, Modification, and Termination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15.</w:t>
            </w:r>
            <w:r>
              <w:rPr>
                <w:rFonts w:ascii="Arial" w:cs="Arial" w:eastAsia="Arial" w:hAnsi="Arial"/>
                <w:sz w:val="18"/>
                <w:szCs w:val="18"/>
                <w:u w:val="single" w:color="auto"/>
                <w:color w:val="0000EE"/>
              </w:rPr>
              <w:t>1</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Amendment, Modification, and Termination</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15.</w:t>
            </w:r>
            <w:r>
              <w:rPr>
                <w:rFonts w:ascii="Arial" w:cs="Arial" w:eastAsia="Arial" w:hAnsi="Arial"/>
                <w:sz w:val="18"/>
                <w:szCs w:val="18"/>
                <w:u w:val="single" w:color="auto"/>
                <w:color w:val="0000EE"/>
              </w:rPr>
              <w:t>2</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Awards Previously Granted</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40"/>
          </w:tcPr>
          <w:p>
            <w:pPr>
              <w:spacing w:after="0"/>
              <w:rPr>
                <w:sz w:val="20"/>
                <w:szCs w:val="20"/>
                <w:color w:val="auto"/>
              </w:rPr>
            </w:pPr>
            <w:r>
              <w:rPr>
                <w:rFonts w:ascii="Arial" w:cs="Arial" w:eastAsia="Arial" w:hAnsi="Arial"/>
                <w:sz w:val="18"/>
                <w:szCs w:val="18"/>
                <w:color w:val="0000EE"/>
              </w:rPr>
              <w:t>Article 16. Compliance with Code Section 409A</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1</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Awards Subject to Code Section 409A</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2</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Deferral and/or Distribution Elections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A-15</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3</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Subsequent Elections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A-16</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4</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Distributions Pursuant to Deferral Elections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A-16</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5</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Six Month Delay</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A-16</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6</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Death or Disability</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A-16</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7</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No Acceleration of Distributions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A-16</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gridSpan w:val="40"/>
            <w:shd w:val="clear" w:color="auto" w:fill="CCEEFF"/>
          </w:tcPr>
          <w:p>
            <w:pPr>
              <w:spacing w:after="0"/>
              <w:rPr>
                <w:sz w:val="20"/>
                <w:szCs w:val="20"/>
                <w:color w:val="auto"/>
              </w:rPr>
            </w:pPr>
            <w:r>
              <w:rPr>
                <w:rFonts w:ascii="Arial" w:cs="Arial" w:eastAsia="Arial" w:hAnsi="Arial"/>
                <w:sz w:val="18"/>
                <w:szCs w:val="18"/>
                <w:color w:val="0000EE"/>
              </w:rPr>
              <w:t>Article 17. Withholding</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A-16</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17.</w:t>
            </w:r>
            <w:r>
              <w:rPr>
                <w:rFonts w:ascii="Arial" w:cs="Arial" w:eastAsia="Arial" w:hAnsi="Arial"/>
                <w:sz w:val="18"/>
                <w:szCs w:val="18"/>
                <w:u w:val="single" w:color="auto"/>
                <w:color w:val="0000EE"/>
              </w:rPr>
              <w:t>1</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Required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A-16</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17.</w:t>
            </w:r>
            <w:r>
              <w:rPr>
                <w:rFonts w:ascii="Arial" w:cs="Arial" w:eastAsia="Arial" w:hAnsi="Arial"/>
                <w:sz w:val="18"/>
                <w:szCs w:val="18"/>
                <w:u w:val="single" w:color="auto"/>
                <w:color w:val="0000EE"/>
              </w:rPr>
              <w:t>2</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Notification under Code Section 83(b)</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A-17</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40"/>
            <w:shd w:val="clear" w:color="auto" w:fill="CCEEFF"/>
          </w:tcPr>
          <w:p>
            <w:pPr>
              <w:spacing w:after="0"/>
              <w:rPr>
                <w:sz w:val="20"/>
                <w:szCs w:val="20"/>
                <w:color w:val="auto"/>
              </w:rPr>
            </w:pPr>
            <w:r>
              <w:rPr>
                <w:rFonts w:ascii="Arial" w:cs="Arial" w:eastAsia="Arial" w:hAnsi="Arial"/>
                <w:sz w:val="18"/>
                <w:szCs w:val="18"/>
                <w:color w:val="0000EE"/>
              </w:rPr>
              <w:t>Article 18. Additional Provisions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A-17</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1</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Successors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A-17</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2</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Severability</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A-17</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3</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Requirements of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A-17</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4</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Securities Law Compliance</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A-17</w:t>
            </w:r>
          </w:p>
        </w:tc>
        <w:tc>
          <w:tcPr>
            <w:tcW w:w="0" w:type="dxa"/>
            <w:vAlign w:val="bottom"/>
          </w:tcPr>
          <w:p>
            <w:pPr>
              <w:spacing w:after="0"/>
              <w:rPr>
                <w:sz w:val="1"/>
                <w:szCs w:val="1"/>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5</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Forfeiture Events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A-18</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6</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No Rights as a Stockholder</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A-18</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7</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Nature of Payments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A-18</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8</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Non-Exclusivity of Plan</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A-18</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ind w:left="180"/>
              <w:spacing w:after="0"/>
              <w:rPr>
                <w:sz w:val="20"/>
                <w:szCs w:val="20"/>
                <w:color w:val="auto"/>
              </w:rPr>
            </w:pPr>
            <w:r>
              <w:rPr>
                <w:rFonts w:ascii="Arial" w:cs="Arial" w:eastAsia="Arial" w:hAnsi="Arial"/>
                <w:sz w:val="18"/>
                <w:szCs w:val="18"/>
                <w:color w:val="0000EE"/>
              </w:rPr>
              <w:t>18.</w:t>
            </w:r>
            <w:r>
              <w:rPr>
                <w:rFonts w:ascii="Arial" w:cs="Arial" w:eastAsia="Arial" w:hAnsi="Arial"/>
                <w:sz w:val="18"/>
                <w:szCs w:val="18"/>
                <w:u w:val="single" w:color="auto"/>
                <w:color w:val="0000EE"/>
              </w:rPr>
              <w:t>9</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Governing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10</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Unfunded Status of Awards; Creation of Trusts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11</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Affiliation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12</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Participation</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13</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Military Service</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14</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Construction</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15</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Headings</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16</w:t>
            </w:r>
          </w:p>
        </w:tc>
        <w:tc>
          <w:tcPr>
            <w:tcW w:w="160" w:type="dxa"/>
            <w:vAlign w:val="bottom"/>
            <w:shd w:val="clear" w:color="auto" w:fill="CCEEFF"/>
          </w:tcPr>
          <w:p>
            <w:pPr>
              <w:spacing w:after="0"/>
              <w:rPr>
                <w:sz w:val="19"/>
                <w:szCs w:val="19"/>
                <w:color w:val="auto"/>
              </w:rPr>
            </w:pPr>
          </w:p>
        </w:tc>
        <w:tc>
          <w:tcPr>
            <w:tcW w:w="7240" w:type="dxa"/>
            <w:vAlign w:val="bottom"/>
            <w:gridSpan w:val="36"/>
            <w:shd w:val="clear" w:color="auto" w:fill="CCEEFF"/>
          </w:tcPr>
          <w:p>
            <w:pPr>
              <w:spacing w:after="0"/>
              <w:rPr>
                <w:sz w:val="20"/>
                <w:szCs w:val="20"/>
                <w:color w:val="auto"/>
              </w:rPr>
            </w:pPr>
            <w:r>
              <w:rPr>
                <w:rFonts w:ascii="Arial" w:cs="Arial" w:eastAsia="Arial" w:hAnsi="Arial"/>
                <w:sz w:val="18"/>
                <w:szCs w:val="18"/>
                <w:color w:val="0000EE"/>
              </w:rPr>
              <w:t>Obligations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80" w:type="dxa"/>
            <w:vAlign w:val="bottom"/>
            <w:gridSpan w:val="3"/>
          </w:tcPr>
          <w:p>
            <w:pPr>
              <w:ind w:left="180"/>
              <w:spacing w:after="0"/>
              <w:rPr>
                <w:sz w:val="20"/>
                <w:szCs w:val="20"/>
                <w:color w:val="auto"/>
              </w:rPr>
            </w:pPr>
            <w:r>
              <w:rPr>
                <w:rFonts w:ascii="Arial" w:cs="Arial" w:eastAsia="Arial" w:hAnsi="Arial"/>
                <w:sz w:val="18"/>
                <w:szCs w:val="18"/>
                <w:color w:val="0000EE"/>
                <w:w w:val="79"/>
              </w:rPr>
              <w:t>18.</w:t>
            </w:r>
            <w:r>
              <w:rPr>
                <w:rFonts w:ascii="Arial" w:cs="Arial" w:eastAsia="Arial" w:hAnsi="Arial"/>
                <w:sz w:val="18"/>
                <w:szCs w:val="18"/>
                <w:u w:val="single" w:color="auto"/>
                <w:color w:val="0000EE"/>
                <w:w w:val="79"/>
              </w:rPr>
              <w:t>17</w:t>
            </w:r>
          </w:p>
        </w:tc>
        <w:tc>
          <w:tcPr>
            <w:tcW w:w="160" w:type="dxa"/>
            <w:vAlign w:val="bottom"/>
          </w:tcPr>
          <w:p>
            <w:pPr>
              <w:spacing w:after="0"/>
              <w:rPr>
                <w:sz w:val="19"/>
                <w:szCs w:val="19"/>
                <w:color w:val="auto"/>
              </w:rPr>
            </w:pPr>
          </w:p>
        </w:tc>
        <w:tc>
          <w:tcPr>
            <w:tcW w:w="7240" w:type="dxa"/>
            <w:vAlign w:val="bottom"/>
            <w:gridSpan w:val="36"/>
          </w:tcPr>
          <w:p>
            <w:pPr>
              <w:spacing w:after="0"/>
              <w:rPr>
                <w:sz w:val="20"/>
                <w:szCs w:val="20"/>
                <w:color w:val="auto"/>
              </w:rPr>
            </w:pPr>
            <w:r>
              <w:rPr>
                <w:rFonts w:ascii="Arial" w:cs="Arial" w:eastAsia="Arial" w:hAnsi="Arial"/>
                <w:sz w:val="18"/>
                <w:szCs w:val="18"/>
                <w:color w:val="0000EE"/>
              </w:rPr>
              <w:t>Stockholder Approval</w:t>
            </w:r>
          </w:p>
        </w:tc>
        <w:tc>
          <w:tcPr>
            <w:tcW w:w="440" w:type="dxa"/>
            <w:vAlign w:val="bottom"/>
            <w:gridSpan w:val="2"/>
          </w:tcPr>
          <w:p>
            <w:pPr>
              <w:ind w:left="60"/>
              <w:spacing w:after="0"/>
              <w:rPr>
                <w:sz w:val="20"/>
                <w:szCs w:val="20"/>
                <w:color w:val="auto"/>
              </w:rPr>
            </w:pPr>
            <w:r>
              <w:rPr>
                <w:rFonts w:ascii="Arial" w:cs="Arial" w:eastAsia="Arial" w:hAnsi="Arial"/>
                <w:sz w:val="18"/>
                <w:szCs w:val="18"/>
                <w:color w:val="0000EE"/>
                <w:w w:val="94"/>
              </w:rPr>
              <w:t>A-19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-9977755</wp:posOffset>
            </wp:positionV>
            <wp:extent cx="25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2019 OMNIBUS EQUITY INCENTIVE PLAN</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103"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Effective Date of the Plan</w:t>
      </w:r>
      <w:r>
        <w:rPr>
          <w:rFonts w:ascii="Arial" w:cs="Arial" w:eastAsia="Arial" w:hAnsi="Arial"/>
          <w:sz w:val="16"/>
          <w:szCs w:val="16"/>
          <w:color w:val="auto"/>
        </w:rPr>
        <w:t>. The Board of Directors of Galectin Therapeutics Inc., a Nevada corporation (the “Company”), adopted the 2019 Omnibus Equity Incentive Plan (the “Plan”) effective as of September 25, 2019 (the “Effective Date”), subject to approval by the Company’s stockholders, as may be amended from time to time.</w:t>
      </w:r>
    </w:p>
    <w:p>
      <w:pPr>
        <w:spacing w:after="0" w:line="4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Objectives of the Plan</w:t>
      </w:r>
      <w:r>
        <w:rPr>
          <w:rFonts w:ascii="Arial" w:cs="Arial" w:eastAsia="Arial" w:hAnsi="Arial"/>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7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31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Definitions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117"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Affiliate</w:t>
      </w:r>
      <w:r>
        <w:rPr>
          <w:rFonts w:ascii="Arial" w:cs="Arial" w:eastAsia="Arial" w:hAnsi="Arial"/>
          <w:sz w:val="16"/>
          <w:szCs w:val="16"/>
          <w:color w:val="auto"/>
        </w:rPr>
        <w:t>” means any corporation or other entity, including but not limited to partnerships, limited liability companies and joint ventures, with respect to which the Company, directly or indirectly, owns as applicable</w:t>
      </w:r>
    </w:p>
    <w:p>
      <w:pPr>
        <w:jc w:val="both"/>
        <w:ind w:left="300" w:right="339" w:hanging="8"/>
        <w:spacing w:after="0" w:line="281" w:lineRule="auto"/>
        <w:tabs>
          <w:tab w:leader="none" w:pos="5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stock possessing more than fifty percent (50%) of the total combined voting power of all classes of stock entitled to vote, or more than fifty percent (50%) of the total value of all shares of all classes of stock of such corporation, or</w:t>
      </w:r>
    </w:p>
    <w:p>
      <w:pPr>
        <w:spacing w:after="0" w:line="1" w:lineRule="exact"/>
        <w:rPr>
          <w:rFonts w:ascii="Arial" w:cs="Arial" w:eastAsia="Arial" w:hAnsi="Arial"/>
          <w:sz w:val="16"/>
          <w:szCs w:val="16"/>
          <w:color w:val="auto"/>
        </w:rPr>
      </w:pPr>
    </w:p>
    <w:p>
      <w:pPr>
        <w:ind w:left="540" w:hanging="248"/>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aggregate of more than fifty percent (50%) of the profits interest or capital interest of a non-corporate entity.</w:t>
      </w:r>
    </w:p>
    <w:p>
      <w:pPr>
        <w:spacing w:after="0" w:line="126"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Award</w:t>
      </w:r>
      <w:r>
        <w:rPr>
          <w:rFonts w:ascii="Arial" w:cs="Arial" w:eastAsia="Arial" w:hAnsi="Arial"/>
          <w:sz w:val="16"/>
          <w:szCs w:val="16"/>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41"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defined in an Award Agreement:</w:t>
      </w:r>
    </w:p>
    <w:p>
      <w:pPr>
        <w:spacing w:after="0" w:line="117" w:lineRule="exact"/>
        <w:rPr>
          <w:sz w:val="20"/>
          <w:szCs w:val="20"/>
          <w:color w:val="auto"/>
        </w:rPr>
      </w:pPr>
    </w:p>
    <w:p>
      <w:pPr>
        <w:ind w:left="660" w:right="639" w:firstLine="360"/>
        <w:spacing w:after="0" w:line="277" w:lineRule="auto"/>
        <w:rPr>
          <w:sz w:val="20"/>
          <w:szCs w:val="20"/>
          <w:color w:val="auto"/>
        </w:rPr>
      </w:pPr>
      <w:r>
        <w:rPr>
          <w:rFonts w:ascii="Arial" w:cs="Arial" w:eastAsia="Arial" w:hAnsi="Arial"/>
          <w:sz w:val="18"/>
          <w:szCs w:val="18"/>
          <w:color w:val="auto"/>
        </w:rPr>
        <w:t>(a) the failure by the Grantee to perform, in a reasonable manner, his or her duties as assigned by the Company or an Affiliate,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right="999" w:firstLine="360"/>
        <w:spacing w:after="0" w:line="277" w:lineRule="auto"/>
        <w:rPr>
          <w:sz w:val="20"/>
          <w:szCs w:val="20"/>
          <w:color w:val="auto"/>
        </w:rPr>
      </w:pPr>
      <w:r>
        <w:rPr>
          <w:rFonts w:ascii="Arial" w:cs="Arial" w:eastAsia="Arial" w:hAnsi="Arial"/>
          <w:sz w:val="18"/>
          <w:szCs w:val="18"/>
          <w:color w:val="auto"/>
        </w:rPr>
        <w:t>(b) any violation or breach by the Grantee of his or her employment, consulting or other similar agreement with the Company or an Affiliate, if any,</w:t>
      </w:r>
    </w:p>
    <w:p>
      <w:pPr>
        <w:spacing w:after="0" w:line="62" w:lineRule="exact"/>
        <w:rPr>
          <w:sz w:val="20"/>
          <w:szCs w:val="20"/>
          <w:color w:val="auto"/>
        </w:rPr>
      </w:pPr>
    </w:p>
    <w:p>
      <w:pPr>
        <w:ind w:left="660" w:right="759" w:firstLine="360"/>
        <w:spacing w:after="0" w:line="277" w:lineRule="auto"/>
        <w:rPr>
          <w:sz w:val="20"/>
          <w:szCs w:val="20"/>
          <w:color w:val="auto"/>
        </w:rPr>
      </w:pPr>
      <w:r>
        <w:rPr>
          <w:rFonts w:ascii="Arial" w:cs="Arial" w:eastAsia="Arial" w:hAnsi="Arial"/>
          <w:sz w:val="18"/>
          <w:szCs w:val="18"/>
          <w:color w:val="auto"/>
        </w:rPr>
        <w:t>(c) any violation or breach by the Grantee of any non-competition, non-solicitation, non-disclosure and/or other similar agreement with the Company or an Affiliate,</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(d) any act by the Grantee of dishonesty or bad faith with respect to the Company or an Affiliate</w:t>
      </w:r>
    </w:p>
    <w:p>
      <w:pPr>
        <w:spacing w:after="0" w:line="129" w:lineRule="exact"/>
        <w:rPr>
          <w:sz w:val="20"/>
          <w:szCs w:val="20"/>
          <w:color w:val="auto"/>
        </w:rPr>
      </w:pPr>
    </w:p>
    <w:p>
      <w:pPr>
        <w:ind w:left="660" w:right="699" w:firstLine="360"/>
        <w:spacing w:after="0" w:line="277" w:lineRule="auto"/>
        <w:rPr>
          <w:sz w:val="20"/>
          <w:szCs w:val="20"/>
          <w:color w:val="auto"/>
        </w:rPr>
      </w:pPr>
      <w:r>
        <w:rPr>
          <w:rFonts w:ascii="Arial" w:cs="Arial" w:eastAsia="Arial" w:hAnsi="Arial"/>
          <w:sz w:val="18"/>
          <w:szCs w:val="18"/>
          <w:color w:val="auto"/>
        </w:rPr>
        <w:t>(e) use of alcohol, drugs or other similar substances in a manner that adversely affects the Grantee’s work performance, or</w:t>
      </w:r>
    </w:p>
    <w:p>
      <w:pPr>
        <w:spacing w:after="0" w:line="62" w:lineRule="exact"/>
        <w:rPr>
          <w:sz w:val="20"/>
          <w:szCs w:val="20"/>
          <w:color w:val="auto"/>
        </w:rPr>
      </w:pPr>
    </w:p>
    <w:p>
      <w:pPr>
        <w:ind w:left="660" w:right="599" w:firstLine="360"/>
        <w:spacing w:after="0" w:line="277" w:lineRule="auto"/>
        <w:rPr>
          <w:sz w:val="20"/>
          <w:szCs w:val="20"/>
          <w:color w:val="auto"/>
        </w:rPr>
      </w:pPr>
      <w:r>
        <w:rPr>
          <w:rFonts w:ascii="Arial" w:cs="Arial" w:eastAsia="Arial" w:hAnsi="Arial"/>
          <w:sz w:val="18"/>
          <w:szCs w:val="18"/>
          <w:color w:val="auto"/>
        </w:rPr>
        <w:t>(f) the commission by the Grantee of any act, misdemeanor, or crime reflecting unfavorably upon the Grantee or the Company or any Affiliate; or</w:t>
      </w:r>
    </w:p>
    <w:p>
      <w:pPr>
        <w:spacing w:after="0" w:line="62" w:lineRule="exact"/>
        <w:rPr>
          <w:sz w:val="20"/>
          <w:szCs w:val="20"/>
          <w:color w:val="auto"/>
        </w:rPr>
      </w:pPr>
    </w:p>
    <w:p>
      <w:pPr>
        <w:ind w:left="660" w:right="579" w:firstLine="360"/>
        <w:spacing w:after="0" w:line="277" w:lineRule="auto"/>
        <w:rPr>
          <w:sz w:val="20"/>
          <w:szCs w:val="20"/>
          <w:color w:val="auto"/>
        </w:rPr>
      </w:pPr>
      <w:r>
        <w:rPr>
          <w:rFonts w:ascii="Arial" w:cs="Arial" w:eastAsia="Arial" w:hAnsi="Arial"/>
          <w:sz w:val="18"/>
          <w:szCs w:val="18"/>
          <w:color w:val="auto"/>
        </w:rPr>
        <w:t>(g) any material misconduct in violation of the Company’s or an Affiliate’s written policies regarding ethical standards, conduct in workplace or safety;</w:t>
      </w:r>
    </w:p>
    <w:p>
      <w:pPr>
        <w:spacing w:after="0" w:line="62"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Affiliates or participates in any severance plan established by the Company that includes a definition of “cause,” Cause shall have the meaning set forth in such employment or consulting agreement or severance plan. The good faith determination by the Committee of whether a Grantee’s actions or omissions constitute grounds to terminate his or her service with the Company or an Affiliate for “Cause” shall be final and binding for all purposes hereunder.</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Section 16.4(e).</w:t>
      </w:r>
    </w:p>
    <w:p>
      <w:pPr>
        <w:spacing w:after="0" w:line="117"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References to a particular section of the Code include references to regulations and rulings thereunder and to successor provisions.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or “</w:t>
      </w:r>
      <w:r>
        <w:rPr>
          <w:rFonts w:ascii="Arial" w:cs="Arial" w:eastAsia="Arial" w:hAnsi="Arial"/>
          <w:sz w:val="18"/>
          <w:szCs w:val="18"/>
          <w:u w:val="single" w:color="auto"/>
          <w:color w:val="auto"/>
        </w:rPr>
        <w:t>Incentive Plan Committee</w:t>
      </w:r>
      <w:r>
        <w:rPr>
          <w:rFonts w:ascii="Arial" w:cs="Arial" w:eastAsia="Arial" w:hAnsi="Arial"/>
          <w:sz w:val="18"/>
          <w:szCs w:val="18"/>
          <w:color w:val="auto"/>
        </w:rPr>
        <w:t>” has the meaning set forth in Section 3.1(a).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have the meaning set forth in Section 4.2(b).</w:t>
      </w:r>
    </w:p>
    <w:p>
      <w:pPr>
        <w:spacing w:after="0" w:line="117"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62"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(a) Except as provided in (b) below, a disability within the meaning of Section 22(e)(3) of the Code; and</w:t>
      </w:r>
    </w:p>
    <w:p>
      <w:pPr>
        <w:spacing w:after="0" w:line="140" w:lineRule="exact"/>
        <w:rPr>
          <w:sz w:val="20"/>
          <w:szCs w:val="20"/>
          <w:color w:val="auto"/>
        </w:rPr>
      </w:pPr>
    </w:p>
    <w:p>
      <w:pPr>
        <w:ind w:left="660" w:right="359" w:firstLine="360"/>
        <w:spacing w:after="0" w:line="263" w:lineRule="auto"/>
        <w:rPr>
          <w:sz w:val="20"/>
          <w:szCs w:val="20"/>
          <w:color w:val="auto"/>
        </w:rPr>
      </w:pPr>
      <w:r>
        <w:rPr>
          <w:rFonts w:ascii="Arial" w:cs="Arial" w:eastAsia="Arial" w:hAnsi="Arial"/>
          <w:sz w:val="18"/>
          <w:szCs w:val="18"/>
          <w:color w:val="auto"/>
        </w:rPr>
        <w:t>(b) In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76" w:lineRule="exact"/>
        <w:rPr>
          <w:sz w:val="20"/>
          <w:szCs w:val="20"/>
          <w:color w:val="auto"/>
        </w:rPr>
      </w:pPr>
    </w:p>
    <w:p>
      <w:pPr>
        <w:ind w:left="1020" w:right="319" w:firstLine="360"/>
        <w:spacing w:after="0" w:line="263" w:lineRule="auto"/>
        <w:rPr>
          <w:sz w:val="20"/>
          <w:szCs w:val="20"/>
          <w:color w:val="auto"/>
        </w:rPr>
      </w:pPr>
      <w:r>
        <w:rPr>
          <w:rFonts w:ascii="Arial" w:cs="Arial" w:eastAsia="Arial" w:hAnsi="Arial"/>
          <w:sz w:val="18"/>
          <w:szCs w:val="18"/>
          <w:color w:val="auto"/>
        </w:rPr>
        <w:t>(i) the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76" w:lineRule="exact"/>
        <w:rPr>
          <w:sz w:val="20"/>
          <w:szCs w:val="20"/>
          <w:color w:val="auto"/>
        </w:rPr>
      </w:pPr>
    </w:p>
    <w:p>
      <w:pPr>
        <w:ind w:left="1020" w:right="359" w:firstLine="360"/>
        <w:spacing w:after="0" w:line="291" w:lineRule="auto"/>
        <w:rPr>
          <w:sz w:val="20"/>
          <w:szCs w:val="20"/>
          <w:color w:val="auto"/>
        </w:rPr>
      </w:pPr>
      <w:r>
        <w:rPr>
          <w:rFonts w:ascii="Arial" w:cs="Arial" w:eastAsia="Arial" w:hAnsi="Arial"/>
          <w:sz w:val="16"/>
          <w:szCs w:val="16"/>
          <w:color w:val="auto"/>
        </w:rPr>
        <w:t>(ii) the Grantee is, by reason of any medically determinable physical or mental impairment which can be expected to result in death or can be expected to last for a continuous period of not less than twelve</w:t>
      </w:r>
    </w:p>
    <w:p>
      <w:pPr>
        <w:ind w:left="1020" w:right="339" w:hanging="8"/>
        <w:spacing w:after="0" w:line="260" w:lineRule="auto"/>
        <w:tabs>
          <w:tab w:leader="none" w:pos="13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months, receiving income replacement benefits for a period of not less than three (3) months under an accident and health plan covering employees of the Grantee’s employer.</w:t>
      </w:r>
    </w:p>
    <w:p>
      <w:pPr>
        <w:spacing w:after="0" w:line="77"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Eligible Person</w:t>
      </w:r>
      <w:r>
        <w:rPr>
          <w:rFonts w:ascii="Arial" w:cs="Arial" w:eastAsia="Arial" w:hAnsi="Arial"/>
          <w:sz w:val="17"/>
          <w:szCs w:val="17"/>
          <w:color w:val="auto"/>
        </w:rPr>
        <w:t>”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7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62" w:lineRule="exact"/>
        <w:rPr>
          <w:sz w:val="20"/>
          <w:szCs w:val="20"/>
          <w:color w:val="auto"/>
        </w:rPr>
      </w:pPr>
    </w:p>
    <w:p>
      <w:pPr>
        <w:jc w:val="both"/>
        <w:ind w:left="300" w:right="419" w:firstLine="360"/>
        <w:spacing w:after="0" w:line="259"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(a) with respect to an Option, the price at which a Share may be purchased by a Grantee pursuant to such Option or (b) with respect to an SAR, the price established at the time an SAR is granted pursuant to Article 7, which is used to determine the amount, if any, of the payment due to a Grantee upon exercise of the SAR.</w:t>
      </w:r>
    </w:p>
    <w:p>
      <w:pPr>
        <w:spacing w:after="0" w:line="79" w:lineRule="exact"/>
        <w:rPr>
          <w:sz w:val="20"/>
          <w:szCs w:val="20"/>
          <w:color w:val="auto"/>
        </w:rPr>
      </w:pPr>
    </w:p>
    <w:p>
      <w:pPr>
        <w:ind w:left="300" w:right="379" w:firstLine="360"/>
        <w:spacing w:after="0" w:line="288"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60"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Grantee</w:t>
      </w:r>
      <w:r>
        <w:rPr>
          <w:rFonts w:ascii="Arial" w:cs="Arial" w:eastAsia="Arial" w:hAnsi="Arial"/>
          <w:sz w:val="18"/>
          <w:szCs w:val="18"/>
          <w:color w:val="auto"/>
        </w:rPr>
        <w:t>” means a person who has been granted an Award.</w:t>
      </w:r>
    </w:p>
    <w:p>
      <w:pPr>
        <w:spacing w:after="0" w:line="117"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62"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has the meaning set forth in Section 3.1(b).</w:t>
      </w:r>
    </w:p>
    <w:p>
      <w:pPr>
        <w:spacing w:after="0" w:line="117"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 or any Affiliate.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granted under Article 6 of the Plan.</w:t>
      </w:r>
    </w:p>
    <w:p>
      <w:pPr>
        <w:spacing w:after="0" w:line="117"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62" w:lineRule="exact"/>
        <w:rPr>
          <w:sz w:val="20"/>
          <w:szCs w:val="20"/>
          <w:color w:val="auto"/>
        </w:rPr>
      </w:pPr>
    </w:p>
    <w:p>
      <w:pPr>
        <w:ind w:left="300" w:right="299" w:firstLine="360"/>
        <w:spacing w:after="0" w:line="342" w:lineRule="auto"/>
        <w:rPr>
          <w:sz w:val="20"/>
          <w:szCs w:val="20"/>
          <w:color w:val="auto"/>
        </w:rPr>
      </w:pPr>
      <w:r>
        <w:rPr>
          <w:rFonts w:ascii="Arial" w:cs="Arial" w:eastAsia="Arial" w:hAnsi="Arial"/>
          <w:sz w:val="16"/>
          <w:szCs w:val="16"/>
          <w:color w:val="auto"/>
        </w:rPr>
        <w:t>2.30 “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with respect to an Award of Performance Shares or Performance Units, the period of time during which the performance vesting conditions applicable to such Award must be satisfied.</w:t>
      </w:r>
    </w:p>
    <w:p>
      <w:pPr>
        <w:spacing w:after="0" w:line="16"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any grant pursuant to Article 9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any grant pursuant to Article 9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80"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62"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7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76"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if the Grantee satisfies the conditions specified in the Award Agreement applicable to such rights.</w:t>
      </w:r>
    </w:p>
    <w:p>
      <w:pPr>
        <w:spacing w:after="0" w:line="62"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by the SEC under the Exchange Act, as amended from time to time, together with any successor rule.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2.38 “</w:t>
      </w:r>
      <w:r>
        <w:rPr>
          <w:rFonts w:ascii="Arial" w:cs="Arial" w:eastAsia="Arial" w:hAnsi="Arial"/>
          <w:sz w:val="17"/>
          <w:szCs w:val="17"/>
          <w:u w:val="single" w:color="auto"/>
          <w:color w:val="auto"/>
        </w:rPr>
        <w:t>SEC</w:t>
      </w:r>
      <w:r>
        <w:rPr>
          <w:rFonts w:ascii="Arial" w:cs="Arial" w:eastAsia="Arial" w:hAnsi="Arial"/>
          <w:sz w:val="17"/>
          <w:szCs w:val="17"/>
          <w:color w:val="auto"/>
        </w:rPr>
        <w:t>” means the United States Securities and Exchange Commission, or any successor thereto.</w:t>
      </w:r>
    </w:p>
    <w:p>
      <w:pPr>
        <w:spacing w:after="0" w:line="129"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62"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2.41 “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with respect to any Award that constitutes deferred compensation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within the meaning of Code Section 409A, a “separation from service” as defined in Treasury Regulation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Section 1.409A-1(h). For this purpose, a “separation from service” is deemed to occur on the date that the Company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the Grantee reasonably anticipate that the level of bona fide services the Grantee would perform for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Company and/or any Affiliates after that date (whether as an employee, Non-Employee Director or consultant or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independent contractor) would permanently decrease to a level that, based on the facts and circumstances, would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constitute a separation from service; provided that a decrease to a level that is 50% or more of the average level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bona fide services provided over the prior 36 months shall not be a separation from service, and a decrease to a level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that is 20% or less of the average level of such bona fide services shall be a separation from service. The Committee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retains the right and discretion to specify, and may specify, whether a separation from service occurs with respect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those individuals who are performing services for the Company or an Affiliate immediately prior to an asset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purchase transaction in which the Company or an Affiliate is the seller and who continue to perform services for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buyer (or an affiliate thereof) immediately following such asset purchase transaction; provided, such specification is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made in accordance with the requirements of Treasury Regulation Section 1.409A-1(h)(4).</w:t>
      </w:r>
    </w:p>
    <w:p>
      <w:pPr>
        <w:spacing w:after="0" w:line="103"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Article 7 of the Plan.</w:t>
      </w:r>
    </w:p>
    <w:p>
      <w:pPr>
        <w:spacing w:after="0" w:line="117"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7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Surviving Company</w:t>
      </w:r>
      <w:r>
        <w:rPr>
          <w:rFonts w:ascii="Arial" w:cs="Arial" w:eastAsia="Arial" w:hAnsi="Arial"/>
          <w:sz w:val="17"/>
          <w:szCs w:val="17"/>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Term</w:t>
      </w:r>
      <w:r>
        <w:rPr>
          <w:rFonts w:ascii="Arial" w:cs="Arial" w:eastAsia="Arial" w:hAnsi="Arial"/>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76"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2.47 “</w:t>
      </w:r>
      <w:r>
        <w:rPr>
          <w:rFonts w:ascii="Arial" w:cs="Arial" w:eastAsia="Arial" w:hAnsi="Arial"/>
          <w:sz w:val="17"/>
          <w:szCs w:val="17"/>
          <w:u w:val="single" w:color="auto"/>
          <w:color w:val="auto"/>
        </w:rPr>
        <w:t>Termination of Affiliation</w:t>
      </w:r>
      <w:r>
        <w:rPr>
          <w:rFonts w:ascii="Arial" w:cs="Arial" w:eastAsia="Arial" w:hAnsi="Arial"/>
          <w:sz w:val="17"/>
          <w:szCs w:val="17"/>
          <w:color w:val="auto"/>
        </w:rPr>
        <w:t>” occurs on the first day on which an individual is for any reason no longer performing services for the Company or any Affiliate in the capacity of an employee of, a non-employee consultant to, or a Non-Employee Director of, the Company or any Affiliate (other than an Eligible Person who is on a bona fide leave of absence)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33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Administration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17" w:lineRule="exact"/>
        <w:rPr>
          <w:sz w:val="20"/>
          <w:szCs w:val="20"/>
          <w:color w:val="auto"/>
        </w:rPr>
      </w:pPr>
    </w:p>
    <w:p>
      <w:pPr>
        <w:ind w:left="660" w:right="339" w:firstLine="360"/>
        <w:spacing w:after="0" w:line="290" w:lineRule="auto"/>
        <w:rPr>
          <w:sz w:val="20"/>
          <w:szCs w:val="20"/>
          <w:color w:val="auto"/>
        </w:rPr>
      </w:pPr>
      <w:r>
        <w:rPr>
          <w:rFonts w:ascii="Arial" w:cs="Arial" w:eastAsia="Arial" w:hAnsi="Arial"/>
          <w:sz w:val="16"/>
          <w:szCs w:val="16"/>
          <w:color w:val="auto"/>
        </w:rPr>
        <w:t>(a) Subject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57" w:lineRule="exact"/>
        <w:rPr>
          <w:sz w:val="20"/>
          <w:szCs w:val="20"/>
          <w:color w:val="auto"/>
        </w:rPr>
      </w:pPr>
    </w:p>
    <w:p>
      <w:pPr>
        <w:ind w:left="660" w:right="439" w:firstLine="360"/>
        <w:spacing w:after="0" w:line="279" w:lineRule="auto"/>
        <w:rPr>
          <w:sz w:val="20"/>
          <w:szCs w:val="20"/>
          <w:color w:val="auto"/>
        </w:rPr>
      </w:pPr>
      <w:r>
        <w:rPr>
          <w:rFonts w:ascii="Arial" w:cs="Arial" w:eastAsia="Arial" w:hAnsi="Arial"/>
          <w:sz w:val="17"/>
          <w:szCs w:val="17"/>
          <w:color w:val="auto"/>
        </w:rPr>
        <w:t>(b) The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63" w:lineRule="exact"/>
        <w:rPr>
          <w:sz w:val="20"/>
          <w:szCs w:val="20"/>
          <w:color w:val="auto"/>
        </w:rPr>
      </w:pPr>
    </w:p>
    <w:p>
      <w:pPr>
        <w:ind w:left="660" w:right="299" w:firstLine="360"/>
        <w:spacing w:after="0" w:line="271" w:lineRule="auto"/>
        <w:rPr>
          <w:sz w:val="20"/>
          <w:szCs w:val="20"/>
          <w:color w:val="auto"/>
        </w:rPr>
      </w:pPr>
      <w:r>
        <w:rPr>
          <w:rFonts w:ascii="Arial" w:cs="Arial" w:eastAsia="Arial" w:hAnsi="Arial"/>
          <w:sz w:val="17"/>
          <w:szCs w:val="17"/>
          <w:color w:val="auto"/>
        </w:rPr>
        <w:t>(c) Unless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70"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0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(a) to determine when, to whom and in what types and amounts Awards should be granted;</w:t>
      </w:r>
    </w:p>
    <w:p>
      <w:pPr>
        <w:spacing w:after="0" w:line="117" w:lineRule="exact"/>
        <w:rPr>
          <w:sz w:val="20"/>
          <w:szCs w:val="20"/>
          <w:color w:val="auto"/>
        </w:rPr>
      </w:pPr>
    </w:p>
    <w:p>
      <w:pPr>
        <w:ind w:left="660" w:right="419" w:firstLine="360"/>
        <w:spacing w:after="0" w:line="291" w:lineRule="auto"/>
        <w:rPr>
          <w:sz w:val="20"/>
          <w:szCs w:val="20"/>
          <w:color w:val="auto"/>
        </w:rPr>
      </w:pPr>
      <w:r>
        <w:rPr>
          <w:rFonts w:ascii="Arial" w:cs="Arial" w:eastAsia="Arial" w:hAnsi="Arial"/>
          <w:sz w:val="16"/>
          <w:szCs w:val="16"/>
          <w:color w:val="auto"/>
        </w:rPr>
        <w:t>(b) to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right="459" w:firstLine="360"/>
        <w:spacing w:after="0" w:line="263" w:lineRule="auto"/>
        <w:rPr>
          <w:sz w:val="20"/>
          <w:szCs w:val="20"/>
          <w:color w:val="auto"/>
        </w:rPr>
      </w:pPr>
      <w:r>
        <w:rPr>
          <w:rFonts w:ascii="Arial" w:cs="Arial" w:eastAsia="Arial" w:hAnsi="Arial"/>
          <w:sz w:val="18"/>
          <w:szCs w:val="18"/>
          <w:color w:val="auto"/>
        </w:rPr>
        <w:t>(c) to determine the benefit payable under any Performance Unit, Performance Share, Dividend Equivalent, Other Stock-Based Award or Cash Incentive Award and to determine whether any performance or vesting conditions have been satisfied;</w:t>
      </w:r>
    </w:p>
    <w:p>
      <w:pPr>
        <w:spacing w:after="0" w:line="76" w:lineRule="exact"/>
        <w:rPr>
          <w:sz w:val="20"/>
          <w:szCs w:val="20"/>
          <w:color w:val="auto"/>
        </w:rPr>
      </w:pPr>
    </w:p>
    <w:p>
      <w:pPr>
        <w:ind w:left="660" w:right="479" w:firstLine="360"/>
        <w:spacing w:after="0" w:line="263" w:lineRule="auto"/>
        <w:rPr>
          <w:sz w:val="20"/>
          <w:szCs w:val="20"/>
          <w:color w:val="auto"/>
        </w:rPr>
      </w:pPr>
      <w:r>
        <w:rPr>
          <w:rFonts w:ascii="Arial" w:cs="Arial" w:eastAsia="Arial" w:hAnsi="Arial"/>
          <w:sz w:val="18"/>
          <w:szCs w:val="18"/>
          <w:color w:val="auto"/>
        </w:rPr>
        <w:t>(d) to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(e) to determine the Term of any Option or SAR;</w:t>
      </w:r>
    </w:p>
    <w:p>
      <w:pPr>
        <w:spacing w:after="0" w:line="117" w:lineRule="exact"/>
        <w:rPr>
          <w:sz w:val="20"/>
          <w:szCs w:val="20"/>
          <w:color w:val="auto"/>
        </w:rPr>
      </w:pPr>
    </w:p>
    <w:p>
      <w:pPr>
        <w:ind w:left="660" w:right="499" w:firstLine="360"/>
        <w:spacing w:after="0" w:line="259" w:lineRule="auto"/>
        <w:rPr>
          <w:sz w:val="20"/>
          <w:szCs w:val="20"/>
          <w:color w:val="auto"/>
        </w:rPr>
      </w:pPr>
      <w:r>
        <w:rPr>
          <w:rFonts w:ascii="Arial" w:cs="Arial" w:eastAsia="Arial" w:hAnsi="Arial"/>
          <w:sz w:val="18"/>
          <w:szCs w:val="18"/>
          <w:color w:val="auto"/>
        </w:rPr>
        <w:t>(f) to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79" w:lineRule="exact"/>
        <w:rPr>
          <w:sz w:val="20"/>
          <w:szCs w:val="20"/>
          <w:color w:val="auto"/>
        </w:rPr>
      </w:pPr>
    </w:p>
    <w:p>
      <w:pPr>
        <w:ind w:left="660" w:right="459" w:firstLine="360"/>
        <w:spacing w:after="0" w:line="275" w:lineRule="auto"/>
        <w:rPr>
          <w:sz w:val="20"/>
          <w:szCs w:val="20"/>
          <w:color w:val="auto"/>
        </w:rPr>
      </w:pPr>
      <w:r>
        <w:rPr>
          <w:rFonts w:ascii="Arial" w:cs="Arial" w:eastAsia="Arial" w:hAnsi="Arial"/>
          <w:sz w:val="17"/>
          <w:szCs w:val="17"/>
          <w:color w:val="auto"/>
        </w:rPr>
        <w:t>(g) to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68" w:lineRule="exact"/>
        <w:rPr>
          <w:sz w:val="20"/>
          <w:szCs w:val="20"/>
          <w:color w:val="auto"/>
        </w:rPr>
      </w:pPr>
    </w:p>
    <w:p>
      <w:pPr>
        <w:ind w:left="660" w:right="319" w:firstLine="360"/>
        <w:spacing w:after="0" w:line="259" w:lineRule="auto"/>
        <w:rPr>
          <w:sz w:val="20"/>
          <w:szCs w:val="20"/>
          <w:color w:val="auto"/>
        </w:rPr>
      </w:pPr>
      <w:r>
        <w:rPr>
          <w:rFonts w:ascii="Arial" w:cs="Arial" w:eastAsia="Arial" w:hAnsi="Arial"/>
          <w:sz w:val="18"/>
          <w:szCs w:val="18"/>
          <w:color w:val="auto"/>
        </w:rPr>
        <w:t>(h) to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79" w:lineRule="exact"/>
        <w:rPr>
          <w:sz w:val="20"/>
          <w:szCs w:val="20"/>
          <w:color w:val="auto"/>
        </w:rPr>
      </w:pPr>
    </w:p>
    <w:p>
      <w:pPr>
        <w:ind w:left="660" w:right="439" w:firstLine="360"/>
        <w:spacing w:after="0" w:line="277" w:lineRule="auto"/>
        <w:rPr>
          <w:sz w:val="20"/>
          <w:szCs w:val="20"/>
          <w:color w:val="auto"/>
        </w:rPr>
      </w:pPr>
      <w:r>
        <w:rPr>
          <w:rFonts w:ascii="Arial" w:cs="Arial" w:eastAsia="Arial" w:hAnsi="Arial"/>
          <w:sz w:val="18"/>
          <w:szCs w:val="18"/>
          <w:color w:val="auto"/>
        </w:rPr>
        <w:t>(i) to offer to exchange or buy out any previously granted Award for a payment in cash, Shares or other Award;</w:t>
      </w:r>
    </w:p>
    <w:p>
      <w:pPr>
        <w:spacing w:after="0" w:line="62" w:lineRule="exact"/>
        <w:rPr>
          <w:sz w:val="20"/>
          <w:szCs w:val="20"/>
          <w:color w:val="auto"/>
        </w:rPr>
      </w:pPr>
    </w:p>
    <w:p>
      <w:pPr>
        <w:ind w:left="660" w:right="539" w:firstLine="360"/>
        <w:spacing w:after="0" w:line="277" w:lineRule="auto"/>
        <w:rPr>
          <w:sz w:val="20"/>
          <w:szCs w:val="20"/>
          <w:color w:val="auto"/>
        </w:rPr>
      </w:pPr>
      <w:r>
        <w:rPr>
          <w:rFonts w:ascii="Arial" w:cs="Arial" w:eastAsia="Arial" w:hAnsi="Arial"/>
          <w:sz w:val="18"/>
          <w:szCs w:val="18"/>
          <w:color w:val="auto"/>
        </w:rPr>
        <w:t>(j) to construe and interpret the Plan and to make all determinations, including factual determinations, necessary or advisable for the administration of the Plan;</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(k) to make, amend, suspend, waive and rescind rules and regulations relating to the Plan;</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(l) to appoint such agents as the Committee may deem necessary or advisable to administer the Plan;</w:t>
      </w:r>
    </w:p>
    <w:p>
      <w:pPr>
        <w:spacing w:after="0" w:line="140" w:lineRule="exact"/>
        <w:rPr>
          <w:sz w:val="20"/>
          <w:szCs w:val="20"/>
          <w:color w:val="auto"/>
        </w:rPr>
      </w:pPr>
    </w:p>
    <w:p>
      <w:pPr>
        <w:ind w:left="660" w:right="339" w:firstLine="360"/>
        <w:spacing w:after="0" w:line="291" w:lineRule="auto"/>
        <w:rPr>
          <w:sz w:val="20"/>
          <w:szCs w:val="20"/>
          <w:color w:val="auto"/>
        </w:rPr>
      </w:pPr>
      <w:r>
        <w:rPr>
          <w:rFonts w:ascii="Arial" w:cs="Arial" w:eastAsia="Arial" w:hAnsi="Arial"/>
          <w:sz w:val="16"/>
          <w:szCs w:val="16"/>
          <w:color w:val="auto"/>
        </w:rPr>
        <w:t>(m) to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58" w:lineRule="exact"/>
        <w:rPr>
          <w:sz w:val="20"/>
          <w:szCs w:val="20"/>
          <w:color w:val="auto"/>
        </w:rPr>
      </w:pPr>
    </w:p>
    <w:p>
      <w:pPr>
        <w:ind w:left="660" w:right="1099" w:firstLine="360"/>
        <w:spacing w:after="0" w:line="277" w:lineRule="auto"/>
        <w:rPr>
          <w:sz w:val="20"/>
          <w:szCs w:val="20"/>
          <w:color w:val="auto"/>
        </w:rPr>
      </w:pPr>
      <w:r>
        <w:rPr>
          <w:rFonts w:ascii="Arial" w:cs="Arial" w:eastAsia="Arial" w:hAnsi="Arial"/>
          <w:sz w:val="18"/>
          <w:szCs w:val="18"/>
          <w:color w:val="auto"/>
        </w:rPr>
        <w:t>(n) to cancel, with the consent of the Grantee, outstanding Awards and to grant new Awards in substitution therefor;</w:t>
      </w:r>
    </w:p>
    <w:p>
      <w:pPr>
        <w:spacing w:after="0" w:line="62" w:lineRule="exact"/>
        <w:rPr>
          <w:sz w:val="20"/>
          <w:szCs w:val="20"/>
          <w:color w:val="auto"/>
        </w:rPr>
      </w:pPr>
    </w:p>
    <w:p>
      <w:pPr>
        <w:ind w:left="660" w:right="339" w:firstLine="360"/>
        <w:spacing w:after="0" w:line="263" w:lineRule="auto"/>
        <w:rPr>
          <w:sz w:val="20"/>
          <w:szCs w:val="20"/>
          <w:color w:val="auto"/>
        </w:rPr>
      </w:pPr>
      <w:r>
        <w:rPr>
          <w:rFonts w:ascii="Arial" w:cs="Arial" w:eastAsia="Arial" w:hAnsi="Arial"/>
          <w:sz w:val="18"/>
          <w:szCs w:val="18"/>
          <w:color w:val="auto"/>
        </w:rPr>
        <w:t>(o) to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76" w:lineRule="exact"/>
        <w:rPr>
          <w:sz w:val="20"/>
          <w:szCs w:val="20"/>
          <w:color w:val="auto"/>
        </w:rPr>
      </w:pPr>
    </w:p>
    <w:p>
      <w:pPr>
        <w:ind w:left="660" w:right="679" w:firstLine="360"/>
        <w:spacing w:after="0" w:line="259" w:lineRule="auto"/>
        <w:rPr>
          <w:sz w:val="20"/>
          <w:szCs w:val="20"/>
          <w:color w:val="auto"/>
        </w:rPr>
      </w:pPr>
      <w:r>
        <w:rPr>
          <w:rFonts w:ascii="Arial" w:cs="Arial" w:eastAsia="Arial" w:hAnsi="Arial"/>
          <w:sz w:val="18"/>
          <w:szCs w:val="18"/>
          <w:color w:val="auto"/>
        </w:rPr>
        <w:t>(p) to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79" w:lineRule="exact"/>
        <w:rPr>
          <w:sz w:val="20"/>
          <w:szCs w:val="20"/>
          <w:color w:val="auto"/>
        </w:rPr>
      </w:pPr>
    </w:p>
    <w:p>
      <w:pPr>
        <w:jc w:val="both"/>
        <w:ind w:left="660" w:right="719" w:firstLine="360"/>
        <w:spacing w:after="0" w:line="263" w:lineRule="auto"/>
        <w:rPr>
          <w:sz w:val="20"/>
          <w:szCs w:val="20"/>
          <w:color w:val="auto"/>
        </w:rPr>
      </w:pPr>
      <w:r>
        <w:rPr>
          <w:rFonts w:ascii="Arial" w:cs="Arial" w:eastAsia="Arial" w:hAnsi="Arial"/>
          <w:sz w:val="18"/>
          <w:szCs w:val="18"/>
          <w:color w:val="auto"/>
        </w:rPr>
        <w:t>(q) to correct any defect or supply any omission or reconcile any inconsistency, and to construe and interpret the Plan, the rules and regulations, and Award Agreement or any other instrument entered into or relating to an Award under the Plan; and</w:t>
      </w:r>
    </w:p>
    <w:p>
      <w:pPr>
        <w:spacing w:after="0" w:line="76" w:lineRule="exact"/>
        <w:rPr>
          <w:sz w:val="20"/>
          <w:szCs w:val="20"/>
          <w:color w:val="auto"/>
        </w:rPr>
      </w:pPr>
    </w:p>
    <w:p>
      <w:pPr>
        <w:ind w:left="660" w:right="339" w:firstLine="360"/>
        <w:spacing w:after="0" w:line="263" w:lineRule="auto"/>
        <w:rPr>
          <w:sz w:val="20"/>
          <w:szCs w:val="20"/>
          <w:color w:val="auto"/>
        </w:rPr>
      </w:pPr>
      <w:r>
        <w:rPr>
          <w:rFonts w:ascii="Arial" w:cs="Arial" w:eastAsia="Arial" w:hAnsi="Arial"/>
          <w:sz w:val="18"/>
          <w:szCs w:val="18"/>
          <w:color w:val="auto"/>
        </w:rPr>
        <w:t>(r) to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58"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3.3 </w:t>
      </w:r>
      <w:r>
        <w:rPr>
          <w:rFonts w:ascii="Arial" w:cs="Arial" w:eastAsia="Arial" w:hAnsi="Arial"/>
          <w:sz w:val="16"/>
          <w:szCs w:val="16"/>
          <w:u w:val="single" w:color="auto"/>
          <w:color w:val="auto"/>
        </w:rPr>
        <w:t>No Repricings</w:t>
      </w:r>
      <w:r>
        <w:rPr>
          <w:rFonts w:ascii="Arial" w:cs="Arial" w:eastAsia="Arial" w:hAnsi="Arial"/>
          <w:sz w:val="16"/>
          <w:szCs w:val="16"/>
          <w:color w:val="auto"/>
        </w:rPr>
        <w:t>.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103"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except as provided in Section 5.6(b), the maximum number of Shares hereby reserved for delivery under the Plan shall be 10,000,000 Shares. Up to a maximum of 10,000,000 Shares may be delivered pursuant to the exercise of Incentive Stock Options granted hereunder.</w:t>
      </w:r>
    </w:p>
    <w:p>
      <w:pPr>
        <w:spacing w:after="0" w:line="79" w:lineRule="exact"/>
        <w:rPr>
          <w:sz w:val="20"/>
          <w:szCs w:val="20"/>
          <w:color w:val="auto"/>
        </w:rPr>
      </w:pPr>
    </w:p>
    <w:p>
      <w:pPr>
        <w:ind w:left="300" w:right="499" w:firstLine="360"/>
        <w:spacing w:after="0" w:line="289" w:lineRule="auto"/>
        <w:rPr>
          <w:sz w:val="20"/>
          <w:szCs w:val="20"/>
          <w:color w:val="auto"/>
        </w:rPr>
      </w:pPr>
      <w:r>
        <w:rPr>
          <w:rFonts w:ascii="Arial" w:cs="Arial" w:eastAsia="Arial" w:hAnsi="Arial"/>
          <w:sz w:val="16"/>
          <w:szCs w:val="16"/>
          <w:color w:val="auto"/>
        </w:rPr>
        <w:t>If any Shares subject to an Award granted hereunder (other than a Substitute Award granted pursuant to Section 5.6(b)) are forfeited or such Award otherwise terminates without payment or delivery of such Shares or if such Award is settled in cash, the Shares subject to such Award, to the extent of any such forfeiture, termination or cash settlement, shall again be available for grant under the Plan. 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58" w:lineRule="exact"/>
        <w:rPr>
          <w:sz w:val="20"/>
          <w:szCs w:val="20"/>
          <w:color w:val="auto"/>
        </w:rPr>
      </w:pPr>
    </w:p>
    <w:p>
      <w:pPr>
        <w:ind w:left="300" w:right="779" w:firstLine="360"/>
        <w:spacing w:after="0" w:line="263" w:lineRule="auto"/>
        <w:rPr>
          <w:sz w:val="20"/>
          <w:szCs w:val="20"/>
          <w:color w:val="auto"/>
        </w:rPr>
      </w:pPr>
      <w:r>
        <w:rPr>
          <w:rFonts w:ascii="Arial" w:cs="Arial" w:eastAsia="Arial" w:hAnsi="Arial"/>
          <w:sz w:val="18"/>
          <w:szCs w:val="18"/>
          <w:color w:val="auto"/>
        </w:rPr>
        <w:t>The number of Shares available for issuance under the Plan may not be increased through the Company’s purchase of Shares on the open market with the proceeds obtained from the exercise of any Options granted hereunder.</w:t>
      </w:r>
    </w:p>
    <w:p>
      <w:pPr>
        <w:spacing w:after="0" w:line="76"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4.2 </w:t>
      </w:r>
      <w:r>
        <w:rPr>
          <w:rFonts w:ascii="Arial" w:cs="Arial" w:eastAsia="Arial" w:hAnsi="Arial"/>
          <w:sz w:val="17"/>
          <w:szCs w:val="17"/>
          <w:u w:val="single" w:color="auto"/>
          <w:color w:val="auto"/>
        </w:rPr>
        <w:t>Adjustments in Authorized Shares and Awards; Corporate Transaction, Liquidation or Dissolution</w:t>
      </w:r>
      <w:r>
        <w:rPr>
          <w:rFonts w:ascii="Arial" w:cs="Arial" w:eastAsia="Arial" w:hAnsi="Arial"/>
          <w:sz w:val="17"/>
          <w:szCs w:val="17"/>
          <w:color w:val="auto"/>
        </w:rPr>
        <w:t>.</w:t>
      </w:r>
    </w:p>
    <w:p>
      <w:pPr>
        <w:spacing w:after="0" w:line="129" w:lineRule="exact"/>
        <w:rPr>
          <w:sz w:val="20"/>
          <w:szCs w:val="20"/>
          <w:color w:val="auto"/>
        </w:rPr>
      </w:pPr>
    </w:p>
    <w:p>
      <w:pPr>
        <w:ind w:left="660" w:right="319" w:firstLine="360"/>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right="339"/>
        <w:spacing w:after="0" w:line="257" w:lineRule="auto"/>
        <w:rPr>
          <w:sz w:val="20"/>
          <w:szCs w:val="20"/>
          <w:color w:val="auto"/>
        </w:rPr>
      </w:pPr>
      <w:r>
        <w:rPr>
          <w:rFonts w:ascii="Arial" w:cs="Arial" w:eastAsia="Arial" w:hAnsi="Arial"/>
          <w:sz w:val="18"/>
          <w:szCs w:val="18"/>
          <w:color w:val="auto"/>
        </w:rPr>
        <w:t xml:space="preserve">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number of Shares subject to any Award denominated in Shares shall always be a whole number.</w:t>
      </w:r>
    </w:p>
    <w:p>
      <w:pPr>
        <w:spacing w:after="0" w:line="80" w:lineRule="exact"/>
        <w:rPr>
          <w:sz w:val="20"/>
          <w:szCs w:val="20"/>
          <w:color w:val="auto"/>
        </w:rPr>
      </w:pPr>
    </w:p>
    <w:p>
      <w:pPr>
        <w:ind w:left="660" w:right="319" w:firstLine="360"/>
        <w:spacing w:after="0" w:line="267"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Merger, Consolidation or Similar Corporate Transaction</w:t>
      </w:r>
      <w:r>
        <w:rPr>
          <w:rFonts w:ascii="Arial" w:cs="Arial" w:eastAsia="Arial" w:hAnsi="Arial"/>
          <w:sz w:val="17"/>
          <w:szCs w:val="17"/>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82" w:lineRule="exact"/>
        <w:rPr>
          <w:sz w:val="20"/>
          <w:szCs w:val="20"/>
          <w:color w:val="auto"/>
        </w:rPr>
      </w:pPr>
    </w:p>
    <w:p>
      <w:pPr>
        <w:ind w:left="660" w:right="339" w:firstLine="360"/>
        <w:spacing w:after="0" w:line="271"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Liquidation or Dissolution of the Company</w:t>
      </w:r>
      <w:r>
        <w:rPr>
          <w:rFonts w:ascii="Arial" w:cs="Arial" w:eastAsia="Arial" w:hAnsi="Arial"/>
          <w:sz w:val="17"/>
          <w:szCs w:val="17"/>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70" w:lineRule="exact"/>
        <w:rPr>
          <w:sz w:val="20"/>
          <w:szCs w:val="20"/>
          <w:color w:val="auto"/>
        </w:rPr>
      </w:pPr>
    </w:p>
    <w:p>
      <w:pPr>
        <w:ind w:left="660" w:right="339" w:firstLine="360"/>
        <w:spacing w:after="0" w:line="279"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Deferred Compensation</w:t>
      </w:r>
      <w:r>
        <w:rPr>
          <w:rFonts w:ascii="Arial" w:cs="Arial" w:eastAsia="Arial" w:hAnsi="Arial"/>
          <w:sz w:val="17"/>
          <w:szCs w:val="17"/>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10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5.1 </w:t>
      </w: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76"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5.2 </w:t>
      </w:r>
      <w:r>
        <w:rPr>
          <w:rFonts w:ascii="Arial" w:cs="Arial" w:eastAsia="Arial" w:hAnsi="Arial"/>
          <w:sz w:val="18"/>
          <w:szCs w:val="18"/>
          <w:u w:val="single" w:color="auto"/>
          <w:color w:val="auto"/>
        </w:rPr>
        <w:t>Award Agreement</w:t>
      </w:r>
      <w:r>
        <w:rPr>
          <w:rFonts w:ascii="Arial" w:cs="Arial" w:eastAsia="Arial" w:hAnsi="Arial"/>
          <w:sz w:val="18"/>
          <w:szCs w:val="18"/>
          <w:color w:val="auto"/>
        </w:rPr>
        <w:t>. To the extent not set forth in the Plan, the terms and conditions of each Award shall be set forth in an Award Agreement.</w:t>
      </w:r>
    </w:p>
    <w:p>
      <w:pPr>
        <w:spacing w:after="0" w:line="62"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5.3 </w:t>
      </w:r>
      <w:r>
        <w:rPr>
          <w:rFonts w:ascii="Arial" w:cs="Arial" w:eastAsia="Arial" w:hAnsi="Arial"/>
          <w:sz w:val="16"/>
          <w:szCs w:val="16"/>
          <w:u w:val="single" w:color="auto"/>
          <w:color w:val="auto"/>
        </w:rPr>
        <w:t>General Terms and Termination of Affiliation</w:t>
      </w:r>
      <w:r>
        <w:rPr>
          <w:rFonts w:ascii="Arial" w:cs="Arial" w:eastAsia="Arial" w:hAnsi="Arial"/>
          <w:sz w:val="16"/>
          <w:szCs w:val="16"/>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unless the Committee accelerates vesting of such Awards within thirty (30) days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after such Grantee’s Termination of Affiliation and (b) all outstanding Options and SARs not previously exercised shall expire three months after the Grantee’s Termination of Affiliation.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117" w:lineRule="exact"/>
        <w:rPr>
          <w:sz w:val="20"/>
          <w:szCs w:val="20"/>
          <w:color w:val="auto"/>
        </w:rPr>
      </w:pPr>
    </w:p>
    <w:p>
      <w:pPr>
        <w:ind w:left="660" w:right="339" w:firstLine="360"/>
        <w:spacing w:after="0" w:line="257" w:lineRule="auto"/>
        <w:rPr>
          <w:sz w:val="20"/>
          <w:szCs w:val="20"/>
          <w:color w:val="auto"/>
        </w:rPr>
      </w:pPr>
      <w:r>
        <w:rPr>
          <w:rFonts w:ascii="Arial" w:cs="Arial" w:eastAsia="Arial" w:hAnsi="Arial"/>
          <w:sz w:val="18"/>
          <w:szCs w:val="18"/>
          <w:color w:val="auto"/>
        </w:rPr>
        <w:t>(a) Each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80" w:lineRule="exact"/>
        <w:rPr>
          <w:sz w:val="20"/>
          <w:szCs w:val="20"/>
          <w:color w:val="auto"/>
        </w:rPr>
      </w:pPr>
    </w:p>
    <w:p>
      <w:pPr>
        <w:ind w:left="660" w:right="399" w:firstLine="360"/>
        <w:spacing w:after="0" w:line="291" w:lineRule="auto"/>
        <w:rPr>
          <w:sz w:val="20"/>
          <w:szCs w:val="20"/>
          <w:color w:val="auto"/>
        </w:rPr>
      </w:pPr>
      <w:r>
        <w:rPr>
          <w:rFonts w:ascii="Arial" w:cs="Arial" w:eastAsia="Arial" w:hAnsi="Arial"/>
          <w:sz w:val="16"/>
          <w:szCs w:val="16"/>
          <w:color w:val="auto"/>
        </w:rPr>
        <w:t>(b) No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58" w:lineRule="exact"/>
        <w:rPr>
          <w:sz w:val="20"/>
          <w:szCs w:val="20"/>
          <w:color w:val="auto"/>
        </w:rPr>
      </w:pPr>
    </w:p>
    <w:p>
      <w:pPr>
        <w:ind w:left="660" w:right="319" w:firstLine="360"/>
        <w:spacing w:after="0" w:line="285" w:lineRule="auto"/>
        <w:rPr>
          <w:sz w:val="20"/>
          <w:szCs w:val="20"/>
          <w:color w:val="auto"/>
        </w:rPr>
      </w:pPr>
      <w:r>
        <w:rPr>
          <w:rFonts w:ascii="Arial" w:cs="Arial" w:eastAsia="Arial" w:hAnsi="Arial"/>
          <w:sz w:val="16"/>
          <w:szCs w:val="16"/>
          <w:color w:val="auto"/>
        </w:rPr>
        <w:t>(c) Notwithstanding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68" w:lineRule="exact"/>
        <w:rPr>
          <w:sz w:val="20"/>
          <w:szCs w:val="20"/>
          <w:color w:val="auto"/>
        </w:rPr>
      </w:pPr>
    </w:p>
    <w:p>
      <w:pPr>
        <w:ind w:left="660" w:right="399" w:firstLine="360"/>
        <w:spacing w:after="0" w:line="277" w:lineRule="auto"/>
        <w:rPr>
          <w:sz w:val="20"/>
          <w:szCs w:val="20"/>
          <w:color w:val="auto"/>
        </w:rPr>
      </w:pPr>
      <w:r>
        <w:rPr>
          <w:rFonts w:ascii="Arial" w:cs="Arial" w:eastAsia="Arial" w:hAnsi="Arial"/>
          <w:sz w:val="18"/>
          <w:szCs w:val="18"/>
          <w:color w:val="auto"/>
        </w:rPr>
        <w:t>(d) Nothing herein shall be construed as requiring the Committee to honor a QDRO except to the extent required under applicable law.</w:t>
      </w:r>
    </w:p>
    <w:p>
      <w:pPr>
        <w:spacing w:after="0" w:line="62"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w:t>
      </w:r>
    </w:p>
    <w:p>
      <w:pPr>
        <w:spacing w:after="0" w:line="117" w:lineRule="exact"/>
        <w:rPr>
          <w:sz w:val="20"/>
          <w:szCs w:val="20"/>
          <w:color w:val="auto"/>
        </w:rPr>
      </w:pPr>
    </w:p>
    <w:p>
      <w:pPr>
        <w:ind w:left="660" w:right="299" w:firstLine="360"/>
        <w:spacing w:after="0" w:line="269" w:lineRule="auto"/>
        <w:rPr>
          <w:sz w:val="20"/>
          <w:szCs w:val="20"/>
          <w:color w:val="auto"/>
        </w:rPr>
      </w:pPr>
      <w:r>
        <w:rPr>
          <w:rFonts w:ascii="Arial" w:cs="Arial" w:eastAsia="Arial" w:hAnsi="Arial"/>
          <w:sz w:val="17"/>
          <w:szCs w:val="17"/>
          <w:color w:val="auto"/>
        </w:rPr>
        <w:t>(a) Awards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77" w:lineRule="exact"/>
        <w:rPr>
          <w:sz w:val="20"/>
          <w:szCs w:val="20"/>
          <w:color w:val="auto"/>
        </w:rPr>
      </w:pPr>
    </w:p>
    <w:p>
      <w:pPr>
        <w:jc w:val="both"/>
        <w:ind w:left="660" w:right="479" w:firstLine="360"/>
        <w:spacing w:after="0" w:line="263" w:lineRule="auto"/>
        <w:rPr>
          <w:sz w:val="20"/>
          <w:szCs w:val="20"/>
          <w:color w:val="auto"/>
        </w:rPr>
      </w:pPr>
      <w:r>
        <w:rPr>
          <w:rFonts w:ascii="Arial" w:cs="Arial" w:eastAsia="Arial" w:hAnsi="Arial"/>
          <w:sz w:val="18"/>
          <w:szCs w:val="18"/>
          <w:color w:val="auto"/>
        </w:rPr>
        <w:t>(b) The Committee may, in its discretion and on such terms and conditions as the Committee considers appropriate in the circumstances, grant Awards under the Plan (“Substitute Awards”) in substitution for stock and stock-based awards (“Acquired Entity Awards”) held by current or former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right="339"/>
        <w:spacing w:after="0" w:line="271" w:lineRule="auto"/>
        <w:rPr>
          <w:sz w:val="20"/>
          <w:szCs w:val="20"/>
          <w:color w:val="auto"/>
        </w:rPr>
      </w:pPr>
      <w:r>
        <w:rPr>
          <w:rFonts w:ascii="Arial" w:cs="Arial" w:eastAsia="Arial" w:hAnsi="Arial"/>
          <w:sz w:val="17"/>
          <w:szCs w:val="17"/>
          <w:color w:val="auto"/>
        </w:rPr>
        <w:t>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w:t>
      </w:r>
    </w:p>
    <w:p>
      <w:pPr>
        <w:spacing w:after="0" w:line="117" w:lineRule="exact"/>
        <w:rPr>
          <w:sz w:val="20"/>
          <w:szCs w:val="20"/>
          <w:color w:val="auto"/>
        </w:rPr>
      </w:pPr>
    </w:p>
    <w:p>
      <w:pPr>
        <w:ind w:left="660" w:right="359" w:firstLine="360"/>
        <w:spacing w:after="0" w:line="271"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Six-Month Holding Period Advice</w:t>
      </w:r>
      <w:r>
        <w:rPr>
          <w:rFonts w:ascii="Arial" w:cs="Arial" w:eastAsia="Arial" w:hAnsi="Arial"/>
          <w:sz w:val="17"/>
          <w:szCs w:val="17"/>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70" w:lineRule="exact"/>
        <w:rPr>
          <w:sz w:val="20"/>
          <w:szCs w:val="20"/>
          <w:color w:val="auto"/>
        </w:rPr>
      </w:pPr>
    </w:p>
    <w:p>
      <w:pPr>
        <w:ind w:left="660" w:right="339" w:firstLine="360"/>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Reformation to Comply with Exchange Act Rules</w:t>
      </w:r>
      <w:r>
        <w:rPr>
          <w:rFonts w:ascii="Arial" w:cs="Arial" w:eastAsia="Arial" w:hAnsi="Arial"/>
          <w:sz w:val="16"/>
          <w:szCs w:val="16"/>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58" w:lineRule="exact"/>
        <w:rPr>
          <w:sz w:val="20"/>
          <w:szCs w:val="20"/>
          <w:color w:val="auto"/>
        </w:rPr>
      </w:pPr>
    </w:p>
    <w:p>
      <w:pPr>
        <w:ind w:left="660" w:right="379" w:firstLine="360"/>
        <w:spacing w:after="0" w:line="29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Rule 16b-3 Administration</w:t>
      </w:r>
      <w:r>
        <w:rPr>
          <w:rFonts w:ascii="Arial" w:cs="Arial" w:eastAsia="Arial" w:hAnsi="Arial"/>
          <w:sz w:val="16"/>
          <w:szCs w:val="16"/>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58"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7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Stock Options</w:t>
      </w:r>
    </w:p>
    <w:p>
      <w:pPr>
        <w:spacing w:after="0" w:line="103"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76"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6.2 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6.3 </w:t>
      </w: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Exercise Price of an Option under this Plan shall be determined in the sole discretion of the Committee but may not be less than 100% of the Fair Market Value of a Share on the Grant Date.</w:t>
      </w:r>
    </w:p>
    <w:p>
      <w:pPr>
        <w:spacing w:after="0" w:line="16" w:lineRule="exact"/>
        <w:rPr>
          <w:sz w:val="20"/>
          <w:szCs w:val="20"/>
          <w:color w:val="auto"/>
        </w:rPr>
      </w:pPr>
    </w:p>
    <w:p>
      <w:pPr>
        <w:ind w:left="300" w:right="679" w:firstLine="360"/>
        <w:spacing w:after="0" w:line="286" w:lineRule="auto"/>
        <w:rPr>
          <w:sz w:val="20"/>
          <w:szCs w:val="20"/>
          <w:color w:val="auto"/>
        </w:rPr>
      </w:pPr>
      <w:r>
        <w:rPr>
          <w:rFonts w:ascii="Arial" w:cs="Arial" w:eastAsia="Arial" w:hAnsi="Arial"/>
          <w:sz w:val="17"/>
          <w:szCs w:val="17"/>
          <w:color w:val="auto"/>
        </w:rPr>
        <w:t>6.4 </w:t>
      </w:r>
      <w:r>
        <w:rPr>
          <w:rFonts w:ascii="Arial" w:cs="Arial" w:eastAsia="Arial" w:hAnsi="Arial"/>
          <w:sz w:val="17"/>
          <w:szCs w:val="17"/>
          <w:u w:val="single" w:color="auto"/>
          <w:color w:val="auto"/>
        </w:rPr>
        <w:t>Grant of Incentive Stock Options</w:t>
      </w:r>
      <w:r>
        <w:rPr>
          <w:rFonts w:ascii="Arial" w:cs="Arial" w:eastAsia="Arial" w:hAnsi="Arial"/>
          <w:sz w:val="17"/>
          <w:szCs w:val="17"/>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(a) shall be granted only to an employee of the Company or a Subsidiary Corporation;</w:t>
      </w:r>
    </w:p>
    <w:p>
      <w:pPr>
        <w:spacing w:after="0" w:line="117" w:lineRule="exact"/>
        <w:rPr>
          <w:sz w:val="20"/>
          <w:szCs w:val="20"/>
          <w:color w:val="auto"/>
        </w:rPr>
      </w:pPr>
    </w:p>
    <w:p>
      <w:pPr>
        <w:ind w:left="660" w:right="459" w:firstLine="360"/>
        <w:spacing w:after="0" w:line="274" w:lineRule="auto"/>
        <w:rPr>
          <w:sz w:val="20"/>
          <w:szCs w:val="20"/>
          <w:color w:val="auto"/>
        </w:rPr>
      </w:pPr>
      <w:r>
        <w:rPr>
          <w:rFonts w:ascii="Arial" w:cs="Arial" w:eastAsia="Arial" w:hAnsi="Arial"/>
          <w:sz w:val="17"/>
          <w:szCs w:val="17"/>
          <w:color w:val="auto"/>
        </w:rPr>
        <w:t>(b) shall have an Exercise Price of not less than 100% of the Fair Market Value of a Share on the Grant Date, and, if granted to a person who owns capital stock (including stock treated as owned under</w:t>
      </w:r>
    </w:p>
    <w:p>
      <w:pPr>
        <w:ind w:left="660" w:right="559"/>
        <w:spacing w:after="0" w:line="277" w:lineRule="auto"/>
        <w:rPr>
          <w:sz w:val="20"/>
          <w:szCs w:val="20"/>
          <w:color w:val="auto"/>
        </w:rPr>
      </w:pPr>
      <w:r>
        <w:rPr>
          <w:rFonts w:ascii="Arial" w:cs="Arial" w:eastAsia="Arial" w:hAnsi="Arial"/>
          <w:sz w:val="17"/>
          <w:szCs w:val="17"/>
          <w:color w:val="auto"/>
        </w:rPr>
        <w:t>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65" w:lineRule="exact"/>
        <w:rPr>
          <w:sz w:val="20"/>
          <w:szCs w:val="20"/>
          <w:color w:val="auto"/>
        </w:rPr>
      </w:pPr>
    </w:p>
    <w:p>
      <w:pPr>
        <w:ind w:left="660" w:right="339" w:firstLine="360"/>
        <w:spacing w:after="0" w:line="263" w:lineRule="auto"/>
        <w:rPr>
          <w:sz w:val="20"/>
          <w:szCs w:val="20"/>
          <w:color w:val="auto"/>
        </w:rPr>
      </w:pPr>
      <w:r>
        <w:rPr>
          <w:rFonts w:ascii="Arial" w:cs="Arial" w:eastAsia="Arial" w:hAnsi="Arial"/>
          <w:sz w:val="18"/>
          <w:szCs w:val="18"/>
          <w:color w:val="auto"/>
        </w:rPr>
        <w:t>(c) shall be for a period of not more than 10 years (five years if the Grantee is a More Than 10% Owner) from its Grant Date, and shall be subject to earlier termination as provided herein or in the applicable Award Agreement;</w:t>
      </w:r>
    </w:p>
    <w:p>
      <w:pPr>
        <w:spacing w:after="0" w:line="76" w:lineRule="exact"/>
        <w:rPr>
          <w:sz w:val="20"/>
          <w:szCs w:val="20"/>
          <w:color w:val="auto"/>
        </w:rPr>
      </w:pPr>
    </w:p>
    <w:p>
      <w:pPr>
        <w:ind w:left="660" w:right="399" w:firstLine="360"/>
        <w:spacing w:after="0" w:line="275" w:lineRule="auto"/>
        <w:rPr>
          <w:sz w:val="20"/>
          <w:szCs w:val="20"/>
          <w:color w:val="auto"/>
        </w:rPr>
      </w:pPr>
      <w:r>
        <w:rPr>
          <w:rFonts w:ascii="Arial" w:cs="Arial" w:eastAsia="Arial" w:hAnsi="Arial"/>
          <w:sz w:val="17"/>
          <w:szCs w:val="17"/>
          <w:color w:val="auto"/>
        </w:rPr>
        <w:t>(d) shall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68" w:lineRule="exact"/>
        <w:rPr>
          <w:sz w:val="20"/>
          <w:szCs w:val="20"/>
          <w:color w:val="auto"/>
        </w:rPr>
      </w:pPr>
    </w:p>
    <w:p>
      <w:pPr>
        <w:ind w:left="660" w:right="319" w:firstLine="360"/>
        <w:spacing w:after="0" w:line="275" w:lineRule="auto"/>
        <w:rPr>
          <w:sz w:val="20"/>
          <w:szCs w:val="20"/>
          <w:color w:val="auto"/>
        </w:rPr>
      </w:pPr>
      <w:r>
        <w:rPr>
          <w:rFonts w:ascii="Arial" w:cs="Arial" w:eastAsia="Arial" w:hAnsi="Arial"/>
          <w:sz w:val="17"/>
          <w:szCs w:val="17"/>
          <w:color w:val="auto"/>
        </w:rPr>
        <w:t>(e) shall,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68" w:lineRule="exact"/>
        <w:rPr>
          <w:sz w:val="20"/>
          <w:szCs w:val="20"/>
          <w:color w:val="auto"/>
        </w:rPr>
      </w:pPr>
    </w:p>
    <w:p>
      <w:pPr>
        <w:ind w:left="660" w:right="319" w:firstLine="360"/>
        <w:spacing w:after="0" w:line="259" w:lineRule="auto"/>
        <w:rPr>
          <w:sz w:val="20"/>
          <w:szCs w:val="20"/>
          <w:color w:val="auto"/>
        </w:rPr>
      </w:pPr>
      <w:r>
        <w:rPr>
          <w:rFonts w:ascii="Arial" w:cs="Arial" w:eastAsia="Arial" w:hAnsi="Arial"/>
          <w:sz w:val="18"/>
          <w:szCs w:val="18"/>
          <w:color w:val="auto"/>
        </w:rPr>
        <w:t>(f) shall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79" w:lineRule="exact"/>
        <w:rPr>
          <w:sz w:val="20"/>
          <w:szCs w:val="20"/>
          <w:color w:val="auto"/>
        </w:rPr>
      </w:pPr>
    </w:p>
    <w:p>
      <w:pPr>
        <w:ind w:left="660" w:right="459" w:firstLine="360"/>
        <w:spacing w:after="0" w:line="301" w:lineRule="auto"/>
        <w:rPr>
          <w:sz w:val="20"/>
          <w:szCs w:val="20"/>
          <w:color w:val="auto"/>
        </w:rPr>
      </w:pPr>
      <w:r>
        <w:rPr>
          <w:rFonts w:ascii="Arial" w:cs="Arial" w:eastAsia="Arial" w:hAnsi="Arial"/>
          <w:sz w:val="16"/>
          <w:szCs w:val="16"/>
          <w:color w:val="auto"/>
        </w:rPr>
        <w:t>(g) shall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49" w:lineRule="exact"/>
        <w:rPr>
          <w:sz w:val="20"/>
          <w:szCs w:val="20"/>
          <w:color w:val="auto"/>
        </w:rPr>
      </w:pPr>
    </w:p>
    <w:p>
      <w:pPr>
        <w:ind w:left="660" w:right="379" w:firstLine="360"/>
        <w:spacing w:after="0" w:line="259" w:lineRule="auto"/>
        <w:rPr>
          <w:sz w:val="20"/>
          <w:szCs w:val="20"/>
          <w:color w:val="auto"/>
        </w:rPr>
      </w:pPr>
      <w:r>
        <w:rPr>
          <w:rFonts w:ascii="Arial" w:cs="Arial" w:eastAsia="Arial" w:hAnsi="Arial"/>
          <w:sz w:val="18"/>
          <w:szCs w:val="18"/>
          <w:color w:val="auto"/>
        </w:rPr>
        <w:t>(h) shall,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79"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76"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(a) cash, personal check or wire transfer;</w:t>
      </w:r>
    </w:p>
    <w:p>
      <w:pPr>
        <w:spacing w:after="0" w:line="117" w:lineRule="exact"/>
        <w:rPr>
          <w:sz w:val="20"/>
          <w:szCs w:val="20"/>
          <w:color w:val="auto"/>
        </w:rPr>
      </w:pPr>
    </w:p>
    <w:p>
      <w:pPr>
        <w:ind w:left="660" w:right="799" w:firstLine="360"/>
        <w:spacing w:after="0" w:line="277" w:lineRule="auto"/>
        <w:rPr>
          <w:sz w:val="20"/>
          <w:szCs w:val="20"/>
          <w:color w:val="auto"/>
        </w:rPr>
      </w:pPr>
      <w:r>
        <w:rPr>
          <w:rFonts w:ascii="Arial" w:cs="Arial" w:eastAsia="Arial" w:hAnsi="Arial"/>
          <w:sz w:val="18"/>
          <w:szCs w:val="18"/>
          <w:color w:val="auto"/>
        </w:rPr>
        <w:t>(b) with the approval of the Committee, delivery of Common Stock owned by the Grantee prior to exercise, valued at Fair Market Value on the date of exercise;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right="459" w:firstLine="360"/>
        <w:spacing w:after="0" w:line="277" w:lineRule="auto"/>
        <w:rPr>
          <w:sz w:val="20"/>
          <w:szCs w:val="20"/>
          <w:color w:val="auto"/>
        </w:rPr>
      </w:pPr>
      <w:r>
        <w:rPr>
          <w:rFonts w:ascii="Arial" w:cs="Arial" w:eastAsia="Arial" w:hAnsi="Arial"/>
          <w:sz w:val="18"/>
          <w:szCs w:val="18"/>
          <w:color w:val="auto"/>
        </w:rPr>
        <w:t>(c) with the approval of the Committee, Shares acquired upon the exercise of such Option, such Shares valued at Fair Market Value on the date of exercise;</w:t>
      </w:r>
    </w:p>
    <w:p>
      <w:pPr>
        <w:spacing w:after="0" w:line="62" w:lineRule="exact"/>
        <w:rPr>
          <w:sz w:val="20"/>
          <w:szCs w:val="20"/>
          <w:color w:val="auto"/>
        </w:rPr>
      </w:pPr>
    </w:p>
    <w:p>
      <w:pPr>
        <w:ind w:left="660" w:right="319" w:firstLine="360"/>
        <w:spacing w:after="0" w:line="277" w:lineRule="auto"/>
        <w:rPr>
          <w:sz w:val="20"/>
          <w:szCs w:val="20"/>
          <w:color w:val="auto"/>
        </w:rPr>
      </w:pPr>
      <w:r>
        <w:rPr>
          <w:rFonts w:ascii="Arial" w:cs="Arial" w:eastAsia="Arial" w:hAnsi="Arial"/>
          <w:sz w:val="18"/>
          <w:szCs w:val="18"/>
          <w:color w:val="auto"/>
        </w:rPr>
        <w:t>(d) with the approval of the Committee, Restricted Shares held by the Grantee prior to the exercise of the Option, valued at Fair Market Value on the date of exercise; or</w:t>
      </w:r>
    </w:p>
    <w:p>
      <w:pPr>
        <w:spacing w:after="0" w:line="62" w:lineRule="exact"/>
        <w:rPr>
          <w:sz w:val="20"/>
          <w:szCs w:val="20"/>
          <w:color w:val="auto"/>
        </w:rPr>
      </w:pPr>
    </w:p>
    <w:p>
      <w:pPr>
        <w:ind w:left="660" w:right="439" w:firstLine="360"/>
        <w:spacing w:after="0" w:line="255" w:lineRule="auto"/>
        <w:rPr>
          <w:sz w:val="20"/>
          <w:szCs w:val="20"/>
          <w:color w:val="auto"/>
        </w:rPr>
      </w:pPr>
      <w:r>
        <w:rPr>
          <w:rFonts w:ascii="Arial" w:cs="Arial" w:eastAsia="Arial" w:hAnsi="Arial"/>
          <w:sz w:val="18"/>
          <w:szCs w:val="18"/>
          <w:color w:val="auto"/>
        </w:rPr>
        <w:t>(e) subject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84"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103"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7.1 </w:t>
      </w:r>
      <w:r>
        <w:rPr>
          <w:rFonts w:ascii="Arial" w:cs="Arial" w:eastAsia="Arial" w:hAnsi="Arial"/>
          <w:sz w:val="16"/>
          <w:szCs w:val="16"/>
          <w:u w:val="single" w:color="auto"/>
          <w:color w:val="auto"/>
        </w:rPr>
        <w:t>Issuance</w:t>
      </w:r>
      <w:r>
        <w:rPr>
          <w:rFonts w:ascii="Arial" w:cs="Arial" w:eastAsia="Arial" w:hAnsi="Arial"/>
          <w:sz w:val="16"/>
          <w:szCs w:val="16"/>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49"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7.2 </w:t>
      </w:r>
      <w:r>
        <w:rPr>
          <w:rFonts w:ascii="Arial" w:cs="Arial" w:eastAsia="Arial" w:hAnsi="Arial"/>
          <w:sz w:val="18"/>
          <w:szCs w:val="18"/>
          <w:u w:val="single" w:color="auto"/>
          <w:color w:val="auto"/>
        </w:rPr>
        <w:t>Award Agreements</w:t>
      </w:r>
      <w:r>
        <w:rPr>
          <w:rFonts w:ascii="Arial" w:cs="Arial" w:eastAsia="Arial" w:hAnsi="Arial"/>
          <w:sz w:val="18"/>
          <w:szCs w:val="18"/>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76"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7.3 </w:t>
      </w:r>
      <w:r>
        <w:rPr>
          <w:rFonts w:ascii="Arial" w:cs="Arial" w:eastAsia="Arial" w:hAnsi="Arial"/>
          <w:sz w:val="18"/>
          <w:szCs w:val="18"/>
          <w:u w:val="single" w:color="auto"/>
          <w:color w:val="auto"/>
        </w:rPr>
        <w:t>SAR Exercise Price</w:t>
      </w:r>
      <w:r>
        <w:rPr>
          <w:rFonts w:ascii="Arial" w:cs="Arial" w:eastAsia="Arial" w:hAnsi="Arial"/>
          <w:sz w:val="18"/>
          <w:szCs w:val="18"/>
          <w:color w:val="auto"/>
        </w:rPr>
        <w:t>. The Exercise Price of a SAR shall be determined by the Committee in its sole discretion; provided that the Exercise Price shall not be less than 100% of the Fair Market Value of a Share on the date of the grant of the SAR.</w:t>
      </w:r>
    </w:p>
    <w:p>
      <w:pPr>
        <w:spacing w:after="0" w:line="76"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103" w:lineRule="exact"/>
        <w:rPr>
          <w:sz w:val="20"/>
          <w:szCs w:val="20"/>
          <w:color w:val="auto"/>
        </w:rPr>
      </w:pPr>
    </w:p>
    <w:p>
      <w:pPr>
        <w:ind w:left="1020" w:right="599"/>
        <w:spacing w:after="0" w:line="391" w:lineRule="auto"/>
        <w:rPr>
          <w:sz w:val="20"/>
          <w:szCs w:val="20"/>
          <w:color w:val="auto"/>
        </w:rPr>
      </w:pPr>
      <w:r>
        <w:rPr>
          <w:rFonts w:ascii="Arial" w:cs="Arial" w:eastAsia="Arial" w:hAnsi="Arial"/>
          <w:sz w:val="18"/>
          <w:szCs w:val="18"/>
          <w:color w:val="auto"/>
        </w:rPr>
        <w:t>(a) The excess of the Fair Market Value of a Share on the date of exercise over the Exercise Price; by (b) The number of Shares with respect to which the SAR is exercised.</w:t>
      </w:r>
    </w:p>
    <w:p>
      <w:pPr>
        <w:spacing w:after="0" w:line="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Restricted Shares</w:t>
      </w:r>
    </w:p>
    <w:p>
      <w:pPr>
        <w:spacing w:after="0" w:line="103"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76" w:lineRule="exact"/>
        <w:rPr>
          <w:sz w:val="20"/>
          <w:szCs w:val="20"/>
          <w:color w:val="auto"/>
        </w:rPr>
      </w:pPr>
    </w:p>
    <w:p>
      <w:pPr>
        <w:ind w:left="300" w:right="419" w:firstLine="360"/>
        <w:spacing w:after="0" w:line="296" w:lineRule="auto"/>
        <w:rPr>
          <w:sz w:val="20"/>
          <w:szCs w:val="20"/>
          <w:color w:val="auto"/>
        </w:rPr>
      </w:pPr>
      <w:r>
        <w:rPr>
          <w:rFonts w:ascii="Arial" w:cs="Arial" w:eastAsia="Arial" w:hAnsi="Arial"/>
          <w:sz w:val="16"/>
          <w:szCs w:val="16"/>
          <w:color w:val="auto"/>
        </w:rPr>
        <w:t>8.2 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699"/>
        <w:spacing w:after="0" w:line="286" w:lineRule="auto"/>
        <w:rPr>
          <w:sz w:val="20"/>
          <w:szCs w:val="20"/>
          <w:color w:val="auto"/>
        </w:rPr>
      </w:pPr>
      <w:r>
        <w:rPr>
          <w:rFonts w:ascii="Arial" w:cs="Arial" w:eastAsia="Arial" w:hAnsi="Arial"/>
          <w:sz w:val="17"/>
          <w:szCs w:val="17"/>
          <w:color w:val="auto"/>
        </w:rPr>
        <w:t>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57"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8.3 </w:t>
      </w:r>
      <w:r>
        <w:rPr>
          <w:rFonts w:ascii="Arial" w:cs="Arial" w:eastAsia="Arial" w:hAnsi="Arial"/>
          <w:sz w:val="18"/>
          <w:szCs w:val="18"/>
          <w:u w:val="single" w:color="auto"/>
          <w:color w:val="auto"/>
        </w:rPr>
        <w:t>Consideration for Restricted Shares</w:t>
      </w:r>
      <w:r>
        <w:rPr>
          <w:rFonts w:ascii="Arial" w:cs="Arial" w:eastAsia="Arial" w:hAnsi="Arial"/>
          <w:sz w:val="18"/>
          <w:szCs w:val="18"/>
          <w:color w:val="auto"/>
        </w:rPr>
        <w:t>. The Committee shall determine the amount, if any, that a Grantee shall pay for Restricted Shares.</w:t>
      </w:r>
    </w:p>
    <w:p>
      <w:pPr>
        <w:spacing w:after="0" w:line="62"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70"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 (y) shall bear an appropriate legend restricting the transfer of such Restricted Shares under the Plan. If any Restricted Shares become nonforfeitable, the Company shall cause certificates for such shares to be delivered without such legend.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103" w:lineRule="exact"/>
        <w:rPr>
          <w:sz w:val="20"/>
          <w:szCs w:val="20"/>
          <w:color w:val="auto"/>
        </w:rPr>
      </w:pPr>
    </w:p>
    <w:p>
      <w:pPr>
        <w:ind w:left="300" w:right="399" w:firstLine="360"/>
        <w:spacing w:after="0" w:line="311" w:lineRule="auto"/>
        <w:rPr>
          <w:sz w:val="20"/>
          <w:szCs w:val="20"/>
          <w:color w:val="auto"/>
        </w:rPr>
      </w:pPr>
      <w:r>
        <w:rPr>
          <w:rFonts w:ascii="Arial" w:cs="Arial" w:eastAsia="Arial" w:hAnsi="Arial"/>
          <w:sz w:val="16"/>
          <w:szCs w:val="16"/>
          <w:color w:val="auto"/>
        </w:rPr>
        <w:t>9.1 </w:t>
      </w:r>
      <w:r>
        <w:rPr>
          <w:rFonts w:ascii="Arial" w:cs="Arial" w:eastAsia="Arial" w:hAnsi="Arial"/>
          <w:sz w:val="16"/>
          <w:szCs w:val="16"/>
          <w:u w:val="single" w:color="auto"/>
          <w:color w:val="auto"/>
        </w:rPr>
        <w:t>Grant of Performance Units and Performance Shares</w:t>
      </w:r>
      <w:r>
        <w:rPr>
          <w:rFonts w:ascii="Arial" w:cs="Arial" w:eastAsia="Arial" w:hAnsi="Arial"/>
          <w:sz w:val="16"/>
          <w:szCs w:val="16"/>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4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76" w:lineRule="exact"/>
        <w:rPr>
          <w:sz w:val="20"/>
          <w:szCs w:val="20"/>
          <w:color w:val="auto"/>
        </w:rPr>
      </w:pPr>
    </w:p>
    <w:p>
      <w:pPr>
        <w:ind w:left="660" w:right="859" w:firstLine="36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Performance Unit</w:t>
      </w:r>
      <w:r>
        <w:rPr>
          <w:rFonts w:ascii="Arial" w:cs="Arial" w:eastAsia="Arial" w:hAnsi="Arial"/>
          <w:sz w:val="18"/>
          <w:szCs w:val="18"/>
          <w:color w:val="auto"/>
        </w:rPr>
        <w:t>. Each Performance Unit shall have an initial value that is established by the Committee at the time of grant.</w:t>
      </w:r>
    </w:p>
    <w:p>
      <w:pPr>
        <w:spacing w:after="0" w:line="62" w:lineRule="exact"/>
        <w:rPr>
          <w:sz w:val="20"/>
          <w:szCs w:val="20"/>
          <w:color w:val="auto"/>
        </w:rPr>
      </w:pPr>
    </w:p>
    <w:p>
      <w:pPr>
        <w:ind w:left="660" w:right="699" w:firstLine="36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 Share</w:t>
      </w:r>
      <w:r>
        <w:rPr>
          <w:rFonts w:ascii="Arial" w:cs="Arial" w:eastAsia="Arial" w:hAnsi="Arial"/>
          <w:sz w:val="18"/>
          <w:szCs w:val="18"/>
          <w:color w:val="auto"/>
        </w:rPr>
        <w:t>. Each Performance Share shall have an initial value equal to the Fair Market Value of a Share on the date of grant.</w:t>
      </w:r>
    </w:p>
    <w:p>
      <w:pPr>
        <w:spacing w:after="0" w:line="62" w:lineRule="exact"/>
        <w:rPr>
          <w:sz w:val="20"/>
          <w:szCs w:val="20"/>
          <w:color w:val="auto"/>
        </w:rPr>
      </w:pPr>
    </w:p>
    <w:p>
      <w:pPr>
        <w:jc w:val="both"/>
        <w:ind w:left="300" w:right="639" w:firstLine="360"/>
        <w:spacing w:after="0" w:line="263" w:lineRule="auto"/>
        <w:rPr>
          <w:sz w:val="20"/>
          <w:szCs w:val="20"/>
          <w:color w:val="auto"/>
        </w:rPr>
      </w:pPr>
      <w:r>
        <w:rPr>
          <w:rFonts w:ascii="Arial" w:cs="Arial" w:eastAsia="Arial" w:hAnsi="Arial"/>
          <w:sz w:val="18"/>
          <w:szCs w:val="18"/>
          <w:color w:val="auto"/>
        </w:rPr>
        <w:t>9.3 </w:t>
      </w: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After the applicable Performance Period has ended, the holder of Performance Units or Performance Shares shall be entitled to payment based on the level of achievement of performance goals set by the Committee.</w:t>
      </w:r>
    </w:p>
    <w:p>
      <w:pPr>
        <w:spacing w:after="0" w:line="76"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At the discretion of the Committee, the settlement of Performance Units or Performance Shares may be in cash, Shares of equivalent value, or in some combination thereof, as set forth in the Award Agreement.</w:t>
      </w:r>
    </w:p>
    <w:p>
      <w:pPr>
        <w:spacing w:after="0" w:line="38" w:lineRule="exact"/>
        <w:rPr>
          <w:sz w:val="20"/>
          <w:szCs w:val="20"/>
          <w:color w:val="auto"/>
        </w:rPr>
      </w:pPr>
    </w:p>
    <w:p>
      <w:pPr>
        <w:ind w:left="300" w:right="559" w:firstLine="360"/>
        <w:spacing w:after="0" w:line="296" w:lineRule="auto"/>
        <w:rPr>
          <w:sz w:val="20"/>
          <w:szCs w:val="20"/>
          <w:color w:val="auto"/>
        </w:rPr>
      </w:pPr>
      <w:r>
        <w:rPr>
          <w:rFonts w:ascii="Arial" w:cs="Arial" w:eastAsia="Arial" w:hAnsi="Arial"/>
          <w:sz w:val="16"/>
          <w:szCs w:val="16"/>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53"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103" w:lineRule="exact"/>
        <w:rPr>
          <w:sz w:val="20"/>
          <w:szCs w:val="20"/>
          <w:color w:val="auto"/>
        </w:rPr>
      </w:pPr>
    </w:p>
    <w:p>
      <w:pPr>
        <w:jc w:val="both"/>
        <w:ind w:left="300" w:right="399" w:firstLine="360"/>
        <w:spacing w:after="0" w:line="311" w:lineRule="auto"/>
        <w:rPr>
          <w:sz w:val="20"/>
          <w:szCs w:val="20"/>
          <w:color w:val="auto"/>
        </w:rPr>
      </w:pPr>
      <w:r>
        <w:rPr>
          <w:rFonts w:ascii="Arial" w:cs="Arial" w:eastAsia="Arial" w:hAnsi="Arial"/>
          <w:sz w:val="16"/>
          <w:szCs w:val="16"/>
          <w:color w:val="auto"/>
        </w:rPr>
        <w:t>10.1 </w:t>
      </w:r>
      <w:r>
        <w:rPr>
          <w:rFonts w:ascii="Arial" w:cs="Arial" w:eastAsia="Arial" w:hAnsi="Arial"/>
          <w:sz w:val="16"/>
          <w:szCs w:val="16"/>
          <w:u w:val="single" w:color="auto"/>
          <w:color w:val="auto"/>
        </w:rPr>
        <w:t>Grant of Deferred Stock and Restricted Stock Units</w:t>
      </w:r>
      <w:r>
        <w:rPr>
          <w:rFonts w:ascii="Arial" w:cs="Arial" w:eastAsia="Arial" w:hAnsi="Arial"/>
          <w:sz w:val="16"/>
          <w:szCs w:val="16"/>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w:t>
      </w:r>
    </w:p>
    <w:p>
      <w:pPr>
        <w:spacing w:after="0" w:line="117" w:lineRule="exact"/>
        <w:rPr>
          <w:sz w:val="20"/>
          <w:szCs w:val="20"/>
          <w:color w:val="auto"/>
        </w:rPr>
      </w:pPr>
    </w:p>
    <w:p>
      <w:pPr>
        <w:ind w:left="660" w:right="359" w:firstLine="360"/>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4" w:lineRule="exact"/>
        <w:rPr>
          <w:sz w:val="20"/>
          <w:szCs w:val="20"/>
          <w:color w:val="auto"/>
        </w:rPr>
      </w:pPr>
    </w:p>
    <w:p>
      <w:pPr>
        <w:ind w:left="660" w:right="339" w:firstLine="360"/>
        <w:spacing w:after="0" w:line="250"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Delivery with Respect to Restricted Stock Units</w:t>
      </w:r>
      <w:r>
        <w:rPr>
          <w:rFonts w:ascii="Arial" w:cs="Arial" w:eastAsia="Arial" w:hAnsi="Arial"/>
          <w:sz w:val="17"/>
          <w:szCs w:val="17"/>
          <w:color w:val="auto"/>
        </w:rPr>
        <w:t>. Delivery of Shares subject to a grant of Restricted Stock Units shall occur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88"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10.3 </w:t>
      </w:r>
      <w:r>
        <w:rPr>
          <w:rFonts w:ascii="Arial" w:cs="Arial" w:eastAsia="Arial" w:hAnsi="Arial"/>
          <w:sz w:val="17"/>
          <w:szCs w:val="17"/>
          <w:u w:val="single" w:color="auto"/>
          <w:color w:val="auto"/>
        </w:rPr>
        <w:t>Voting and Dividend Equivalent Rights Attributable to Deferred Stock and Restricted Stock Units</w:t>
      </w:r>
      <w:r>
        <w:rPr>
          <w:rFonts w:ascii="Arial" w:cs="Arial" w:eastAsia="Arial" w:hAnsi="Arial"/>
          <w:sz w:val="17"/>
          <w:szCs w:val="17"/>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103"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w:t>
      </w:r>
    </w:p>
    <w:p>
      <w:pPr>
        <w:spacing w:after="0" w:line="3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Bonus Shares</w:t>
      </w:r>
    </w:p>
    <w:p>
      <w:pPr>
        <w:spacing w:after="0" w:line="103"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Subject to the terms of the Plan, the Committee may grant Bonus Shares to any Eligible Person, in such amount and upon such terms and at any time and from time to time as shall be determined by the Committee.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103"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Awards</w:t>
      </w:r>
    </w:p>
    <w:p>
      <w:pPr>
        <w:spacing w:after="0" w:line="103"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$250,000 in a single calendar year.</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03" w:lineRule="exact"/>
        <w:rPr>
          <w:sz w:val="20"/>
          <w:szCs w:val="20"/>
          <w:color w:val="auto"/>
        </w:rPr>
      </w:pPr>
    </w:p>
    <w:p>
      <w:pPr>
        <w:ind w:left="300" w:right="439" w:firstLine="360"/>
        <w:spacing w:after="0" w:line="285" w:lineRule="auto"/>
        <w:rPr>
          <w:sz w:val="20"/>
          <w:szCs w:val="20"/>
          <w:color w:val="auto"/>
        </w:rPr>
      </w:pPr>
      <w:r>
        <w:rPr>
          <w:rFonts w:ascii="Arial" w:cs="Arial" w:eastAsia="Arial" w:hAnsi="Arial"/>
          <w:sz w:val="16"/>
          <w:szCs w:val="16"/>
          <w:color w:val="auto"/>
        </w:rPr>
        <w:t>15.1 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w:t>
      </w:r>
    </w:p>
    <w:p>
      <w:pPr>
        <w:spacing w:after="0" w:line="2" w:lineRule="exact"/>
        <w:rPr>
          <w:sz w:val="20"/>
          <w:szCs w:val="20"/>
          <w:color w:val="auto"/>
        </w:rPr>
      </w:pPr>
    </w:p>
    <w:p>
      <w:pPr>
        <w:ind w:left="300" w:right="1019" w:hanging="8"/>
        <w:spacing w:after="0" w:line="260" w:lineRule="auto"/>
        <w:tabs>
          <w:tab w:leader="none" w:pos="5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may otherwise, in its discretion, determine to submit other such amendments or alterations to stockholders for approval.</w:t>
      </w:r>
    </w:p>
    <w:p>
      <w:pPr>
        <w:spacing w:after="0" w:line="77"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15.2 </w:t>
      </w:r>
      <w:r>
        <w:rPr>
          <w:rFonts w:ascii="Arial" w:cs="Arial" w:eastAsia="Arial" w:hAnsi="Arial"/>
          <w:sz w:val="17"/>
          <w:szCs w:val="17"/>
          <w:u w:val="single" w:color="auto"/>
          <w:color w:val="auto"/>
        </w:rPr>
        <w:t>Awards Previously Granted</w:t>
      </w:r>
      <w:r>
        <w:rPr>
          <w:rFonts w:ascii="Arial" w:cs="Arial" w:eastAsia="Arial" w:hAnsi="Arial"/>
          <w:sz w:val="17"/>
          <w:szCs w:val="17"/>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Code Section 409A</w:t>
      </w:r>
    </w:p>
    <w:p>
      <w:pPr>
        <w:spacing w:after="0" w:line="103" w:lineRule="exact"/>
        <w:rPr>
          <w:sz w:val="20"/>
          <w:szCs w:val="20"/>
          <w:color w:val="auto"/>
        </w:rPr>
      </w:pPr>
    </w:p>
    <w:p>
      <w:pPr>
        <w:ind w:left="300" w:right="639" w:firstLine="360"/>
        <w:spacing w:after="0" w:line="259"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79"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16.2 </w:t>
      </w:r>
      <w:r>
        <w:rPr>
          <w:rFonts w:ascii="Arial" w:cs="Arial" w:eastAsia="Arial" w:hAnsi="Arial"/>
          <w:sz w:val="17"/>
          <w:szCs w:val="17"/>
          <w:u w:val="single" w:color="auto"/>
          <w:color w:val="auto"/>
        </w:rPr>
        <w:t>Deferral and/or Distribution Elections</w:t>
      </w:r>
      <w:r>
        <w:rPr>
          <w:rFonts w:ascii="Arial" w:cs="Arial" w:eastAsia="Arial" w:hAnsi="Arial"/>
          <w:sz w:val="17"/>
          <w:szCs w:val="17"/>
          <w:color w:val="auto"/>
        </w:rPr>
        <w:t>. Except as otherwise permitted or required by Code Section 409A, the following rules shall apply to any deferral and/or elections as to the form or timing of distributions (each, an “Election”) that may be permitted or required by the Committee with respect to a 409A Award:</w:t>
      </w:r>
    </w:p>
    <w:p>
      <w:pPr>
        <w:spacing w:after="0" w:line="57" w:lineRule="exact"/>
        <w:rPr>
          <w:sz w:val="20"/>
          <w:szCs w:val="20"/>
          <w:color w:val="auto"/>
        </w:rPr>
      </w:pPr>
    </w:p>
    <w:p>
      <w:pPr>
        <w:jc w:val="both"/>
        <w:ind w:left="660" w:right="599" w:firstLine="360"/>
        <w:spacing w:after="0" w:line="263" w:lineRule="auto"/>
        <w:rPr>
          <w:sz w:val="20"/>
          <w:szCs w:val="20"/>
          <w:color w:val="auto"/>
        </w:rPr>
      </w:pPr>
      <w:r>
        <w:rPr>
          <w:rFonts w:ascii="Arial" w:cs="Arial" w:eastAsia="Arial" w:hAnsi="Arial"/>
          <w:sz w:val="18"/>
          <w:szCs w:val="18"/>
          <w:color w:val="auto"/>
        </w:rPr>
        <w:t>(a) Any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76" w:lineRule="exact"/>
        <w:rPr>
          <w:sz w:val="20"/>
          <w:szCs w:val="20"/>
          <w:color w:val="auto"/>
        </w:rPr>
      </w:pPr>
    </w:p>
    <w:p>
      <w:pPr>
        <w:ind w:left="660" w:right="339" w:firstLine="360"/>
        <w:spacing w:after="0" w:line="296" w:lineRule="auto"/>
        <w:rPr>
          <w:sz w:val="20"/>
          <w:szCs w:val="20"/>
          <w:color w:val="auto"/>
        </w:rPr>
      </w:pPr>
      <w:r>
        <w:rPr>
          <w:rFonts w:ascii="Arial" w:cs="Arial" w:eastAsia="Arial" w:hAnsi="Arial"/>
          <w:sz w:val="16"/>
          <w:szCs w:val="16"/>
          <w:color w:val="auto"/>
        </w:rPr>
        <w:t>(b) Any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right="619" w:firstLine="360"/>
        <w:spacing w:after="0" w:line="263" w:lineRule="auto"/>
        <w:rPr>
          <w:sz w:val="20"/>
          <w:szCs w:val="20"/>
          <w:color w:val="auto"/>
        </w:rPr>
      </w:pPr>
      <w:r>
        <w:rPr>
          <w:rFonts w:ascii="Arial" w:cs="Arial" w:eastAsia="Arial" w:hAnsi="Arial"/>
          <w:sz w:val="18"/>
          <w:szCs w:val="18"/>
          <w:color w:val="auto"/>
        </w:rPr>
        <w:t>(c) Unless otherwise provided by the Committee, an Election shall continue in effect until a written election to revoke or change such Election is received by the Committee, prior to the last day for making an Election for the subsequent year.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 Except as otherwise permitted or required by Code Section 409A, any</w:t>
      </w:r>
    </w:p>
    <w:p>
      <w:pPr>
        <w:spacing w:after="0" w:line="23" w:lineRule="exact"/>
        <w:rPr>
          <w:sz w:val="20"/>
          <w:szCs w:val="20"/>
          <w:color w:val="auto"/>
        </w:rPr>
      </w:pPr>
    </w:p>
    <w:p>
      <w:pPr>
        <w:ind w:left="300" w:right="379"/>
        <w:spacing w:after="0" w:line="260" w:lineRule="auto"/>
        <w:rPr>
          <w:sz w:val="20"/>
          <w:szCs w:val="20"/>
          <w:color w:val="auto"/>
        </w:rPr>
      </w:pPr>
      <w:r>
        <w:rPr>
          <w:rFonts w:ascii="Arial" w:cs="Arial" w:eastAsia="Arial" w:hAnsi="Arial"/>
          <w:sz w:val="18"/>
          <w:szCs w:val="18"/>
          <w:color w:val="auto"/>
        </w:rPr>
        <w:t>409A Award which permits a subsequent Election to further defer the distribution or change the form of distribution shall comply with the following requirements:</w:t>
      </w:r>
    </w:p>
    <w:p>
      <w:pPr>
        <w:spacing w:after="0" w:line="77" w:lineRule="exact"/>
        <w:rPr>
          <w:sz w:val="20"/>
          <w:szCs w:val="20"/>
          <w:color w:val="auto"/>
        </w:rPr>
      </w:pPr>
    </w:p>
    <w:p>
      <w:pPr>
        <w:ind w:left="660" w:right="439" w:firstLine="360"/>
        <w:spacing w:after="0" w:line="277" w:lineRule="auto"/>
        <w:rPr>
          <w:sz w:val="20"/>
          <w:szCs w:val="20"/>
          <w:color w:val="auto"/>
        </w:rPr>
      </w:pPr>
      <w:r>
        <w:rPr>
          <w:rFonts w:ascii="Arial" w:cs="Arial" w:eastAsia="Arial" w:hAnsi="Arial"/>
          <w:sz w:val="18"/>
          <w:szCs w:val="18"/>
          <w:color w:val="auto"/>
        </w:rPr>
        <w:t>(a) No subsequent Election may take effect until at least twelve (12) months after the date on which the subsequent Election is made;</w:t>
      </w:r>
    </w:p>
    <w:p>
      <w:pPr>
        <w:spacing w:after="0" w:line="62" w:lineRule="exact"/>
        <w:rPr>
          <w:sz w:val="20"/>
          <w:szCs w:val="20"/>
          <w:color w:val="auto"/>
        </w:rPr>
      </w:pPr>
    </w:p>
    <w:p>
      <w:pPr>
        <w:ind w:left="660" w:right="319" w:firstLine="360"/>
        <w:spacing w:after="0" w:line="263" w:lineRule="auto"/>
        <w:rPr>
          <w:sz w:val="20"/>
          <w:szCs w:val="20"/>
          <w:color w:val="auto"/>
        </w:rPr>
      </w:pPr>
      <w:r>
        <w:rPr>
          <w:rFonts w:ascii="Arial" w:cs="Arial" w:eastAsia="Arial" w:hAnsi="Arial"/>
          <w:sz w:val="18"/>
          <w:szCs w:val="18"/>
          <w:color w:val="auto"/>
        </w:rPr>
        <w:t>(b) Each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76" w:lineRule="exact"/>
        <w:rPr>
          <w:sz w:val="20"/>
          <w:szCs w:val="20"/>
          <w:color w:val="auto"/>
        </w:rPr>
      </w:pPr>
    </w:p>
    <w:p>
      <w:pPr>
        <w:ind w:left="660" w:right="419" w:firstLine="360"/>
        <w:spacing w:after="0" w:line="263" w:lineRule="auto"/>
        <w:rPr>
          <w:sz w:val="20"/>
          <w:szCs w:val="20"/>
          <w:color w:val="auto"/>
        </w:rPr>
      </w:pPr>
      <w:r>
        <w:rPr>
          <w:rFonts w:ascii="Arial" w:cs="Arial" w:eastAsia="Arial" w:hAnsi="Arial"/>
          <w:sz w:val="18"/>
          <w:szCs w:val="18"/>
          <w:color w:val="auto"/>
        </w:rPr>
        <w:t>(c) No subsequent Election related to a distribution to be made at a specified time or pursuant to a fixed schedule shall be made less than twelve (12) months prior to the date the first scheduled payment would otherwise be made.</w:t>
      </w:r>
    </w:p>
    <w:p>
      <w:pPr>
        <w:spacing w:after="0" w:line="76" w:lineRule="exact"/>
        <w:rPr>
          <w:sz w:val="20"/>
          <w:szCs w:val="20"/>
          <w:color w:val="auto"/>
        </w:rPr>
      </w:pPr>
    </w:p>
    <w:p>
      <w:pPr>
        <w:ind w:left="300" w:right="959" w:firstLine="360"/>
        <w:spacing w:after="0" w:line="308" w:lineRule="auto"/>
        <w:rPr>
          <w:sz w:val="20"/>
          <w:szCs w:val="20"/>
          <w:color w:val="auto"/>
        </w:rPr>
      </w:pPr>
      <w:r>
        <w:rPr>
          <w:rFonts w:ascii="Arial" w:cs="Arial" w:eastAsia="Arial" w:hAnsi="Arial"/>
          <w:sz w:val="17"/>
          <w:szCs w:val="17"/>
          <w:color w:val="auto"/>
        </w:rPr>
        <w:t>16.4 </w:t>
      </w:r>
      <w:r>
        <w:rPr>
          <w:rFonts w:ascii="Arial" w:cs="Arial" w:eastAsia="Arial" w:hAnsi="Arial"/>
          <w:sz w:val="17"/>
          <w:szCs w:val="17"/>
          <w:u w:val="single" w:color="auto"/>
          <w:color w:val="auto"/>
        </w:rPr>
        <w:t>Distributions Pursuant to Deferral Elections</w:t>
      </w:r>
      <w:r>
        <w:rPr>
          <w:rFonts w:ascii="Arial" w:cs="Arial" w:eastAsia="Arial" w:hAnsi="Arial"/>
          <w:sz w:val="17"/>
          <w:szCs w:val="17"/>
          <w:color w:val="auto"/>
        </w:rPr>
        <w:t>. Except as otherwise permitted or required by Code Section 409A, no distribution in settlement of a 409A Award may commence earlier than:</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(a) Separation from Service;</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(b) The date the Participant becomes Disabled (as defined in Section 2.15(b);</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(c) The Participant’s death;</w:t>
      </w:r>
    </w:p>
    <w:p>
      <w:pPr>
        <w:spacing w:after="0" w:line="117" w:lineRule="exact"/>
        <w:rPr>
          <w:sz w:val="20"/>
          <w:szCs w:val="20"/>
          <w:color w:val="auto"/>
        </w:rPr>
      </w:pPr>
    </w:p>
    <w:p>
      <w:pPr>
        <w:ind w:left="660" w:right="459" w:firstLine="360"/>
        <w:spacing w:after="0" w:line="286" w:lineRule="auto"/>
        <w:rPr>
          <w:sz w:val="20"/>
          <w:szCs w:val="20"/>
          <w:color w:val="auto"/>
        </w:rPr>
      </w:pPr>
      <w:r>
        <w:rPr>
          <w:rFonts w:ascii="Arial" w:cs="Arial" w:eastAsia="Arial" w:hAnsi="Arial"/>
          <w:sz w:val="17"/>
          <w:szCs w:val="17"/>
          <w:color w:val="auto"/>
        </w:rPr>
        <w:t>(d) A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57" w:lineRule="exact"/>
        <w:rPr>
          <w:sz w:val="20"/>
          <w:szCs w:val="20"/>
          <w:color w:val="auto"/>
        </w:rPr>
      </w:pPr>
    </w:p>
    <w:p>
      <w:pPr>
        <w:ind w:left="660" w:right="459" w:firstLine="360"/>
        <w:spacing w:after="0" w:line="286" w:lineRule="auto"/>
        <w:rPr>
          <w:sz w:val="20"/>
          <w:szCs w:val="20"/>
          <w:color w:val="auto"/>
        </w:rPr>
      </w:pPr>
      <w:r>
        <w:rPr>
          <w:rFonts w:ascii="Arial" w:cs="Arial" w:eastAsia="Arial" w:hAnsi="Arial"/>
          <w:sz w:val="17"/>
          <w:szCs w:val="17"/>
          <w:color w:val="auto"/>
        </w:rPr>
        <w:t>(e) A change in ownership of the Company or a substantial portion of its assets within the meaning of Treasury Regulation Section 1.409A-3(i)(5)(v) or (vii) or a change in effective control of the Company within the meaning of Treasury Regulation Section 1.409A-3(i)(5)(vi) (a “Change in Control”).</w:t>
      </w:r>
    </w:p>
    <w:p>
      <w:pPr>
        <w:spacing w:after="0" w:line="57"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Six Month Delay</w:t>
      </w:r>
      <w:r>
        <w:rPr>
          <w:rFonts w:ascii="Arial" w:cs="Arial" w:eastAsia="Arial" w:hAnsi="Arial"/>
          <w:sz w:val="18"/>
          <w:szCs w:val="18"/>
          <w:color w:val="auto"/>
        </w:rPr>
        <w:t>. Notwithstanding anything herein or in any Award Agreement or Election to the contrary, to the extent that distribution of a 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w:t>
      </w:r>
    </w:p>
    <w:p>
      <w:pPr>
        <w:spacing w:after="0" w:line="80"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16.6 </w:t>
      </w:r>
      <w:r>
        <w:rPr>
          <w:rFonts w:ascii="Arial" w:cs="Arial" w:eastAsia="Arial" w:hAnsi="Arial"/>
          <w:sz w:val="17"/>
          <w:szCs w:val="17"/>
          <w:u w:val="single" w:color="auto"/>
          <w:color w:val="auto"/>
        </w:rPr>
        <w:t>Death or Disability</w:t>
      </w:r>
      <w:r>
        <w:rPr>
          <w:rFonts w:ascii="Arial" w:cs="Arial" w:eastAsia="Arial" w:hAnsi="Arial"/>
          <w:sz w:val="17"/>
          <w:szCs w:val="17"/>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68"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8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Withholding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w:t>
      </w:r>
    </w:p>
    <w:p>
      <w:pPr>
        <w:spacing w:after="0" w:line="117" w:lineRule="exact"/>
        <w:rPr>
          <w:sz w:val="20"/>
          <w:szCs w:val="20"/>
          <w:color w:val="auto"/>
        </w:rPr>
      </w:pPr>
    </w:p>
    <w:p>
      <w:pPr>
        <w:ind w:left="660" w:right="399" w:firstLine="360"/>
        <w:spacing w:after="0" w:line="254" w:lineRule="auto"/>
        <w:rPr>
          <w:sz w:val="20"/>
          <w:szCs w:val="20"/>
          <w:color w:val="auto"/>
        </w:rPr>
      </w:pPr>
      <w:r>
        <w:rPr>
          <w:rFonts w:ascii="Arial" w:cs="Arial" w:eastAsia="Arial" w:hAnsi="Arial"/>
          <w:sz w:val="18"/>
          <w:szCs w:val="18"/>
          <w:color w:val="auto"/>
        </w:rPr>
        <w:t>(a) The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419" w:firstLine="360"/>
        <w:spacing w:after="0" w:line="301" w:lineRule="auto"/>
        <w:rPr>
          <w:sz w:val="20"/>
          <w:szCs w:val="20"/>
          <w:color w:val="auto"/>
        </w:rPr>
      </w:pPr>
      <w:r>
        <w:rPr>
          <w:rFonts w:ascii="Arial" w:cs="Arial" w:eastAsia="Arial" w:hAnsi="Arial"/>
          <w:sz w:val="16"/>
          <w:szCs w:val="16"/>
          <w:color w:val="auto"/>
        </w:rPr>
        <w:t>(i) payment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49" w:lineRule="exact"/>
        <w:rPr>
          <w:sz w:val="20"/>
          <w:szCs w:val="20"/>
          <w:color w:val="auto"/>
        </w:rPr>
      </w:pPr>
    </w:p>
    <w:p>
      <w:pPr>
        <w:ind w:left="1020" w:right="539" w:firstLine="360"/>
        <w:spacing w:after="0" w:line="277" w:lineRule="auto"/>
        <w:rPr>
          <w:sz w:val="20"/>
          <w:szCs w:val="20"/>
          <w:color w:val="auto"/>
        </w:rPr>
      </w:pPr>
      <w:r>
        <w:rPr>
          <w:rFonts w:ascii="Arial" w:cs="Arial" w:eastAsia="Arial" w:hAnsi="Arial"/>
          <w:sz w:val="18"/>
          <w:szCs w:val="18"/>
          <w:color w:val="auto"/>
        </w:rPr>
        <w:t>(ii) delivering part or all of the amount to be withheld in the form of Common Stock valued at its Fair Market Value on the Tax Date;</w:t>
      </w:r>
    </w:p>
    <w:p>
      <w:pPr>
        <w:spacing w:after="0" w:line="62" w:lineRule="exact"/>
        <w:rPr>
          <w:sz w:val="20"/>
          <w:szCs w:val="20"/>
          <w:color w:val="auto"/>
        </w:rPr>
      </w:pPr>
    </w:p>
    <w:p>
      <w:pPr>
        <w:ind w:left="1020" w:right="399" w:firstLine="360"/>
        <w:spacing w:after="0" w:line="259" w:lineRule="auto"/>
        <w:rPr>
          <w:sz w:val="20"/>
          <w:szCs w:val="20"/>
          <w:color w:val="auto"/>
        </w:rPr>
      </w:pPr>
      <w:r>
        <w:rPr>
          <w:rFonts w:ascii="Arial" w:cs="Arial" w:eastAsia="Arial" w:hAnsi="Arial"/>
          <w:sz w:val="18"/>
          <w:szCs w:val="18"/>
          <w:color w:val="auto"/>
        </w:rPr>
        <w:t>(iii) requesting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(iv) withholding from any compensation otherwise due to the Grantee.</w:t>
      </w:r>
    </w:p>
    <w:p>
      <w:pPr>
        <w:spacing w:after="0" w:line="117" w:lineRule="exact"/>
        <w:rPr>
          <w:sz w:val="20"/>
          <w:szCs w:val="20"/>
          <w:color w:val="auto"/>
        </w:rPr>
      </w:pPr>
    </w:p>
    <w:p>
      <w:pPr>
        <w:ind w:left="660" w:right="359" w:firstLine="360"/>
        <w:spacing w:after="0" w:line="271" w:lineRule="auto"/>
        <w:rPr>
          <w:sz w:val="20"/>
          <w:szCs w:val="20"/>
          <w:color w:val="auto"/>
        </w:rPr>
      </w:pPr>
      <w:r>
        <w:rPr>
          <w:rFonts w:ascii="Arial" w:cs="Arial" w:eastAsia="Arial" w:hAnsi="Arial"/>
          <w:sz w:val="17"/>
          <w:szCs w:val="17"/>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70" w:lineRule="exact"/>
        <w:rPr>
          <w:sz w:val="20"/>
          <w:szCs w:val="20"/>
          <w:color w:val="auto"/>
        </w:rPr>
      </w:pPr>
    </w:p>
    <w:p>
      <w:pPr>
        <w:jc w:val="both"/>
        <w:ind w:left="660" w:right="659" w:firstLine="360"/>
        <w:spacing w:after="0" w:line="286" w:lineRule="auto"/>
        <w:rPr>
          <w:sz w:val="20"/>
          <w:szCs w:val="20"/>
          <w:color w:val="auto"/>
        </w:rPr>
      </w:pPr>
      <w:r>
        <w:rPr>
          <w:rFonts w:ascii="Arial" w:cs="Arial" w:eastAsia="Arial" w:hAnsi="Arial"/>
          <w:sz w:val="17"/>
          <w:szCs w:val="17"/>
          <w:color w:val="auto"/>
        </w:rPr>
        <w:t>(b) Any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57"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w:t>
      </w:r>
    </w:p>
    <w:p>
      <w:pPr>
        <w:spacing w:after="0" w:line="2" w:lineRule="exact"/>
        <w:rPr>
          <w:sz w:val="20"/>
          <w:szCs w:val="20"/>
          <w:color w:val="auto"/>
        </w:rPr>
      </w:pPr>
    </w:p>
    <w:p>
      <w:pPr>
        <w:ind w:left="300" w:right="459"/>
        <w:spacing w:after="0" w:line="260" w:lineRule="auto"/>
        <w:rPr>
          <w:sz w:val="20"/>
          <w:szCs w:val="20"/>
          <w:color w:val="auto"/>
        </w:rPr>
      </w:pPr>
      <w:r>
        <w:rPr>
          <w:rFonts w:ascii="Arial" w:cs="Arial" w:eastAsia="Arial" w:hAnsi="Arial"/>
          <w:sz w:val="18"/>
          <w:szCs w:val="18"/>
          <w:color w:val="auto"/>
        </w:rPr>
        <w:t>Section 83(b) of the Code. The Committee may, in connection with the grant of an Award or at any time thereafter, prohibit a Grantee from making the election described above.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Provisions</w:t>
      </w:r>
    </w:p>
    <w:p>
      <w:pPr>
        <w:spacing w:after="0" w:line="103"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79"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18.2 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63"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18.3 </w:t>
      </w:r>
      <w:r>
        <w:rPr>
          <w:rFonts w:ascii="Arial" w:cs="Arial" w:eastAsia="Arial" w:hAnsi="Arial"/>
          <w:sz w:val="17"/>
          <w:szCs w:val="17"/>
          <w:u w:val="single" w:color="auto"/>
          <w:color w:val="auto"/>
        </w:rPr>
        <w:t>Requirements of Law</w:t>
      </w:r>
      <w:r>
        <w:rPr>
          <w:rFonts w:ascii="Arial" w:cs="Arial" w:eastAsia="Arial" w:hAnsi="Arial"/>
          <w:sz w:val="17"/>
          <w:szCs w:val="17"/>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117" w:lineRule="exact"/>
        <w:rPr>
          <w:sz w:val="20"/>
          <w:szCs w:val="20"/>
          <w:color w:val="auto"/>
        </w:rPr>
      </w:pPr>
    </w:p>
    <w:p>
      <w:pPr>
        <w:ind w:left="660" w:right="819" w:firstLine="360"/>
        <w:spacing w:after="0" w:line="301" w:lineRule="auto"/>
        <w:rPr>
          <w:sz w:val="20"/>
          <w:szCs w:val="20"/>
          <w:color w:val="auto"/>
        </w:rPr>
      </w:pPr>
      <w:r>
        <w:rPr>
          <w:rFonts w:ascii="Arial" w:cs="Arial" w:eastAsia="Arial" w:hAnsi="Arial"/>
          <w:sz w:val="16"/>
          <w:szCs w:val="16"/>
          <w:color w:val="auto"/>
        </w:rPr>
        <w:t>(a) If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right="319"/>
        <w:spacing w:after="0" w:line="268" w:lineRule="auto"/>
        <w:rPr>
          <w:sz w:val="20"/>
          <w:szCs w:val="20"/>
          <w:color w:val="auto"/>
        </w:rPr>
      </w:pPr>
      <w:r>
        <w:rPr>
          <w:rFonts w:ascii="Arial" w:cs="Arial" w:eastAsia="Arial" w:hAnsi="Arial"/>
          <w:sz w:val="17"/>
          <w:szCs w:val="17"/>
          <w:color w:val="auto"/>
        </w:rPr>
        <w:t>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78" w:lineRule="exact"/>
        <w:rPr>
          <w:sz w:val="20"/>
          <w:szCs w:val="20"/>
          <w:color w:val="auto"/>
        </w:rPr>
      </w:pPr>
    </w:p>
    <w:p>
      <w:pPr>
        <w:ind w:left="660" w:right="319" w:firstLine="360"/>
        <w:spacing w:after="0" w:line="273" w:lineRule="auto"/>
        <w:rPr>
          <w:sz w:val="20"/>
          <w:szCs w:val="20"/>
          <w:color w:val="auto"/>
        </w:rPr>
      </w:pPr>
      <w:r>
        <w:rPr>
          <w:rFonts w:ascii="Arial" w:cs="Arial" w:eastAsia="Arial" w:hAnsi="Arial"/>
          <w:sz w:val="17"/>
          <w:szCs w:val="17"/>
          <w:color w:val="auto"/>
        </w:rPr>
        <w:t>(b) If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70"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18.5 </w:t>
      </w:r>
      <w:r>
        <w:rPr>
          <w:rFonts w:ascii="Arial" w:cs="Arial" w:eastAsia="Arial" w:hAnsi="Arial"/>
          <w:sz w:val="17"/>
          <w:szCs w:val="17"/>
          <w:u w:val="single" w:color="auto"/>
          <w:color w:val="auto"/>
        </w:rPr>
        <w:t>Forfeiture Events</w:t>
      </w:r>
      <w:r>
        <w:rPr>
          <w:rFonts w:ascii="Arial" w:cs="Arial" w:eastAsia="Arial" w:hAnsi="Arial"/>
          <w:sz w:val="17"/>
          <w:szCs w:val="17"/>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74"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color w:val="auto"/>
        </w:rPr>
        <w:t>18.6 </w:t>
      </w: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77" w:lineRule="exact"/>
        <w:rPr>
          <w:sz w:val="20"/>
          <w:szCs w:val="20"/>
          <w:color w:val="auto"/>
        </w:rPr>
      </w:pPr>
    </w:p>
    <w:p>
      <w:pPr>
        <w:ind w:left="300" w:right="539" w:firstLine="360"/>
        <w:spacing w:after="0" w:line="293" w:lineRule="auto"/>
        <w:rPr>
          <w:sz w:val="20"/>
          <w:szCs w:val="20"/>
          <w:color w:val="auto"/>
        </w:rPr>
      </w:pPr>
      <w:r>
        <w:rPr>
          <w:rFonts w:ascii="Arial" w:cs="Arial" w:eastAsia="Arial" w:hAnsi="Arial"/>
          <w:sz w:val="16"/>
          <w:szCs w:val="16"/>
          <w:color w:val="auto"/>
        </w:rPr>
        <w:t>18.7 </w:t>
      </w:r>
      <w:r>
        <w:rPr>
          <w:rFonts w:ascii="Arial" w:cs="Arial" w:eastAsia="Arial" w:hAnsi="Arial"/>
          <w:sz w:val="16"/>
          <w:szCs w:val="16"/>
          <w:u w:val="single" w:color="auto"/>
          <w:color w:val="auto"/>
        </w:rPr>
        <w:t>Nature of Payments</w:t>
      </w:r>
      <w:r>
        <w:rPr>
          <w:rFonts w:ascii="Arial" w:cs="Arial" w:eastAsia="Arial" w:hAnsi="Arial"/>
          <w:sz w:val="16"/>
          <w:szCs w:val="16"/>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56"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18.9 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agreements hereunder, shall be construed in accordance with and governed by the laws of the Commonwealth of Massachusetts,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56"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18.10 </w:t>
      </w:r>
      <w:r>
        <w:rPr>
          <w:rFonts w:ascii="Arial" w:cs="Arial" w:eastAsia="Arial" w:hAnsi="Arial"/>
          <w:sz w:val="16"/>
          <w:szCs w:val="16"/>
          <w:u w:val="single" w:color="auto"/>
          <w:color w:val="auto"/>
        </w:rPr>
        <w:t>Unfunded Status of Awards; Creation of Trusts</w:t>
      </w:r>
      <w:r>
        <w:rPr>
          <w:rFonts w:ascii="Arial" w:cs="Arial" w:eastAsia="Arial" w:hAnsi="Arial"/>
          <w:sz w:val="16"/>
          <w:szCs w:val="16"/>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58"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79"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62"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62"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18.14 </w:t>
      </w:r>
      <w:r>
        <w:rPr>
          <w:rFonts w:ascii="Arial" w:cs="Arial" w:eastAsia="Arial" w:hAnsi="Arial"/>
          <w:sz w:val="18"/>
          <w:szCs w:val="18"/>
          <w:u w:val="single" w:color="auto"/>
          <w:color w:val="auto"/>
        </w:rPr>
        <w:t>Construction</w:t>
      </w:r>
      <w:r>
        <w:rPr>
          <w:rFonts w:ascii="Arial" w:cs="Arial" w:eastAsia="Arial" w:hAnsi="Arial"/>
          <w:sz w:val="18"/>
          <w:szCs w:val="18"/>
          <w:color w:val="auto"/>
        </w:rPr>
        <w:t>. The following rules of construction will apply to the Plan: (a) the word “or” is disjunctive but not necessarily exclusive, and (b) words in the singular include the plural, words in the plural include the singular, and words in the neuter gender include the masculine and feminine genders and words in the masculine or feminine gender include the other neuter genders.</w:t>
      </w:r>
    </w:p>
    <w:p>
      <w:pPr>
        <w:spacing w:after="0" w:line="79" w:lineRule="exact"/>
        <w:rPr>
          <w:sz w:val="20"/>
          <w:szCs w:val="20"/>
          <w:color w:val="auto"/>
        </w:rPr>
      </w:pPr>
    </w:p>
    <w:p>
      <w:pPr>
        <w:ind w:left="300" w:right="339" w:firstLine="360"/>
        <w:spacing w:after="0" w:line="308" w:lineRule="auto"/>
        <w:rPr>
          <w:sz w:val="20"/>
          <w:szCs w:val="20"/>
          <w:color w:val="auto"/>
        </w:rPr>
      </w:pPr>
      <w:r>
        <w:rPr>
          <w:rFonts w:ascii="Arial" w:cs="Arial" w:eastAsia="Arial" w:hAnsi="Arial"/>
          <w:sz w:val="17"/>
          <w:szCs w:val="17"/>
          <w:color w:val="auto"/>
        </w:rPr>
        <w:t>18.15 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articles and sections are included solely for convenience of reference, and if there is any conflict between such headings and the text of this Plan, the text shall control.</w:t>
      </w:r>
    </w:p>
    <w:p>
      <w:pPr>
        <w:spacing w:after="0" w:line="38"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79"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18.17 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2"/>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3"/>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2"/>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2023-10-06T07:13:18Z</dcterms:created>
  <dcterms:modified xsi:type="dcterms:W3CDTF">2023-10-06T07:13:18Z</dcterms:modified>
</cp:coreProperties>
</file>