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252_10q.htm"/>
      <w:bookmarkStart w:id="1" w:name="ksef20075252_10q"/>
      <w:bookmarkStart w:id="2" w:name="ef20075252_10q.htm"/>
      <w:bookmarkStart w:id="3" w:name="ksef20075252_10q"/>
      <w:bookmarkEnd w:id="2"/>
      <w:bookmarkEnd w:id="3"/>
    </w:p>
    <w:p>
      <w:pPr>
        <w:pStyle w:val="TextBody"/>
        <w:bidi w:val="0"/>
        <w:spacing w:before="0" w:after="0"/>
        <w:jc w:val="center"/>
        <w:rPr>
          <w:rFonts w:ascii="Times New Roman" w:hAnsi="Times New Roman"/>
          <w:sz w:val="28"/>
        </w:rPr>
      </w:pPr>
      <w:r>
        <w:rPr>
          <w:rFonts w:ascii="Times New Roman" w:hAnsi="Times New Roman"/>
          <w:b/>
          <w:color w:val="000000"/>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color w:val="000000"/>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sz w:val="24"/>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color w:val="000000"/>
          <w:sz w:val="36"/>
        </w:rPr>
        <w:t>FORM 10-Q</w:t>
      </w:r>
      <w:r>
        <w:rPr>
          <w:rFonts w:ascii="Times New Roman" w:hAnsi="Times New Roman"/>
          <w:sz w:val="36"/>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720"/>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For the transition period from</w:t>
      </w:r>
      <w:r>
        <w:rPr>
          <w:rFonts w:ascii="Times New Roman" w:hAnsi="Times New Roman"/>
          <w:b/>
          <w:sz w:val="20"/>
          <w:u w:val="single"/>
        </w:rPr>
        <w:t>                     </w:t>
      </w:r>
      <w:r>
        <w:rPr>
          <w:rFonts w:ascii="Times New Roman" w:hAnsi="Times New Roman"/>
          <w:b/>
          <w:sz w:val="20"/>
        </w:rPr>
        <w:t>to</w:t>
      </w:r>
      <w:r>
        <w:rPr>
          <w:rFonts w:ascii="Times New Roman" w:hAnsi="Times New Roman"/>
          <w:b/>
          <w:sz w:val="20"/>
          <w:u w:val="single"/>
        </w:rPr>
        <w:t>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Commission File No. 001-31791</w:t>
      </w:r>
      <w:r>
        <w:rPr>
          <w:rFonts w:ascii="Times New Roman" w:hAnsi="Times New Roman"/>
          <w:sz w:val="20"/>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48"/>
        </w:rPr>
      </w:pPr>
      <w:r>
        <w:rPr>
          <w:rFonts w:ascii="Times New Roman" w:hAnsi="Times New Roman"/>
          <w:b/>
          <w:color w:val="000000"/>
          <w:sz w:val="48"/>
        </w:rPr>
        <w:t>GALECTIN THERAPEUTICS INC.</w:t>
      </w:r>
      <w:r>
        <w:rPr>
          <w:rFonts w:ascii="Times New Roman" w:hAnsi="Times New Roman"/>
          <w:sz w:val="48"/>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tbl>
      <w:tblPr>
        <w:tblW w:w="8698" w:type="dxa"/>
        <w:jc w:val="left"/>
        <w:tblInd w:w="0" w:type="dxa"/>
        <w:tblLayout w:type="fixed"/>
        <w:tblCellMar>
          <w:top w:w="0" w:type="dxa"/>
          <w:left w:w="0" w:type="dxa"/>
          <w:bottom w:w="0" w:type="dxa"/>
          <w:right w:w="0" w:type="dxa"/>
        </w:tblCellMar>
      </w:tblPr>
      <w:tblGrid>
        <w:gridCol w:w="4651"/>
        <w:gridCol w:w="206"/>
        <w:gridCol w:w="3841"/>
      </w:tblGrid>
      <w:tr>
        <w:trPr/>
        <w:tc>
          <w:tcPr>
            <w:tcW w:w="465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3841" w:type="dxa"/>
            <w:tcBorders/>
            <w:vAlign w:val="center"/>
          </w:tcPr>
          <w:p>
            <w:pPr>
              <w:pStyle w:val="TableContents"/>
              <w:bidi w:val="0"/>
              <w:spacing w:before="0" w:after="283"/>
              <w:jc w:val="left"/>
              <w:rPr/>
            </w:pPr>
            <w:r>
              <w:rPr/>
              <w:t xml:space="preserve">  </w:t>
            </w:r>
          </w:p>
        </w:tc>
      </w:tr>
      <w:tr>
        <w:trPr/>
        <w:tc>
          <w:tcPr>
            <w:tcW w:w="4651" w:type="dxa"/>
            <w:tcBorders/>
            <w:vAlign w:val="center"/>
          </w:tcPr>
          <w:p>
            <w:pPr>
              <w:pStyle w:val="TableContents"/>
              <w:bidi w:val="0"/>
              <w:spacing w:before="0" w:after="0"/>
              <w:jc w:val="center"/>
              <w:rPr/>
            </w:pPr>
            <w:r>
              <w:rPr>
                <w:b/>
                <w:color w:val="000000"/>
              </w:rPr>
              <w:t>Nevada</w:t>
            </w:r>
            <w:r>
              <w:rPr/>
              <w:t xml:space="preserve"> </w:t>
            </w:r>
          </w:p>
        </w:tc>
        <w:tc>
          <w:tcPr>
            <w:tcW w:w="206" w:type="dxa"/>
            <w:tcBorders/>
            <w:vAlign w:val="center"/>
          </w:tcPr>
          <w:p>
            <w:pPr>
              <w:pStyle w:val="TableContents"/>
              <w:bidi w:val="0"/>
              <w:spacing w:before="0" w:after="0"/>
              <w:jc w:val="center"/>
              <w:rPr/>
            </w:pPr>
            <w:r>
              <w:rPr>
                <w:color w:val="000000"/>
              </w:rPr>
              <w:t> </w:t>
            </w:r>
            <w:r>
              <w:rPr/>
              <w:t xml:space="preserve"> </w:t>
            </w:r>
          </w:p>
        </w:tc>
        <w:tc>
          <w:tcPr>
            <w:tcW w:w="3841" w:type="dxa"/>
            <w:tcBorders/>
            <w:vAlign w:val="center"/>
          </w:tcPr>
          <w:p>
            <w:pPr>
              <w:pStyle w:val="TableContents"/>
              <w:bidi w:val="0"/>
              <w:spacing w:before="0" w:after="0"/>
              <w:jc w:val="center"/>
              <w:rPr/>
            </w:pPr>
            <w:r>
              <w:rPr>
                <w:b/>
                <w:color w:val="000000"/>
              </w:rPr>
              <w:t>04-3562325</w:t>
            </w:r>
            <w:r>
              <w:rPr/>
              <w:t xml:space="preserve"> </w:t>
            </w:r>
          </w:p>
        </w:tc>
      </w:tr>
      <w:tr>
        <w:trPr/>
        <w:tc>
          <w:tcPr>
            <w:tcW w:w="4651" w:type="dxa"/>
            <w:tcBorders/>
            <w:vAlign w:val="center"/>
          </w:tcPr>
          <w:p>
            <w:pPr>
              <w:pStyle w:val="TableContents"/>
              <w:bidi w:val="0"/>
              <w:spacing w:before="0" w:after="0"/>
              <w:jc w:val="center"/>
              <w:rPr/>
            </w:pPr>
            <w:r>
              <w:rPr>
                <w:b/>
                <w:color w:val="000000"/>
              </w:rPr>
              <w:t>(State or other jurisdiction of incorporation)</w:t>
            </w:r>
            <w:r>
              <w:rPr/>
              <w:t xml:space="preserve"> </w:t>
            </w:r>
          </w:p>
        </w:tc>
        <w:tc>
          <w:tcPr>
            <w:tcW w:w="206" w:type="dxa"/>
            <w:tcBorders/>
            <w:vAlign w:val="center"/>
          </w:tcPr>
          <w:p>
            <w:pPr>
              <w:pStyle w:val="TableContents"/>
              <w:bidi w:val="0"/>
              <w:spacing w:before="0" w:after="0"/>
              <w:jc w:val="center"/>
              <w:rPr/>
            </w:pPr>
            <w:r>
              <w:rPr>
                <w:color w:val="000000"/>
              </w:rPr>
              <w:t> </w:t>
            </w:r>
            <w:r>
              <w:rPr/>
              <w:t xml:space="preserve"> </w:t>
            </w:r>
          </w:p>
        </w:tc>
        <w:tc>
          <w:tcPr>
            <w:tcW w:w="3841" w:type="dxa"/>
            <w:tcBorders/>
            <w:vAlign w:val="center"/>
          </w:tcPr>
          <w:p>
            <w:pPr>
              <w:pStyle w:val="TableContents"/>
              <w:bidi w:val="0"/>
              <w:spacing w:before="0" w:after="0"/>
              <w:jc w:val="center"/>
              <w:rPr/>
            </w:pPr>
            <w:r>
              <w:rPr>
                <w:b/>
                <w:color w:val="000000"/>
              </w:rPr>
              <w:t>(I.R.S. Employer Identification No.)</w:t>
            </w:r>
            <w:r>
              <w:rPr/>
              <w:t xml:space="preserve"> </w:t>
            </w:r>
          </w:p>
        </w:tc>
      </w:tr>
    </w:tbl>
    <w:p>
      <w:pPr>
        <w:pStyle w:val="TextBody"/>
        <w:bidi w:val="0"/>
        <w:spacing w:before="0" w:after="0"/>
        <w:jc w:val="left"/>
        <w:rPr/>
      </w:pPr>
      <w:r>
        <w:rPr>
          <w:color w:val="000000"/>
        </w:rPr>
        <w:t> </w:t>
      </w:r>
      <w:r>
        <w:rPr/>
        <w:t xml:space="preserve"> </w:t>
      </w:r>
    </w:p>
    <w:tbl>
      <w:tblPr>
        <w:tblW w:w="7483" w:type="dxa"/>
        <w:jc w:val="left"/>
        <w:tblInd w:w="0" w:type="dxa"/>
        <w:tblLayout w:type="fixed"/>
        <w:tblCellMar>
          <w:top w:w="0" w:type="dxa"/>
          <w:left w:w="0" w:type="dxa"/>
          <w:bottom w:w="0" w:type="dxa"/>
          <w:right w:w="0" w:type="dxa"/>
        </w:tblCellMar>
      </w:tblPr>
      <w:tblGrid>
        <w:gridCol w:w="5956"/>
        <w:gridCol w:w="206"/>
        <w:gridCol w:w="1321"/>
      </w:tblGrid>
      <w:tr>
        <w:trPr/>
        <w:tc>
          <w:tcPr>
            <w:tcW w:w="595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1321" w:type="dxa"/>
            <w:tcBorders/>
            <w:vAlign w:val="center"/>
          </w:tcPr>
          <w:p>
            <w:pPr>
              <w:pStyle w:val="TableContents"/>
              <w:bidi w:val="0"/>
              <w:spacing w:before="0" w:after="283"/>
              <w:jc w:val="left"/>
              <w:rPr/>
            </w:pPr>
            <w:r>
              <w:rPr/>
              <w:t xml:space="preserve">  </w:t>
            </w:r>
          </w:p>
        </w:tc>
      </w:tr>
      <w:tr>
        <w:trPr/>
        <w:tc>
          <w:tcPr>
            <w:tcW w:w="5956" w:type="dxa"/>
            <w:tcBorders/>
            <w:vAlign w:val="center"/>
          </w:tcPr>
          <w:p>
            <w:pPr>
              <w:pStyle w:val="TableContents"/>
              <w:bidi w:val="0"/>
              <w:spacing w:before="0" w:after="0"/>
              <w:jc w:val="center"/>
              <w:rPr/>
            </w:pPr>
            <w:r>
              <w:rPr>
                <w:b/>
                <w:color w:val="000000"/>
              </w:rPr>
              <w:t>4960 Peachtree Industrial Blvd., Suite 240, Norcross, GA</w:t>
            </w:r>
            <w:r>
              <w:rPr/>
              <w:t xml:space="preserve"> </w:t>
            </w:r>
          </w:p>
        </w:tc>
        <w:tc>
          <w:tcPr>
            <w:tcW w:w="206" w:type="dxa"/>
            <w:tcBorders/>
            <w:vAlign w:val="center"/>
          </w:tcPr>
          <w:p>
            <w:pPr>
              <w:pStyle w:val="TableContents"/>
              <w:bidi w:val="0"/>
              <w:spacing w:before="0" w:after="0"/>
              <w:jc w:val="center"/>
              <w:rPr/>
            </w:pPr>
            <w:r>
              <w:rPr>
                <w:color w:val="000000"/>
              </w:rPr>
              <w:t> </w:t>
            </w:r>
            <w:r>
              <w:rPr/>
              <w:t xml:space="preserve"> </w:t>
            </w:r>
          </w:p>
        </w:tc>
        <w:tc>
          <w:tcPr>
            <w:tcW w:w="1321" w:type="dxa"/>
            <w:tcBorders/>
            <w:vAlign w:val="center"/>
          </w:tcPr>
          <w:p>
            <w:pPr>
              <w:pStyle w:val="TableContents"/>
              <w:bidi w:val="0"/>
              <w:spacing w:before="0" w:after="0"/>
              <w:jc w:val="center"/>
              <w:rPr/>
            </w:pPr>
            <w:r>
              <w:rPr>
                <w:b/>
                <w:color w:val="000000"/>
              </w:rPr>
              <w:t>30071</w:t>
            </w:r>
            <w:r>
              <w:rPr/>
              <w:t xml:space="preserve"> </w:t>
            </w:r>
          </w:p>
        </w:tc>
      </w:tr>
      <w:tr>
        <w:trPr/>
        <w:tc>
          <w:tcPr>
            <w:tcW w:w="5956" w:type="dxa"/>
            <w:tcBorders/>
            <w:vAlign w:val="center"/>
          </w:tcPr>
          <w:p>
            <w:pPr>
              <w:pStyle w:val="TableContents"/>
              <w:bidi w:val="0"/>
              <w:spacing w:before="0" w:after="0"/>
              <w:jc w:val="center"/>
              <w:rPr/>
            </w:pPr>
            <w:r>
              <w:rPr>
                <w:b/>
                <w:color w:val="000000"/>
              </w:rPr>
              <w:t>(Address of Principal Executive Offices)</w:t>
            </w:r>
            <w:r>
              <w:rPr/>
              <w:t xml:space="preserve"> </w:t>
            </w:r>
          </w:p>
        </w:tc>
        <w:tc>
          <w:tcPr>
            <w:tcW w:w="206" w:type="dxa"/>
            <w:tcBorders/>
            <w:vAlign w:val="center"/>
          </w:tcPr>
          <w:p>
            <w:pPr>
              <w:pStyle w:val="TableContents"/>
              <w:bidi w:val="0"/>
              <w:spacing w:before="0" w:after="0"/>
              <w:jc w:val="center"/>
              <w:rPr/>
            </w:pPr>
            <w:r>
              <w:rPr>
                <w:color w:val="000000"/>
              </w:rPr>
              <w:t> </w:t>
            </w:r>
            <w:r>
              <w:rPr/>
              <w:t xml:space="preserve"> </w:t>
            </w:r>
          </w:p>
        </w:tc>
        <w:tc>
          <w:tcPr>
            <w:tcW w:w="1321" w:type="dxa"/>
            <w:tcBorders/>
            <w:vAlign w:val="center"/>
          </w:tcPr>
          <w:p>
            <w:pPr>
              <w:pStyle w:val="TableContents"/>
              <w:bidi w:val="0"/>
              <w:spacing w:before="0" w:after="0"/>
              <w:jc w:val="center"/>
              <w:rPr/>
            </w:pPr>
            <w:r>
              <w:rPr>
                <w:b/>
                <w:color w:val="000000"/>
              </w:rPr>
              <w:t>(Zip Code)</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(678) 620 -3186</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sz w:val="20"/>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Securities registered or to be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7548" w:type="dxa"/>
        <w:jc w:val="left"/>
        <w:tblInd w:w="0" w:type="dxa"/>
        <w:tblLayout w:type="fixed"/>
        <w:tblCellMar>
          <w:top w:w="0" w:type="dxa"/>
          <w:left w:w="0" w:type="dxa"/>
          <w:bottom w:w="0" w:type="dxa"/>
          <w:right w:w="0" w:type="dxa"/>
        </w:tblCellMar>
      </w:tblPr>
      <w:tblGrid>
        <w:gridCol w:w="1951"/>
        <w:gridCol w:w="2071"/>
        <w:gridCol w:w="3526"/>
      </w:tblGrid>
      <w:tr>
        <w:trPr/>
        <w:tc>
          <w:tcPr>
            <w:tcW w:w="1951" w:type="dxa"/>
            <w:tcBorders/>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0" w:after="283"/>
              <w:jc w:val="left"/>
              <w:rPr/>
            </w:pPr>
            <w:r>
              <w:rPr/>
              <w:t xml:space="preserve">  </w:t>
            </w:r>
          </w:p>
        </w:tc>
        <w:tc>
          <w:tcPr>
            <w:tcW w:w="3526" w:type="dxa"/>
            <w:tcBorders/>
            <w:vAlign w:val="center"/>
          </w:tcPr>
          <w:p>
            <w:pPr>
              <w:pStyle w:val="TableContents"/>
              <w:bidi w:val="0"/>
              <w:spacing w:before="0" w:after="283"/>
              <w:jc w:val="left"/>
              <w:rPr/>
            </w:pPr>
            <w:r>
              <w:rPr/>
              <w:t xml:space="preserve">  </w:t>
            </w:r>
          </w:p>
        </w:tc>
      </w:tr>
      <w:tr>
        <w:trPr/>
        <w:tc>
          <w:tcPr>
            <w:tcW w:w="1951" w:type="dxa"/>
            <w:tcBorders>
              <w:bottom w:val="single" w:sz="12" w:space="0" w:color="000000"/>
            </w:tcBorders>
            <w:tcMar>
              <w:bottom w:w="28" w:type="dxa"/>
            </w:tcMar>
            <w:vAlign w:val="center"/>
          </w:tcPr>
          <w:p>
            <w:pPr>
              <w:pStyle w:val="TableContents"/>
              <w:bidi w:val="0"/>
              <w:spacing w:before="0" w:after="0"/>
              <w:jc w:val="center"/>
              <w:rPr/>
            </w:pPr>
            <w:r>
              <w:rPr>
                <w:b/>
                <w:color w:val="000000"/>
              </w:rPr>
              <w:t>Title of each class</w:t>
            </w:r>
            <w:r>
              <w:rPr/>
              <w:t xml:space="preserve"> </w:t>
            </w:r>
          </w:p>
        </w:tc>
        <w:tc>
          <w:tcPr>
            <w:tcW w:w="2071" w:type="dxa"/>
            <w:tcBorders>
              <w:bottom w:val="single" w:sz="12" w:space="0" w:color="000000"/>
            </w:tcBorders>
            <w:tcMar>
              <w:bottom w:w="28" w:type="dxa"/>
            </w:tcMar>
            <w:vAlign w:val="center"/>
          </w:tcPr>
          <w:p>
            <w:pPr>
              <w:pStyle w:val="TableContents"/>
              <w:bidi w:val="0"/>
              <w:spacing w:before="0" w:after="0"/>
              <w:jc w:val="center"/>
              <w:rPr/>
            </w:pPr>
            <w:r>
              <w:rPr>
                <w:b/>
                <w:color w:val="000000"/>
              </w:rPr>
              <w:t>Trading Symbol(s)</w:t>
            </w:r>
            <w:r>
              <w:rPr/>
              <w:t xml:space="preserve"> </w:t>
            </w:r>
          </w:p>
        </w:tc>
        <w:tc>
          <w:tcPr>
            <w:tcW w:w="3526" w:type="dxa"/>
            <w:tcBorders>
              <w:bottom w:val="single" w:sz="12" w:space="0" w:color="000000"/>
            </w:tcBorders>
            <w:tcMar>
              <w:bottom w:w="28" w:type="dxa"/>
            </w:tcMar>
            <w:vAlign w:val="center"/>
          </w:tcPr>
          <w:p>
            <w:pPr>
              <w:pStyle w:val="TableContents"/>
              <w:bidi w:val="0"/>
              <w:spacing w:before="0" w:after="0"/>
              <w:jc w:val="center"/>
              <w:rPr/>
            </w:pPr>
            <w:r>
              <w:rPr>
                <w:b/>
                <w:color w:val="000000"/>
              </w:rPr>
              <w:t>Name of each exchange on which</w:t>
              <w:br/>
              <w:t>registered</w:t>
            </w:r>
            <w:r>
              <w:rPr/>
              <w:t xml:space="preserve"> </w:t>
            </w:r>
          </w:p>
        </w:tc>
      </w:tr>
      <w:tr>
        <w:trPr/>
        <w:tc>
          <w:tcPr>
            <w:tcW w:w="1951" w:type="dxa"/>
            <w:tcBorders/>
            <w:vAlign w:val="center"/>
          </w:tcPr>
          <w:p>
            <w:pPr>
              <w:pStyle w:val="TableContents"/>
              <w:bidi w:val="0"/>
              <w:spacing w:before="0" w:after="0"/>
              <w:jc w:val="center"/>
              <w:rPr/>
            </w:pPr>
            <w:r>
              <w:rPr>
                <w:b/>
                <w:color w:val="000000"/>
              </w:rPr>
              <w:t>Common Stock</w:t>
            </w:r>
            <w:r>
              <w:rPr/>
              <w:t xml:space="preserve"> </w:t>
            </w:r>
          </w:p>
        </w:tc>
        <w:tc>
          <w:tcPr>
            <w:tcW w:w="2071" w:type="dxa"/>
            <w:tcBorders/>
            <w:vAlign w:val="center"/>
          </w:tcPr>
          <w:p>
            <w:pPr>
              <w:pStyle w:val="TableContents"/>
              <w:bidi w:val="0"/>
              <w:spacing w:before="0" w:after="0"/>
              <w:jc w:val="center"/>
              <w:rPr/>
            </w:pPr>
            <w:r>
              <w:rPr>
                <w:b/>
                <w:color w:val="000000"/>
              </w:rPr>
              <w:t>GALT</w:t>
            </w:r>
            <w:r>
              <w:rPr/>
              <w:t xml:space="preserve"> </w:t>
            </w:r>
          </w:p>
        </w:tc>
        <w:tc>
          <w:tcPr>
            <w:tcW w:w="3526" w:type="dxa"/>
            <w:tcBorders/>
            <w:vAlign w:val="center"/>
          </w:tcPr>
          <w:p>
            <w:pPr>
              <w:pStyle w:val="TableContents"/>
              <w:bidi w:val="0"/>
              <w:spacing w:before="0" w:after="0"/>
              <w:jc w:val="center"/>
              <w:rPr/>
            </w:pPr>
            <w:r>
              <w:rPr>
                <w:b/>
                <w:color w:val="000000"/>
              </w:rPr>
              <w:t>The Nasdaq Stock Market</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5944" w:type="dxa"/>
        <w:jc w:val="left"/>
        <w:tblInd w:w="0" w:type="dxa"/>
        <w:tblLayout w:type="fixed"/>
        <w:tblCellMar>
          <w:top w:w="0" w:type="dxa"/>
          <w:left w:w="0" w:type="dxa"/>
          <w:bottom w:w="0" w:type="dxa"/>
          <w:right w:w="0" w:type="dxa"/>
        </w:tblCellMar>
      </w:tblPr>
      <w:tblGrid>
        <w:gridCol w:w="2416"/>
        <w:gridCol w:w="376"/>
        <w:gridCol w:w="2731"/>
        <w:gridCol w:w="421"/>
      </w:tblGrid>
      <w:tr>
        <w:trPr/>
        <w:tc>
          <w:tcPr>
            <w:tcW w:w="2416" w:type="dxa"/>
            <w:tcBorders/>
            <w:vAlign w:val="center"/>
          </w:tcPr>
          <w:p>
            <w:pPr>
              <w:pStyle w:val="TableContents"/>
              <w:bidi w:val="0"/>
              <w:spacing w:before="0" w:after="0"/>
              <w:jc w:val="left"/>
              <w:rPr/>
            </w:pPr>
            <w:r>
              <w:rPr>
                <w:color w:val="000000"/>
              </w:rPr>
              <w:t> </w:t>
            </w:r>
            <w:r>
              <w:rPr/>
              <w:t xml:space="preserve"> </w:t>
            </w:r>
          </w:p>
        </w:tc>
        <w:tc>
          <w:tcPr>
            <w:tcW w:w="376" w:type="dxa"/>
            <w:tcBorders/>
            <w:vAlign w:val="center"/>
          </w:tcPr>
          <w:p>
            <w:pPr>
              <w:pStyle w:val="TableContents"/>
              <w:bidi w:val="0"/>
              <w:spacing w:before="0" w:after="0"/>
              <w:jc w:val="left"/>
              <w:rPr/>
            </w:pPr>
            <w:r>
              <w:rPr>
                <w:color w:val="000000"/>
              </w:rPr>
              <w:t> </w:t>
            </w:r>
            <w:r>
              <w:rPr/>
              <w:t xml:space="preserve"> </w:t>
            </w:r>
          </w:p>
        </w:tc>
        <w:tc>
          <w:tcPr>
            <w:tcW w:w="2731" w:type="dxa"/>
            <w:tcBorders/>
            <w:vAlign w:val="center"/>
          </w:tcPr>
          <w:p>
            <w:pPr>
              <w:pStyle w:val="TableContents"/>
              <w:bidi w:val="0"/>
              <w:spacing w:before="0" w:after="0"/>
              <w:jc w:val="left"/>
              <w:rPr/>
            </w:pPr>
            <w:r>
              <w:rPr>
                <w:color w:val="000000"/>
              </w:rPr>
              <w:t> </w:t>
            </w:r>
            <w:r>
              <w:rPr/>
              <w:t xml:space="preserve"> </w:t>
            </w:r>
          </w:p>
        </w:tc>
        <w:tc>
          <w:tcPr>
            <w:tcW w:w="421" w:type="dxa"/>
            <w:tcBorders/>
            <w:vAlign w:val="center"/>
          </w:tcPr>
          <w:p>
            <w:pPr>
              <w:pStyle w:val="TableContents"/>
              <w:bidi w:val="0"/>
              <w:spacing w:before="0" w:after="0"/>
              <w:jc w:val="left"/>
              <w:rPr/>
            </w:pPr>
            <w:r>
              <w:rPr>
                <w:color w:val="000000"/>
              </w:rPr>
              <w:t> </w:t>
            </w:r>
            <w:r>
              <w:rPr/>
              <w:t xml:space="preserve"> </w:t>
            </w:r>
          </w:p>
        </w:tc>
      </w:tr>
      <w:tr>
        <w:trPr/>
        <w:tc>
          <w:tcPr>
            <w:tcW w:w="2416" w:type="dxa"/>
            <w:tcBorders/>
            <w:vAlign w:val="center"/>
          </w:tcPr>
          <w:p>
            <w:pPr>
              <w:pStyle w:val="TableContents"/>
              <w:bidi w:val="0"/>
              <w:spacing w:before="0" w:after="0"/>
              <w:jc w:val="left"/>
              <w:rPr/>
            </w:pPr>
            <w:r>
              <w:rPr>
                <w:color w:val="000000"/>
              </w:rPr>
              <w:t>Large Accelerated Filer</w:t>
            </w:r>
            <w:r>
              <w:rPr/>
              <w:t xml:space="preserve"> </w:t>
            </w:r>
          </w:p>
        </w:tc>
        <w:tc>
          <w:tcPr>
            <w:tcW w:w="376" w:type="dxa"/>
            <w:tcBorders/>
            <w:vAlign w:val="center"/>
          </w:tcPr>
          <w:p>
            <w:pPr>
              <w:pStyle w:val="TableContents"/>
              <w:bidi w:val="0"/>
              <w:spacing w:before="0" w:after="0"/>
              <w:jc w:val="left"/>
              <w:rPr/>
            </w:pPr>
            <w:r>
              <w:rPr>
                <w:color w:val="000000"/>
              </w:rPr>
              <w:t>☐</w:t>
            </w:r>
            <w:r>
              <w:rPr/>
              <w:t xml:space="preserve"> </w:t>
            </w:r>
          </w:p>
        </w:tc>
        <w:tc>
          <w:tcPr>
            <w:tcW w:w="2731" w:type="dxa"/>
            <w:tcBorders/>
            <w:vAlign w:val="center"/>
          </w:tcPr>
          <w:p>
            <w:pPr>
              <w:pStyle w:val="TableContents"/>
              <w:bidi w:val="0"/>
              <w:spacing w:before="0" w:after="0"/>
              <w:jc w:val="left"/>
              <w:rPr/>
            </w:pPr>
            <w:r>
              <w:rPr>
                <w:color w:val="000000"/>
              </w:rPr>
              <w:t>Accelerated Filer</w:t>
            </w:r>
            <w:r>
              <w:rPr/>
              <w:t xml:space="preserve"> </w:t>
            </w:r>
          </w:p>
        </w:tc>
        <w:tc>
          <w:tcPr>
            <w:tcW w:w="421" w:type="dxa"/>
            <w:tcBorders/>
            <w:vAlign w:val="center"/>
          </w:tcPr>
          <w:p>
            <w:pPr>
              <w:pStyle w:val="TableContents"/>
              <w:bidi w:val="0"/>
              <w:spacing w:before="0" w:after="0"/>
              <w:jc w:val="left"/>
              <w:rPr/>
            </w:pPr>
            <w:r>
              <w:rPr>
                <w:color w:val="000000"/>
              </w:rPr>
              <w:t>☐</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376" w:type="dxa"/>
            <w:tcBorders/>
            <w:vAlign w:val="center"/>
          </w:tcPr>
          <w:p>
            <w:pPr>
              <w:pStyle w:val="TableContents"/>
              <w:bidi w:val="0"/>
              <w:spacing w:before="0" w:after="0"/>
              <w:jc w:val="left"/>
              <w:rPr/>
            </w:pPr>
            <w:r>
              <w:rPr>
                <w:color w:val="000000"/>
              </w:rPr>
              <w:t> </w:t>
            </w:r>
            <w:r>
              <w:rPr/>
              <w:t xml:space="preserve"> </w:t>
            </w:r>
          </w:p>
        </w:tc>
        <w:tc>
          <w:tcPr>
            <w:tcW w:w="2731" w:type="dxa"/>
            <w:tcBorders/>
            <w:vAlign w:val="center"/>
          </w:tcPr>
          <w:p>
            <w:pPr>
              <w:pStyle w:val="TableContents"/>
              <w:bidi w:val="0"/>
              <w:spacing w:before="0" w:after="0"/>
              <w:jc w:val="left"/>
              <w:rPr/>
            </w:pPr>
            <w:r>
              <w:rPr>
                <w:color w:val="000000"/>
              </w:rPr>
              <w:t> </w:t>
            </w:r>
            <w:r>
              <w:rPr/>
              <w:t xml:space="preserve"> </w:t>
            </w:r>
          </w:p>
        </w:tc>
        <w:tc>
          <w:tcPr>
            <w:tcW w:w="421" w:type="dxa"/>
            <w:tcBorders/>
            <w:vAlign w:val="center"/>
          </w:tcPr>
          <w:p>
            <w:pPr>
              <w:pStyle w:val="TableContents"/>
              <w:bidi w:val="0"/>
              <w:spacing w:before="0" w:after="0"/>
              <w:jc w:val="left"/>
              <w:rPr/>
            </w:pPr>
            <w:r>
              <w:rPr>
                <w:color w:val="000000"/>
              </w:rPr>
              <w:t> </w:t>
            </w:r>
            <w:r>
              <w:rPr/>
              <w:t xml:space="preserve"> </w:t>
            </w:r>
          </w:p>
        </w:tc>
      </w:tr>
      <w:tr>
        <w:trPr/>
        <w:tc>
          <w:tcPr>
            <w:tcW w:w="2416" w:type="dxa"/>
            <w:tcBorders/>
            <w:vAlign w:val="center"/>
          </w:tcPr>
          <w:p>
            <w:pPr>
              <w:pStyle w:val="TableContents"/>
              <w:bidi w:val="0"/>
              <w:spacing w:before="0" w:after="0"/>
              <w:jc w:val="left"/>
              <w:rPr/>
            </w:pPr>
            <w:r>
              <w:rPr>
                <w:color w:val="000000"/>
              </w:rPr>
              <w:t>Non-Accelerated Filer</w:t>
            </w:r>
            <w:r>
              <w:rPr/>
              <w:t xml:space="preserve"> </w:t>
            </w:r>
          </w:p>
        </w:tc>
        <w:tc>
          <w:tcPr>
            <w:tcW w:w="376" w:type="dxa"/>
            <w:tcBorders/>
            <w:vAlign w:val="center"/>
          </w:tcPr>
          <w:p>
            <w:pPr>
              <w:pStyle w:val="TableContents"/>
              <w:bidi w:val="0"/>
              <w:spacing w:before="0" w:after="0"/>
              <w:jc w:val="left"/>
              <w:rPr/>
            </w:pPr>
            <w:r>
              <w:rPr>
                <w:color w:val="000000"/>
              </w:rPr>
              <w:t>☒</w:t>
            </w:r>
            <w:r>
              <w:rPr/>
              <w:t xml:space="preserve"> </w:t>
            </w:r>
          </w:p>
        </w:tc>
        <w:tc>
          <w:tcPr>
            <w:tcW w:w="2731" w:type="dxa"/>
            <w:tcBorders/>
            <w:vAlign w:val="center"/>
          </w:tcPr>
          <w:p>
            <w:pPr>
              <w:pStyle w:val="TableContents"/>
              <w:bidi w:val="0"/>
              <w:spacing w:before="0" w:after="0"/>
              <w:jc w:val="left"/>
              <w:rPr/>
            </w:pPr>
            <w:r>
              <w:rPr>
                <w:color w:val="000000"/>
              </w:rPr>
              <w:t>Smaller reporting company</w:t>
            </w:r>
            <w:r>
              <w:rPr/>
              <w:t xml:space="preserve"> </w:t>
            </w:r>
          </w:p>
        </w:tc>
        <w:tc>
          <w:tcPr>
            <w:tcW w:w="421" w:type="dxa"/>
            <w:tcBorders/>
            <w:vAlign w:val="center"/>
          </w:tcPr>
          <w:p>
            <w:pPr>
              <w:pStyle w:val="TableContents"/>
              <w:bidi w:val="0"/>
              <w:spacing w:before="0" w:after="0"/>
              <w:jc w:val="left"/>
              <w:rPr/>
            </w:pPr>
            <w:r>
              <w:rPr>
                <w:color w:val="000000"/>
              </w:rPr>
              <w:t>☒</w:t>
            </w: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w:t>
      </w:r>
      <w:r>
        <w:rPr>
          <w:rFonts w:ascii="Times New Roman" w:hAnsi="Times New Roman"/>
          <w:sz w:val="20"/>
        </w:rPr>
        <w:t xml:space="preserve">Emerging growth company ☐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 shell company (as defined in Rule 12b-2 of the Exchange Act). ☐ Yes ☒ No</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 number of shares outstanding of the registrant’s common stock as of August 6, 2026 was 100,849,644.</w:t>
      </w:r>
      <w:r>
        <w:rPr>
          <w:rFonts w:ascii="Times New Roman" w:hAnsi="Times New Roman"/>
          <w:sz w:val="20"/>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center"/>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Index_0"/>
      <w:bookmarkEnd w:id="4"/>
      <w:r>
        <w:rPr>
          <w:rFonts w:ascii="Times New Roman" w:hAnsi="Times New Roman"/>
          <w:b/>
          <w:color w:val="000000"/>
          <w:sz w:val="20"/>
        </w:rPr>
        <w:t>INDEX TO 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 ENDED JUNE 30, 2026</w:t>
      </w:r>
      <w:r>
        <w:rPr>
          <w:rFonts w:ascii="Times New Roman" w:hAnsi="Times New Roman"/>
          <w:sz w:val="20"/>
        </w:rPr>
        <w:t xml:space="preserve"> </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12"/>
        <w:gridCol w:w="8440"/>
        <w:gridCol w:w="853"/>
      </w:tblGrid>
      <w:tr>
        <w:trPr/>
        <w:tc>
          <w:tcPr>
            <w:tcW w:w="912" w:type="dxa"/>
            <w:tcBorders/>
            <w:vAlign w:val="center"/>
          </w:tcPr>
          <w:p>
            <w:pPr>
              <w:pStyle w:val="TableContents"/>
              <w:bidi w:val="0"/>
              <w:spacing w:before="0" w:after="283"/>
              <w:jc w:val="left"/>
              <w:rPr/>
            </w:pPr>
            <w:r>
              <w:rPr/>
              <w:t> </w:t>
            </w:r>
          </w:p>
        </w:tc>
        <w:tc>
          <w:tcPr>
            <w:tcW w:w="8440"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center"/>
              <w:rPr/>
            </w:pPr>
            <w:r>
              <w:rPr/>
              <w:t xml:space="preserve">PART I — FINANCIAL INFORMATION </w:t>
            </w:r>
          </w:p>
        </w:tc>
        <w:tc>
          <w:tcPr>
            <w:tcW w:w="853" w:type="dxa"/>
            <w:tcBorders>
              <w:bottom w:val="single" w:sz="8" w:space="0" w:color="000000"/>
            </w:tcBorders>
            <w:tcMar>
              <w:top w:w="0" w:type="dxa"/>
              <w:left w:w="0" w:type="dxa"/>
              <w:right w:w="0" w:type="dxa"/>
            </w:tcMar>
            <w:vAlign w:val="center"/>
          </w:tcPr>
          <w:p>
            <w:pPr>
              <w:pStyle w:val="TableContents"/>
              <w:bidi w:val="0"/>
              <w:spacing w:before="0" w:after="0"/>
              <w:jc w:val="center"/>
              <w:rPr/>
            </w:pPr>
            <w:r>
              <w:rPr>
                <w:b/>
              </w:rPr>
              <w:t>PAGE</w:t>
            </w:r>
            <w:r>
              <w:rPr/>
              <w:t xml:space="preserve">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ITEM 1.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Unaudited Condensed Consolidated Financial Statements (unaudited) </w:t>
            </w:r>
          </w:p>
        </w:tc>
        <w:tc>
          <w:tcPr>
            <w:tcW w:w="853"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BALANCE_SHEETS">
              <w:r>
                <w:rPr>
                  <w:rStyle w:val="InternetLink"/>
                </w:rPr>
                <w:t>Condensed Consolidated Balance Sheets as of June 30, 2026 and December 31, 2025</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2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STATEMENTS_OF_OPERATIONS">
              <w:r>
                <w:rPr>
                  <w:rStyle w:val="InternetLink"/>
                </w:rPr>
                <w:t>Condensed Consolidated Statements of Operations for the Three and Six Months Ended June 30, 2026 and 2025</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3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ASH_FLOWS">
              <w:r>
                <w:rPr>
                  <w:rStyle w:val="InternetLink"/>
                </w:rPr>
                <w:t>Condensed Consolidated Statements of Cash Flows for the Six Months Ended June 30, 2026 and 2025</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4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PREFERRED_STOCK">
              <w:r>
                <w:rPr>
                  <w:rStyle w:val="InternetLink"/>
                </w:rPr>
                <w:t>Condensed Consolidated Statements of Changes in Redeemable Convertible Preferred Stock and Stockholders’ Deficit for the Three and Six Months ended June 30, 2026 and 2025</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5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S_TO_UNAUDITED_CONDENSED_CONSOLIDATED_FINANCIAL_STATEMENTS">
              <w:r>
                <w:rPr>
                  <w:rStyle w:val="InternetLink"/>
                </w:rPr>
                <w:t>Notes to Unaudited Condensed Consolidated Financial Statements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7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Managements_Discussion_and_Analysis_of_Financial_Condition_and_Results_of_Operations">
              <w:r>
                <w:rPr>
                  <w:rStyle w:val="InternetLink"/>
                </w:rPr>
                <w:t>Management’s Discussion and Analysis of Financial Condition and Results of Operations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21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Quantitative_and_Qualitative_Disclosures_about_Market_Risk">
              <w:r>
                <w:rPr>
                  <w:rStyle w:val="InternetLink"/>
                </w:rPr>
                <w:t>Quantitative and Qualitative Disclosures about Market Risk</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29</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Controls_and_Procedures">
              <w:r>
                <w:rPr>
                  <w:rStyle w:val="InternetLink"/>
                </w:rPr>
                <w:t>Controls and Procedures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30</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PART II — OTHER INFORMATION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Legal_Proceedings">
              <w:r>
                <w:rPr>
                  <w:rStyle w:val="InternetLink"/>
                </w:rPr>
                <w:t>Legal Proceedings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30</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Risk_Factors">
              <w:r>
                <w:rPr>
                  <w:rStyle w:val="InternetLink"/>
                </w:rPr>
                <w:t>Risk Factors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30</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Unregistered_Sales_of_Equity_Securities_and_Use_of_Proceeds">
              <w:r>
                <w:rPr>
                  <w:rStyle w:val="InternetLink"/>
                </w:rPr>
                <w:t>Unregistered Sales of Equity Securities and Use of Proceeds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Defaults_Upon_Senior_Securities">
              <w:r>
                <w:rPr>
                  <w:rStyle w:val="InternetLink"/>
                </w:rPr>
                <w:t>Defaults Upon Senior Securities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Mine_Safety_Disclosures">
              <w:r>
                <w:rPr>
                  <w:rStyle w:val="InternetLink"/>
                </w:rPr>
                <w:t>Mine Safety Disclosures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Other_Information">
              <w:r>
                <w:rPr>
                  <w:rStyle w:val="InternetLink"/>
                </w:rPr>
                <w:t>Other Information</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1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440"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hibits">
              <w:r>
                <w:rPr>
                  <w:rStyle w:val="InternetLink"/>
                </w:rPr>
                <w:t>Exhibits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31</w:t>
            </w:r>
          </w:p>
        </w:tc>
      </w:tr>
      <w:tr>
        <w:trPr/>
        <w:tc>
          <w:tcPr>
            <w:tcW w:w="912"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440"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853" w:type="dxa"/>
            <w:tcBorders/>
            <w:tcMar>
              <w:top w:w="0" w:type="dxa"/>
              <w:left w:w="0" w:type="dxa"/>
              <w:bottom w:w="0" w:type="dxa"/>
              <w:right w:w="0" w:type="dxa"/>
            </w:tcMar>
            <w:vAlign w:val="center"/>
          </w:tcPr>
          <w:p>
            <w:pPr>
              <w:pStyle w:val="TableContents"/>
              <w:bidi w:val="0"/>
              <w:spacing w:before="0" w:after="0"/>
              <w:jc w:val="center"/>
              <w:rPr/>
            </w:pPr>
            <w:r>
              <w:rPr/>
              <w:t xml:space="preserve">  </w:t>
            </w:r>
          </w:p>
        </w:tc>
      </w:tr>
      <w:tr>
        <w:trPr/>
        <w:tc>
          <w:tcPr>
            <w:tcW w:w="9352" w:type="dxa"/>
            <w:gridSpan w:val="2"/>
            <w:tcBorders/>
            <w:shd w:fill="CCEEFF" w:val="clear"/>
            <w:tcMar>
              <w:top w:w="0" w:type="dxa"/>
              <w:left w:w="0" w:type="dxa"/>
              <w:bottom w:w="0" w:type="dxa"/>
              <w:right w:w="0" w:type="dxa"/>
            </w:tcMar>
            <w:vAlign w:val="center"/>
          </w:tcPr>
          <w:p>
            <w:pPr>
              <w:pStyle w:val="TableContents"/>
              <w:bidi w:val="0"/>
              <w:spacing w:before="0" w:after="0"/>
              <w:jc w:val="left"/>
              <w:rPr/>
            </w:pPr>
            <w:hyperlink w:anchor="SIGNATURES">
              <w:r>
                <w:rPr>
                  <w:rStyle w:val="InternetLink"/>
                </w:rPr>
                <w:t>SIGNATURES</w:t>
              </w:r>
            </w:hyperlink>
            <w:r>
              <w:rPr/>
              <w:t xml:space="preserve"> </w:t>
            </w:r>
          </w:p>
        </w:tc>
        <w:tc>
          <w:tcPr>
            <w:tcW w:w="853" w:type="dxa"/>
            <w:tcBorders/>
            <w:shd w:fill="CCEEFF" w:val="clear"/>
            <w:tcMar>
              <w:top w:w="0" w:type="dxa"/>
              <w:left w:w="0" w:type="dxa"/>
              <w:bottom w:w="0" w:type="dxa"/>
              <w:right w:w="0" w:type="dxa"/>
            </w:tcMar>
            <w:vAlign w:val="center"/>
          </w:tcPr>
          <w:p>
            <w:pPr>
              <w:pStyle w:val="TableContents"/>
              <w:bidi w:val="0"/>
              <w:spacing w:before="0" w:after="0"/>
              <w:jc w:val="center"/>
              <w:rPr/>
            </w:pPr>
            <w:r>
              <w:rPr/>
              <w:t>33</w:t>
            </w:r>
          </w:p>
        </w:tc>
      </w:tr>
    </w:tbl>
    <w:p>
      <w:pPr>
        <w:pStyle w:val="TextBody"/>
        <w:bidi w:val="0"/>
        <w:spacing w:before="0" w:after="0"/>
        <w:jc w:val="left"/>
        <w:rPr>
          <w:color w:val="000000"/>
        </w:rPr>
      </w:pPr>
      <w:r>
        <w:rPr>
          <w:color w:val="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5" w:name="BALANCE_SHEETS"/>
      <w:bookmarkEnd w:id="5"/>
      <w:r>
        <w:rPr>
          <w:rFonts w:ascii="Times New Roman" w:hAnsi="Times New Roman"/>
          <w:b/>
          <w:color w:val="000000"/>
          <w:sz w:val="20"/>
        </w:rPr>
        <w:t>CONDENSED CONSOLIDATED BALANCE SHEETS (UNAUDITED)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34"/>
        <w:gridCol w:w="90"/>
        <w:gridCol w:w="170"/>
        <w:gridCol w:w="919"/>
        <w:gridCol w:w="185"/>
        <w:gridCol w:w="90"/>
        <w:gridCol w:w="170"/>
        <w:gridCol w:w="1187"/>
        <w:gridCol w:w="160"/>
      </w:tblGrid>
      <w:tr>
        <w:trPr/>
        <w:tc>
          <w:tcPr>
            <w:tcW w:w="7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r>
      <w:tr>
        <w:trPr/>
        <w:tc>
          <w:tcPr>
            <w:tcW w:w="7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19" w:type="dxa"/>
            <w:tcBorders>
              <w:bottom w:val="single" w:sz="12" w:space="0" w:color="000000"/>
            </w:tcBorders>
            <w:tcMar>
              <w:bottom w:w="28" w:type="dxa"/>
            </w:tcMar>
            <w:vAlign w:val="center"/>
          </w:tcPr>
          <w:p>
            <w:pPr>
              <w:pStyle w:val="TableContents"/>
              <w:bidi w:val="0"/>
              <w:spacing w:before="0" w:after="283"/>
              <w:jc w:val="center"/>
              <w:rPr>
                <w:b/>
                <w:color w:val="000000"/>
              </w:rPr>
            </w:pPr>
            <w:r>
              <w:rPr>
                <w:b/>
                <w:color w:val="000000"/>
              </w:rPr>
              <w:t xml:space="preserve">June 30,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7" w:type="dxa"/>
            <w:tcBorders>
              <w:bottom w:val="single" w:sz="12" w:space="0" w:color="000000"/>
            </w:tcBorders>
            <w:tcMar>
              <w:bottom w:w="28" w:type="dxa"/>
            </w:tcMar>
            <w:vAlign w:val="center"/>
          </w:tcPr>
          <w:p>
            <w:pPr>
              <w:pStyle w:val="TableContents"/>
              <w:bidi w:val="0"/>
              <w:spacing w:before="0" w:after="283"/>
              <w:jc w:val="center"/>
              <w:rPr/>
            </w:pPr>
            <w:r>
              <w:rPr>
                <w:b/>
                <w:color w:val="000000"/>
              </w:rPr>
              <w:t>December 31,</w:t>
            </w:r>
            <w:r>
              <w:rPr/>
              <w:t xml:space="preserve"> </w:t>
            </w:r>
          </w:p>
        </w:tc>
        <w:tc>
          <w:tcPr>
            <w:tcW w:w="160" w:type="dxa"/>
            <w:tcBorders/>
            <w:vAlign w:val="center"/>
          </w:tcPr>
          <w:p>
            <w:pPr>
              <w:pStyle w:val="TableContents"/>
              <w:bidi w:val="0"/>
              <w:spacing w:before="0" w:after="283"/>
              <w:jc w:val="center"/>
              <w:rPr/>
            </w:pPr>
            <w:r>
              <w:rPr/>
              <w:t> </w:t>
            </w:r>
          </w:p>
        </w:tc>
      </w:tr>
      <w:tr>
        <w:trPr/>
        <w:tc>
          <w:tcPr>
            <w:tcW w:w="7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19" w:type="dxa"/>
            <w:tcBorders>
              <w:bottom w:val="single" w:sz="12" w:space="0" w:color="000000"/>
            </w:tcBorders>
            <w:tcMar>
              <w:bottom w:w="28" w:type="dxa"/>
            </w:tcMar>
            <w:vAlign w:val="center"/>
          </w:tcPr>
          <w:p>
            <w:pPr>
              <w:pStyle w:val="TableContents"/>
              <w:bidi w:val="0"/>
              <w:spacing w:before="0" w:after="283"/>
              <w:jc w:val="center"/>
              <w:rPr/>
            </w:pPr>
            <w:r>
              <w:rPr>
                <w:b/>
                <w:color w:val="000000"/>
              </w:rPr>
              <w:t>2026</w:t>
            </w: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87" w:type="dxa"/>
            <w:tcBorders>
              <w:bottom w:val="single" w:sz="12" w:space="0" w:color="000000"/>
            </w:tcBorders>
            <w:tcMar>
              <w:bottom w:w="28" w:type="dxa"/>
            </w:tcMar>
            <w:vAlign w:val="center"/>
          </w:tcPr>
          <w:p>
            <w:pPr>
              <w:pStyle w:val="TableContents"/>
              <w:bidi w:val="0"/>
              <w:spacing w:before="0" w:after="283"/>
              <w:jc w:val="center"/>
              <w:rPr/>
            </w:pPr>
            <w:r>
              <w:rPr>
                <w:b/>
                <w:color w:val="000000"/>
              </w:rPr>
              <w:t>2025</w:t>
            </w:r>
            <w:r>
              <w:rPr/>
              <w:t xml:space="preserve"> </w:t>
            </w:r>
          </w:p>
        </w:tc>
        <w:tc>
          <w:tcPr>
            <w:tcW w:w="160" w:type="dxa"/>
            <w:tcBorders/>
            <w:vAlign w:val="center"/>
          </w:tcPr>
          <w:p>
            <w:pPr>
              <w:pStyle w:val="TableContents"/>
              <w:bidi w:val="0"/>
              <w:spacing w:before="0" w:after="283"/>
              <w:jc w:val="center"/>
              <w:rPr/>
            </w:pPr>
            <w:r>
              <w:rPr/>
              <w:t> </w:t>
            </w:r>
          </w:p>
        </w:tc>
      </w:tr>
      <w:tr>
        <w:trPr/>
        <w:tc>
          <w:tcPr>
            <w:tcW w:w="7234" w:type="dxa"/>
            <w:tcBorders/>
            <w:vAlign w:val="center"/>
          </w:tcPr>
          <w:p>
            <w:pPr>
              <w:pStyle w:val="TableContents"/>
              <w:bidi w:val="0"/>
              <w:spacing w:before="0" w:after="283"/>
              <w:jc w:val="left"/>
              <w:rPr/>
            </w:pPr>
            <w:r>
              <w:rPr/>
              <w:t> </w:t>
            </w:r>
          </w:p>
        </w:tc>
        <w:tc>
          <w:tcPr>
            <w:tcW w:w="2971" w:type="dxa"/>
            <w:gridSpan w:val="8"/>
            <w:tcBorders/>
            <w:vAlign w:val="center"/>
          </w:tcPr>
          <w:p>
            <w:pPr>
              <w:pStyle w:val="TableContents"/>
              <w:bidi w:val="0"/>
              <w:spacing w:before="0" w:after="283"/>
              <w:ind w:left="0" w:right="0" w:hanging="150"/>
              <w:jc w:val="center"/>
              <w:rPr/>
            </w:pPr>
            <w:r>
              <w:rPr>
                <w:b/>
                <w:color w:val="000000"/>
              </w:rPr>
              <w:t>(in thousands, except per share</w:t>
            </w:r>
            <w:r>
              <w:rPr/>
              <w:t xml:space="preserve"> </w:t>
            </w:r>
          </w:p>
        </w:tc>
      </w:tr>
      <w:tr>
        <w:trPr/>
        <w:tc>
          <w:tcPr>
            <w:tcW w:w="7234" w:type="dxa"/>
            <w:tcBorders/>
            <w:vAlign w:val="center"/>
          </w:tcPr>
          <w:p>
            <w:pPr>
              <w:pStyle w:val="TableContents"/>
              <w:bidi w:val="0"/>
              <w:spacing w:before="0" w:after="0"/>
              <w:jc w:val="left"/>
              <w:rPr/>
            </w:pPr>
            <w:r>
              <w:rPr>
                <w:b/>
                <w:color w:val="000000"/>
              </w:rPr>
              <w:t>ASSETS</w:t>
            </w:r>
            <w:r>
              <w:rPr/>
              <w:t xml:space="preserve"> </w:t>
            </w:r>
          </w:p>
        </w:tc>
        <w:tc>
          <w:tcPr>
            <w:tcW w:w="2971" w:type="dxa"/>
            <w:gridSpan w:val="8"/>
            <w:tcBorders/>
            <w:vAlign w:val="center"/>
          </w:tcPr>
          <w:p>
            <w:pPr>
              <w:pStyle w:val="TableContents"/>
              <w:bidi w:val="0"/>
              <w:spacing w:before="0" w:after="283"/>
              <w:ind w:left="0" w:right="0" w:hanging="150"/>
              <w:jc w:val="center"/>
              <w:rPr/>
            </w:pPr>
            <w:r>
              <w:rPr>
                <w:b/>
                <w:color w:val="000000"/>
              </w:rPr>
              <w:t>amounts)</w:t>
            </w:r>
            <w:r>
              <w:rPr/>
              <w:t xml:space="preserve"> </w:t>
            </w:r>
          </w:p>
        </w:tc>
      </w:tr>
      <w:tr>
        <w:trPr/>
        <w:tc>
          <w:tcPr>
            <w:tcW w:w="7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1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vAlign w:val="center"/>
          </w:tcPr>
          <w:p>
            <w:pPr>
              <w:pStyle w:val="TableContents"/>
              <w:bidi w:val="0"/>
              <w:spacing w:before="0" w:after="283"/>
              <w:jc w:val="center"/>
              <w:rPr/>
            </w:pPr>
            <w:r>
              <w:rPr/>
              <w:t> </w:t>
            </w:r>
          </w:p>
        </w:tc>
        <w:tc>
          <w:tcPr>
            <w:tcW w:w="160" w:type="dxa"/>
            <w:tcBorders/>
            <w:vAlign w:val="center"/>
          </w:tcPr>
          <w:p>
            <w:pPr>
              <w:pStyle w:val="TableContents"/>
              <w:bidi w:val="0"/>
              <w:spacing w:before="0" w:after="283"/>
              <w:ind w:left="0" w:right="0" w:hanging="150"/>
              <w:jc w:val="center"/>
              <w:rPr/>
            </w:pPr>
            <w:r>
              <w:rPr/>
              <w:t> </w:t>
            </w:r>
          </w:p>
        </w:tc>
      </w:tr>
      <w:tr>
        <w:trPr/>
        <w:tc>
          <w:tcPr>
            <w:tcW w:w="7234" w:type="dxa"/>
            <w:tcBorders/>
            <w:vAlign w:val="center"/>
          </w:tcPr>
          <w:p>
            <w:pPr>
              <w:pStyle w:val="TableContents"/>
              <w:bidi w:val="0"/>
              <w:spacing w:before="0" w:after="0"/>
              <w:jc w:val="left"/>
              <w:rPr/>
            </w:pPr>
            <w:r>
              <w:rPr>
                <w:color w:val="000000"/>
              </w:rPr>
              <w:t>Current assets:</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1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vAlign w:val="center"/>
          </w:tcPr>
          <w:p>
            <w:pPr>
              <w:pStyle w:val="TableContents"/>
              <w:bidi w:val="0"/>
              <w:spacing w:before="0" w:after="283"/>
              <w:jc w:val="center"/>
              <w:rPr/>
            </w:pPr>
            <w:r>
              <w:rPr/>
              <w:t> </w:t>
            </w:r>
          </w:p>
        </w:tc>
        <w:tc>
          <w:tcPr>
            <w:tcW w:w="160" w:type="dxa"/>
            <w:tcBorders/>
            <w:vAlign w:val="center"/>
          </w:tcPr>
          <w:p>
            <w:pPr>
              <w:pStyle w:val="TableContents"/>
              <w:bidi w:val="0"/>
              <w:spacing w:before="0" w:after="283"/>
              <w:ind w:left="0" w:right="0" w:hanging="150"/>
              <w:jc w:val="center"/>
              <w:rPr/>
            </w:pPr>
            <w:r>
              <w:rPr/>
              <w:t> </w:t>
            </w:r>
          </w:p>
        </w:tc>
      </w:tr>
      <w:tr>
        <w:trPr/>
        <w:tc>
          <w:tcPr>
            <w:tcW w:w="7234" w:type="dxa"/>
            <w:tcBorders/>
            <w:shd w:fill="CCEEFF" w:val="clear"/>
            <w:vAlign w:val="center"/>
          </w:tcPr>
          <w:p>
            <w:pPr>
              <w:pStyle w:val="TableContents"/>
              <w:bidi w:val="0"/>
              <w:spacing w:before="0" w:after="0"/>
              <w:jc w:val="left"/>
              <w:rPr/>
            </w:pPr>
            <w:r>
              <w:rPr>
                <w:color w:val="000000"/>
              </w:rPr>
              <w:t>Cash and cash equivalents</w:t>
            </w:r>
            <w:r>
              <w:rPr/>
              <w:t xml:space="preserve">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919" w:type="dxa"/>
            <w:tcBorders/>
            <w:shd w:fill="CCEEFF" w:val="clear"/>
            <w:vAlign w:val="center"/>
          </w:tcPr>
          <w:p>
            <w:pPr>
              <w:pStyle w:val="TableContents"/>
              <w:bidi w:val="0"/>
              <w:spacing w:before="0" w:after="283"/>
              <w:jc w:val="right"/>
              <w:rPr>
                <w:color w:val="000000"/>
              </w:rPr>
            </w:pPr>
            <w:r>
              <w:rPr>
                <w:color w:val="000000"/>
              </w:rPr>
              <w:t>13,269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187" w:type="dxa"/>
            <w:tcBorders/>
            <w:shd w:fill="CCEEFF" w:val="clear"/>
            <w:vAlign w:val="center"/>
          </w:tcPr>
          <w:p>
            <w:pPr>
              <w:pStyle w:val="TableContents"/>
              <w:bidi w:val="0"/>
              <w:spacing w:before="0" w:after="283"/>
              <w:jc w:val="right"/>
              <w:rPr>
                <w:color w:val="000000"/>
              </w:rPr>
            </w:pPr>
            <w:r>
              <w:rPr>
                <w:color w:val="000000"/>
              </w:rPr>
              <w:t>17,720</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Prepaid expenses and other current assets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1,390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1,716</w:t>
            </w:r>
          </w:p>
        </w:tc>
        <w:tc>
          <w:tcPr>
            <w:tcW w:w="16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Total current assets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14,659</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19,436</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Other</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167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96</w:t>
            </w:r>
          </w:p>
        </w:tc>
        <w:tc>
          <w:tcPr>
            <w:tcW w:w="16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Total assets</w:t>
            </w:r>
            <w:r>
              <w:rPr/>
              <w:t xml:space="preserve">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19"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14,826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87"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19,532</w:t>
            </w:r>
          </w:p>
        </w:tc>
        <w:tc>
          <w:tcPr>
            <w:tcW w:w="160" w:type="dxa"/>
            <w:tcBorders>
              <w:bottom w:val="double" w:sz="8"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b/>
                <w:color w:val="000000"/>
              </w:rPr>
              <w:t>LIABILITIES, REDEEMABLE CONVERTIBLE PREFERRED STOCK AND STOCKHOLDERS’ EQUITY (DEFICIT)</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19"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vAlign w:val="center"/>
          </w:tcPr>
          <w:p>
            <w:pPr>
              <w:pStyle w:val="TableContents"/>
              <w:bidi w:val="0"/>
              <w:spacing w:before="0" w:after="283"/>
              <w:jc w:val="center"/>
              <w:rPr/>
            </w:pPr>
            <w:r>
              <w:rPr/>
              <w:t> </w:t>
            </w:r>
          </w:p>
        </w:tc>
        <w:tc>
          <w:tcPr>
            <w:tcW w:w="160" w:type="dxa"/>
            <w:tcBorders/>
            <w:vAlign w:val="center"/>
          </w:tcPr>
          <w:p>
            <w:pPr>
              <w:pStyle w:val="TableContents"/>
              <w:bidi w:val="0"/>
              <w:spacing w:before="0" w:after="283"/>
              <w:ind w:left="0" w:right="0" w:hanging="150"/>
              <w:jc w:val="center"/>
              <w:rPr/>
            </w:pPr>
            <w:r>
              <w:rPr/>
              <w:t> </w:t>
            </w:r>
          </w:p>
        </w:tc>
      </w:tr>
      <w:tr>
        <w:trPr/>
        <w:tc>
          <w:tcPr>
            <w:tcW w:w="7234" w:type="dxa"/>
            <w:tcBorders/>
            <w:shd w:fill="CCEEFF" w:val="clear"/>
            <w:vAlign w:val="center"/>
          </w:tcPr>
          <w:p>
            <w:pPr>
              <w:pStyle w:val="TableContents"/>
              <w:bidi w:val="0"/>
              <w:spacing w:before="0" w:after="0"/>
              <w:jc w:val="left"/>
              <w:rPr/>
            </w:pPr>
            <w:r>
              <w:rPr>
                <w:color w:val="000000"/>
              </w:rPr>
              <w:t>Current liabilities: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center"/>
              <w:rPr/>
            </w:pPr>
            <w:r>
              <w:rPr/>
              <w:t> </w:t>
            </w:r>
          </w:p>
        </w:tc>
        <w:tc>
          <w:tcPr>
            <w:tcW w:w="919" w:type="dxa"/>
            <w:tcBorders/>
            <w:shd w:fill="CCEEFF" w:val="clear"/>
            <w:vAlign w:val="center"/>
          </w:tcPr>
          <w:p>
            <w:pPr>
              <w:pStyle w:val="TableContents"/>
              <w:bidi w:val="0"/>
              <w:spacing w:before="0" w:after="283"/>
              <w:jc w:val="center"/>
              <w:rPr/>
            </w:pPr>
            <w:r>
              <w:rPr/>
              <w:t> </w:t>
            </w:r>
          </w:p>
        </w:tc>
        <w:tc>
          <w:tcPr>
            <w:tcW w:w="18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center"/>
              <w:rPr/>
            </w:pPr>
            <w:r>
              <w:rPr/>
              <w:t> </w:t>
            </w:r>
          </w:p>
        </w:tc>
        <w:tc>
          <w:tcPr>
            <w:tcW w:w="1187" w:type="dxa"/>
            <w:tcBorders/>
            <w:shd w:fill="CCEEFF" w:val="clear"/>
            <w:vAlign w:val="center"/>
          </w:tcPr>
          <w:p>
            <w:pPr>
              <w:pStyle w:val="TableContents"/>
              <w:bidi w:val="0"/>
              <w:spacing w:before="0" w:after="283"/>
              <w:jc w:val="center"/>
              <w:rPr/>
            </w:pPr>
            <w:r>
              <w:rPr/>
              <w:t> </w:t>
            </w:r>
          </w:p>
        </w:tc>
        <w:tc>
          <w:tcPr>
            <w:tcW w:w="160" w:type="dxa"/>
            <w:tcBorders/>
            <w:shd w:fill="CCEEFF" w:val="clear"/>
            <w:vAlign w:val="center"/>
          </w:tcPr>
          <w:p>
            <w:pPr>
              <w:pStyle w:val="TableContents"/>
              <w:bidi w:val="0"/>
              <w:spacing w:before="0" w:after="283"/>
              <w:ind w:left="0" w:right="0" w:hanging="150"/>
              <w:jc w:val="center"/>
              <w:rPr/>
            </w:pPr>
            <w:r>
              <w:rPr/>
              <w:t> </w:t>
            </w:r>
          </w:p>
        </w:tc>
      </w:tr>
      <w:tr>
        <w:trPr/>
        <w:tc>
          <w:tcPr>
            <w:tcW w:w="7234" w:type="dxa"/>
            <w:tcBorders/>
            <w:vAlign w:val="center"/>
          </w:tcPr>
          <w:p>
            <w:pPr>
              <w:pStyle w:val="TableContents"/>
              <w:bidi w:val="0"/>
              <w:spacing w:before="0" w:after="0"/>
              <w:jc w:val="left"/>
              <w:rPr/>
            </w:pPr>
            <w:r>
              <w:rPr>
                <w:color w:val="000000"/>
              </w:rPr>
              <w:t>Accounts payable</w:t>
            </w:r>
            <w:r>
              <w:rPr/>
              <w:t xml:space="preserve"> </w:t>
            </w:r>
          </w:p>
        </w:tc>
        <w:tc>
          <w:tcPr>
            <w:tcW w:w="90" w:type="dxa"/>
            <w:tcBorders/>
            <w:vAlign w:val="center"/>
          </w:tcPr>
          <w:p>
            <w:pPr>
              <w:pStyle w:val="TableContents"/>
              <w:bidi w:val="0"/>
              <w:spacing w:before="0" w:after="283"/>
              <w:ind w:left="5" w:right="0" w:hanging="0"/>
              <w:jc w:val="center"/>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919" w:type="dxa"/>
            <w:tcBorders/>
            <w:vAlign w:val="center"/>
          </w:tcPr>
          <w:p>
            <w:pPr>
              <w:pStyle w:val="TableContents"/>
              <w:bidi w:val="0"/>
              <w:spacing w:before="0" w:after="283"/>
              <w:jc w:val="right"/>
              <w:rPr>
                <w:color w:val="000000"/>
              </w:rPr>
            </w:pPr>
            <w:r>
              <w:rPr>
                <w:color w:val="000000"/>
              </w:rPr>
              <w:t>3,727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5" w:right="0" w:hanging="0"/>
              <w:jc w:val="center"/>
              <w:rPr/>
            </w:pPr>
            <w:r>
              <w:rPr/>
              <w:t> </w:t>
            </w:r>
          </w:p>
        </w:tc>
        <w:tc>
          <w:tcPr>
            <w:tcW w:w="170" w:type="dxa"/>
            <w:tcBorders/>
            <w:vAlign w:val="center"/>
          </w:tcPr>
          <w:p>
            <w:pPr>
              <w:pStyle w:val="TableContents"/>
              <w:bidi w:val="0"/>
              <w:spacing w:before="0" w:after="283"/>
              <w:jc w:val="left"/>
              <w:rPr>
                <w:color w:val="000000"/>
              </w:rPr>
            </w:pPr>
            <w:r>
              <w:rPr>
                <w:color w:val="000000"/>
              </w:rPr>
              <w:t>$</w:t>
            </w:r>
          </w:p>
        </w:tc>
        <w:tc>
          <w:tcPr>
            <w:tcW w:w="1187" w:type="dxa"/>
            <w:tcBorders/>
            <w:vAlign w:val="center"/>
          </w:tcPr>
          <w:p>
            <w:pPr>
              <w:pStyle w:val="TableContents"/>
              <w:bidi w:val="0"/>
              <w:spacing w:before="0" w:after="283"/>
              <w:jc w:val="right"/>
              <w:rPr>
                <w:color w:val="000000"/>
              </w:rPr>
            </w:pPr>
            <w:r>
              <w:rPr>
                <w:color w:val="000000"/>
              </w:rPr>
              <w:t>3,245</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Accrued expenses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color w:val="000000"/>
              </w:rPr>
            </w:pPr>
            <w:r>
              <w:rPr>
                <w:color w:val="000000"/>
              </w:rPr>
              <w:t>3,993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color w:val="000000"/>
              </w:rPr>
            </w:pPr>
            <w:r>
              <w:rPr>
                <w:color w:val="000000"/>
              </w:rPr>
              <w:t>4,722</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Convertible notes payable and accrued interest, net of debt discounts – related party (Note 3)</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color w:val="000000"/>
              </w:rPr>
            </w:pPr>
            <w:r>
              <w:rPr>
                <w:color w:val="000000"/>
              </w:rPr>
              <w:t>33,043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color w:val="000000"/>
              </w:rPr>
            </w:pPr>
            <w:r>
              <w:rPr>
                <w:color w:val="000000"/>
              </w:rPr>
              <w:t>  —  </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Derivative liabilities (Note 5)</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color w:val="000000"/>
              </w:rPr>
            </w:pPr>
            <w:r>
              <w:rPr>
                <w:color w:val="000000"/>
              </w:rPr>
              <w:t>6,135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color w:val="000000"/>
              </w:rPr>
            </w:pPr>
            <w:r>
              <w:rPr>
                <w:color w:val="000000"/>
              </w:rPr>
              <w:t>  —  </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Borrowing and accrued interest under convertible line of credit, net of debt discount – related party (Note 9)</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color w:val="000000"/>
              </w:rPr>
            </w:pPr>
            <w:r>
              <w:rPr>
                <w:color w:val="000000"/>
              </w:rPr>
              <w:t>104,659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color w:val="000000"/>
              </w:rPr>
            </w:pPr>
            <w:r>
              <w:rPr>
                <w:color w:val="000000"/>
              </w:rPr>
              <w:t>  —  </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Accrued dividends payable</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62</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63</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Total current liabilities</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151,619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8,030</w:t>
            </w:r>
          </w:p>
        </w:tc>
        <w:tc>
          <w:tcPr>
            <w:tcW w:w="16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Convertible notes payable and accrued interest, net of debt discounts – related party (Note 3)</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color w:val="000000"/>
              </w:rPr>
            </w:pPr>
            <w:r>
              <w:rPr>
                <w:color w:val="000000"/>
              </w:rPr>
              <w:t>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color w:val="000000"/>
              </w:rPr>
            </w:pPr>
            <w:r>
              <w:rPr>
                <w:color w:val="000000"/>
              </w:rPr>
              <w:t>32,702</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Derivative liabilities (Note 5)</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color w:val="000000"/>
              </w:rPr>
            </w:pPr>
            <w:r>
              <w:rPr>
                <w:color w:val="000000"/>
              </w:rPr>
              <w:t>  —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color w:val="000000"/>
              </w:rPr>
            </w:pPr>
            <w:r>
              <w:rPr>
                <w:color w:val="000000"/>
              </w:rPr>
              <w:t>3,962</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Borrowing and accrued interest under convertible line of credit, net of debt discount – related party (Note 9)</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101,033</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Other</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59</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  —  </w:t>
            </w:r>
          </w:p>
        </w:tc>
        <w:tc>
          <w:tcPr>
            <w:tcW w:w="160" w:type="dxa"/>
            <w:tcBorders>
              <w:bottom w:val="single" w:sz="12" w:space="0" w:color="000000"/>
            </w:tcBorders>
            <w:tcMar>
              <w:bottom w:w="28" w:type="dxa"/>
            </w:tcMar>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Total liabilities</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151,678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145,727</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Commitments and contingencies (Note 11)</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19"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vAlign w:val="center"/>
          </w:tcPr>
          <w:p>
            <w:pPr>
              <w:pStyle w:val="TableContents"/>
              <w:bidi w:val="0"/>
              <w:spacing w:before="0" w:after="0"/>
              <w:jc w:val="right"/>
              <w:rPr/>
            </w:pPr>
            <w:r>
              <w:rPr/>
              <w:t> </w:t>
            </w:r>
          </w:p>
        </w:tc>
        <w:tc>
          <w:tcPr>
            <w:tcW w:w="160" w:type="dxa"/>
            <w:tcBorders/>
            <w:vAlign w:val="center"/>
          </w:tcPr>
          <w:p>
            <w:pPr>
              <w:pStyle w:val="TableContents"/>
              <w:bidi w:val="0"/>
              <w:spacing w:before="0" w:after="283"/>
              <w:ind w:left="0" w:right="0" w:hanging="150"/>
              <w:jc w:val="center"/>
              <w:rPr/>
            </w:pPr>
            <w:r>
              <w:rPr/>
              <w:t> </w:t>
            </w:r>
          </w:p>
        </w:tc>
      </w:tr>
      <w:tr>
        <w:trPr/>
        <w:tc>
          <w:tcPr>
            <w:tcW w:w="7234" w:type="dxa"/>
            <w:tcBorders/>
            <w:shd w:fill="CCEEFF" w:val="clear"/>
            <w:vAlign w:val="center"/>
          </w:tcPr>
          <w:p>
            <w:pPr>
              <w:pStyle w:val="TableContents"/>
              <w:bidi w:val="0"/>
              <w:spacing w:before="0" w:after="0"/>
              <w:jc w:val="left"/>
              <w:rPr/>
            </w:pPr>
            <w:r>
              <w:rPr>
                <w:color w:val="000000"/>
              </w:rPr>
              <w:t>Series C 6% super dividend redeemable convertible preferred stock; 1,000 shares authorized, 176 issued and outstanding at June 30, 2026 and December 31, 2025, redemption value: $7,966,000, liquidation value: $1,760,000 at June 30, 2026</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1,723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1,723</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Stockholders’ equity (deficit):</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1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50"/>
              <w:jc w:val="center"/>
              <w:rPr/>
            </w:pPr>
            <w:r>
              <w:rPr/>
              <w:t> </w:t>
            </w:r>
          </w:p>
        </w:tc>
      </w:tr>
      <w:tr>
        <w:trPr/>
        <w:tc>
          <w:tcPr>
            <w:tcW w:w="7234" w:type="dxa"/>
            <w:tcBorders/>
            <w:shd w:fill="CCEEFF" w:val="clear"/>
            <w:vAlign w:val="center"/>
          </w:tcPr>
          <w:p>
            <w:pPr>
              <w:pStyle w:val="TableContents"/>
              <w:bidi w:val="0"/>
              <w:spacing w:before="0" w:after="0"/>
              <w:jc w:val="left"/>
              <w:rPr/>
            </w:pPr>
            <w:r>
              <w:rPr>
                <w:color w:val="000000"/>
              </w:rPr>
              <w:t>Undesignated stock, $0.01 par value; 20,000,000 shares authorized at June 30, 2026 and December 31, 2025 20,000,000 shares designated at June 30, 2026 and December 31, 2025, respectively</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color w:val="000000"/>
              </w:rPr>
            </w:pPr>
            <w:r>
              <w:rPr>
                <w:color w:val="000000"/>
              </w:rPr>
              <w:t>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color w:val="000000"/>
              </w:rPr>
            </w:pPr>
            <w:r>
              <w:rPr>
                <w:color w:val="000000"/>
              </w:rPr>
              <w:t>  —  </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Series A 12% convertible preferred stock; 1,742,500 shares authorized, 1,185,000 and 1,210,000 issued and outstanding at June 30, 2026 and December 31, 2025, respectively, liquidation value $1,185,000 at June 30, 2026</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color w:val="000000"/>
              </w:rPr>
            </w:pPr>
            <w:r>
              <w:rPr>
                <w:color w:val="000000"/>
              </w:rPr>
              <w:t>480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color w:val="000000"/>
              </w:rPr>
            </w:pPr>
            <w:r>
              <w:rPr>
                <w:color w:val="000000"/>
              </w:rPr>
              <w:t>490</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Common stock, $0.001 par value; 150,000,000 shares authorized at June 30, 2026 and December 31, 2025, 66,311,910 and 65,201,995 issued and outstanding at June 30, 2026 and December 31, 2025, respectively</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color w:val="000000"/>
              </w:rPr>
            </w:pPr>
            <w:r>
              <w:rPr>
                <w:color w:val="000000"/>
              </w:rPr>
              <w:t>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color w:val="000000"/>
              </w:rPr>
            </w:pPr>
            <w:r>
              <w:rPr>
                <w:color w:val="000000"/>
              </w:rPr>
              <w:t>65</w:t>
            </w:r>
          </w:p>
        </w:tc>
        <w:tc>
          <w:tcPr>
            <w:tcW w:w="160" w:type="dxa"/>
            <w:tcBorders/>
            <w:shd w:fill="CCEEFF" w:val="clear"/>
            <w:vAlign w:val="center"/>
          </w:tcPr>
          <w:p>
            <w:pPr>
              <w:pStyle w:val="TableContents"/>
              <w:bidi w:val="0"/>
              <w:spacing w:before="0" w:after="283"/>
              <w:ind w:left="0" w:right="0" w:hanging="150"/>
              <w:jc w:val="left"/>
              <w:rPr/>
            </w:pPr>
            <w:r>
              <w:rPr/>
              <w:t> </w:t>
            </w:r>
          </w:p>
        </w:tc>
      </w:tr>
      <w:tr>
        <w:trPr/>
        <w:tc>
          <w:tcPr>
            <w:tcW w:w="7234" w:type="dxa"/>
            <w:tcBorders/>
            <w:vAlign w:val="center"/>
          </w:tcPr>
          <w:p>
            <w:pPr>
              <w:pStyle w:val="TableContents"/>
              <w:bidi w:val="0"/>
              <w:spacing w:before="0" w:after="0"/>
              <w:jc w:val="left"/>
              <w:rPr/>
            </w:pPr>
            <w:r>
              <w:rPr>
                <w:color w:val="000000"/>
              </w:rPr>
              <w:t>Additional paid-in capital</w:t>
            </w:r>
            <w:r>
              <w:rPr/>
              <w:t xml:space="preserve">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color w:val="000000"/>
              </w:rPr>
            </w:pPr>
            <w:r>
              <w:rPr>
                <w:color w:val="000000"/>
              </w:rPr>
              <w:t>307,667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color w:val="000000"/>
              </w:rPr>
            </w:pPr>
            <w:r>
              <w:rPr>
                <w:color w:val="000000"/>
              </w:rPr>
              <w:t>304,073</w:t>
            </w:r>
          </w:p>
        </w:tc>
        <w:tc>
          <w:tcPr>
            <w:tcW w:w="160" w:type="dxa"/>
            <w:tcBorders/>
            <w:vAlign w:val="center"/>
          </w:tcPr>
          <w:p>
            <w:pPr>
              <w:pStyle w:val="TableContents"/>
              <w:bidi w:val="0"/>
              <w:spacing w:before="0" w:after="283"/>
              <w:ind w:left="0" w:right="0" w:hanging="150"/>
              <w:jc w:val="left"/>
              <w:rPr/>
            </w:pPr>
            <w:r>
              <w:rPr/>
              <w:t> </w:t>
            </w:r>
          </w:p>
        </w:tc>
      </w:tr>
      <w:tr>
        <w:trPr/>
        <w:tc>
          <w:tcPr>
            <w:tcW w:w="7234" w:type="dxa"/>
            <w:tcBorders/>
            <w:shd w:fill="CCEEFF" w:val="clear"/>
            <w:vAlign w:val="center"/>
          </w:tcPr>
          <w:p>
            <w:pPr>
              <w:pStyle w:val="TableContents"/>
              <w:bidi w:val="0"/>
              <w:spacing w:before="0" w:after="0"/>
              <w:jc w:val="left"/>
              <w:rPr/>
            </w:pPr>
            <w:r>
              <w:rPr>
                <w:color w:val="000000"/>
              </w:rPr>
              <w:t>Accumulated deficit</w:t>
            </w:r>
            <w:r>
              <w:rPr/>
              <w:t xml:space="preserve">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color w:val="000000"/>
              </w:rPr>
            </w:pPr>
            <w:r>
              <w:rPr>
                <w:color w:val="000000"/>
              </w:rPr>
              <w:t>(446,788</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center"/>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color w:val="000000"/>
              </w:rPr>
            </w:pPr>
            <w:r>
              <w:rPr>
                <w:color w:val="000000"/>
              </w:rPr>
              <w:t>(432,546</w:t>
            </w:r>
          </w:p>
        </w:tc>
        <w:tc>
          <w:tcPr>
            <w:tcW w:w="160" w:type="dxa"/>
            <w:tcBorders>
              <w:bottom w:val="single" w:sz="12" w:space="0" w:color="000000"/>
            </w:tcBorders>
            <w:shd w:fill="CCEEFF" w:val="clear"/>
            <w:tcMar>
              <w:bottom w:w="28" w:type="dxa"/>
            </w:tcMar>
            <w:vAlign w:val="center"/>
          </w:tcPr>
          <w:p>
            <w:pPr>
              <w:pStyle w:val="TableContents"/>
              <w:bidi w:val="0"/>
              <w:spacing w:before="0" w:after="283"/>
              <w:ind w:left="0" w:right="0" w:hanging="150"/>
              <w:jc w:val="left"/>
              <w:rPr>
                <w:color w:val="000000"/>
              </w:rPr>
            </w:pPr>
            <w:r>
              <w:rPr>
                <w:color w:val="000000"/>
              </w:rPr>
              <w:t>) </w:t>
            </w:r>
          </w:p>
        </w:tc>
      </w:tr>
      <w:tr>
        <w:trPr/>
        <w:tc>
          <w:tcPr>
            <w:tcW w:w="7234" w:type="dxa"/>
            <w:tcBorders/>
            <w:vAlign w:val="center"/>
          </w:tcPr>
          <w:p>
            <w:pPr>
              <w:pStyle w:val="TableContents"/>
              <w:bidi w:val="0"/>
              <w:spacing w:before="0" w:after="0"/>
              <w:jc w:val="left"/>
              <w:rPr/>
            </w:pPr>
            <w:r>
              <w:rPr>
                <w:color w:val="000000"/>
              </w:rPr>
              <w:t>Total stockholders’ deficit</w:t>
            </w:r>
            <w:r>
              <w:rPr/>
              <w:t xml:space="preserve">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tcMar>
              <w:bottom w:w="28" w:type="dxa"/>
            </w:tcMar>
            <w:vAlign w:val="center"/>
          </w:tcPr>
          <w:p>
            <w:pPr>
              <w:pStyle w:val="TableContents"/>
              <w:bidi w:val="0"/>
              <w:spacing w:before="0" w:after="283"/>
              <w:ind w:left="5" w:right="0" w:hanging="0"/>
              <w:jc w:val="right"/>
              <w:rPr>
                <w:color w:val="000000"/>
              </w:rPr>
            </w:pPr>
            <w:r>
              <w:rPr>
                <w:color w:val="000000"/>
              </w:rPr>
              <w:t>(138,575</w:t>
            </w:r>
          </w:p>
        </w:tc>
        <w:tc>
          <w:tcPr>
            <w:tcW w:w="18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ind w:left="5" w:right="0" w:hanging="0"/>
              <w:jc w:val="right"/>
              <w:rPr>
                <w:color w:val="000000"/>
              </w:rPr>
            </w:pPr>
            <w:r>
              <w:rPr>
                <w:color w:val="000000"/>
              </w:rPr>
              <w:t>(127,918</w:t>
            </w:r>
          </w:p>
        </w:tc>
        <w:tc>
          <w:tcPr>
            <w:tcW w:w="160" w:type="dxa"/>
            <w:tcBorders>
              <w:bottom w:val="single" w:sz="12" w:space="0" w:color="000000"/>
            </w:tcBorders>
            <w:tcMar>
              <w:bottom w:w="28" w:type="dxa"/>
            </w:tcMar>
            <w:vAlign w:val="center"/>
          </w:tcPr>
          <w:p>
            <w:pPr>
              <w:pStyle w:val="TableContents"/>
              <w:bidi w:val="0"/>
              <w:spacing w:before="0" w:after="283"/>
              <w:ind w:left="0" w:right="0" w:hanging="150"/>
              <w:jc w:val="left"/>
              <w:rPr>
                <w:color w:val="000000"/>
              </w:rPr>
            </w:pPr>
            <w:r>
              <w:rPr>
                <w:color w:val="000000"/>
              </w:rPr>
              <w:t>) </w:t>
            </w:r>
          </w:p>
        </w:tc>
      </w:tr>
      <w:tr>
        <w:trPr/>
        <w:tc>
          <w:tcPr>
            <w:tcW w:w="7234" w:type="dxa"/>
            <w:tcBorders/>
            <w:shd w:fill="CCEEFF" w:val="clear"/>
            <w:vAlign w:val="center"/>
          </w:tcPr>
          <w:p>
            <w:pPr>
              <w:pStyle w:val="TableContents"/>
              <w:bidi w:val="0"/>
              <w:spacing w:before="0" w:after="0"/>
              <w:jc w:val="left"/>
              <w:rPr/>
            </w:pPr>
            <w:r>
              <w:rPr>
                <w:color w:val="000000"/>
              </w:rPr>
              <w:t>Total liabilities, redeemable convertible preferred stock and stockholders’ deficit</w:t>
            </w:r>
            <w:r>
              <w:rPr/>
              <w:t xml:space="preserve">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919"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14,826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5" w:right="0" w:hanging="0"/>
              <w:jc w:val="center"/>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187"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19,532</w:t>
            </w:r>
          </w:p>
        </w:tc>
        <w:tc>
          <w:tcPr>
            <w:tcW w:w="1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unaudited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6" w:name="STATEMENTS_OF_OPERATIONS"/>
      <w:bookmarkEnd w:id="6"/>
      <w:r>
        <w:rPr>
          <w:rFonts w:ascii="Times New Roman" w:hAnsi="Times New Roman"/>
          <w:b/>
          <w:color w:val="000000"/>
          <w:sz w:val="20"/>
        </w:rPr>
        <w:t>CONDENSED CONSOLIDATED STATEMENTS OF OPERATIONS (UNAUDITED)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573"/>
        <w:gridCol w:w="90"/>
        <w:gridCol w:w="170"/>
        <w:gridCol w:w="883"/>
        <w:gridCol w:w="230"/>
        <w:gridCol w:w="111"/>
        <w:gridCol w:w="211"/>
        <w:gridCol w:w="883"/>
        <w:gridCol w:w="185"/>
        <w:gridCol w:w="90"/>
        <w:gridCol w:w="170"/>
        <w:gridCol w:w="925"/>
        <w:gridCol w:w="217"/>
        <w:gridCol w:w="105"/>
        <w:gridCol w:w="200"/>
        <w:gridCol w:w="925"/>
        <w:gridCol w:w="237"/>
      </w:tblGrid>
      <w:tr>
        <w:trPr/>
        <w:tc>
          <w:tcPr>
            <w:tcW w:w="45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18"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br/>
              <w:t>June 30,</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372"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w:t>
              <w:br/>
              <w:t>June 30,</w:t>
            </w:r>
            <w:r>
              <w:rPr/>
              <w:t xml:space="preserve"> </w:t>
            </w:r>
          </w:p>
        </w:tc>
        <w:tc>
          <w:tcPr>
            <w:tcW w:w="237"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3"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center"/>
              <w:rPr/>
            </w:pPr>
            <w:r>
              <w:rPr/>
              <w:t> </w:t>
            </w:r>
          </w:p>
        </w:tc>
        <w:tc>
          <w:tcPr>
            <w:tcW w:w="21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83"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center"/>
              <w:rPr/>
            </w:pPr>
            <w:r>
              <w:rPr/>
              <w:t> </w:t>
            </w:r>
          </w:p>
        </w:tc>
        <w:tc>
          <w:tcPr>
            <w:tcW w:w="20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237"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318" w:type="dxa"/>
            <w:gridSpan w:val="5"/>
            <w:tcBorders/>
            <w:vAlign w:val="center"/>
          </w:tcPr>
          <w:p>
            <w:pPr>
              <w:pStyle w:val="TableContents"/>
              <w:bidi w:val="0"/>
              <w:spacing w:before="0" w:after="283"/>
              <w:jc w:val="center"/>
              <w:rPr/>
            </w:pPr>
            <w:r>
              <w:rPr>
                <w:b/>
                <w:spacing w:val="0"/>
              </w:rPr>
              <w:t>(in thousands, except per</w:t>
              <w:br/>
              <w:t>share data)</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372" w:type="dxa"/>
            <w:gridSpan w:val="5"/>
            <w:tcBorders/>
            <w:vAlign w:val="center"/>
          </w:tcPr>
          <w:p>
            <w:pPr>
              <w:pStyle w:val="TableContents"/>
              <w:bidi w:val="0"/>
              <w:spacing w:before="0" w:after="283"/>
              <w:jc w:val="center"/>
              <w:rPr/>
            </w:pPr>
            <w:r>
              <w:rPr>
                <w:b/>
                <w:spacing w:val="0"/>
              </w:rPr>
              <w:t>(in thousands, except per</w:t>
              <w:br/>
              <w:t>share data)</w:t>
            </w:r>
            <w:r>
              <w:rPr/>
              <w:t xml:space="preserve"> </w:t>
            </w:r>
          </w:p>
        </w:tc>
        <w:tc>
          <w:tcPr>
            <w:tcW w:w="237"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Operating expenses: </w:t>
            </w:r>
          </w:p>
        </w:tc>
        <w:tc>
          <w:tcPr>
            <w:tcW w:w="1143" w:type="dxa"/>
            <w:gridSpan w:val="3"/>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05" w:type="dxa"/>
            <w:gridSpan w:val="3"/>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85" w:type="dxa"/>
            <w:gridSpan w:val="3"/>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230" w:type="dxa"/>
            <w:gridSpan w:val="3"/>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5" w:right="0" w:hanging="0"/>
              <w:jc w:val="left"/>
              <w:rPr/>
            </w:pPr>
            <w:r>
              <w:rPr/>
              <w:t xml:space="preserve">Research and development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2,135</w:t>
            </w:r>
          </w:p>
        </w:tc>
        <w:tc>
          <w:tcPr>
            <w:tcW w:w="230" w:type="dxa"/>
            <w:tcBorders/>
            <w:shd w:fill="CCEEFF" w:val="clear"/>
            <w:vAlign w:val="center"/>
          </w:tcPr>
          <w:p>
            <w:pPr>
              <w:pStyle w:val="TableContents"/>
              <w:bidi w:val="0"/>
              <w:spacing w:before="0" w:after="283"/>
              <w:ind w:left="5" w:right="0" w:hanging="0"/>
              <w:jc w:val="left"/>
              <w:rPr/>
            </w:pPr>
            <w:r>
              <w:rPr/>
              <w:t> </w:t>
            </w:r>
          </w:p>
        </w:tc>
        <w:tc>
          <w:tcPr>
            <w:tcW w:w="111" w:type="dxa"/>
            <w:tcBorders/>
            <w:shd w:fill="CCEEFF" w:val="clear"/>
            <w:vAlign w:val="center"/>
          </w:tcPr>
          <w:p>
            <w:pPr>
              <w:pStyle w:val="TableContents"/>
              <w:bidi w:val="0"/>
              <w:spacing w:before="0" w:after="283"/>
              <w:ind w:left="5" w:right="0" w:hanging="0"/>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3,261</w:t>
            </w:r>
          </w:p>
        </w:tc>
        <w:tc>
          <w:tcPr>
            <w:tcW w:w="185" w:type="dxa"/>
            <w:tcBorders/>
            <w:shd w:fill="CCEEFF" w:val="clear"/>
            <w:vAlign w:val="center"/>
          </w:tcPr>
          <w:p>
            <w:pPr>
              <w:pStyle w:val="TableContents"/>
              <w:bidi w:val="0"/>
              <w:spacing w:before="0" w:after="283"/>
              <w:ind w:left="5" w:right="0" w:hanging="0"/>
              <w:jc w:val="left"/>
              <w:rPr/>
            </w:pPr>
            <w:r>
              <w:rPr/>
              <w: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4,366</w:t>
            </w:r>
          </w:p>
        </w:tc>
        <w:tc>
          <w:tcPr>
            <w:tcW w:w="217" w:type="dxa"/>
            <w:tcBorders/>
            <w:shd w:fill="CCEEFF" w:val="clear"/>
            <w:vAlign w:val="center"/>
          </w:tcPr>
          <w:p>
            <w:pPr>
              <w:pStyle w:val="TableContents"/>
              <w:bidi w:val="0"/>
              <w:spacing w:before="0" w:after="283"/>
              <w:ind w:left="5" w:right="0" w:hanging="0"/>
              <w:jc w:val="left"/>
              <w:rPr/>
            </w:pPr>
            <w:r>
              <w:rPr/>
              <w:t> </w:t>
            </w:r>
          </w:p>
        </w:tc>
        <w:tc>
          <w:tcPr>
            <w:tcW w:w="105" w:type="dxa"/>
            <w:tcBorders/>
            <w:shd w:fill="CCEEFF" w:val="clear"/>
            <w:vAlign w:val="center"/>
          </w:tcPr>
          <w:p>
            <w:pPr>
              <w:pStyle w:val="TableContents"/>
              <w:bidi w:val="0"/>
              <w:spacing w:before="0" w:after="283"/>
              <w:ind w:left="5" w:right="0" w:hanging="0"/>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9,746</w:t>
            </w:r>
          </w:p>
        </w:tc>
        <w:tc>
          <w:tcPr>
            <w:tcW w:w="237"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General and administrative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1,847</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1,364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jc w:val="right"/>
              <w:rPr/>
            </w:pPr>
            <w:r>
              <w:rPr/>
              <w:t>3,693</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jc w:val="right"/>
              <w:rPr/>
            </w:pPr>
            <w:r>
              <w:rPr/>
              <w:t>2,776</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144"/>
              <w:jc w:val="left"/>
              <w:rPr/>
            </w:pPr>
            <w:r>
              <w:rPr/>
              <w:t xml:space="preserve">Total operating expenses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3,982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4,625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8,059</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12,522</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Total operating loss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(3,982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(4,625</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(8,059</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(12,522</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144"/>
              <w:jc w:val="left"/>
              <w:rPr/>
            </w:pPr>
            <w:r>
              <w:rPr/>
              <w:t xml:space="preserve">Other income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Interest income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28</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65</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61</w:t>
            </w:r>
          </w:p>
        </w:tc>
        <w:tc>
          <w:tcPr>
            <w:tcW w:w="237"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144"/>
              <w:jc w:val="left"/>
              <w:rPr/>
            </w:pPr>
            <w:r>
              <w:rPr/>
              <w:t xml:space="preserve">Interest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ind w:left="5" w:right="0" w:hanging="0"/>
              <w:jc w:val="right"/>
              <w:rPr/>
            </w:pPr>
            <w:r>
              <w:rPr/>
              <w:t>(2,004</w:t>
            </w:r>
          </w:p>
        </w:tc>
        <w:tc>
          <w:tcPr>
            <w:tcW w:w="23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ind w:left="5" w:right="0" w:hanging="0"/>
              <w:jc w:val="right"/>
              <w:rPr/>
            </w:pPr>
            <w:r>
              <w:rPr/>
              <w:t>(1,826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ind w:left="5" w:right="0" w:hanging="0"/>
              <w:jc w:val="right"/>
              <w:rPr/>
            </w:pPr>
            <w:r>
              <w:rPr/>
              <w:t>(3,992</w:t>
            </w:r>
          </w:p>
        </w:tc>
        <w:tc>
          <w:tcPr>
            <w:tcW w:w="217"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ind w:left="5" w:right="0" w:hanging="0"/>
              <w:jc w:val="right"/>
              <w:rPr/>
            </w:pPr>
            <w:r>
              <w:rPr/>
              <w:t>(3,570</w:t>
            </w:r>
          </w:p>
        </w:tc>
        <w:tc>
          <w:tcPr>
            <w:tcW w:w="237"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Change in fair value of derivative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(3,155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(1,096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(2,173</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(1,121</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144"/>
              <w:jc w:val="left"/>
              <w:rPr/>
            </w:pPr>
            <w:r>
              <w:rPr/>
              <w:t xml:space="preserve">Total other income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(5,131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(2,896</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(6,100</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(4,630</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5" w:right="0" w:hanging="0"/>
              <w:jc w:val="left"/>
              <w:rPr/>
            </w:pPr>
            <w:r>
              <w:rPr/>
              <w:t xml:space="preserve">Net loss </w:t>
            </w:r>
          </w:p>
        </w:tc>
        <w:tc>
          <w:tcPr>
            <w:tcW w:w="90"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(9,113</w:t>
            </w:r>
          </w:p>
        </w:tc>
        <w:tc>
          <w:tcPr>
            <w:tcW w:w="230"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w:t>
            </w:r>
          </w:p>
        </w:tc>
        <w:tc>
          <w:tcPr>
            <w:tcW w:w="883" w:type="dxa"/>
            <w:tcBorders>
              <w:bottom w:val="single" w:sz="12" w:space="0" w:color="000000"/>
            </w:tcBorders>
            <w:tcMar>
              <w:bottom w:w="28" w:type="dxa"/>
            </w:tcMar>
            <w:vAlign w:val="center"/>
          </w:tcPr>
          <w:p>
            <w:pPr>
              <w:pStyle w:val="TableContents"/>
              <w:bidi w:val="0"/>
              <w:spacing w:before="0" w:after="283"/>
              <w:ind w:left="5" w:right="0" w:hanging="0"/>
              <w:jc w:val="right"/>
              <w:rPr/>
            </w:pPr>
            <w:r>
              <w:rPr/>
              <w:t>(7,521</w:t>
            </w:r>
          </w:p>
        </w:tc>
        <w:tc>
          <w:tcPr>
            <w:tcW w:w="185"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(14,159</w:t>
            </w:r>
          </w:p>
        </w:tc>
        <w:tc>
          <w:tcPr>
            <w:tcW w:w="217"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ind w:left="5" w:right="0" w:hanging="0"/>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w:t>
            </w:r>
          </w:p>
        </w:tc>
        <w:tc>
          <w:tcPr>
            <w:tcW w:w="925" w:type="dxa"/>
            <w:tcBorders>
              <w:bottom w:val="single" w:sz="12" w:space="0" w:color="000000"/>
            </w:tcBorders>
            <w:tcMar>
              <w:bottom w:w="28" w:type="dxa"/>
            </w:tcMar>
            <w:vAlign w:val="center"/>
          </w:tcPr>
          <w:p>
            <w:pPr>
              <w:pStyle w:val="TableContents"/>
              <w:bidi w:val="0"/>
              <w:spacing w:before="0" w:after="283"/>
              <w:ind w:left="5" w:right="0" w:hanging="0"/>
              <w:jc w:val="right"/>
              <w:rPr/>
            </w:pPr>
            <w:r>
              <w:rPr/>
              <w:t>(17,152</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0" w:right="0" w:hanging="144"/>
              <w:jc w:val="left"/>
              <w:rPr/>
            </w:pPr>
            <w:r>
              <w:rPr/>
              <w:t xml:space="preserve">Preferred stock dividends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(62</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(63</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(83</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ind w:left="5" w:right="0" w:hanging="0"/>
              <w:jc w:val="right"/>
              <w:rPr/>
            </w:pPr>
            <w:r>
              <w:rPr/>
              <w:t>(37</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5" w:right="0" w:hanging="0"/>
              <w:jc w:val="left"/>
              <w:rPr/>
            </w:pPr>
            <w:r>
              <w:rPr/>
              <w:t xml:space="preserve">Net loss applicable to common stockholders </w:t>
            </w:r>
          </w:p>
        </w:tc>
        <w:tc>
          <w:tcPr>
            <w:tcW w:w="90"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883" w:type="dxa"/>
            <w:tcBorders>
              <w:bottom w:val="double" w:sz="8" w:space="0" w:color="000000"/>
            </w:tcBorders>
            <w:tcMar>
              <w:bottom w:w="28" w:type="dxa"/>
            </w:tcMar>
            <w:vAlign w:val="center"/>
          </w:tcPr>
          <w:p>
            <w:pPr>
              <w:pStyle w:val="TableContents"/>
              <w:bidi w:val="0"/>
              <w:spacing w:before="0" w:after="283"/>
              <w:ind w:left="5" w:right="0" w:hanging="0"/>
              <w:jc w:val="right"/>
              <w:rPr/>
            </w:pPr>
            <w:r>
              <w:rPr/>
              <w:t>(9,175</w:t>
            </w:r>
          </w:p>
        </w:tc>
        <w:tc>
          <w:tcPr>
            <w:tcW w:w="230"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11"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211" w:type="dxa"/>
            <w:tcBorders>
              <w:bottom w:val="double" w:sz="8" w:space="0" w:color="000000"/>
            </w:tcBorders>
            <w:tcMar>
              <w:bottom w:w="28" w:type="dxa"/>
            </w:tcMar>
            <w:vAlign w:val="center"/>
          </w:tcPr>
          <w:p>
            <w:pPr>
              <w:pStyle w:val="TableContents"/>
              <w:bidi w:val="0"/>
              <w:spacing w:before="0" w:after="283"/>
              <w:jc w:val="left"/>
              <w:rPr/>
            </w:pPr>
            <w:r>
              <w:rPr/>
              <w:t>$</w:t>
            </w:r>
          </w:p>
        </w:tc>
        <w:tc>
          <w:tcPr>
            <w:tcW w:w="883" w:type="dxa"/>
            <w:tcBorders>
              <w:bottom w:val="double" w:sz="8" w:space="0" w:color="000000"/>
            </w:tcBorders>
            <w:tcMar>
              <w:bottom w:w="28" w:type="dxa"/>
            </w:tcMar>
            <w:vAlign w:val="center"/>
          </w:tcPr>
          <w:p>
            <w:pPr>
              <w:pStyle w:val="TableContents"/>
              <w:bidi w:val="0"/>
              <w:spacing w:before="0" w:after="283"/>
              <w:ind w:left="5" w:right="0" w:hanging="0"/>
              <w:jc w:val="right"/>
              <w:rPr/>
            </w:pPr>
            <w:r>
              <w:rPr/>
              <w:t>(7,584</w:t>
            </w:r>
          </w:p>
        </w:tc>
        <w:tc>
          <w:tcPr>
            <w:tcW w:w="185"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925" w:type="dxa"/>
            <w:tcBorders>
              <w:bottom w:val="double" w:sz="8" w:space="0" w:color="000000"/>
            </w:tcBorders>
            <w:tcMar>
              <w:bottom w:w="28" w:type="dxa"/>
            </w:tcMar>
            <w:vAlign w:val="center"/>
          </w:tcPr>
          <w:p>
            <w:pPr>
              <w:pStyle w:val="TableContents"/>
              <w:bidi w:val="0"/>
              <w:spacing w:before="0" w:after="283"/>
              <w:ind w:left="5" w:right="0" w:hanging="0"/>
              <w:jc w:val="right"/>
              <w:rPr/>
            </w:pPr>
            <w:r>
              <w:rPr/>
              <w:t>(14,242</w:t>
            </w:r>
          </w:p>
        </w:tc>
        <w:tc>
          <w:tcPr>
            <w:tcW w:w="217"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105" w:type="dxa"/>
            <w:tcBorders>
              <w:bottom w:val="double" w:sz="8" w:space="0" w:color="000000"/>
            </w:tcBorders>
            <w:tcMar>
              <w:bottom w:w="28" w:type="dxa"/>
            </w:tcMar>
            <w:vAlign w:val="center"/>
          </w:tcPr>
          <w:p>
            <w:pPr>
              <w:pStyle w:val="TableContents"/>
              <w:bidi w:val="0"/>
              <w:spacing w:before="0" w:after="283"/>
              <w:ind w:left="5" w:right="0" w:hanging="0"/>
              <w:jc w:val="left"/>
              <w:rPr/>
            </w:pPr>
            <w:r>
              <w:rPr/>
              <w:t> </w:t>
            </w:r>
          </w:p>
        </w:tc>
        <w:tc>
          <w:tcPr>
            <w:tcW w:w="200" w:type="dxa"/>
            <w:tcBorders>
              <w:bottom w:val="double" w:sz="8" w:space="0" w:color="000000"/>
            </w:tcBorders>
            <w:tcMar>
              <w:bottom w:w="28" w:type="dxa"/>
            </w:tcMar>
            <w:vAlign w:val="center"/>
          </w:tcPr>
          <w:p>
            <w:pPr>
              <w:pStyle w:val="TableContents"/>
              <w:bidi w:val="0"/>
              <w:spacing w:before="0" w:after="283"/>
              <w:jc w:val="left"/>
              <w:rPr/>
            </w:pPr>
            <w:r>
              <w:rPr/>
              <w:t>$</w:t>
            </w:r>
          </w:p>
        </w:tc>
        <w:tc>
          <w:tcPr>
            <w:tcW w:w="925" w:type="dxa"/>
            <w:tcBorders>
              <w:bottom w:val="double" w:sz="8" w:space="0" w:color="000000"/>
            </w:tcBorders>
            <w:tcMar>
              <w:bottom w:w="28" w:type="dxa"/>
            </w:tcMar>
            <w:vAlign w:val="center"/>
          </w:tcPr>
          <w:p>
            <w:pPr>
              <w:pStyle w:val="TableContents"/>
              <w:bidi w:val="0"/>
              <w:spacing w:before="0" w:after="283"/>
              <w:ind w:left="5" w:right="0" w:hanging="0"/>
              <w:jc w:val="right"/>
              <w:rPr/>
            </w:pPr>
            <w:r>
              <w:rPr/>
              <w:t>(17,189</w:t>
            </w:r>
          </w:p>
        </w:tc>
        <w:tc>
          <w:tcPr>
            <w:tcW w:w="237" w:type="dxa"/>
            <w:tcBorders>
              <w:bottom w:val="double" w:sz="8" w:space="0" w:color="000000"/>
            </w:tcBorders>
            <w:tcMar>
              <w:bottom w:w="28" w:type="dxa"/>
            </w:tcMar>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0"/>
              <w:ind w:left="5" w:right="0" w:hanging="0"/>
              <w:jc w:val="left"/>
              <w:rPr/>
            </w:pPr>
            <w:r>
              <w:rPr/>
              <w:t xml:space="preserve">Net loss per common share — basic and diluted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ind w:left="5" w:right="0" w:hanging="0"/>
              <w:jc w:val="right"/>
              <w:rPr/>
            </w:pPr>
            <w:r>
              <w:rPr/>
              <w:t>(0.14</w:t>
            </w:r>
          </w:p>
        </w:tc>
        <w:tc>
          <w:tcPr>
            <w:tcW w:w="230" w:type="dxa"/>
            <w:tcBorders/>
            <w:shd w:fill="CCEEFF" w:val="clear"/>
            <w:vAlign w:val="center"/>
          </w:tcPr>
          <w:p>
            <w:pPr>
              <w:pStyle w:val="TableContents"/>
              <w:bidi w:val="0"/>
              <w:spacing w:before="0" w:after="283"/>
              <w:ind w:left="5" w:right="0" w:hanging="0"/>
              <w:jc w:val="left"/>
              <w:rPr/>
            </w:pPr>
            <w:r>
              <w:rPr/>
              <w:t>) </w:t>
            </w:r>
          </w:p>
        </w:tc>
        <w:tc>
          <w:tcPr>
            <w:tcW w:w="111" w:type="dxa"/>
            <w:tcBorders/>
            <w:shd w:fill="CCEEFF" w:val="clear"/>
            <w:vAlign w:val="center"/>
          </w:tcPr>
          <w:p>
            <w:pPr>
              <w:pStyle w:val="TableContents"/>
              <w:bidi w:val="0"/>
              <w:spacing w:before="0" w:after="283"/>
              <w:ind w:left="5" w:right="0" w:hanging="0"/>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ind w:left="5" w:right="0" w:hanging="0"/>
              <w:jc w:val="right"/>
              <w:rPr/>
            </w:pPr>
            <w:r>
              <w:rPr/>
              <w:t>(0.12</w:t>
            </w:r>
          </w:p>
        </w:tc>
        <w:tc>
          <w:tcPr>
            <w:tcW w:w="185" w:type="dxa"/>
            <w:tcBorders/>
            <w:shd w:fill="CCEEFF" w:val="clear"/>
            <w:vAlign w:val="center"/>
          </w:tcPr>
          <w:p>
            <w:pPr>
              <w:pStyle w:val="TableContents"/>
              <w:bidi w:val="0"/>
              <w:spacing w:before="0" w:after="283"/>
              <w:ind w:left="5" w:right="0" w:hanging="0"/>
              <w:jc w:val="left"/>
              <w:rPr/>
            </w:pPr>
            <w:r>
              <w:rPr/>
              <w: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5" w:right="0" w:hanging="0"/>
              <w:jc w:val="right"/>
              <w:rPr/>
            </w:pPr>
            <w:r>
              <w:rPr/>
              <w:t>(0.22</w:t>
            </w:r>
          </w:p>
        </w:tc>
        <w:tc>
          <w:tcPr>
            <w:tcW w:w="217" w:type="dxa"/>
            <w:tcBorders/>
            <w:shd w:fill="CCEEFF" w:val="clear"/>
            <w:vAlign w:val="center"/>
          </w:tcPr>
          <w:p>
            <w:pPr>
              <w:pStyle w:val="TableContents"/>
              <w:bidi w:val="0"/>
              <w:spacing w:before="0" w:after="283"/>
              <w:ind w:left="5" w:right="0" w:hanging="0"/>
              <w:jc w:val="left"/>
              <w:rPr/>
            </w:pPr>
            <w:r>
              <w:rPr/>
              <w:t>) </w:t>
            </w:r>
          </w:p>
        </w:tc>
        <w:tc>
          <w:tcPr>
            <w:tcW w:w="105" w:type="dxa"/>
            <w:tcBorders/>
            <w:shd w:fill="CCEEFF" w:val="clear"/>
            <w:vAlign w:val="center"/>
          </w:tcPr>
          <w:p>
            <w:pPr>
              <w:pStyle w:val="TableContents"/>
              <w:bidi w:val="0"/>
              <w:spacing w:before="0" w:after="283"/>
              <w:ind w:left="5" w:right="0" w:hanging="0"/>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ind w:left="5" w:right="0" w:hanging="0"/>
              <w:jc w:val="right"/>
              <w:rPr/>
            </w:pPr>
            <w:r>
              <w:rPr/>
              <w:t>(0.27</w:t>
            </w:r>
          </w:p>
        </w:tc>
        <w:tc>
          <w:tcPr>
            <w:tcW w:w="237"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0"/>
              <w:ind w:left="0" w:right="0" w:hanging="144"/>
              <w:jc w:val="left"/>
              <w:rPr/>
            </w:pPr>
            <w:r>
              <w:rPr/>
              <w:t xml:space="preserve">Weighted average common shares outstanding — basic and diluted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65,875</w:t>
            </w:r>
          </w:p>
        </w:tc>
        <w:tc>
          <w:tcPr>
            <w:tcW w:w="23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63,447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65,829</w:t>
            </w:r>
          </w:p>
        </w:tc>
        <w:tc>
          <w:tcPr>
            <w:tcW w:w="217"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63,326</w:t>
            </w:r>
          </w:p>
        </w:tc>
        <w:tc>
          <w:tcPr>
            <w:tcW w:w="237"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unaudited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7" w:name="CASH_FLOWS"/>
      <w:bookmarkEnd w:id="7"/>
      <w:r>
        <w:rPr>
          <w:rFonts w:ascii="Times New Roman" w:hAnsi="Times New Roman"/>
          <w:b/>
          <w:color w:val="000000"/>
          <w:sz w:val="20"/>
        </w:rPr>
        <w:t>CONDENSED CONSOLIDATED STATEMENTS OF CASH FLOWS (UNAUDITED)</w:t>
      </w:r>
      <w:r>
        <w:rPr>
          <w:rFonts w:ascii="Times New Roman" w:hAnsi="Times New Roman"/>
          <w:sz w:val="20"/>
        </w:rPr>
        <w:t xml:space="preserve"> </w:t>
      </w:r>
    </w:p>
    <w:tbl>
      <w:tblPr>
        <w:tblW w:w="10205" w:type="dxa"/>
        <w:jc w:val="left"/>
        <w:tblInd w:w="0" w:type="dxa"/>
        <w:tblLayout w:type="fixed"/>
        <w:tblCellMar>
          <w:top w:w="0" w:type="dxa"/>
          <w:left w:w="0" w:type="dxa"/>
          <w:bottom w:w="0" w:type="dxa"/>
          <w:right w:w="0" w:type="dxa"/>
        </w:tblCellMar>
      </w:tblPr>
      <w:tblGrid>
        <w:gridCol w:w="7700"/>
        <w:gridCol w:w="90"/>
        <w:gridCol w:w="170"/>
        <w:gridCol w:w="785"/>
        <w:gridCol w:w="185"/>
        <w:gridCol w:w="90"/>
        <w:gridCol w:w="170"/>
        <w:gridCol w:w="785"/>
        <w:gridCol w:w="230"/>
      </w:tblGrid>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2015" w:type="dxa"/>
            <w:gridSpan w:val="5"/>
            <w:tcBorders>
              <w:bottom w:val="single" w:sz="12" w:space="0" w:color="000000"/>
            </w:tcBorders>
            <w:tcMar>
              <w:bottom w:w="28" w:type="dxa"/>
            </w:tcMar>
            <w:vAlign w:val="center"/>
          </w:tcPr>
          <w:p>
            <w:pPr>
              <w:pStyle w:val="TableContents"/>
              <w:bidi w:val="0"/>
              <w:spacing w:before="0" w:after="283"/>
              <w:jc w:val="center"/>
              <w:rPr>
                <w:sz w:val="20"/>
              </w:rPr>
            </w:pPr>
            <w:r>
              <w:rPr>
                <w:b/>
                <w:spacing w:val="0"/>
                <w:sz w:val="20"/>
              </w:rPr>
              <w:t>Six Months Ended</w:t>
              <w:br/>
              <w:t> June 30,</w:t>
            </w:r>
            <w:r>
              <w:rPr>
                <w:sz w:val="20"/>
              </w:rPr>
              <w:t xml:space="preserve"> </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283"/>
              <w:jc w:val="left"/>
              <w:rPr/>
            </w:pPr>
            <w:r>
              <w:rPr/>
              <w:t> </w:t>
            </w:r>
          </w:p>
        </w:tc>
        <w:tc>
          <w:tcPr>
            <w:tcW w:w="2275" w:type="dxa"/>
            <w:gridSpan w:val="7"/>
            <w:tcBorders/>
            <w:vAlign w:val="center"/>
          </w:tcPr>
          <w:p>
            <w:pPr>
              <w:pStyle w:val="TableContents"/>
              <w:bidi w:val="0"/>
              <w:spacing w:before="0" w:after="283"/>
              <w:jc w:val="center"/>
              <w:rPr/>
            </w:pPr>
            <w:r>
              <w:rPr>
                <w:b/>
              </w:rPr>
              <w:t>(in thousands)</w:t>
            </w:r>
            <w:r>
              <w:rPr/>
              <w:t xml:space="preserve"> </w:t>
            </w:r>
          </w:p>
        </w:tc>
        <w:tc>
          <w:tcPr>
            <w:tcW w:w="23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CASH FLOWS FROM OPERATING ACTIVITIES: </w:t>
            </w:r>
          </w:p>
        </w:tc>
        <w:tc>
          <w:tcPr>
            <w:tcW w:w="1045" w:type="dxa"/>
            <w:gridSpan w:val="3"/>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45" w:type="dxa"/>
            <w:gridSpan w:val="3"/>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10" w:right="0" w:hanging="0"/>
              <w:jc w:val="left"/>
              <w:rPr/>
            </w:pPr>
            <w:r>
              <w:rPr/>
              <w:t xml:space="preserve">Net loss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ind w:left="10" w:right="0" w:hanging="0"/>
              <w:jc w:val="right"/>
              <w:rPr/>
            </w:pPr>
            <w:r>
              <w:rPr/>
              <w:t>(14,159</w:t>
            </w:r>
          </w:p>
        </w:tc>
        <w:tc>
          <w:tcPr>
            <w:tcW w:w="185" w:type="dxa"/>
            <w:tcBorders/>
            <w:shd w:fill="CCEEFF" w:val="cle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ind w:left="10" w:right="0" w:hanging="0"/>
              <w:jc w:val="right"/>
              <w:rPr/>
            </w:pPr>
            <w:r>
              <w:rPr/>
              <w:t>(17,152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Adjustments to reconcile net loss to net cash flows from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Stock-based compensation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968</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Amortization of right to use lease asset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Non-cash interest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696</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Change in fair value of derivative liabilities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2,173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1,121</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Changes in operating assets and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Prepaid expenses and other assets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428</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Accounts payable, accrued expenses and other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ind w:left="10" w:right="0" w:hanging="0"/>
              <w:jc w:val="right"/>
              <w:rPr/>
            </w:pPr>
            <w:r>
              <w:rPr/>
              <w:t>(190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ind w:left="10" w:right="0" w:hanging="0"/>
              <w:jc w:val="right"/>
              <w:rPr/>
            </w:pPr>
            <w:r>
              <w:rPr/>
              <w:t>(3,239</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Accrued interest on convertible debt - related party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3,678</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2,875</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Net cash from operating activities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ind w:left="10" w:right="0" w:hanging="0"/>
              <w:jc w:val="right"/>
              <w:rPr/>
            </w:pPr>
            <w:r>
              <w:rPr/>
              <w:t>(6,305</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ind w:left="10" w:right="0" w:hanging="0"/>
              <w:jc w:val="right"/>
              <w:rPr/>
            </w:pPr>
            <w:r>
              <w:rPr/>
              <w:t>(14,291</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CASH FLOWS FROM FINANCING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Net proceeds from convertible line of credit – related party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11,000</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Net proceeds from issuance of common stock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1,218</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Net proceeds from exercise of stock options and warrants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560</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724</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Net cash flows from financing activities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1,854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12,942</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NET DECREASE IN CASH AND CASH EQUIVALENTS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ind w:left="10" w:right="0" w:hanging="0"/>
              <w:jc w:val="right"/>
              <w:rPr/>
            </w:pPr>
            <w:r>
              <w:rPr/>
              <w:t>(4,451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ind w:left="10" w:right="0" w:hanging="0"/>
              <w:jc w:val="right"/>
              <w:rPr/>
            </w:pPr>
            <w:r>
              <w:rPr/>
              <w:t>(1,349</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CASH AND CASH EQUIVALENTS, BEGINNING OF PERIOD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17,720</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15,120</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10" w:right="0" w:hanging="0"/>
              <w:jc w:val="left"/>
              <w:rPr/>
            </w:pPr>
            <w:r>
              <w:rPr/>
              <w:t xml:space="preserve">CASH AND CASH EQUIVALENTS, END OF PERIOD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13,269</w:t>
            </w:r>
          </w:p>
        </w:tc>
        <w:tc>
          <w:tcPr>
            <w:tcW w:w="185" w:type="dxa"/>
            <w:tcBorders>
              <w:bottom w:val="double" w:sz="8"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28" w:type="dxa"/>
            </w:tcMar>
            <w:vAlign w:val="center"/>
          </w:tcPr>
          <w:p>
            <w:pPr>
              <w:pStyle w:val="TableContents"/>
              <w:bidi w:val="0"/>
              <w:spacing w:before="0" w:after="283"/>
              <w:jc w:val="right"/>
              <w:rPr/>
            </w:pPr>
            <w:r>
              <w:rPr/>
              <w:t>13,771</w:t>
            </w:r>
          </w:p>
        </w:tc>
        <w:tc>
          <w:tcPr>
            <w:tcW w:w="23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NONCASH FINANCING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10" w:right="0" w:hanging="0"/>
              <w:jc w:val="left"/>
              <w:rPr/>
            </w:pPr>
            <w:r>
              <w:rPr/>
              <w:t xml:space="preserve">Payment of preferred stock dividends in common stock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61</w:t>
            </w:r>
          </w:p>
        </w:tc>
        <w:tc>
          <w:tcPr>
            <w:tcW w:w="185" w:type="dxa"/>
            <w:tcBorders/>
            <w:shd w:fill="CCEEFF" w:val="cle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w:t>
            </w:r>
          </w:p>
        </w:tc>
        <w:tc>
          <w:tcPr>
            <w:tcW w:w="230" w:type="dxa"/>
            <w:tcBorders/>
            <w:shd w:fill="CCEEFF" w:val="clear"/>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144"/>
              <w:jc w:val="left"/>
              <w:rPr/>
            </w:pPr>
            <w:r>
              <w:rPr/>
              <w:t xml:space="preserve">Noncash right to use lease asset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61</w:t>
            </w:r>
          </w:p>
        </w:tc>
        <w:tc>
          <w:tcPr>
            <w:tcW w:w="230" w:type="dxa"/>
            <w:tcBorders/>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0"/>
              <w:ind w:left="0" w:right="0" w:hanging="144"/>
              <w:jc w:val="left"/>
              <w:rPr/>
            </w:pPr>
            <w:r>
              <w:rPr/>
              <w:t xml:space="preserve">Common stock purchase warrants issued in connection with related party line of credit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unaudited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8" w:name="PREFERRED_STOCK"/>
      <w:bookmarkEnd w:id="8"/>
      <w:r>
        <w:rPr>
          <w:rFonts w:ascii="Times New Roman" w:hAnsi="Times New Roman"/>
          <w:b/>
          <w:color w:val="000000"/>
          <w:sz w:val="20"/>
        </w:rPr>
        <w:t>CONDENSED CONSOLIDATED STATEMENTS OF CHANGES IN REDEEMABLE CONVERTIBLE PREFERRED STOCK AND STOCKHOLDERS’ DEFICIT (UNAUDITED)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(amounts in thousands except share data)</w:t>
      </w:r>
      <w:r>
        <w:rPr>
          <w:rFonts w:ascii="Times New Roman" w:hAnsi="Times New Roman"/>
          <w:sz w:val="20"/>
        </w:rPr>
        <w:t xml:space="preserve"> </w:t>
      </w:r>
    </w:p>
    <w:p>
      <w:pPr>
        <w:pStyle w:val="TextBody"/>
        <w:bidi w:val="0"/>
        <w:spacing w:before="0" w:after="0"/>
        <w:jc w:val="left"/>
        <w:rPr/>
      </w:pPr>
      <w:r>
        <w:rPr/>
        <w:t xml:space="preserve">  </w:t>
      </w:r>
    </w:p>
    <w:tbl>
      <w:tblPr>
        <w:tblW w:w="6020" w:type="dxa"/>
        <w:jc w:val="left"/>
        <w:tblInd w:w="0" w:type="dxa"/>
        <w:tblLayout w:type="fixed"/>
        <w:tblCellMar>
          <w:top w:w="0" w:type="dxa"/>
          <w:left w:w="0" w:type="dxa"/>
          <w:bottom w:w="0" w:type="dxa"/>
          <w:right w:w="0" w:type="dxa"/>
        </w:tblCellMar>
      </w:tblPr>
      <w:tblGrid>
        <w:gridCol w:w="3185"/>
        <w:gridCol w:w="90"/>
        <w:gridCol w:w="90"/>
        <w:gridCol w:w="1220"/>
        <w:gridCol w:w="90"/>
        <w:gridCol w:w="90"/>
        <w:gridCol w:w="170"/>
        <w:gridCol w:w="950"/>
        <w:gridCol w:w="135"/>
      </w:tblGrid>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520" w:type="dxa"/>
            <w:gridSpan w:val="5"/>
            <w:tcBorders>
              <w:bottom w:val="single" w:sz="12" w:space="0" w:color="000000"/>
            </w:tcBorders>
            <w:tcMar>
              <w:bottom w:w="28" w:type="dxa"/>
            </w:tcMar>
            <w:vAlign w:val="center"/>
          </w:tcPr>
          <w:p>
            <w:pPr>
              <w:pStyle w:val="TableContents"/>
              <w:bidi w:val="0"/>
              <w:spacing w:before="0" w:after="283"/>
              <w:jc w:val="center"/>
              <w:rPr/>
            </w:pPr>
            <w:r>
              <w:rPr>
                <w:b/>
                <w:color w:val="000000"/>
              </w:rPr>
              <w:t>Series C Super</w:t>
              <w:br/>
              <w:t>Dividend Redeemable</w:t>
              <w:br/>
              <w:t>Convertible</w:t>
              <w:br/>
              <w:t>Preferred Stock</w:t>
            </w:r>
            <w:r>
              <w:rPr/>
              <w:t xml:space="preserve"> </w:t>
            </w:r>
          </w:p>
        </w:tc>
        <w:tc>
          <w:tcPr>
            <w:tcW w:w="135" w:type="dxa"/>
            <w:tcBorders/>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pPr>
            <w:r>
              <w:rPr>
                <w:b/>
                <w:color w:val="000000"/>
              </w:rPr>
              <w:t xml:space="preserve">Number of </w:t>
              <w:br/>
              <w:t>Shares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center"/>
              <w:rPr/>
            </w:pPr>
            <w:r>
              <w:rPr>
                <w:b/>
                <w:color w:val="000000"/>
              </w:rPr>
              <w:t>Amount</w:t>
            </w:r>
            <w:r>
              <w:rPr/>
              <w:t xml:space="preserve"> </w:t>
            </w:r>
          </w:p>
        </w:tc>
        <w:tc>
          <w:tcPr>
            <w:tcW w:w="135" w:type="dxa"/>
            <w:tcBorders/>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0"/>
              <w:ind w:left="0" w:right="0" w:hanging="144"/>
              <w:jc w:val="left"/>
              <w:rPr/>
            </w:pPr>
            <w:r>
              <w:rPr>
                <w:b/>
                <w:color w:val="000000"/>
              </w:rPr>
              <w:t>Balance at December 31, 2024</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color w:val="000000"/>
              </w:rPr>
            </w:pPr>
            <w:r>
              <w:rPr>
                <w:b/>
                <w:color w:val="000000"/>
              </w:rPr>
              <w:t>176</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10"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color w:val="000000"/>
              </w:rPr>
            </w:pPr>
            <w:r>
              <w:rPr>
                <w:b/>
                <w:color w:val="00000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b/>
                <w:color w:val="000000"/>
              </w:rPr>
            </w:pPr>
            <w:r>
              <w:rPr>
                <w:b/>
                <w:color w:val="000000"/>
              </w:rPr>
              <w:t>1,723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185" w:type="dxa"/>
            <w:tcBorders/>
            <w:vAlign w:val="center"/>
          </w:tcPr>
          <w:p>
            <w:pPr>
              <w:pStyle w:val="TableContents"/>
              <w:bidi w:val="0"/>
              <w:spacing w:before="0" w:after="0"/>
              <w:ind w:left="0" w:right="0" w:hanging="144"/>
              <w:jc w:val="left"/>
              <w:rPr/>
            </w:pPr>
            <w:r>
              <w:rPr>
                <w:b/>
                <w:color w:val="000000"/>
              </w:rPr>
              <w:t>Balance at June 30, 2025</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b/>
                <w:color w:val="000000"/>
              </w:rPr>
            </w:pPr>
            <w:r>
              <w:rPr>
                <w:b/>
                <w:color w:val="000000"/>
              </w:rPr>
              <w:t>176</w:t>
            </w:r>
          </w:p>
        </w:tc>
        <w:tc>
          <w:tcPr>
            <w:tcW w:w="90" w:type="dxa"/>
            <w:tcBorders>
              <w:bottom w:val="single" w:sz="12" w:space="0" w:color="000000"/>
            </w:tcBorders>
            <w:tcMar>
              <w:bottom w:w="28" w:type="dxa"/>
            </w:tcMar>
            <w:vAlign w:val="center"/>
          </w:tcPr>
          <w:p>
            <w:pPr>
              <w:pStyle w:val="TableContents"/>
              <w:bidi w:val="0"/>
              <w:spacing w:before="0" w:after="283"/>
              <w:ind w:left="10" w:right="0" w:hanging="0"/>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ind w:left="10" w:right="0" w:hanging="0"/>
              <w:jc w:val="left"/>
              <w:rPr>
                <w:color w:val="000000"/>
              </w:rPr>
            </w:pPr>
            <w:r>
              <w:rPr>
                <w:color w:val="000000"/>
              </w:rPr>
              <w:t> </w:t>
            </w:r>
          </w:p>
        </w:tc>
        <w:tc>
          <w:tcPr>
            <w:tcW w:w="170" w:type="dxa"/>
            <w:tcBorders>
              <w:bottom w:val="single" w:sz="12" w:space="0" w:color="000000"/>
            </w:tcBorders>
            <w:tcMar>
              <w:bottom w:w="28" w:type="dxa"/>
            </w:tcMar>
            <w:vAlign w:val="center"/>
          </w:tcPr>
          <w:p>
            <w:pPr>
              <w:pStyle w:val="TableContents"/>
              <w:bidi w:val="0"/>
              <w:spacing w:before="0" w:after="283"/>
              <w:jc w:val="left"/>
              <w:rPr>
                <w:b/>
                <w:color w:val="000000"/>
              </w:rPr>
            </w:pPr>
            <w:r>
              <w:rPr>
                <w:b/>
                <w:color w:val="000000"/>
              </w:rPr>
              <w:t>$</w:t>
            </w:r>
          </w:p>
        </w:tc>
        <w:tc>
          <w:tcPr>
            <w:tcW w:w="950" w:type="dxa"/>
            <w:tcBorders>
              <w:bottom w:val="single" w:sz="12" w:space="0" w:color="000000"/>
            </w:tcBorders>
            <w:tcMar>
              <w:bottom w:w="28" w:type="dxa"/>
            </w:tcMar>
            <w:vAlign w:val="center"/>
          </w:tcPr>
          <w:p>
            <w:pPr>
              <w:pStyle w:val="TableContents"/>
              <w:bidi w:val="0"/>
              <w:spacing w:before="0" w:after="283"/>
              <w:jc w:val="right"/>
              <w:rPr>
                <w:b/>
                <w:color w:val="000000"/>
              </w:rPr>
            </w:pPr>
            <w:r>
              <w:rPr>
                <w:b/>
                <w:color w:val="000000"/>
              </w:rPr>
              <w:t>1,723</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185" w:type="dxa"/>
            <w:tcBorders/>
            <w:shd w:fill="CCEEFF" w:val="clear"/>
            <w:vAlign w:val="center"/>
          </w:tcPr>
          <w:p>
            <w:pPr>
              <w:pStyle w:val="TableContents"/>
              <w:bidi w:val="0"/>
              <w:spacing w:before="0" w:after="0"/>
              <w:ind w:left="0" w:right="0" w:hanging="144"/>
              <w:jc w:val="left"/>
              <w:rPr/>
            </w:pPr>
            <w:r>
              <w:rPr>
                <w:b/>
                <w:color w:val="000000"/>
              </w:rPr>
              <w:t>Balance at December 31,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color w:val="000000"/>
              </w:rPr>
            </w:pPr>
            <w:r>
              <w:rPr>
                <w:b/>
                <w:color w:val="000000"/>
              </w:rPr>
              <w:t>176</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10"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b/>
                <w:color w:val="000000"/>
              </w:rPr>
            </w:pPr>
            <w:r>
              <w:rPr>
                <w:b/>
                <w:color w:val="00000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b/>
                <w:color w:val="000000"/>
              </w:rPr>
            </w:pPr>
            <w:r>
              <w:rPr>
                <w:b/>
                <w:color w:val="000000"/>
              </w:rPr>
              <w:t>1,723</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185" w:type="dxa"/>
            <w:tcBorders/>
            <w:vAlign w:val="center"/>
          </w:tcPr>
          <w:p>
            <w:pPr>
              <w:pStyle w:val="TableContents"/>
              <w:bidi w:val="0"/>
              <w:spacing w:before="0" w:after="0"/>
              <w:ind w:left="0" w:right="0" w:hanging="144"/>
              <w:jc w:val="left"/>
              <w:rPr/>
            </w:pPr>
            <w:r>
              <w:rPr>
                <w:b/>
                <w:color w:val="000000"/>
              </w:rPr>
              <w:t>Balance at June 30, 2026</w:t>
            </w:r>
            <w:r>
              <w:rPr/>
              <w:t xml:space="preserve">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before="0" w:after="283"/>
              <w:jc w:val="right"/>
              <w:rPr>
                <w:b/>
                <w:color w:val="000000"/>
              </w:rPr>
            </w:pPr>
            <w:r>
              <w:rPr>
                <w:b/>
                <w:color w:val="000000"/>
              </w:rPr>
              <w:t>176</w:t>
            </w:r>
          </w:p>
        </w:tc>
        <w:tc>
          <w:tcPr>
            <w:tcW w:w="90" w:type="dxa"/>
            <w:tcBorders>
              <w:bottom w:val="double" w:sz="8" w:space="0" w:color="000000"/>
            </w:tcBorders>
            <w:tcMar>
              <w:bottom w:w="28" w:type="dxa"/>
            </w:tcMar>
            <w:vAlign w:val="center"/>
          </w:tcPr>
          <w:p>
            <w:pPr>
              <w:pStyle w:val="TableContents"/>
              <w:bidi w:val="0"/>
              <w:spacing w:before="0" w:after="283"/>
              <w:ind w:left="10" w:right="0" w:hanging="0"/>
              <w:jc w:val="left"/>
              <w:rPr/>
            </w:pPr>
            <w:r>
              <w:rPr/>
              <w:t> </w:t>
            </w:r>
          </w:p>
        </w:tc>
        <w:tc>
          <w:tcPr>
            <w:tcW w:w="90" w:type="dxa"/>
            <w:tcBorders>
              <w:bottom w:val="double" w:sz="8" w:space="0" w:color="000000"/>
            </w:tcBorders>
            <w:tcMar>
              <w:bottom w:w="28" w:type="dxa"/>
            </w:tcMar>
            <w:vAlign w:val="center"/>
          </w:tcPr>
          <w:p>
            <w:pPr>
              <w:pStyle w:val="TableContents"/>
              <w:bidi w:val="0"/>
              <w:spacing w:before="0" w:after="283"/>
              <w:ind w:left="10" w:right="0" w:hanging="0"/>
              <w:jc w:val="left"/>
              <w:rPr>
                <w:color w:val="000000"/>
              </w:rPr>
            </w:pPr>
            <w:r>
              <w:rPr>
                <w:color w:val="000000"/>
              </w:rPr>
              <w:t> </w:t>
            </w:r>
          </w:p>
        </w:tc>
        <w:tc>
          <w:tcPr>
            <w:tcW w:w="170" w:type="dxa"/>
            <w:tcBorders>
              <w:bottom w:val="double" w:sz="8" w:space="0" w:color="000000"/>
            </w:tcBorders>
            <w:tcMar>
              <w:bottom w:w="28" w:type="dxa"/>
            </w:tcMar>
            <w:vAlign w:val="center"/>
          </w:tcPr>
          <w:p>
            <w:pPr>
              <w:pStyle w:val="TableContents"/>
              <w:bidi w:val="0"/>
              <w:spacing w:before="0" w:after="283"/>
              <w:jc w:val="left"/>
              <w:rPr>
                <w:b/>
                <w:color w:val="000000"/>
              </w:rPr>
            </w:pPr>
            <w:r>
              <w:rPr>
                <w:b/>
                <w:color w:val="000000"/>
              </w:rPr>
              <w:t>$</w:t>
            </w:r>
          </w:p>
        </w:tc>
        <w:tc>
          <w:tcPr>
            <w:tcW w:w="950" w:type="dxa"/>
            <w:tcBorders>
              <w:bottom w:val="double" w:sz="8" w:space="0" w:color="000000"/>
            </w:tcBorders>
            <w:tcMar>
              <w:bottom w:w="28" w:type="dxa"/>
            </w:tcMar>
            <w:vAlign w:val="center"/>
          </w:tcPr>
          <w:p>
            <w:pPr>
              <w:pStyle w:val="TableContents"/>
              <w:bidi w:val="0"/>
              <w:spacing w:before="0" w:after="283"/>
              <w:jc w:val="right"/>
              <w:rPr>
                <w:b/>
                <w:color w:val="000000"/>
              </w:rPr>
            </w:pPr>
            <w:r>
              <w:rPr>
                <w:b/>
                <w:color w:val="000000"/>
              </w:rPr>
              <w:t>1,723</w:t>
            </w:r>
          </w:p>
        </w:tc>
        <w:tc>
          <w:tcPr>
            <w:tcW w:w="135" w:type="dxa"/>
            <w:tcBorders>
              <w:bottom w:val="double" w:sz="8" w:space="0" w:color="000000"/>
            </w:tcBorders>
            <w:tcMar>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t> </w:t>
      </w:r>
    </w:p>
    <w:tbl>
      <w:tblPr>
        <w:tblW w:w="11326" w:type="dxa"/>
        <w:jc w:val="left"/>
        <w:tblInd w:w="0" w:type="dxa"/>
        <w:tblLayout w:type="fixed"/>
        <w:tblCellMar>
          <w:top w:w="0" w:type="dxa"/>
          <w:left w:w="0" w:type="dxa"/>
          <w:bottom w:w="0" w:type="dxa"/>
          <w:right w:w="0" w:type="dxa"/>
        </w:tblCellMar>
      </w:tblPr>
      <w:tblGrid>
        <w:gridCol w:w="1226"/>
        <w:gridCol w:w="90"/>
        <w:gridCol w:w="90"/>
        <w:gridCol w:w="1010"/>
        <w:gridCol w:w="185"/>
        <w:gridCol w:w="90"/>
        <w:gridCol w:w="170"/>
        <w:gridCol w:w="890"/>
        <w:gridCol w:w="185"/>
        <w:gridCol w:w="90"/>
        <w:gridCol w:w="90"/>
        <w:gridCol w:w="1130"/>
        <w:gridCol w:w="90"/>
        <w:gridCol w:w="90"/>
        <w:gridCol w:w="170"/>
        <w:gridCol w:w="890"/>
        <w:gridCol w:w="90"/>
        <w:gridCol w:w="90"/>
        <w:gridCol w:w="170"/>
        <w:gridCol w:w="1130"/>
        <w:gridCol w:w="90"/>
        <w:gridCol w:w="90"/>
        <w:gridCol w:w="170"/>
        <w:gridCol w:w="965"/>
        <w:gridCol w:w="185"/>
        <w:gridCol w:w="90"/>
        <w:gridCol w:w="170"/>
        <w:gridCol w:w="1370"/>
        <w:gridCol w:w="230"/>
      </w:tblGrid>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26"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2345" w:type="dxa"/>
            <w:gridSpan w:val="5"/>
            <w:tcBorders>
              <w:bottom w:val="single" w:sz="12" w:space="0" w:color="000000"/>
            </w:tcBorders>
            <w:tcMar>
              <w:bottom w:w="28" w:type="dxa"/>
            </w:tcMar>
          </w:tcPr>
          <w:p>
            <w:pPr>
              <w:pStyle w:val="TableContents"/>
              <w:bidi w:val="0"/>
              <w:spacing w:before="0" w:after="0"/>
              <w:ind w:left="0" w:right="0" w:hanging="0"/>
              <w:jc w:val="center"/>
              <w:rPr>
                <w:b/>
              </w:rPr>
            </w:pPr>
            <w:r>
              <w:rPr>
                <w:b/>
              </w:rPr>
              <w:t>Series A 12%</w:t>
            </w:r>
          </w:p>
          <w:p>
            <w:pPr>
              <w:pStyle w:val="TableContents"/>
              <w:bidi w:val="0"/>
              <w:spacing w:before="0" w:after="0"/>
              <w:ind w:left="0" w:right="0" w:hanging="0"/>
              <w:jc w:val="center"/>
              <w:rPr>
                <w:b/>
              </w:rPr>
            </w:pPr>
            <w:r>
              <w:rPr>
                <w:b/>
              </w:rPr>
              <w:t>Convertible</w:t>
            </w:r>
          </w:p>
          <w:p>
            <w:pPr>
              <w:pStyle w:val="TableContents"/>
              <w:bidi w:val="0"/>
              <w:spacing w:before="0" w:after="0"/>
              <w:ind w:left="0" w:right="0" w:hanging="0"/>
              <w:jc w:val="center"/>
              <w:rPr>
                <w:b/>
              </w:rPr>
            </w:pPr>
            <w:r>
              <w:rPr>
                <w:b/>
              </w:rPr>
              <w:t>Preferred Stock</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2370" w:type="dxa"/>
            <w:gridSpan w:val="5"/>
            <w:tcBorders>
              <w:bottom w:val="single" w:sz="12" w:space="0" w:color="000000"/>
            </w:tcBorders>
            <w:tcMar>
              <w:bottom w:w="28" w:type="dxa"/>
            </w:tcMar>
          </w:tcPr>
          <w:p>
            <w:pPr>
              <w:pStyle w:val="TableContents"/>
              <w:bidi w:val="0"/>
              <w:spacing w:before="0" w:after="0"/>
              <w:ind w:left="0" w:right="0" w:hanging="0"/>
              <w:jc w:val="center"/>
              <w:rPr>
                <w:b/>
              </w:rPr>
            </w:pPr>
            <w:r>
              <w:rPr>
                <w:b/>
              </w:rPr>
              <w:t>Common Stock</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113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965" w:type="dxa"/>
            <w:tcBorders/>
          </w:tcPr>
          <w:p>
            <w:pPr>
              <w:pStyle w:val="TableContents"/>
              <w:bidi w:val="0"/>
              <w:spacing w:before="0" w:after="283"/>
              <w:jc w:val="center"/>
              <w:rPr/>
            </w:pPr>
            <w:r>
              <w:rPr/>
              <w:t> </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1370" w:type="dxa"/>
            <w:tcBorders/>
          </w:tcPr>
          <w:p>
            <w:pPr>
              <w:pStyle w:val="TableContents"/>
              <w:bidi w:val="0"/>
              <w:spacing w:before="0" w:after="283"/>
              <w:jc w:val="center"/>
              <w:rPr/>
            </w:pPr>
            <w:r>
              <w:rPr/>
              <w:t> </w:t>
            </w:r>
          </w:p>
        </w:tc>
        <w:tc>
          <w:tcPr>
            <w:tcW w:w="230" w:type="dxa"/>
            <w:tcBorders/>
          </w:tcPr>
          <w:p>
            <w:pPr>
              <w:pStyle w:val="TableContents"/>
              <w:bidi w:val="0"/>
              <w:spacing w:before="0" w:after="283"/>
              <w:jc w:val="center"/>
              <w:rPr/>
            </w:pPr>
            <w:r>
              <w:rPr/>
              <w:t> </w:t>
            </w:r>
          </w:p>
        </w:tc>
      </w:tr>
      <w:tr>
        <w:trPr/>
        <w:tc>
          <w:tcPr>
            <w:tcW w:w="1226"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center"/>
              <w:rPr>
                <w:b/>
              </w:rPr>
            </w:pPr>
            <w:r>
              <w:rPr>
                <w:b/>
              </w:rPr>
              <w:t>Number</w:t>
            </w:r>
          </w:p>
          <w:p>
            <w:pPr>
              <w:pStyle w:val="TableContents"/>
              <w:bidi w:val="0"/>
              <w:spacing w:before="0" w:after="0"/>
              <w:ind w:left="0" w:right="0" w:hanging="0"/>
              <w:jc w:val="center"/>
              <w:rPr>
                <w:b/>
              </w:rPr>
            </w:pPr>
            <w:r>
              <w:rPr>
                <w:b/>
              </w:rPr>
              <w:t>of</w:t>
            </w:r>
          </w:p>
          <w:p>
            <w:pPr>
              <w:pStyle w:val="TableContents"/>
              <w:bidi w:val="0"/>
              <w:spacing w:before="0" w:after="0"/>
              <w:ind w:left="0" w:right="0" w:hanging="0"/>
              <w:jc w:val="center"/>
              <w:rPr>
                <w:b/>
              </w:rPr>
            </w:pPr>
            <w:r>
              <w:rPr>
                <w:b/>
              </w:rPr>
              <w:t>Shares</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90" w:type="dxa"/>
            <w:tcBorders>
              <w:bottom w:val="single" w:sz="12" w:space="0" w:color="000000"/>
            </w:tcBorders>
            <w:tcMar>
              <w:bottom w:w="28" w:type="dxa"/>
            </w:tcMar>
          </w:tcPr>
          <w:p>
            <w:pPr>
              <w:pStyle w:val="TableContents"/>
              <w:bidi w:val="0"/>
              <w:spacing w:before="0" w:after="0"/>
              <w:ind w:left="0" w:right="0" w:hanging="0"/>
              <w:jc w:val="center"/>
              <w:rPr>
                <w:b/>
              </w:rPr>
            </w:pPr>
            <w:r>
              <w:rPr>
                <w:b/>
              </w:rPr>
              <w:t>Amount</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center"/>
              <w:rPr>
                <w:b/>
              </w:rPr>
            </w:pPr>
            <w:r>
              <w:rPr>
                <w:b/>
              </w:rPr>
              <w:t>Number</w:t>
            </w:r>
          </w:p>
          <w:p>
            <w:pPr>
              <w:pStyle w:val="TableContents"/>
              <w:bidi w:val="0"/>
              <w:spacing w:before="0" w:after="0"/>
              <w:ind w:left="0" w:right="0" w:hanging="0"/>
              <w:jc w:val="center"/>
              <w:rPr>
                <w:b/>
              </w:rPr>
            </w:pPr>
            <w:r>
              <w:rPr>
                <w:b/>
              </w:rPr>
              <w:t>of</w:t>
            </w:r>
          </w:p>
          <w:p>
            <w:pPr>
              <w:pStyle w:val="TableContents"/>
              <w:bidi w:val="0"/>
              <w:spacing w:before="0" w:after="0"/>
              <w:ind w:left="0" w:right="0" w:hanging="0"/>
              <w:jc w:val="center"/>
              <w:rPr>
                <w:b/>
              </w:rPr>
            </w:pPr>
            <w:r>
              <w:rPr>
                <w:b/>
              </w:rPr>
              <w:t>Shares</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90" w:type="dxa"/>
            <w:tcBorders>
              <w:bottom w:val="single" w:sz="12" w:space="0" w:color="000000"/>
            </w:tcBorders>
            <w:tcMar>
              <w:bottom w:w="28" w:type="dxa"/>
            </w:tcMar>
          </w:tcPr>
          <w:p>
            <w:pPr>
              <w:pStyle w:val="TableContents"/>
              <w:bidi w:val="0"/>
              <w:spacing w:before="0" w:after="0"/>
              <w:ind w:left="0" w:right="0" w:hanging="0"/>
              <w:jc w:val="center"/>
              <w:rPr>
                <w:b/>
              </w:rPr>
            </w:pPr>
            <w:r>
              <w:rPr>
                <w:b/>
              </w:rPr>
              <w:t>Amount</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center"/>
              <w:rPr>
                <w:b/>
              </w:rPr>
            </w:pPr>
            <w:r>
              <w:rPr>
                <w:b/>
              </w:rPr>
              <w:t>Additional</w:t>
            </w:r>
          </w:p>
          <w:p>
            <w:pPr>
              <w:pStyle w:val="TableContents"/>
              <w:bidi w:val="0"/>
              <w:spacing w:before="0" w:after="0"/>
              <w:ind w:left="0" w:right="0" w:hanging="0"/>
              <w:jc w:val="center"/>
              <w:rPr>
                <w:b/>
              </w:rPr>
            </w:pPr>
            <w:r>
              <w:rPr>
                <w:b/>
              </w:rPr>
              <w:t>Paid-In</w:t>
            </w:r>
          </w:p>
          <w:p>
            <w:pPr>
              <w:pStyle w:val="TableContents"/>
              <w:bidi w:val="0"/>
              <w:spacing w:before="0" w:after="0"/>
              <w:ind w:left="0" w:right="0" w:hanging="0"/>
              <w:jc w:val="center"/>
              <w:rPr>
                <w:b/>
              </w:rPr>
            </w:pPr>
            <w:r>
              <w:rPr>
                <w:b/>
              </w:rPr>
              <w:t>Capital</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965" w:type="dxa"/>
            <w:tcBorders>
              <w:bottom w:val="single" w:sz="12" w:space="0" w:color="000000"/>
            </w:tcBorders>
            <w:tcMar>
              <w:bottom w:w="28" w:type="dxa"/>
            </w:tcMar>
          </w:tcPr>
          <w:p>
            <w:pPr>
              <w:pStyle w:val="TableContents"/>
              <w:bidi w:val="0"/>
              <w:spacing w:before="0" w:after="0"/>
              <w:ind w:left="0" w:right="0" w:hanging="0"/>
              <w:jc w:val="center"/>
              <w:rPr>
                <w:b/>
              </w:rPr>
            </w:pPr>
            <w:r>
              <w:rPr>
                <w:b/>
              </w:rPr>
              <w:t>Retained</w:t>
            </w:r>
          </w:p>
          <w:p>
            <w:pPr>
              <w:pStyle w:val="TableContents"/>
              <w:bidi w:val="0"/>
              <w:spacing w:before="0" w:after="0"/>
              <w:ind w:left="0" w:right="0" w:hanging="0"/>
              <w:jc w:val="center"/>
              <w:rPr>
                <w:b/>
              </w:rPr>
            </w:pPr>
            <w:r>
              <w:rPr>
                <w:b/>
              </w:rPr>
              <w:t>Deficit</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370" w:type="dxa"/>
            <w:tcBorders>
              <w:bottom w:val="single" w:sz="12" w:space="0" w:color="000000"/>
            </w:tcBorders>
            <w:tcMar>
              <w:bottom w:w="28" w:type="dxa"/>
            </w:tcMar>
          </w:tcPr>
          <w:p>
            <w:pPr>
              <w:pStyle w:val="TableContents"/>
              <w:bidi w:val="0"/>
              <w:spacing w:before="0" w:after="0"/>
              <w:ind w:left="0" w:right="0" w:hanging="0"/>
              <w:jc w:val="center"/>
              <w:rPr>
                <w:b/>
              </w:rPr>
            </w:pPr>
            <w:r>
              <w:rPr>
                <w:b/>
              </w:rPr>
              <w:t>Total</w:t>
            </w:r>
          </w:p>
          <w:p>
            <w:pPr>
              <w:pStyle w:val="TableContents"/>
              <w:bidi w:val="0"/>
              <w:spacing w:before="0" w:after="0"/>
              <w:ind w:left="0" w:right="0" w:hanging="0"/>
              <w:jc w:val="center"/>
              <w:rPr>
                <w:b/>
              </w:rPr>
            </w:pPr>
            <w:r>
              <w:rPr>
                <w:b/>
              </w:rPr>
              <w:t>Stockholders’</w:t>
            </w:r>
          </w:p>
          <w:p>
            <w:pPr>
              <w:pStyle w:val="TableContents"/>
              <w:bidi w:val="0"/>
              <w:spacing w:before="0" w:after="0"/>
              <w:ind w:left="0" w:right="0" w:hanging="0"/>
              <w:jc w:val="center"/>
              <w:rPr>
                <w:b/>
              </w:rPr>
            </w:pPr>
            <w:r>
              <w:rPr>
                <w:b/>
              </w:rPr>
              <w:t>Deficit</w:t>
            </w:r>
          </w:p>
        </w:tc>
        <w:tc>
          <w:tcPr>
            <w:tcW w:w="230" w:type="dxa"/>
            <w:tcBorders/>
          </w:tcPr>
          <w:p>
            <w:pPr>
              <w:pStyle w:val="TableContents"/>
              <w:bidi w:val="0"/>
              <w:spacing w:before="0" w:after="283"/>
              <w:jc w:val="center"/>
              <w:rPr/>
            </w:pPr>
            <w:r>
              <w:rPr/>
              <w:t> </w:t>
            </w:r>
          </w:p>
        </w:tc>
      </w:tr>
      <w:tr>
        <w:trPr/>
        <w:tc>
          <w:tcPr>
            <w:tcW w:w="1226" w:type="dxa"/>
            <w:tcBorders/>
            <w:shd w:fill="CCEEFF" w:val="clear"/>
          </w:tcPr>
          <w:p>
            <w:pPr>
              <w:pStyle w:val="TableContents"/>
              <w:bidi w:val="0"/>
              <w:spacing w:before="0" w:after="0"/>
              <w:ind w:left="0" w:right="0" w:hanging="0"/>
              <w:jc w:val="left"/>
              <w:rPr>
                <w:b/>
              </w:rPr>
            </w:pPr>
            <w:r>
              <w:rPr>
                <w:b/>
              </w:rPr>
              <w:t>Balance at March 31, 2025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b/>
              </w:rPr>
            </w:pPr>
            <w:r>
              <w:rPr>
                <w:b/>
              </w:rPr>
              <w:t>1,235,000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500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b/>
              </w:rPr>
            </w:pPr>
            <w:r>
              <w:rPr>
                <w:b/>
              </w:rPr>
              <w:t>63,291,585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63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130" w:type="dxa"/>
            <w:tcBorders/>
            <w:shd w:fill="CCEEFF" w:val="clear"/>
          </w:tcPr>
          <w:p>
            <w:pPr>
              <w:pStyle w:val="TableContents"/>
              <w:bidi w:val="0"/>
              <w:spacing w:before="0" w:after="0"/>
              <w:ind w:left="0" w:right="0" w:hanging="0"/>
              <w:jc w:val="right"/>
              <w:rPr>
                <w:b/>
              </w:rPr>
            </w:pPr>
            <w:r>
              <w:rPr>
                <w:b/>
              </w:rPr>
              <w:t>296,631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965" w:type="dxa"/>
            <w:tcBorders/>
            <w:shd w:fill="CCEEFF" w:val="clear"/>
          </w:tcPr>
          <w:p>
            <w:pPr>
              <w:pStyle w:val="TableContents"/>
              <w:bidi w:val="0"/>
              <w:spacing w:before="0" w:after="0"/>
              <w:ind w:left="0" w:right="0" w:hanging="0"/>
              <w:jc w:val="right"/>
              <w:rPr>
                <w:b/>
              </w:rPr>
            </w:pPr>
            <w:r>
              <w:rPr>
                <w:b/>
              </w:rPr>
              <w:t>(411,177</w:t>
            </w:r>
          </w:p>
        </w:tc>
        <w:tc>
          <w:tcPr>
            <w:tcW w:w="185" w:type="dxa"/>
            <w:tcBorders/>
            <w:shd w:fill="CCEEFF" w:val="clear"/>
          </w:tcPr>
          <w:p>
            <w:pPr>
              <w:pStyle w:val="TableContents"/>
              <w:bidi w:val="0"/>
              <w:spacing w:before="0" w:after="0"/>
              <w:ind w:left="0" w:right="0" w:hanging="0"/>
              <w:jc w:val="left"/>
              <w:rPr>
                <w:b/>
              </w:rPr>
            </w:pPr>
            <w:r>
              <w:rPr>
                <w:b/>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370" w:type="dxa"/>
            <w:tcBorders/>
            <w:shd w:fill="CCEEFF" w:val="clear"/>
          </w:tcPr>
          <w:p>
            <w:pPr>
              <w:pStyle w:val="TableContents"/>
              <w:bidi w:val="0"/>
              <w:spacing w:before="0" w:after="0"/>
              <w:ind w:left="0" w:right="0" w:hanging="0"/>
              <w:jc w:val="right"/>
              <w:rPr>
                <w:b/>
              </w:rPr>
            </w:pPr>
            <w:r>
              <w:rPr>
                <w:b/>
              </w:rPr>
              <w:t>(113,984</w:t>
            </w:r>
          </w:p>
        </w:tc>
        <w:tc>
          <w:tcPr>
            <w:tcW w:w="230" w:type="dxa"/>
            <w:tcBorders/>
            <w:shd w:fill="CCEEFF" w:val="clear"/>
          </w:tcPr>
          <w:p>
            <w:pPr>
              <w:pStyle w:val="TableContents"/>
              <w:bidi w:val="0"/>
              <w:spacing w:before="0" w:after="0"/>
              <w:jc w:val="left"/>
              <w:rPr>
                <w:b/>
              </w:rPr>
            </w:pPr>
            <w:r>
              <w:rPr>
                <w:b/>
              </w:rPr>
              <w:t>) </w:t>
            </w:r>
          </w:p>
        </w:tc>
      </w:tr>
      <w:tr>
        <w:trPr/>
        <w:tc>
          <w:tcPr>
            <w:tcW w:w="1226" w:type="dxa"/>
            <w:tcBorders/>
          </w:tcPr>
          <w:p>
            <w:pPr>
              <w:pStyle w:val="TableContents"/>
              <w:bidi w:val="0"/>
              <w:spacing w:before="0" w:after="0"/>
              <w:ind w:left="144" w:right="0" w:hanging="144"/>
              <w:jc w:val="left"/>
              <w:rPr/>
            </w:pPr>
            <w:r>
              <w:rPr/>
              <w:t>Series A 12% convertible preferred stock dividend</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right"/>
              <w:rPr/>
            </w:pPr>
            <w:r>
              <w:rPr/>
              <w:t>(37</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(37</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Series C super dividend redeemable convertible preferred stock dividend</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65" w:type="dxa"/>
            <w:tcBorders/>
            <w:shd w:fill="CCEEFF" w:val="clear"/>
          </w:tcPr>
          <w:p>
            <w:pPr>
              <w:pStyle w:val="TableContents"/>
              <w:bidi w:val="0"/>
              <w:spacing w:before="0" w:after="0"/>
              <w:ind w:left="0" w:right="0" w:hanging="0"/>
              <w:jc w:val="right"/>
              <w:rPr/>
            </w:pPr>
            <w:r>
              <w:rPr/>
              <w:t>(26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(26</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0" w:right="0" w:hanging="0"/>
              <w:jc w:val="left"/>
              <w:rPr/>
            </w:pPr>
            <w:r>
              <w:rPr/>
              <w:t>Conversion of Series A convertible preferred to common stock</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(25,000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90" w:type="dxa"/>
            <w:tcBorders/>
          </w:tcPr>
          <w:p>
            <w:pPr>
              <w:pStyle w:val="TableContents"/>
              <w:bidi w:val="0"/>
              <w:spacing w:before="0" w:after="0"/>
              <w:ind w:left="0" w:right="0" w:hanging="0"/>
              <w:jc w:val="right"/>
              <w:rPr/>
            </w:pPr>
            <w:r>
              <w:rPr/>
              <w:t>(10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4,167</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r>
      <w:tr>
        <w:trPr/>
        <w:tc>
          <w:tcPr>
            <w:tcW w:w="1226" w:type="dxa"/>
            <w:tcBorders/>
            <w:shd w:fill="CCEEFF" w:val="clear"/>
          </w:tcPr>
          <w:p>
            <w:pPr>
              <w:pStyle w:val="TableContents"/>
              <w:bidi w:val="0"/>
              <w:spacing w:before="0" w:after="0"/>
              <w:ind w:left="144" w:right="0" w:hanging="144"/>
              <w:jc w:val="left"/>
              <w:rPr/>
            </w:pPr>
            <w:r>
              <w:rPr/>
              <w:t>Common stock purchase warrants issued in connection with related party line of credit</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235</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235</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Exercise of common stock options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346,606</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724</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724</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Issuance of common stock</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417,904</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1,218</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1,218</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Stock-based compensation expense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500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500</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Net loss</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6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(7,521</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7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(7,521</w:t>
            </w:r>
          </w:p>
        </w:tc>
        <w:tc>
          <w:tcPr>
            <w:tcW w:w="230"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1226" w:type="dxa"/>
            <w:tcBorders/>
          </w:tcPr>
          <w:p>
            <w:pPr>
              <w:pStyle w:val="TableContents"/>
              <w:bidi w:val="0"/>
              <w:spacing w:before="0" w:after="0"/>
              <w:ind w:left="0" w:right="0" w:hanging="0"/>
              <w:jc w:val="left"/>
              <w:rPr>
                <w:b/>
              </w:rPr>
            </w:pPr>
            <w:r>
              <w:rPr>
                <w:b/>
              </w:rPr>
              <w:t>Balance at June 30, 2025</w:t>
            </w:r>
          </w:p>
        </w:tc>
        <w:tc>
          <w:tcPr>
            <w:tcW w:w="90" w:type="dxa"/>
            <w:tcBorders/>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right"/>
              <w:rPr>
                <w:b/>
              </w:rPr>
            </w:pPr>
            <w:r>
              <w:rPr>
                <w:b/>
              </w:rPr>
              <w:t>1,210,000</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single" w:sz="12" w:space="0" w:color="000000"/>
            </w:tcBorders>
            <w:tcMar>
              <w:bottom w:w="28" w:type="dxa"/>
            </w:tcMar>
          </w:tcPr>
          <w:p>
            <w:pPr>
              <w:pStyle w:val="TableContents"/>
              <w:bidi w:val="0"/>
              <w:spacing w:before="0" w:after="0"/>
              <w:ind w:left="0" w:right="0" w:hanging="0"/>
              <w:jc w:val="right"/>
              <w:rPr>
                <w:b/>
              </w:rPr>
            </w:pPr>
            <w:r>
              <w:rPr>
                <w:b/>
              </w:rPr>
              <w:t>490</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right"/>
              <w:rPr>
                <w:b/>
              </w:rPr>
            </w:pPr>
            <w:r>
              <w:rPr>
                <w:b/>
              </w:rPr>
              <w:t>64,060,262</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single" w:sz="12" w:space="0" w:color="000000"/>
            </w:tcBorders>
            <w:tcMar>
              <w:bottom w:w="28" w:type="dxa"/>
            </w:tcMar>
          </w:tcPr>
          <w:p>
            <w:pPr>
              <w:pStyle w:val="TableContents"/>
              <w:bidi w:val="0"/>
              <w:spacing w:before="0" w:after="0"/>
              <w:ind w:left="0" w:right="0" w:hanging="0"/>
              <w:jc w:val="right"/>
              <w:rPr>
                <w:b/>
              </w:rPr>
            </w:pPr>
            <w:r>
              <w:rPr>
                <w:b/>
              </w:rPr>
              <w:t>63</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1130" w:type="dxa"/>
            <w:tcBorders>
              <w:bottom w:val="single" w:sz="12" w:space="0" w:color="000000"/>
            </w:tcBorders>
            <w:tcMar>
              <w:bottom w:w="28" w:type="dxa"/>
            </w:tcMar>
          </w:tcPr>
          <w:p>
            <w:pPr>
              <w:pStyle w:val="TableContents"/>
              <w:bidi w:val="0"/>
              <w:spacing w:before="0" w:after="0"/>
              <w:ind w:left="0" w:right="0" w:hanging="0"/>
              <w:jc w:val="right"/>
              <w:rPr>
                <w:b/>
              </w:rPr>
            </w:pPr>
            <w:r>
              <w:rPr>
                <w:b/>
              </w:rPr>
              <w:t>299,318</w:t>
            </w:r>
          </w:p>
        </w:tc>
        <w:tc>
          <w:tcPr>
            <w:tcW w:w="9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965" w:type="dxa"/>
            <w:tcBorders>
              <w:bottom w:val="single" w:sz="12" w:space="0" w:color="000000"/>
            </w:tcBorders>
            <w:tcMar>
              <w:bottom w:w="28" w:type="dxa"/>
            </w:tcMar>
          </w:tcPr>
          <w:p>
            <w:pPr>
              <w:pStyle w:val="TableContents"/>
              <w:bidi w:val="0"/>
              <w:spacing w:before="0" w:after="0"/>
              <w:ind w:left="0" w:right="0" w:hanging="0"/>
              <w:jc w:val="right"/>
              <w:rPr>
                <w:b/>
              </w:rPr>
            </w:pPr>
            <w:r>
              <w:rPr>
                <w:b/>
              </w:rPr>
              <w:t>(418,761</w:t>
            </w:r>
          </w:p>
        </w:tc>
        <w:tc>
          <w:tcPr>
            <w:tcW w:w="185" w:type="dxa"/>
            <w:tcBorders>
              <w:bottom w:val="single" w:sz="12" w:space="0" w:color="000000"/>
            </w:tcBorders>
            <w:tcMar>
              <w:bottom w:w="28" w:type="dxa"/>
            </w:tcMar>
          </w:tcPr>
          <w:p>
            <w:pPr>
              <w:pStyle w:val="TableContents"/>
              <w:bidi w:val="0"/>
              <w:spacing w:before="0" w:after="0"/>
              <w:ind w:left="0" w:right="0" w:hanging="0"/>
              <w:jc w:val="left"/>
              <w:rPr>
                <w:b/>
              </w:rPr>
            </w:pPr>
            <w:r>
              <w:rPr>
                <w:b/>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b/>
              </w:rPr>
            </w:pPr>
            <w:r>
              <w:rPr>
                <w:b/>
              </w:rPr>
              <w:t>$</w:t>
            </w:r>
          </w:p>
        </w:tc>
        <w:tc>
          <w:tcPr>
            <w:tcW w:w="1370" w:type="dxa"/>
            <w:tcBorders>
              <w:bottom w:val="single" w:sz="12" w:space="0" w:color="000000"/>
            </w:tcBorders>
            <w:tcMar>
              <w:bottom w:w="28" w:type="dxa"/>
            </w:tcMar>
          </w:tcPr>
          <w:p>
            <w:pPr>
              <w:pStyle w:val="TableContents"/>
              <w:bidi w:val="0"/>
              <w:spacing w:before="0" w:after="0"/>
              <w:ind w:left="0" w:right="0" w:hanging="0"/>
              <w:jc w:val="right"/>
              <w:rPr>
                <w:b/>
              </w:rPr>
            </w:pPr>
            <w:r>
              <w:rPr>
                <w:b/>
              </w:rPr>
              <w:t>(118,890</w:t>
            </w:r>
          </w:p>
        </w:tc>
        <w:tc>
          <w:tcPr>
            <w:tcW w:w="230" w:type="dxa"/>
            <w:tcBorders>
              <w:bottom w:val="single" w:sz="12" w:space="0" w:color="000000"/>
            </w:tcBorders>
            <w:tcMar>
              <w:bottom w:w="28" w:type="dxa"/>
            </w:tcMar>
          </w:tcPr>
          <w:p>
            <w:pPr>
              <w:pStyle w:val="TableContents"/>
              <w:bidi w:val="0"/>
              <w:spacing w:before="0" w:after="0"/>
              <w:jc w:val="left"/>
              <w:rPr>
                <w:b/>
              </w:rPr>
            </w:pPr>
            <w:r>
              <w:rPr>
                <w:b/>
              </w:rPr>
              <w:t>) </w:t>
            </w:r>
          </w:p>
        </w:tc>
      </w:tr>
      <w:tr>
        <w:trPr/>
        <w:tc>
          <w:tcPr>
            <w:tcW w:w="1226" w:type="dxa"/>
            <w:tcBorders/>
            <w:shd w:fill="CCEEFF" w:val="clear"/>
          </w:tcPr>
          <w:p>
            <w:pPr>
              <w:pStyle w:val="TableContents"/>
              <w:bidi w:val="0"/>
              <w:spacing w:before="0" w:after="0"/>
              <w:ind w:left="0" w:right="0" w:hanging="0"/>
              <w:jc w:val="left"/>
              <w:rPr>
                <w:b/>
              </w:rPr>
            </w:pPr>
            <w:r>
              <w:rPr>
                <w:b/>
              </w:rPr>
              <w:t>Balance at March 31, 2026</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b/>
              </w:rPr>
            </w:pPr>
            <w:r>
              <w:rPr>
                <w:b/>
              </w:rPr>
              <w:t>1,185,000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480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b/>
              </w:rPr>
            </w:pPr>
            <w:r>
              <w:rPr>
                <w:b/>
              </w:rPr>
              <w:t>65,856,898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65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130" w:type="dxa"/>
            <w:tcBorders/>
            <w:shd w:fill="CCEEFF" w:val="clear"/>
          </w:tcPr>
          <w:p>
            <w:pPr>
              <w:pStyle w:val="TableContents"/>
              <w:bidi w:val="0"/>
              <w:spacing w:before="0" w:after="0"/>
              <w:ind w:left="0" w:right="0" w:hanging="0"/>
              <w:jc w:val="right"/>
              <w:rPr>
                <w:b/>
              </w:rPr>
            </w:pPr>
            <w:r>
              <w:rPr>
                <w:b/>
              </w:rPr>
              <w:t>305,108</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965" w:type="dxa"/>
            <w:tcBorders/>
            <w:shd w:fill="CCEEFF" w:val="clear"/>
          </w:tcPr>
          <w:p>
            <w:pPr>
              <w:pStyle w:val="TableContents"/>
              <w:bidi w:val="0"/>
              <w:spacing w:before="0" w:after="0"/>
              <w:ind w:left="0" w:right="0" w:hanging="0"/>
              <w:jc w:val="right"/>
              <w:rPr>
                <w:b/>
              </w:rPr>
            </w:pPr>
            <w:r>
              <w:rPr>
                <w:b/>
              </w:rPr>
              <w:t>(437,613</w:t>
            </w:r>
          </w:p>
        </w:tc>
        <w:tc>
          <w:tcPr>
            <w:tcW w:w="185" w:type="dxa"/>
            <w:tcBorders/>
            <w:shd w:fill="CCEEFF" w:val="clear"/>
          </w:tcPr>
          <w:p>
            <w:pPr>
              <w:pStyle w:val="TableContents"/>
              <w:bidi w:val="0"/>
              <w:spacing w:before="0" w:after="0"/>
              <w:ind w:left="0" w:right="0" w:hanging="0"/>
              <w:jc w:val="left"/>
              <w:rPr>
                <w:b/>
              </w:rPr>
            </w:pPr>
            <w:r>
              <w:rPr>
                <w:b/>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370" w:type="dxa"/>
            <w:tcBorders/>
            <w:shd w:fill="CCEEFF" w:val="clear"/>
          </w:tcPr>
          <w:p>
            <w:pPr>
              <w:pStyle w:val="TableContents"/>
              <w:bidi w:val="0"/>
              <w:spacing w:before="0" w:after="0"/>
              <w:ind w:left="0" w:right="0" w:hanging="0"/>
              <w:jc w:val="right"/>
              <w:rPr>
                <w:b/>
              </w:rPr>
            </w:pPr>
            <w:r>
              <w:rPr>
                <w:b/>
              </w:rPr>
              <w:t>(131,960</w:t>
            </w:r>
          </w:p>
        </w:tc>
        <w:tc>
          <w:tcPr>
            <w:tcW w:w="230" w:type="dxa"/>
            <w:tcBorders/>
            <w:shd w:fill="CCEEFF" w:val="clear"/>
          </w:tcPr>
          <w:p>
            <w:pPr>
              <w:pStyle w:val="TableContents"/>
              <w:bidi w:val="0"/>
              <w:spacing w:before="0" w:after="0"/>
              <w:jc w:val="left"/>
              <w:rPr>
                <w:b/>
              </w:rPr>
            </w:pPr>
            <w:r>
              <w:rPr>
                <w:b/>
              </w:rPr>
              <w:t>) </w:t>
            </w:r>
          </w:p>
        </w:tc>
      </w:tr>
      <w:tr>
        <w:trPr/>
        <w:tc>
          <w:tcPr>
            <w:tcW w:w="1226" w:type="dxa"/>
            <w:tcBorders/>
          </w:tcPr>
          <w:p>
            <w:pPr>
              <w:pStyle w:val="TableContents"/>
              <w:bidi w:val="0"/>
              <w:spacing w:before="0" w:after="0"/>
              <w:ind w:left="144" w:right="0" w:hanging="144"/>
              <w:jc w:val="left"/>
              <w:rPr/>
            </w:pPr>
            <w:r>
              <w:rPr/>
              <w:t>Series A 12% convertible preferred stock dividend</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right"/>
              <w:rPr/>
            </w:pPr>
            <w:r>
              <w:rPr/>
              <w:t>(36</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(36</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Series C super dividend redeemable convertible preferred stock dividend</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65" w:type="dxa"/>
            <w:tcBorders/>
            <w:shd w:fill="CCEEFF" w:val="clear"/>
          </w:tcPr>
          <w:p>
            <w:pPr>
              <w:pStyle w:val="TableContents"/>
              <w:bidi w:val="0"/>
              <w:spacing w:before="0" w:after="0"/>
              <w:ind w:left="0" w:right="0" w:hanging="0"/>
              <w:jc w:val="right"/>
              <w:rPr/>
            </w:pPr>
            <w:r>
              <w:rPr/>
              <w:t>(26</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(26</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Exercise of common stock options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173,912</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303</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303</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Issuance of common stock</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281,100</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890" w:type="dxa"/>
            <w:tcBorders/>
            <w:shd w:fill="CCEEFF" w:val="clear"/>
          </w:tcPr>
          <w:p>
            <w:pPr>
              <w:pStyle w:val="TableContents"/>
              <w:bidi w:val="0"/>
              <w:spacing w:before="0" w:after="0"/>
              <w:ind w:left="0" w:right="0" w:hanging="0"/>
              <w:jc w:val="right"/>
              <w:rPr/>
            </w:pPr>
            <w:r>
              <w:rPr/>
              <w:t>1</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1,293</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1,294</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Stock-based compensation expense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13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963</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963</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Net loss</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6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(9,113</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7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(9,113</w:t>
            </w:r>
          </w:p>
        </w:tc>
        <w:tc>
          <w:tcPr>
            <w:tcW w:w="230"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1226" w:type="dxa"/>
            <w:tcBorders/>
          </w:tcPr>
          <w:p>
            <w:pPr>
              <w:pStyle w:val="TableContents"/>
              <w:bidi w:val="0"/>
              <w:spacing w:before="0" w:after="0"/>
              <w:ind w:left="0" w:right="0" w:hanging="0"/>
              <w:jc w:val="left"/>
              <w:rPr>
                <w:b/>
              </w:rPr>
            </w:pPr>
            <w:r>
              <w:rPr>
                <w:b/>
              </w:rPr>
              <w:t>Balance at June 30, 2026</w:t>
            </w:r>
          </w:p>
        </w:tc>
        <w:tc>
          <w:tcPr>
            <w:tcW w:w="90" w:type="dxa"/>
            <w:tcBorders/>
          </w:tcPr>
          <w:p>
            <w:pPr>
              <w:pStyle w:val="TableContents"/>
              <w:bidi w:val="0"/>
              <w:spacing w:before="0" w:after="0"/>
              <w:ind w:left="0" w:right="0" w:hanging="0"/>
              <w:jc w:val="left"/>
              <w:rPr/>
            </w:pPr>
            <w:r>
              <w:rPr/>
              <w:t> </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010" w:type="dxa"/>
            <w:tcBorders>
              <w:bottom w:val="double" w:sz="8" w:space="0" w:color="000000"/>
            </w:tcBorders>
            <w:tcMar>
              <w:bottom w:w="28" w:type="dxa"/>
            </w:tcMar>
          </w:tcPr>
          <w:p>
            <w:pPr>
              <w:pStyle w:val="TableContents"/>
              <w:bidi w:val="0"/>
              <w:spacing w:before="0" w:after="0"/>
              <w:ind w:left="0" w:right="0" w:hanging="0"/>
              <w:jc w:val="right"/>
              <w:rPr>
                <w:b/>
              </w:rPr>
            </w:pPr>
            <w:r>
              <w:rPr>
                <w:b/>
              </w:rPr>
              <w:t>1,185,000</w:t>
            </w:r>
          </w:p>
        </w:tc>
        <w:tc>
          <w:tcPr>
            <w:tcW w:w="185"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tcMar>
              <w:bottom w:w="28" w:type="dxa"/>
            </w:tcMar>
          </w:tcPr>
          <w:p>
            <w:pPr>
              <w:pStyle w:val="TableContents"/>
              <w:bidi w:val="0"/>
              <w:spacing w:before="0" w:after="0"/>
              <w:ind w:left="0" w:right="0" w:hanging="0"/>
              <w:jc w:val="right"/>
              <w:rPr>
                <w:b/>
              </w:rPr>
            </w:pPr>
            <w:r>
              <w:rPr>
                <w:b/>
              </w:rPr>
              <w:t>480</w:t>
            </w:r>
          </w:p>
        </w:tc>
        <w:tc>
          <w:tcPr>
            <w:tcW w:w="185"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130" w:type="dxa"/>
            <w:tcBorders>
              <w:bottom w:val="double" w:sz="8" w:space="0" w:color="000000"/>
            </w:tcBorders>
            <w:tcMar>
              <w:bottom w:w="28" w:type="dxa"/>
            </w:tcMar>
          </w:tcPr>
          <w:p>
            <w:pPr>
              <w:pStyle w:val="TableContents"/>
              <w:bidi w:val="0"/>
              <w:spacing w:before="0" w:after="0"/>
              <w:ind w:left="0" w:right="0" w:hanging="0"/>
              <w:jc w:val="right"/>
              <w:rPr>
                <w:b/>
              </w:rPr>
            </w:pPr>
            <w:r>
              <w:rPr>
                <w:b/>
              </w:rPr>
              <w:t>66,311,910</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tcMar>
              <w:bottom w:w="28" w:type="dxa"/>
            </w:tcMar>
          </w:tcPr>
          <w:p>
            <w:pPr>
              <w:pStyle w:val="TableContents"/>
              <w:bidi w:val="0"/>
              <w:spacing w:before="0" w:after="0"/>
              <w:ind w:left="0" w:right="0" w:hanging="0"/>
              <w:jc w:val="right"/>
              <w:rPr>
                <w:b/>
              </w:rPr>
            </w:pPr>
            <w:r>
              <w:rPr>
                <w:b/>
              </w:rPr>
              <w:t>66</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130" w:type="dxa"/>
            <w:tcBorders>
              <w:bottom w:val="double" w:sz="8" w:space="0" w:color="000000"/>
            </w:tcBorders>
            <w:tcMar>
              <w:bottom w:w="28" w:type="dxa"/>
            </w:tcMar>
          </w:tcPr>
          <w:p>
            <w:pPr>
              <w:pStyle w:val="TableContents"/>
              <w:bidi w:val="0"/>
              <w:spacing w:before="0" w:after="0"/>
              <w:ind w:left="0" w:right="0" w:hanging="0"/>
              <w:jc w:val="right"/>
              <w:rPr>
                <w:b/>
              </w:rPr>
            </w:pPr>
            <w:r>
              <w:rPr>
                <w:b/>
              </w:rPr>
              <w:t>307,667</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965" w:type="dxa"/>
            <w:tcBorders>
              <w:bottom w:val="double" w:sz="8" w:space="0" w:color="000000"/>
            </w:tcBorders>
            <w:tcMar>
              <w:bottom w:w="28" w:type="dxa"/>
            </w:tcMar>
          </w:tcPr>
          <w:p>
            <w:pPr>
              <w:pStyle w:val="TableContents"/>
              <w:bidi w:val="0"/>
              <w:spacing w:before="0" w:after="0"/>
              <w:ind w:left="0" w:right="0" w:hanging="0"/>
              <w:jc w:val="right"/>
              <w:rPr>
                <w:b/>
              </w:rPr>
            </w:pPr>
            <w:r>
              <w:rPr>
                <w:b/>
              </w:rPr>
              <w:t>(446,788</w:t>
            </w:r>
          </w:p>
        </w:tc>
        <w:tc>
          <w:tcPr>
            <w:tcW w:w="185" w:type="dxa"/>
            <w:tcBorders>
              <w:bottom w:val="double" w:sz="8" w:space="0" w:color="000000"/>
            </w:tcBorders>
            <w:tcMar>
              <w:bottom w:w="28" w:type="dxa"/>
            </w:tcMar>
          </w:tcPr>
          <w:p>
            <w:pPr>
              <w:pStyle w:val="TableContents"/>
              <w:bidi w:val="0"/>
              <w:spacing w:before="0" w:after="0"/>
              <w:ind w:left="0" w:right="0" w:hanging="0"/>
              <w:jc w:val="left"/>
              <w:rPr>
                <w:b/>
              </w:rPr>
            </w:pPr>
            <w:r>
              <w:rPr>
                <w:b/>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370" w:type="dxa"/>
            <w:tcBorders>
              <w:bottom w:val="double" w:sz="8" w:space="0" w:color="000000"/>
            </w:tcBorders>
            <w:tcMar>
              <w:bottom w:w="28" w:type="dxa"/>
            </w:tcMar>
          </w:tcPr>
          <w:p>
            <w:pPr>
              <w:pStyle w:val="TableContents"/>
              <w:bidi w:val="0"/>
              <w:spacing w:before="0" w:after="0"/>
              <w:ind w:left="0" w:right="0" w:hanging="0"/>
              <w:jc w:val="right"/>
              <w:rPr>
                <w:b/>
              </w:rPr>
            </w:pPr>
            <w:r>
              <w:rPr>
                <w:b/>
              </w:rPr>
              <w:t>(138,575</w:t>
            </w:r>
          </w:p>
        </w:tc>
        <w:tc>
          <w:tcPr>
            <w:tcW w:w="230" w:type="dxa"/>
            <w:tcBorders>
              <w:bottom w:val="double" w:sz="8" w:space="0" w:color="000000"/>
            </w:tcBorders>
            <w:tcMar>
              <w:bottom w:w="28" w:type="dxa"/>
            </w:tcMar>
          </w:tcPr>
          <w:p>
            <w:pPr>
              <w:pStyle w:val="TableContents"/>
              <w:bidi w:val="0"/>
              <w:spacing w:before="0" w:after="0"/>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color w:val="000000"/>
          <w:sz w:val="20"/>
        </w:rPr>
        <w:t>See notes to unaudited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CONSOLIDATED STATEMENTS OF CHANGES IN REDEEMABLE CONVERTIBLE PREFERRED STOCK AND STOCKHOLDERS’ DEFICIT — (Continued)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(amounts in thousands except share data)</w:t>
      </w:r>
      <w:r>
        <w:rPr>
          <w:rFonts w:ascii="Times New Roman" w:hAnsi="Times New Roman"/>
          <w:sz w:val="20"/>
        </w:rPr>
        <w:t xml:space="preserve"> </w:t>
      </w:r>
    </w:p>
    <w:p>
      <w:pPr>
        <w:pStyle w:val="TextBody"/>
        <w:bidi w:val="0"/>
        <w:spacing w:before="0" w:after="0"/>
        <w:jc w:val="left"/>
        <w:rPr/>
      </w:pPr>
      <w:r>
        <w:rPr/>
        <w:t> </w:t>
      </w:r>
    </w:p>
    <w:tbl>
      <w:tblPr>
        <w:tblW w:w="11326" w:type="dxa"/>
        <w:jc w:val="left"/>
        <w:tblInd w:w="0" w:type="dxa"/>
        <w:tblLayout w:type="fixed"/>
        <w:tblCellMar>
          <w:top w:w="0" w:type="dxa"/>
          <w:left w:w="0" w:type="dxa"/>
          <w:bottom w:w="0" w:type="dxa"/>
          <w:right w:w="0" w:type="dxa"/>
        </w:tblCellMar>
      </w:tblPr>
      <w:tblGrid>
        <w:gridCol w:w="1226"/>
        <w:gridCol w:w="90"/>
        <w:gridCol w:w="90"/>
        <w:gridCol w:w="1010"/>
        <w:gridCol w:w="185"/>
        <w:gridCol w:w="90"/>
        <w:gridCol w:w="170"/>
        <w:gridCol w:w="890"/>
        <w:gridCol w:w="185"/>
        <w:gridCol w:w="90"/>
        <w:gridCol w:w="90"/>
        <w:gridCol w:w="1130"/>
        <w:gridCol w:w="90"/>
        <w:gridCol w:w="90"/>
        <w:gridCol w:w="170"/>
        <w:gridCol w:w="890"/>
        <w:gridCol w:w="90"/>
        <w:gridCol w:w="90"/>
        <w:gridCol w:w="170"/>
        <w:gridCol w:w="1130"/>
        <w:gridCol w:w="90"/>
        <w:gridCol w:w="90"/>
        <w:gridCol w:w="170"/>
        <w:gridCol w:w="965"/>
        <w:gridCol w:w="185"/>
        <w:gridCol w:w="90"/>
        <w:gridCol w:w="170"/>
        <w:gridCol w:w="1370"/>
        <w:gridCol w:w="230"/>
      </w:tblGrid>
      <w:tr>
        <w:trPr/>
        <w:tc>
          <w:tcPr>
            <w:tcW w:w="12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226" w:type="dxa"/>
            <w:tcBorders/>
          </w:tcPr>
          <w:p>
            <w:pPr>
              <w:pStyle w:val="TableContents"/>
              <w:bidi w:val="0"/>
              <w:spacing w:before="0" w:after="283"/>
              <w:jc w:val="left"/>
              <w:rPr/>
            </w:pPr>
            <w:r>
              <w:rPr/>
              <w:t> </w:t>
            </w:r>
          </w:p>
        </w:tc>
        <w:tc>
          <w:tcPr>
            <w:tcW w:w="90" w:type="dxa"/>
            <w:tcBorders/>
          </w:tcPr>
          <w:p>
            <w:pPr>
              <w:pStyle w:val="TableContents"/>
              <w:bidi w:val="0"/>
              <w:spacing w:before="0" w:after="0"/>
              <w:ind w:left="0" w:right="0" w:hanging="0"/>
              <w:jc w:val="left"/>
              <w:rPr/>
            </w:pPr>
            <w:r>
              <w:rPr/>
            </w:r>
          </w:p>
        </w:tc>
        <w:tc>
          <w:tcPr>
            <w:tcW w:w="90" w:type="dxa"/>
            <w:tcBorders/>
          </w:tcPr>
          <w:p>
            <w:pPr>
              <w:pStyle w:val="TableContents"/>
              <w:bidi w:val="0"/>
              <w:spacing w:before="0" w:after="283"/>
              <w:jc w:val="center"/>
              <w:rPr/>
            </w:pPr>
            <w:r>
              <w:rPr/>
              <w:t> </w:t>
            </w:r>
          </w:p>
        </w:tc>
        <w:tc>
          <w:tcPr>
            <w:tcW w:w="2345" w:type="dxa"/>
            <w:gridSpan w:val="5"/>
            <w:tcBorders>
              <w:bottom w:val="single" w:sz="12" w:space="0" w:color="000000"/>
            </w:tcBorders>
            <w:tcMar>
              <w:bottom w:w="28" w:type="dxa"/>
            </w:tcMar>
          </w:tcPr>
          <w:p>
            <w:pPr>
              <w:pStyle w:val="TableContents"/>
              <w:bidi w:val="0"/>
              <w:spacing w:before="0" w:after="0"/>
              <w:ind w:left="0" w:right="0" w:hanging="0"/>
              <w:jc w:val="center"/>
              <w:rPr>
                <w:b/>
                <w:spacing w:val="0"/>
              </w:rPr>
            </w:pPr>
            <w:r>
              <w:rPr>
                <w:b/>
                <w:spacing w:val="0"/>
              </w:rPr>
              <w:t>Series A 12%</w:t>
            </w:r>
          </w:p>
          <w:p>
            <w:pPr>
              <w:pStyle w:val="TableContents"/>
              <w:bidi w:val="0"/>
              <w:spacing w:before="0" w:after="0"/>
              <w:ind w:left="0" w:right="0" w:hanging="0"/>
              <w:jc w:val="center"/>
              <w:rPr>
                <w:b/>
                <w:spacing w:val="0"/>
              </w:rPr>
            </w:pPr>
            <w:r>
              <w:rPr>
                <w:b/>
                <w:spacing w:val="0"/>
              </w:rPr>
              <w:t>Convertible</w:t>
            </w:r>
          </w:p>
          <w:p>
            <w:pPr>
              <w:pStyle w:val="TableContents"/>
              <w:bidi w:val="0"/>
              <w:spacing w:before="0" w:after="0"/>
              <w:ind w:left="0" w:right="0" w:hanging="0"/>
              <w:jc w:val="center"/>
              <w:rPr>
                <w:b/>
                <w:spacing w:val="0"/>
              </w:rPr>
            </w:pPr>
            <w:r>
              <w:rPr>
                <w:b/>
                <w:spacing w:val="0"/>
              </w:rPr>
              <w:t>Preferred Stock</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0"/>
              <w:ind w:left="0" w:right="0" w:hanging="0"/>
              <w:jc w:val="left"/>
              <w:rPr/>
            </w:pPr>
            <w:r>
              <w:rPr/>
            </w:r>
          </w:p>
        </w:tc>
        <w:tc>
          <w:tcPr>
            <w:tcW w:w="90" w:type="dxa"/>
            <w:tcBorders/>
          </w:tcPr>
          <w:p>
            <w:pPr>
              <w:pStyle w:val="TableContents"/>
              <w:bidi w:val="0"/>
              <w:spacing w:before="0" w:after="283"/>
              <w:jc w:val="center"/>
              <w:rPr/>
            </w:pPr>
            <w:r>
              <w:rPr/>
              <w:t> </w:t>
            </w:r>
          </w:p>
        </w:tc>
        <w:tc>
          <w:tcPr>
            <w:tcW w:w="2370" w:type="dxa"/>
            <w:gridSpan w:val="5"/>
            <w:tcBorders>
              <w:bottom w:val="single" w:sz="12" w:space="0" w:color="000000"/>
            </w:tcBorders>
            <w:tcMar>
              <w:bottom w:w="28" w:type="dxa"/>
            </w:tcMar>
          </w:tcPr>
          <w:p>
            <w:pPr>
              <w:pStyle w:val="TableContents"/>
              <w:bidi w:val="0"/>
              <w:spacing w:before="0" w:after="283"/>
              <w:jc w:val="center"/>
              <w:rPr/>
            </w:pPr>
            <w:r>
              <w:rPr>
                <w:b/>
                <w:spacing w:val="0"/>
              </w:rPr>
              <w:t>Common Stock</w:t>
            </w:r>
            <w:r>
              <w:rPr/>
              <w:t xml:space="preserve">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113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965" w:type="dxa"/>
            <w:tcBorders/>
          </w:tcPr>
          <w:p>
            <w:pPr>
              <w:pStyle w:val="TableContents"/>
              <w:bidi w:val="0"/>
              <w:spacing w:before="0" w:after="283"/>
              <w:jc w:val="center"/>
              <w:rPr/>
            </w:pPr>
            <w:r>
              <w:rPr/>
              <w:t> </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tcPr>
          <w:p>
            <w:pPr>
              <w:pStyle w:val="TableContents"/>
              <w:bidi w:val="0"/>
              <w:spacing w:before="0" w:after="283"/>
              <w:jc w:val="center"/>
              <w:rPr/>
            </w:pPr>
            <w:r>
              <w:rPr/>
              <w:t> </w:t>
            </w:r>
          </w:p>
        </w:tc>
        <w:tc>
          <w:tcPr>
            <w:tcW w:w="1370" w:type="dxa"/>
            <w:tcBorders/>
          </w:tcPr>
          <w:p>
            <w:pPr>
              <w:pStyle w:val="TableContents"/>
              <w:bidi w:val="0"/>
              <w:spacing w:before="0" w:after="283"/>
              <w:jc w:val="center"/>
              <w:rPr/>
            </w:pPr>
            <w:r>
              <w:rPr/>
              <w:t> </w:t>
            </w:r>
          </w:p>
        </w:tc>
        <w:tc>
          <w:tcPr>
            <w:tcW w:w="230" w:type="dxa"/>
            <w:tcBorders/>
          </w:tcPr>
          <w:p>
            <w:pPr>
              <w:pStyle w:val="TableContents"/>
              <w:bidi w:val="0"/>
              <w:spacing w:before="0" w:after="283"/>
              <w:jc w:val="center"/>
              <w:rPr/>
            </w:pPr>
            <w:r>
              <w:rPr/>
              <w:t> </w:t>
            </w:r>
          </w:p>
        </w:tc>
      </w:tr>
      <w:tr>
        <w:trPr/>
        <w:tc>
          <w:tcPr>
            <w:tcW w:w="1226" w:type="dxa"/>
            <w:tcBorders/>
          </w:tcPr>
          <w:p>
            <w:pPr>
              <w:pStyle w:val="TableContents"/>
              <w:bidi w:val="0"/>
              <w:spacing w:before="0" w:after="283"/>
              <w:jc w:val="left"/>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010" w:type="dxa"/>
            <w:tcBorders>
              <w:bottom w:val="single" w:sz="12" w:space="0" w:color="000000"/>
            </w:tcBorders>
            <w:tcMar>
              <w:bottom w:w="28" w:type="dxa"/>
            </w:tcMar>
          </w:tcPr>
          <w:p>
            <w:pPr>
              <w:pStyle w:val="TableContents"/>
              <w:bidi w:val="0"/>
              <w:spacing w:before="0" w:after="0"/>
              <w:ind w:left="0" w:right="0" w:hanging="0"/>
              <w:jc w:val="center"/>
              <w:rPr>
                <w:b/>
              </w:rPr>
            </w:pPr>
            <w:r>
              <w:rPr>
                <w:b/>
              </w:rPr>
              <w:t>Number</w:t>
            </w:r>
          </w:p>
          <w:p>
            <w:pPr>
              <w:pStyle w:val="TableContents"/>
              <w:bidi w:val="0"/>
              <w:spacing w:before="0" w:after="0"/>
              <w:ind w:left="0" w:right="0" w:hanging="0"/>
              <w:jc w:val="center"/>
              <w:rPr>
                <w:b/>
              </w:rPr>
            </w:pPr>
            <w:r>
              <w:rPr>
                <w:b/>
              </w:rPr>
              <w:t>of</w:t>
            </w:r>
          </w:p>
          <w:p>
            <w:pPr>
              <w:pStyle w:val="TableContents"/>
              <w:bidi w:val="0"/>
              <w:spacing w:before="0" w:after="0"/>
              <w:ind w:left="0" w:right="0" w:hanging="0"/>
              <w:jc w:val="center"/>
              <w:rPr>
                <w:b/>
              </w:rPr>
            </w:pPr>
            <w:r>
              <w:rPr>
                <w:b/>
              </w:rPr>
              <w:t>Shares</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90" w:type="dxa"/>
            <w:tcBorders>
              <w:bottom w:val="single" w:sz="12" w:space="0" w:color="000000"/>
            </w:tcBorders>
            <w:tcMar>
              <w:bottom w:w="28" w:type="dxa"/>
            </w:tcMar>
          </w:tcPr>
          <w:p>
            <w:pPr>
              <w:pStyle w:val="TableContents"/>
              <w:bidi w:val="0"/>
              <w:spacing w:before="0" w:after="0"/>
              <w:ind w:left="0" w:right="0" w:hanging="0"/>
              <w:jc w:val="center"/>
              <w:rPr>
                <w:b/>
              </w:rPr>
            </w:pPr>
            <w:r>
              <w:rPr>
                <w:b/>
              </w:rPr>
              <w:t>Amount</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90" w:type="dxa"/>
            <w:tcBorders>
              <w:bottom w:val="single" w:sz="12" w:space="0" w:color="000000"/>
            </w:tcBorders>
            <w:tcMar>
              <w:bottom w:w="28" w:type="dxa"/>
            </w:tcMar>
          </w:tcPr>
          <w:p>
            <w:pPr>
              <w:pStyle w:val="TableContents"/>
              <w:bidi w:val="0"/>
              <w:spacing w:before="0" w:after="283"/>
              <w:jc w:val="center"/>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center"/>
              <w:rPr>
                <w:b/>
              </w:rPr>
            </w:pPr>
            <w:r>
              <w:rPr>
                <w:b/>
              </w:rPr>
              <w:t>Number</w:t>
            </w:r>
          </w:p>
          <w:p>
            <w:pPr>
              <w:pStyle w:val="TableContents"/>
              <w:bidi w:val="0"/>
              <w:spacing w:before="0" w:after="0"/>
              <w:ind w:left="0" w:right="0" w:hanging="0"/>
              <w:jc w:val="center"/>
              <w:rPr>
                <w:b/>
              </w:rPr>
            </w:pPr>
            <w:r>
              <w:rPr>
                <w:b/>
              </w:rPr>
              <w:t>of</w:t>
            </w:r>
          </w:p>
          <w:p>
            <w:pPr>
              <w:pStyle w:val="TableContents"/>
              <w:bidi w:val="0"/>
              <w:spacing w:before="0" w:after="0"/>
              <w:ind w:left="0" w:right="0" w:hanging="0"/>
              <w:jc w:val="center"/>
              <w:rPr>
                <w:b/>
              </w:rPr>
            </w:pPr>
            <w:r>
              <w:rPr>
                <w:b/>
              </w:rPr>
              <w:t>Shares</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890" w:type="dxa"/>
            <w:tcBorders>
              <w:bottom w:val="single" w:sz="12" w:space="0" w:color="000000"/>
            </w:tcBorders>
            <w:tcMar>
              <w:bottom w:w="28" w:type="dxa"/>
            </w:tcMar>
          </w:tcPr>
          <w:p>
            <w:pPr>
              <w:pStyle w:val="TableContents"/>
              <w:bidi w:val="0"/>
              <w:spacing w:before="0" w:after="0"/>
              <w:ind w:left="0" w:right="0" w:hanging="0"/>
              <w:jc w:val="center"/>
              <w:rPr>
                <w:b/>
              </w:rPr>
            </w:pPr>
            <w:r>
              <w:rPr>
                <w:b/>
              </w:rPr>
              <w:t>Amount</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130" w:type="dxa"/>
            <w:tcBorders>
              <w:bottom w:val="single" w:sz="12" w:space="0" w:color="000000"/>
            </w:tcBorders>
            <w:tcMar>
              <w:bottom w:w="28" w:type="dxa"/>
            </w:tcMar>
          </w:tcPr>
          <w:p>
            <w:pPr>
              <w:pStyle w:val="TableContents"/>
              <w:bidi w:val="0"/>
              <w:spacing w:before="0" w:after="0"/>
              <w:ind w:left="0" w:right="0" w:hanging="0"/>
              <w:jc w:val="center"/>
              <w:rPr>
                <w:b/>
              </w:rPr>
            </w:pPr>
            <w:r>
              <w:rPr>
                <w:b/>
              </w:rPr>
              <w:t>Additional</w:t>
            </w:r>
          </w:p>
          <w:p>
            <w:pPr>
              <w:pStyle w:val="TableContents"/>
              <w:bidi w:val="0"/>
              <w:spacing w:before="0" w:after="0"/>
              <w:ind w:left="0" w:right="0" w:hanging="0"/>
              <w:jc w:val="center"/>
              <w:rPr>
                <w:b/>
              </w:rPr>
            </w:pPr>
            <w:r>
              <w:rPr>
                <w:b/>
              </w:rPr>
              <w:t>Paid-In</w:t>
            </w:r>
          </w:p>
          <w:p>
            <w:pPr>
              <w:pStyle w:val="TableContents"/>
              <w:bidi w:val="0"/>
              <w:spacing w:before="0" w:after="0"/>
              <w:ind w:left="0" w:right="0" w:hanging="0"/>
              <w:jc w:val="center"/>
              <w:rPr>
                <w:b/>
              </w:rPr>
            </w:pPr>
            <w:r>
              <w:rPr>
                <w:b/>
              </w:rPr>
              <w:t>Capital</w:t>
            </w:r>
          </w:p>
        </w:tc>
        <w:tc>
          <w:tcPr>
            <w:tcW w:w="90"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965" w:type="dxa"/>
            <w:tcBorders>
              <w:bottom w:val="single" w:sz="12" w:space="0" w:color="000000"/>
            </w:tcBorders>
            <w:tcMar>
              <w:bottom w:w="28" w:type="dxa"/>
            </w:tcMar>
          </w:tcPr>
          <w:p>
            <w:pPr>
              <w:pStyle w:val="TableContents"/>
              <w:bidi w:val="0"/>
              <w:spacing w:before="0" w:after="0"/>
              <w:ind w:left="0" w:right="0" w:hanging="0"/>
              <w:jc w:val="center"/>
              <w:rPr>
                <w:b/>
              </w:rPr>
            </w:pPr>
            <w:r>
              <w:rPr>
                <w:b/>
              </w:rPr>
              <w:t>Retained</w:t>
            </w:r>
          </w:p>
          <w:p>
            <w:pPr>
              <w:pStyle w:val="TableContents"/>
              <w:bidi w:val="0"/>
              <w:spacing w:before="0" w:after="0"/>
              <w:ind w:left="0" w:right="0" w:hanging="0"/>
              <w:jc w:val="center"/>
              <w:rPr>
                <w:b/>
              </w:rPr>
            </w:pPr>
            <w:r>
              <w:rPr>
                <w:b/>
              </w:rPr>
              <w:t>Deficit</w:t>
            </w:r>
          </w:p>
        </w:tc>
        <w:tc>
          <w:tcPr>
            <w:tcW w:w="185" w:type="dxa"/>
            <w:tcBorders/>
          </w:tcPr>
          <w:p>
            <w:pPr>
              <w:pStyle w:val="TableContents"/>
              <w:bidi w:val="0"/>
              <w:spacing w:before="0" w:after="283"/>
              <w:jc w:val="center"/>
              <w:rPr/>
            </w:pPr>
            <w:r>
              <w:rPr/>
              <w:t> </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1370" w:type="dxa"/>
            <w:tcBorders>
              <w:bottom w:val="single" w:sz="12" w:space="0" w:color="000000"/>
            </w:tcBorders>
            <w:tcMar>
              <w:bottom w:w="28" w:type="dxa"/>
            </w:tcMar>
          </w:tcPr>
          <w:p>
            <w:pPr>
              <w:pStyle w:val="TableContents"/>
              <w:bidi w:val="0"/>
              <w:spacing w:before="0" w:after="0"/>
              <w:ind w:left="0" w:right="0" w:hanging="0"/>
              <w:jc w:val="center"/>
              <w:rPr>
                <w:b/>
              </w:rPr>
            </w:pPr>
            <w:r>
              <w:rPr>
                <w:b/>
              </w:rPr>
              <w:t>Total</w:t>
            </w:r>
          </w:p>
          <w:p>
            <w:pPr>
              <w:pStyle w:val="TableContents"/>
              <w:bidi w:val="0"/>
              <w:spacing w:before="0" w:after="0"/>
              <w:ind w:left="0" w:right="0" w:hanging="0"/>
              <w:jc w:val="center"/>
              <w:rPr>
                <w:b/>
              </w:rPr>
            </w:pPr>
            <w:r>
              <w:rPr>
                <w:b/>
              </w:rPr>
              <w:t>Stockholders’</w:t>
            </w:r>
          </w:p>
          <w:p>
            <w:pPr>
              <w:pStyle w:val="TableContents"/>
              <w:bidi w:val="0"/>
              <w:spacing w:before="0" w:after="0"/>
              <w:ind w:left="0" w:right="0" w:hanging="0"/>
              <w:jc w:val="center"/>
              <w:rPr>
                <w:b/>
              </w:rPr>
            </w:pPr>
            <w:r>
              <w:rPr>
                <w:b/>
              </w:rPr>
              <w:t>Deficit</w:t>
            </w:r>
          </w:p>
        </w:tc>
        <w:tc>
          <w:tcPr>
            <w:tcW w:w="230" w:type="dxa"/>
            <w:tcBorders/>
          </w:tcPr>
          <w:p>
            <w:pPr>
              <w:pStyle w:val="TableContents"/>
              <w:bidi w:val="0"/>
              <w:spacing w:before="0" w:after="283"/>
              <w:jc w:val="center"/>
              <w:rPr/>
            </w:pPr>
            <w:r>
              <w:rPr/>
              <w:t> </w:t>
            </w:r>
          </w:p>
        </w:tc>
      </w:tr>
      <w:tr>
        <w:trPr/>
        <w:tc>
          <w:tcPr>
            <w:tcW w:w="1226" w:type="dxa"/>
            <w:tcBorders/>
            <w:shd w:fill="CCEEFF" w:val="clear"/>
          </w:tcPr>
          <w:p>
            <w:pPr>
              <w:pStyle w:val="TableContents"/>
              <w:bidi w:val="0"/>
              <w:spacing w:before="0" w:after="0"/>
              <w:ind w:left="0" w:right="0" w:hanging="0"/>
              <w:jc w:val="left"/>
              <w:rPr>
                <w:b/>
              </w:rPr>
            </w:pPr>
            <w:r>
              <w:rPr>
                <w:b/>
              </w:rPr>
              <w:t>Balance at December 31, 2024</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b/>
              </w:rPr>
            </w:pPr>
            <w:r>
              <w:rPr>
                <w:b/>
              </w:rPr>
              <w:t>1,235,000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500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b/>
              </w:rPr>
            </w:pPr>
            <w:r>
              <w:rPr>
                <w:b/>
              </w:rPr>
              <w:t>63,157,235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62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130" w:type="dxa"/>
            <w:tcBorders/>
            <w:shd w:fill="CCEEFF" w:val="clear"/>
          </w:tcPr>
          <w:p>
            <w:pPr>
              <w:pStyle w:val="TableContents"/>
              <w:bidi w:val="0"/>
              <w:spacing w:before="0" w:after="0"/>
              <w:ind w:left="0" w:right="0" w:hanging="0"/>
              <w:jc w:val="right"/>
              <w:rPr>
                <w:b/>
              </w:rPr>
            </w:pPr>
            <w:r>
              <w:rPr>
                <w:b/>
              </w:rPr>
              <w:t>296,217</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965" w:type="dxa"/>
            <w:tcBorders/>
            <w:shd w:fill="CCEEFF" w:val="clear"/>
          </w:tcPr>
          <w:p>
            <w:pPr>
              <w:pStyle w:val="TableContents"/>
              <w:bidi w:val="0"/>
              <w:spacing w:before="0" w:after="0"/>
              <w:ind w:left="0" w:right="0" w:hanging="0"/>
              <w:jc w:val="right"/>
              <w:rPr>
                <w:b/>
              </w:rPr>
            </w:pPr>
            <w:r>
              <w:rPr>
                <w:b/>
              </w:rPr>
              <w:t>(401,572</w:t>
            </w:r>
          </w:p>
        </w:tc>
        <w:tc>
          <w:tcPr>
            <w:tcW w:w="185" w:type="dxa"/>
            <w:tcBorders/>
            <w:shd w:fill="CCEEFF" w:val="clear"/>
          </w:tcPr>
          <w:p>
            <w:pPr>
              <w:pStyle w:val="TableContents"/>
              <w:bidi w:val="0"/>
              <w:spacing w:before="0" w:after="0"/>
              <w:ind w:left="0" w:right="0" w:hanging="0"/>
              <w:jc w:val="left"/>
              <w:rPr>
                <w:b/>
              </w:rPr>
            </w:pPr>
            <w:r>
              <w:rPr>
                <w:b/>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370" w:type="dxa"/>
            <w:tcBorders/>
            <w:shd w:fill="CCEEFF" w:val="clear"/>
          </w:tcPr>
          <w:p>
            <w:pPr>
              <w:pStyle w:val="TableContents"/>
              <w:bidi w:val="0"/>
              <w:spacing w:before="0" w:after="0"/>
              <w:ind w:left="0" w:right="0" w:hanging="0"/>
              <w:jc w:val="right"/>
              <w:rPr>
                <w:b/>
              </w:rPr>
            </w:pPr>
            <w:r>
              <w:rPr>
                <w:b/>
              </w:rPr>
              <w:t>(104,793</w:t>
            </w:r>
          </w:p>
        </w:tc>
        <w:tc>
          <w:tcPr>
            <w:tcW w:w="230" w:type="dxa"/>
            <w:tcBorders/>
            <w:shd w:fill="CCEEFF" w:val="clear"/>
          </w:tcPr>
          <w:p>
            <w:pPr>
              <w:pStyle w:val="TableContents"/>
              <w:bidi w:val="0"/>
              <w:spacing w:before="0" w:after="0"/>
              <w:jc w:val="left"/>
              <w:rPr>
                <w:b/>
              </w:rPr>
            </w:pPr>
            <w:r>
              <w:rPr>
                <w:b/>
              </w:rPr>
              <w:t>) </w:t>
            </w:r>
          </w:p>
        </w:tc>
      </w:tr>
      <w:tr>
        <w:trPr/>
        <w:tc>
          <w:tcPr>
            <w:tcW w:w="1226" w:type="dxa"/>
            <w:tcBorders/>
          </w:tcPr>
          <w:p>
            <w:pPr>
              <w:pStyle w:val="TableContents"/>
              <w:bidi w:val="0"/>
              <w:spacing w:before="0" w:after="0"/>
              <w:ind w:left="144" w:right="0" w:hanging="144"/>
              <w:jc w:val="left"/>
              <w:rPr/>
            </w:pPr>
            <w:r>
              <w:rPr/>
              <w:t>Series A 12% convertible preferred stock dividend</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12,350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15</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right"/>
              <w:rPr/>
            </w:pPr>
            <w:r>
              <w:rPr/>
              <w:t>(15</w:t>
            </w:r>
          </w:p>
        </w:tc>
        <w:tc>
          <w:tcPr>
            <w:tcW w:w="185"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r>
      <w:tr>
        <w:trPr/>
        <w:tc>
          <w:tcPr>
            <w:tcW w:w="1226" w:type="dxa"/>
            <w:tcBorders/>
            <w:shd w:fill="CCEEFF" w:val="clear"/>
          </w:tcPr>
          <w:p>
            <w:pPr>
              <w:pStyle w:val="TableContents"/>
              <w:bidi w:val="0"/>
              <w:spacing w:before="0" w:after="0"/>
              <w:ind w:left="144" w:right="0" w:hanging="144"/>
              <w:jc w:val="left"/>
              <w:rPr/>
            </w:pPr>
            <w:r>
              <w:rPr/>
              <w:t>Series C super dividend redeemable convertible preferred stock dividend</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17,600</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22</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65" w:type="dxa"/>
            <w:tcBorders/>
            <w:shd w:fill="CCEEFF" w:val="clear"/>
          </w:tcPr>
          <w:p>
            <w:pPr>
              <w:pStyle w:val="TableContents"/>
              <w:bidi w:val="0"/>
              <w:spacing w:before="0" w:after="0"/>
              <w:ind w:left="0" w:right="0" w:hanging="0"/>
              <w:jc w:val="right"/>
              <w:rPr/>
            </w:pPr>
            <w:r>
              <w:rPr/>
              <w:t>(22</w:t>
            </w:r>
          </w:p>
        </w:tc>
        <w:tc>
          <w:tcPr>
            <w:tcW w:w="185"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left"/>
              <w:rPr/>
            </w:pPr>
            <w:r>
              <w:rPr/>
              <w:t> </w:t>
            </w:r>
          </w:p>
        </w:tc>
        <w:tc>
          <w:tcPr>
            <w:tcW w:w="230" w:type="dxa"/>
            <w:tcBorders/>
            <w:shd w:fill="CCEEFF" w:val="clear"/>
          </w:tcPr>
          <w:p>
            <w:pPr>
              <w:pStyle w:val="TableContents"/>
              <w:bidi w:val="0"/>
              <w:spacing w:before="0" w:after="283"/>
              <w:jc w:val="left"/>
              <w:rPr/>
            </w:pPr>
            <w:r>
              <w:rPr/>
              <w:t> </w:t>
            </w:r>
          </w:p>
        </w:tc>
      </w:tr>
      <w:tr>
        <w:trPr/>
        <w:tc>
          <w:tcPr>
            <w:tcW w:w="1226" w:type="dxa"/>
            <w:tcBorders/>
          </w:tcPr>
          <w:p>
            <w:pPr>
              <w:pStyle w:val="TableContents"/>
              <w:bidi w:val="0"/>
              <w:spacing w:before="0" w:after="0"/>
              <w:ind w:left="0" w:right="0" w:hanging="0"/>
              <w:jc w:val="left"/>
              <w:rPr/>
            </w:pPr>
            <w:r>
              <w:rPr/>
              <w:t>Conversion of Series A convertible preferred to common stock</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(25,000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90" w:type="dxa"/>
            <w:tcBorders/>
          </w:tcPr>
          <w:p>
            <w:pPr>
              <w:pStyle w:val="TableContents"/>
              <w:bidi w:val="0"/>
              <w:spacing w:before="0" w:after="0"/>
              <w:ind w:left="0" w:right="0" w:hanging="0"/>
              <w:jc w:val="right"/>
              <w:rPr/>
            </w:pPr>
            <w:r>
              <w:rPr/>
              <w:t>(10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4,167</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r>
      <w:tr>
        <w:trPr/>
        <w:tc>
          <w:tcPr>
            <w:tcW w:w="1226" w:type="dxa"/>
            <w:tcBorders/>
            <w:shd w:fill="CCEEFF" w:val="clear"/>
          </w:tcPr>
          <w:p>
            <w:pPr>
              <w:pStyle w:val="TableContents"/>
              <w:bidi w:val="0"/>
              <w:spacing w:before="0" w:after="0"/>
              <w:ind w:left="144" w:right="0" w:hanging="144"/>
              <w:jc w:val="left"/>
              <w:rPr/>
            </w:pPr>
            <w:r>
              <w:rPr/>
              <w:t>Common stock purchase warrants issued in connection with related party line of credit</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235</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235</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Exercise of common stock options</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346,606</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724</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724</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Issuance of common stock</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417,904</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1,218</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1,218</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Stock-based compensation expense</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104,400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90" w:type="dxa"/>
            <w:tcBorders/>
          </w:tcPr>
          <w:p>
            <w:pPr>
              <w:pStyle w:val="TableContents"/>
              <w:bidi w:val="0"/>
              <w:spacing w:before="0" w:after="0"/>
              <w:ind w:left="0" w:right="0" w:hanging="0"/>
              <w:jc w:val="right"/>
              <w:rPr/>
            </w:pPr>
            <w:r>
              <w:rPr/>
              <w:t>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877</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878</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Net loss</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65"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(17,152</w:t>
            </w:r>
          </w:p>
        </w:tc>
        <w:tc>
          <w:tcPr>
            <w:tcW w:w="185"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single" w:sz="12" w:space="0" w:color="000000"/>
            </w:tcBorders>
            <w:shd w:fill="CCEEFF" w:val="clear"/>
            <w:tcMar>
              <w:bottom w:w="28" w:type="dxa"/>
            </w:tcMar>
          </w:tcPr>
          <w:p>
            <w:pPr>
              <w:pStyle w:val="TableContents"/>
              <w:bidi w:val="0"/>
              <w:spacing w:before="0" w:after="0"/>
              <w:ind w:left="0" w:right="0" w:hanging="0"/>
              <w:jc w:val="left"/>
              <w:rPr/>
            </w:pPr>
            <w:r>
              <w:rPr/>
              <w:t> </w:t>
            </w:r>
          </w:p>
        </w:tc>
        <w:tc>
          <w:tcPr>
            <w:tcW w:w="1370" w:type="dxa"/>
            <w:tcBorders>
              <w:bottom w:val="single" w:sz="12" w:space="0" w:color="000000"/>
            </w:tcBorders>
            <w:shd w:fill="CCEEFF" w:val="clear"/>
            <w:tcMar>
              <w:bottom w:w="28" w:type="dxa"/>
            </w:tcMar>
          </w:tcPr>
          <w:p>
            <w:pPr>
              <w:pStyle w:val="TableContents"/>
              <w:bidi w:val="0"/>
              <w:spacing w:before="0" w:after="0"/>
              <w:ind w:left="0" w:right="0" w:hanging="0"/>
              <w:jc w:val="right"/>
              <w:rPr/>
            </w:pPr>
            <w:r>
              <w:rPr/>
              <w:t>(17,152</w:t>
            </w:r>
          </w:p>
        </w:tc>
        <w:tc>
          <w:tcPr>
            <w:tcW w:w="230" w:type="dxa"/>
            <w:tcBorders>
              <w:bottom w:val="single" w:sz="12" w:space="0" w:color="000000"/>
            </w:tcBorders>
            <w:shd w:fill="CCEEFF" w:val="clear"/>
            <w:tcMar>
              <w:bottom w:w="28" w:type="dxa"/>
            </w:tcMar>
          </w:tcPr>
          <w:p>
            <w:pPr>
              <w:pStyle w:val="TableContents"/>
              <w:bidi w:val="0"/>
              <w:spacing w:before="0" w:after="0"/>
              <w:jc w:val="left"/>
              <w:rPr/>
            </w:pPr>
            <w:r>
              <w:rPr/>
              <w:t>) </w:t>
            </w:r>
          </w:p>
        </w:tc>
      </w:tr>
      <w:tr>
        <w:trPr/>
        <w:tc>
          <w:tcPr>
            <w:tcW w:w="1226" w:type="dxa"/>
            <w:tcBorders/>
          </w:tcPr>
          <w:p>
            <w:pPr>
              <w:pStyle w:val="TableContents"/>
              <w:bidi w:val="0"/>
              <w:spacing w:before="0" w:after="0"/>
              <w:ind w:left="0" w:right="0" w:hanging="0"/>
              <w:jc w:val="left"/>
              <w:rPr>
                <w:b/>
              </w:rPr>
            </w:pPr>
            <w:r>
              <w:rPr>
                <w:b/>
              </w:rPr>
              <w:t>Balance at June 30, 2025</w:t>
            </w:r>
          </w:p>
        </w:tc>
        <w:tc>
          <w:tcPr>
            <w:tcW w:w="90" w:type="dxa"/>
            <w:tcBorders/>
          </w:tcPr>
          <w:p>
            <w:pPr>
              <w:pStyle w:val="TableContents"/>
              <w:bidi w:val="0"/>
              <w:spacing w:before="0" w:after="0"/>
              <w:ind w:left="0" w:right="0" w:hanging="0"/>
              <w:jc w:val="left"/>
              <w:rPr/>
            </w:pPr>
            <w:r>
              <w:rPr/>
              <w:t> </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010" w:type="dxa"/>
            <w:tcBorders>
              <w:bottom w:val="double" w:sz="8" w:space="0" w:color="000000"/>
            </w:tcBorders>
            <w:tcMar>
              <w:bottom w:w="28" w:type="dxa"/>
            </w:tcMar>
          </w:tcPr>
          <w:p>
            <w:pPr>
              <w:pStyle w:val="TableContents"/>
              <w:bidi w:val="0"/>
              <w:spacing w:before="0" w:after="0"/>
              <w:ind w:left="0" w:right="0" w:hanging="0"/>
              <w:jc w:val="right"/>
              <w:rPr>
                <w:b/>
              </w:rPr>
            </w:pPr>
            <w:r>
              <w:rPr>
                <w:b/>
              </w:rPr>
              <w:t>1,210,000</w:t>
            </w:r>
          </w:p>
        </w:tc>
        <w:tc>
          <w:tcPr>
            <w:tcW w:w="185"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tcMar>
              <w:bottom w:w="28" w:type="dxa"/>
            </w:tcMar>
          </w:tcPr>
          <w:p>
            <w:pPr>
              <w:pStyle w:val="TableContents"/>
              <w:bidi w:val="0"/>
              <w:spacing w:before="0" w:after="0"/>
              <w:ind w:left="0" w:right="0" w:hanging="0"/>
              <w:jc w:val="right"/>
              <w:rPr>
                <w:b/>
              </w:rPr>
            </w:pPr>
            <w:r>
              <w:rPr>
                <w:b/>
              </w:rPr>
              <w:t>490</w:t>
            </w:r>
          </w:p>
        </w:tc>
        <w:tc>
          <w:tcPr>
            <w:tcW w:w="185"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1130" w:type="dxa"/>
            <w:tcBorders>
              <w:bottom w:val="double" w:sz="8" w:space="0" w:color="000000"/>
            </w:tcBorders>
            <w:tcMar>
              <w:bottom w:w="28" w:type="dxa"/>
            </w:tcMar>
          </w:tcPr>
          <w:p>
            <w:pPr>
              <w:pStyle w:val="TableContents"/>
              <w:bidi w:val="0"/>
              <w:spacing w:before="0" w:after="0"/>
              <w:ind w:left="0" w:right="0" w:hanging="0"/>
              <w:jc w:val="right"/>
              <w:rPr>
                <w:b/>
              </w:rPr>
            </w:pPr>
            <w:r>
              <w:rPr>
                <w:b/>
              </w:rPr>
              <w:t>64,060,262</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tcMar>
              <w:bottom w:w="28" w:type="dxa"/>
            </w:tcMar>
          </w:tcPr>
          <w:p>
            <w:pPr>
              <w:pStyle w:val="TableContents"/>
              <w:bidi w:val="0"/>
              <w:spacing w:before="0" w:after="0"/>
              <w:ind w:left="0" w:right="0" w:hanging="0"/>
              <w:jc w:val="right"/>
              <w:rPr>
                <w:b/>
              </w:rPr>
            </w:pPr>
            <w:r>
              <w:rPr>
                <w:b/>
              </w:rPr>
              <w:t>63</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130" w:type="dxa"/>
            <w:tcBorders>
              <w:bottom w:val="double" w:sz="8" w:space="0" w:color="000000"/>
            </w:tcBorders>
            <w:tcMar>
              <w:bottom w:w="28" w:type="dxa"/>
            </w:tcMar>
          </w:tcPr>
          <w:p>
            <w:pPr>
              <w:pStyle w:val="TableContents"/>
              <w:bidi w:val="0"/>
              <w:spacing w:before="0" w:after="0"/>
              <w:ind w:left="0" w:right="0" w:hanging="0"/>
              <w:jc w:val="right"/>
              <w:rPr>
                <w:b/>
              </w:rPr>
            </w:pPr>
            <w:r>
              <w:rPr>
                <w:b/>
              </w:rPr>
              <w:t>299,318</w:t>
            </w:r>
          </w:p>
        </w:tc>
        <w:tc>
          <w:tcPr>
            <w:tcW w:w="90" w:type="dxa"/>
            <w:tcBorders>
              <w:bottom w:val="double" w:sz="8"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965" w:type="dxa"/>
            <w:tcBorders>
              <w:bottom w:val="double" w:sz="8" w:space="0" w:color="000000"/>
            </w:tcBorders>
            <w:tcMar>
              <w:bottom w:w="28" w:type="dxa"/>
            </w:tcMar>
          </w:tcPr>
          <w:p>
            <w:pPr>
              <w:pStyle w:val="TableContents"/>
              <w:bidi w:val="0"/>
              <w:spacing w:before="0" w:after="0"/>
              <w:ind w:left="0" w:right="0" w:hanging="0"/>
              <w:jc w:val="right"/>
              <w:rPr>
                <w:b/>
              </w:rPr>
            </w:pPr>
            <w:r>
              <w:rPr>
                <w:b/>
              </w:rPr>
              <w:t>(418,761</w:t>
            </w:r>
          </w:p>
        </w:tc>
        <w:tc>
          <w:tcPr>
            <w:tcW w:w="185" w:type="dxa"/>
            <w:tcBorders>
              <w:bottom w:val="double" w:sz="8" w:space="0" w:color="000000"/>
            </w:tcBorders>
            <w:tcMar>
              <w:bottom w:w="28" w:type="dxa"/>
            </w:tcMar>
          </w:tcPr>
          <w:p>
            <w:pPr>
              <w:pStyle w:val="TableContents"/>
              <w:bidi w:val="0"/>
              <w:spacing w:before="0" w:after="0"/>
              <w:ind w:left="0" w:right="0" w:hanging="0"/>
              <w:jc w:val="left"/>
              <w:rPr>
                <w:b/>
              </w:rPr>
            </w:pPr>
            <w:r>
              <w:rPr>
                <w:b/>
              </w:rPr>
              <w:t>) </w:t>
            </w:r>
          </w:p>
        </w:tc>
        <w:tc>
          <w:tcPr>
            <w:tcW w:w="90" w:type="dxa"/>
            <w:tcBorders/>
          </w:tcPr>
          <w:p>
            <w:pPr>
              <w:pStyle w:val="TableContents"/>
              <w:bidi w:val="0"/>
              <w:spacing w:before="0" w:after="0"/>
              <w:ind w:left="0" w:right="0" w:hanging="0"/>
              <w:jc w:val="left"/>
              <w:rPr/>
            </w:pPr>
            <w:r>
              <w:rPr/>
              <w:t> </w:t>
            </w:r>
          </w:p>
        </w:tc>
        <w:tc>
          <w:tcPr>
            <w:tcW w:w="170" w:type="dxa"/>
            <w:tcBorders>
              <w:bottom w:val="double" w:sz="8" w:space="0" w:color="000000"/>
            </w:tcBorders>
            <w:tcMar>
              <w:bottom w:w="28" w:type="dxa"/>
            </w:tcMar>
          </w:tcPr>
          <w:p>
            <w:pPr>
              <w:pStyle w:val="TableContents"/>
              <w:bidi w:val="0"/>
              <w:spacing w:before="0" w:after="0"/>
              <w:ind w:left="0" w:right="0" w:hanging="0"/>
              <w:jc w:val="left"/>
              <w:rPr>
                <w:b/>
              </w:rPr>
            </w:pPr>
            <w:r>
              <w:rPr>
                <w:b/>
              </w:rPr>
              <w:t>$</w:t>
            </w:r>
          </w:p>
        </w:tc>
        <w:tc>
          <w:tcPr>
            <w:tcW w:w="1370" w:type="dxa"/>
            <w:tcBorders>
              <w:bottom w:val="double" w:sz="8" w:space="0" w:color="000000"/>
            </w:tcBorders>
            <w:tcMar>
              <w:bottom w:w="28" w:type="dxa"/>
            </w:tcMar>
          </w:tcPr>
          <w:p>
            <w:pPr>
              <w:pStyle w:val="TableContents"/>
              <w:bidi w:val="0"/>
              <w:spacing w:before="0" w:after="0"/>
              <w:ind w:left="0" w:right="0" w:hanging="0"/>
              <w:jc w:val="right"/>
              <w:rPr>
                <w:b/>
              </w:rPr>
            </w:pPr>
            <w:r>
              <w:rPr>
                <w:b/>
              </w:rPr>
              <w:t>(118,890</w:t>
            </w:r>
          </w:p>
        </w:tc>
        <w:tc>
          <w:tcPr>
            <w:tcW w:w="230" w:type="dxa"/>
            <w:tcBorders>
              <w:bottom w:val="double" w:sz="8" w:space="0" w:color="000000"/>
            </w:tcBorders>
            <w:tcMar>
              <w:bottom w:w="28" w:type="dxa"/>
            </w:tcMar>
          </w:tcPr>
          <w:p>
            <w:pPr>
              <w:pStyle w:val="TableContents"/>
              <w:bidi w:val="0"/>
              <w:spacing w:before="0" w:after="0"/>
              <w:jc w:val="left"/>
              <w:rPr>
                <w:b/>
              </w:rPr>
            </w:pPr>
            <w:r>
              <w:rPr>
                <w:b/>
              </w:rPr>
              <w:t>) </w:t>
            </w:r>
          </w:p>
        </w:tc>
      </w:tr>
      <w:tr>
        <w:trPr/>
        <w:tc>
          <w:tcPr>
            <w:tcW w:w="1226" w:type="dxa"/>
            <w:tcBorders/>
            <w:shd w:fill="CCEEFF" w:val="clear"/>
          </w:tcPr>
          <w:p>
            <w:pPr>
              <w:pStyle w:val="TableContents"/>
              <w:bidi w:val="0"/>
              <w:spacing w:before="0" w:after="0"/>
              <w:ind w:left="0" w:right="0" w:hanging="0"/>
              <w:jc w:val="left"/>
              <w:rPr>
                <w:b/>
              </w:rPr>
            </w:pPr>
            <w:r>
              <w:rPr>
                <w:b/>
              </w:rPr>
              <w:t>Balance at December 31, 2025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010" w:type="dxa"/>
            <w:tcBorders/>
            <w:shd w:fill="CCEEFF" w:val="clear"/>
          </w:tcPr>
          <w:p>
            <w:pPr>
              <w:pStyle w:val="TableContents"/>
              <w:bidi w:val="0"/>
              <w:spacing w:before="0" w:after="0"/>
              <w:ind w:left="0" w:right="0" w:hanging="0"/>
              <w:jc w:val="right"/>
              <w:rPr>
                <w:b/>
              </w:rPr>
            </w:pPr>
            <w:r>
              <w:rPr>
                <w:b/>
              </w:rPr>
              <w:t>1,210,000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490</w:t>
            </w:r>
          </w:p>
        </w:tc>
        <w:tc>
          <w:tcPr>
            <w:tcW w:w="185"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b/>
              </w:rPr>
            </w:pPr>
            <w:r>
              <w:rPr>
                <w:b/>
              </w:rPr>
              <w:t>65,201,995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890" w:type="dxa"/>
            <w:tcBorders/>
            <w:shd w:fill="CCEEFF" w:val="clear"/>
          </w:tcPr>
          <w:p>
            <w:pPr>
              <w:pStyle w:val="TableContents"/>
              <w:bidi w:val="0"/>
              <w:spacing w:before="0" w:after="0"/>
              <w:ind w:left="0" w:right="0" w:hanging="0"/>
              <w:jc w:val="right"/>
              <w:rPr>
                <w:b/>
              </w:rPr>
            </w:pPr>
            <w:r>
              <w:rPr>
                <w:b/>
              </w:rPr>
              <w:t>65</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130" w:type="dxa"/>
            <w:tcBorders/>
            <w:shd w:fill="CCEEFF" w:val="clear"/>
          </w:tcPr>
          <w:p>
            <w:pPr>
              <w:pStyle w:val="TableContents"/>
              <w:bidi w:val="0"/>
              <w:spacing w:before="0" w:after="0"/>
              <w:ind w:left="0" w:right="0" w:hanging="0"/>
              <w:jc w:val="right"/>
              <w:rPr>
                <w:b/>
              </w:rPr>
            </w:pPr>
            <w:r>
              <w:rPr>
                <w:b/>
              </w:rPr>
              <w:t>304,073</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965" w:type="dxa"/>
            <w:tcBorders/>
            <w:shd w:fill="CCEEFF" w:val="clear"/>
          </w:tcPr>
          <w:p>
            <w:pPr>
              <w:pStyle w:val="TableContents"/>
              <w:bidi w:val="0"/>
              <w:spacing w:before="0" w:after="0"/>
              <w:ind w:left="0" w:right="0" w:hanging="0"/>
              <w:jc w:val="right"/>
              <w:rPr>
                <w:b/>
              </w:rPr>
            </w:pPr>
            <w:r>
              <w:rPr>
                <w:b/>
              </w:rPr>
              <w:t>(432,546</w:t>
            </w:r>
          </w:p>
        </w:tc>
        <w:tc>
          <w:tcPr>
            <w:tcW w:w="185" w:type="dxa"/>
            <w:tcBorders/>
            <w:shd w:fill="CCEEFF" w:val="clear"/>
          </w:tcPr>
          <w:p>
            <w:pPr>
              <w:pStyle w:val="TableContents"/>
              <w:bidi w:val="0"/>
              <w:spacing w:before="0" w:after="0"/>
              <w:ind w:left="0" w:right="0" w:hanging="0"/>
              <w:jc w:val="left"/>
              <w:rPr>
                <w:b/>
              </w:rPr>
            </w:pPr>
            <w:r>
              <w:rPr>
                <w:b/>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b/>
              </w:rPr>
            </w:pPr>
            <w:r>
              <w:rPr>
                <w:b/>
              </w:rPr>
              <w:t>$</w:t>
            </w:r>
          </w:p>
        </w:tc>
        <w:tc>
          <w:tcPr>
            <w:tcW w:w="1370" w:type="dxa"/>
            <w:tcBorders/>
            <w:shd w:fill="CCEEFF" w:val="clear"/>
          </w:tcPr>
          <w:p>
            <w:pPr>
              <w:pStyle w:val="TableContents"/>
              <w:bidi w:val="0"/>
              <w:spacing w:before="0" w:after="0"/>
              <w:ind w:left="0" w:right="0" w:hanging="0"/>
              <w:jc w:val="right"/>
              <w:rPr>
                <w:b/>
              </w:rPr>
            </w:pPr>
            <w:r>
              <w:rPr>
                <w:b/>
              </w:rPr>
              <w:t>(127,918</w:t>
            </w:r>
          </w:p>
        </w:tc>
        <w:tc>
          <w:tcPr>
            <w:tcW w:w="230" w:type="dxa"/>
            <w:tcBorders/>
            <w:shd w:fill="CCEEFF" w:val="clear"/>
          </w:tcPr>
          <w:p>
            <w:pPr>
              <w:pStyle w:val="TableContents"/>
              <w:bidi w:val="0"/>
              <w:spacing w:before="0" w:after="0"/>
              <w:jc w:val="left"/>
              <w:rPr>
                <w:b/>
              </w:rPr>
            </w:pPr>
            <w:r>
              <w:rPr>
                <w:b/>
              </w:rPr>
              <w:t>) </w:t>
            </w:r>
          </w:p>
        </w:tc>
      </w:tr>
      <w:tr>
        <w:trPr/>
        <w:tc>
          <w:tcPr>
            <w:tcW w:w="1226" w:type="dxa"/>
            <w:tcBorders/>
          </w:tcPr>
          <w:p>
            <w:pPr>
              <w:pStyle w:val="TableContents"/>
              <w:bidi w:val="0"/>
              <w:spacing w:before="0" w:after="0"/>
              <w:ind w:left="144" w:right="0" w:hanging="144"/>
              <w:jc w:val="left"/>
              <w:rPr/>
            </w:pPr>
            <w:r>
              <w:rPr/>
              <w:t>Series A 12% convertible preferred stock dividend</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11,850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33</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965" w:type="dxa"/>
            <w:tcBorders/>
          </w:tcPr>
          <w:p>
            <w:pPr>
              <w:pStyle w:val="TableContents"/>
              <w:bidi w:val="0"/>
              <w:spacing w:before="0" w:after="0"/>
              <w:ind w:left="0" w:right="0" w:hanging="0"/>
              <w:jc w:val="right"/>
              <w:rPr/>
            </w:pPr>
            <w:r>
              <w:rPr/>
              <w:t>(34</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(1</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Series C super dividend redeemable convertible preferred stock dividend</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17,600</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49</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965" w:type="dxa"/>
            <w:tcBorders/>
            <w:shd w:fill="CCEEFF" w:val="clear"/>
          </w:tcPr>
          <w:p>
            <w:pPr>
              <w:pStyle w:val="TableContents"/>
              <w:bidi w:val="0"/>
              <w:spacing w:before="0" w:after="0"/>
              <w:ind w:left="0" w:right="0" w:hanging="0"/>
              <w:jc w:val="right"/>
              <w:rPr/>
            </w:pPr>
            <w:r>
              <w:rPr/>
              <w:t>(49</w:t>
            </w:r>
          </w:p>
        </w:tc>
        <w:tc>
          <w:tcPr>
            <w:tcW w:w="185"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left"/>
              <w:rPr/>
            </w:pPr>
            <w:r>
              <w:rPr/>
              <w:t> </w:t>
            </w:r>
          </w:p>
        </w:tc>
        <w:tc>
          <w:tcPr>
            <w:tcW w:w="230" w:type="dxa"/>
            <w:tcBorders/>
            <w:shd w:fill="CCEEFF" w:val="clear"/>
          </w:tcPr>
          <w:p>
            <w:pPr>
              <w:pStyle w:val="TableContents"/>
              <w:bidi w:val="0"/>
              <w:spacing w:before="0" w:after="283"/>
              <w:jc w:val="left"/>
              <w:rPr/>
            </w:pPr>
            <w:r>
              <w:rPr/>
              <w:t> </w:t>
            </w:r>
          </w:p>
        </w:tc>
      </w:tr>
      <w:tr>
        <w:trPr/>
        <w:tc>
          <w:tcPr>
            <w:tcW w:w="1226" w:type="dxa"/>
            <w:tcBorders/>
          </w:tcPr>
          <w:p>
            <w:pPr>
              <w:pStyle w:val="TableContents"/>
              <w:bidi w:val="0"/>
              <w:spacing w:before="0" w:after="0"/>
              <w:ind w:left="0" w:right="0" w:hanging="0"/>
              <w:jc w:val="left"/>
              <w:rPr/>
            </w:pPr>
            <w:r>
              <w:rPr/>
              <w:t>Conversion of Series A convertible preferred to common stock</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010" w:type="dxa"/>
            <w:tcBorders/>
          </w:tcPr>
          <w:p>
            <w:pPr>
              <w:pStyle w:val="TableContents"/>
              <w:bidi w:val="0"/>
              <w:spacing w:before="0" w:after="0"/>
              <w:ind w:left="0" w:right="0" w:hanging="0"/>
              <w:jc w:val="right"/>
              <w:rPr/>
            </w:pPr>
            <w:r>
              <w:rPr/>
              <w:t>(25,000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90" w:type="dxa"/>
            <w:tcBorders/>
          </w:tcPr>
          <w:p>
            <w:pPr>
              <w:pStyle w:val="TableContents"/>
              <w:bidi w:val="0"/>
              <w:spacing w:before="0" w:after="0"/>
              <w:ind w:left="0" w:right="0" w:hanging="0"/>
              <w:jc w:val="right"/>
              <w:rPr/>
            </w:pPr>
            <w:r>
              <w:rPr/>
              <w:t>(10</w:t>
            </w:r>
          </w:p>
        </w:tc>
        <w:tc>
          <w:tcPr>
            <w:tcW w:w="185"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4,368</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10</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r>
      <w:tr>
        <w:trPr/>
        <w:tc>
          <w:tcPr>
            <w:tcW w:w="1226" w:type="dxa"/>
            <w:tcBorders/>
            <w:shd w:fill="CCEEFF" w:val="clear"/>
          </w:tcPr>
          <w:p>
            <w:pPr>
              <w:pStyle w:val="TableContents"/>
              <w:bidi w:val="0"/>
              <w:spacing w:before="0" w:after="0"/>
              <w:ind w:left="144" w:right="0" w:hanging="144"/>
              <w:jc w:val="left"/>
              <w:rPr/>
            </w:pPr>
            <w:r>
              <w:rPr/>
              <w:t>Exercise of common stock options</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347,245</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560</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560</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Issuance of common stock</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281,100</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890" w:type="dxa"/>
            <w:tcBorders/>
          </w:tcPr>
          <w:p>
            <w:pPr>
              <w:pStyle w:val="TableContents"/>
              <w:bidi w:val="0"/>
              <w:spacing w:before="0" w:after="0"/>
              <w:ind w:left="0" w:right="0" w:hanging="0"/>
              <w:jc w:val="right"/>
              <w:rPr/>
            </w:pPr>
            <w:r>
              <w:rPr/>
              <w:t>1</w:t>
            </w:r>
          </w:p>
        </w:tc>
        <w:tc>
          <w:tcPr>
            <w:tcW w:w="90" w:type="dxa"/>
            <w:tcBorders/>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130" w:type="dxa"/>
            <w:tcBorders/>
          </w:tcPr>
          <w:p>
            <w:pPr>
              <w:pStyle w:val="TableContents"/>
              <w:bidi w:val="0"/>
              <w:spacing w:before="0" w:after="0"/>
              <w:ind w:left="0" w:right="0" w:hanging="0"/>
              <w:jc w:val="right"/>
              <w:rPr/>
            </w:pPr>
            <w:r>
              <w:rPr/>
              <w:t>1,293</w:t>
            </w:r>
          </w:p>
        </w:tc>
        <w:tc>
          <w:tcPr>
            <w:tcW w:w="90" w:type="dxa"/>
            <w:tcBorders/>
          </w:tcPr>
          <w:p>
            <w:pPr>
              <w:pStyle w:val="TableContents"/>
              <w:bidi w:val="0"/>
              <w:spacing w:before="0" w:after="0"/>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965" w:type="dxa"/>
            <w:tcBorders/>
          </w:tcPr>
          <w:p>
            <w:pPr>
              <w:pStyle w:val="TableContents"/>
              <w:bidi w:val="0"/>
              <w:spacing w:before="0" w:after="283"/>
              <w:jc w:val="left"/>
              <w:rPr/>
            </w:pPr>
            <w:r>
              <w:rPr/>
              <w:t> </w:t>
            </w:r>
          </w:p>
        </w:tc>
        <w:tc>
          <w:tcPr>
            <w:tcW w:w="185"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tcPr>
          <w:p>
            <w:pPr>
              <w:pStyle w:val="TableContents"/>
              <w:bidi w:val="0"/>
              <w:spacing w:before="0" w:after="0"/>
              <w:ind w:left="0" w:right="0" w:hanging="0"/>
              <w:jc w:val="left"/>
              <w:rPr/>
            </w:pPr>
            <w:r>
              <w:rPr/>
              <w:t> </w:t>
            </w:r>
          </w:p>
        </w:tc>
        <w:tc>
          <w:tcPr>
            <w:tcW w:w="1370" w:type="dxa"/>
            <w:tcBorders/>
          </w:tcPr>
          <w:p>
            <w:pPr>
              <w:pStyle w:val="TableContents"/>
              <w:bidi w:val="0"/>
              <w:spacing w:before="0" w:after="0"/>
              <w:ind w:left="0" w:right="0" w:hanging="0"/>
              <w:jc w:val="right"/>
              <w:rPr/>
            </w:pPr>
            <w:r>
              <w:rPr/>
              <w:t>1,294</w:t>
            </w:r>
          </w:p>
        </w:tc>
        <w:tc>
          <w:tcPr>
            <w:tcW w:w="230" w:type="dxa"/>
            <w:tcBorders/>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0"/>
              <w:ind w:left="144" w:right="0" w:hanging="144"/>
              <w:jc w:val="left"/>
              <w:rPr/>
            </w:pPr>
            <w:r>
              <w:rPr/>
              <w:t>Stock-based compensation expense, net of shares forfeited to cover tax withholding</w:t>
            </w:r>
          </w:p>
        </w:tc>
        <w:tc>
          <w:tcPr>
            <w:tcW w:w="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01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447,752</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890" w:type="dxa"/>
            <w:tcBorders/>
            <w:shd w:fill="CCEEFF" w:val="clear"/>
          </w:tcPr>
          <w:p>
            <w:pPr>
              <w:pStyle w:val="TableContents"/>
              <w:bidi w:val="0"/>
              <w:spacing w:before="0" w:after="283"/>
              <w:jc w:val="left"/>
              <w:rPr/>
            </w:pPr>
            <w:r>
              <w:rPr/>
              <w:t> </w:t>
            </w:r>
          </w:p>
        </w:tc>
        <w:tc>
          <w:tcPr>
            <w:tcW w:w="90"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130" w:type="dxa"/>
            <w:tcBorders/>
            <w:shd w:fill="CCEEFF" w:val="clear"/>
          </w:tcPr>
          <w:p>
            <w:pPr>
              <w:pStyle w:val="TableContents"/>
              <w:bidi w:val="0"/>
              <w:spacing w:before="0" w:after="0"/>
              <w:ind w:left="0" w:right="0" w:hanging="0"/>
              <w:jc w:val="right"/>
              <w:rPr/>
            </w:pPr>
            <w:r>
              <w:rPr/>
              <w:t>1,649</w:t>
            </w:r>
          </w:p>
        </w:tc>
        <w:tc>
          <w:tcPr>
            <w:tcW w:w="90" w:type="dxa"/>
            <w:tcBorders/>
            <w:shd w:fill="CCEEFF" w:val="clear"/>
          </w:tcPr>
          <w:p>
            <w:pPr>
              <w:pStyle w:val="TableContents"/>
              <w:bidi w:val="0"/>
              <w:spacing w:before="0" w:after="0"/>
              <w:jc w:val="left"/>
              <w:rPr/>
            </w:pPr>
            <w:r>
              <w:rPr/>
              <w:t> </w:t>
            </w:r>
          </w:p>
        </w:tc>
        <w:tc>
          <w:tcPr>
            <w:tcW w:w="90" w:type="dxa"/>
            <w:tcBorders/>
            <w:shd w:fill="CCEEFF" w:val="clear"/>
          </w:tcPr>
          <w:p>
            <w:pPr>
              <w:pStyle w:val="TableContents"/>
              <w:bidi w:val="0"/>
              <w:spacing w:before="0" w:after="283"/>
              <w:jc w:val="left"/>
              <w:rPr/>
            </w:pPr>
            <w:r>
              <w:rPr/>
              <w:t> </w:t>
            </w:r>
          </w:p>
        </w:tc>
        <w:tc>
          <w:tcPr>
            <w:tcW w:w="170" w:type="dxa"/>
            <w:tcBorders/>
            <w:shd w:fill="CCEEFF" w:val="clear"/>
          </w:tcPr>
          <w:p>
            <w:pPr>
              <w:pStyle w:val="TableContents"/>
              <w:bidi w:val="0"/>
              <w:spacing w:before="0" w:after="283"/>
              <w:jc w:val="left"/>
              <w:rPr/>
            </w:pPr>
            <w:r>
              <w:rPr/>
              <w:t> </w:t>
            </w:r>
          </w:p>
        </w:tc>
        <w:tc>
          <w:tcPr>
            <w:tcW w:w="965" w:type="dxa"/>
            <w:tcBorders/>
            <w:shd w:fill="CCEEFF" w:val="clear"/>
          </w:tcPr>
          <w:p>
            <w:pPr>
              <w:pStyle w:val="TableContents"/>
              <w:bidi w:val="0"/>
              <w:spacing w:before="0" w:after="283"/>
              <w:jc w:val="left"/>
              <w:rPr/>
            </w:pPr>
            <w:r>
              <w:rPr/>
              <w:t> </w:t>
            </w:r>
          </w:p>
        </w:tc>
        <w:tc>
          <w:tcPr>
            <w:tcW w:w="185" w:type="dxa"/>
            <w:tcBorders/>
            <w:shd w:fill="CCEEFF" w:val="cle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shd w:fill="CCEEFF" w:val="clear"/>
          </w:tcPr>
          <w:p>
            <w:pPr>
              <w:pStyle w:val="TableContents"/>
              <w:bidi w:val="0"/>
              <w:spacing w:before="0" w:after="0"/>
              <w:ind w:left="0" w:right="0" w:hanging="0"/>
              <w:jc w:val="left"/>
              <w:rPr/>
            </w:pPr>
            <w:r>
              <w:rPr/>
              <w:t> </w:t>
            </w:r>
          </w:p>
        </w:tc>
        <w:tc>
          <w:tcPr>
            <w:tcW w:w="1370" w:type="dxa"/>
            <w:tcBorders/>
            <w:shd w:fill="CCEEFF" w:val="clear"/>
          </w:tcPr>
          <w:p>
            <w:pPr>
              <w:pStyle w:val="TableContents"/>
              <w:bidi w:val="0"/>
              <w:spacing w:before="0" w:after="0"/>
              <w:ind w:left="0" w:right="0" w:hanging="0"/>
              <w:jc w:val="right"/>
              <w:rPr/>
            </w:pPr>
            <w:r>
              <w:rPr/>
              <w:t>1,649</w:t>
            </w:r>
          </w:p>
        </w:tc>
        <w:tc>
          <w:tcPr>
            <w:tcW w:w="230" w:type="dxa"/>
            <w:tcBorders/>
            <w:shd w:fill="CCEEFF" w:val="clear"/>
          </w:tcPr>
          <w:p>
            <w:pPr>
              <w:pStyle w:val="TableContents"/>
              <w:bidi w:val="0"/>
              <w:spacing w:before="0" w:after="0"/>
              <w:jc w:val="left"/>
              <w:rPr/>
            </w:pPr>
            <w:r>
              <w:rPr/>
              <w:t> </w:t>
            </w:r>
          </w:p>
        </w:tc>
      </w:tr>
      <w:tr>
        <w:trPr/>
        <w:tc>
          <w:tcPr>
            <w:tcW w:w="1226" w:type="dxa"/>
            <w:tcBorders/>
          </w:tcPr>
          <w:p>
            <w:pPr>
              <w:pStyle w:val="TableContents"/>
              <w:bidi w:val="0"/>
              <w:spacing w:before="0" w:after="0"/>
              <w:ind w:left="144" w:right="0" w:hanging="144"/>
              <w:jc w:val="left"/>
              <w:rPr/>
            </w:pPr>
            <w:r>
              <w:rPr/>
              <w:t>Net loss</w:t>
            </w:r>
          </w:p>
        </w:tc>
        <w:tc>
          <w:tcPr>
            <w:tcW w:w="90" w:type="dxa"/>
            <w:tcBorders/>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010" w:type="dxa"/>
            <w:tcBorders>
              <w:bottom w:val="single" w:sz="12" w:space="0" w:color="000000"/>
            </w:tcBorders>
            <w:tcMar>
              <w:bottom w:w="28" w:type="dxa"/>
            </w:tcMar>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890" w:type="dxa"/>
            <w:tcBorders>
              <w:bottom w:val="single" w:sz="12" w:space="0" w:color="000000"/>
            </w:tcBorders>
            <w:tcMar>
              <w:bottom w:w="28" w:type="dxa"/>
            </w:tcMar>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89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bottom w:val="single" w:sz="12" w:space="0" w:color="000000"/>
            </w:tcBorders>
            <w:tcMar>
              <w:bottom w:w="28" w:type="dxa"/>
            </w:tcMar>
          </w:tcPr>
          <w:p>
            <w:pPr>
              <w:pStyle w:val="TableContents"/>
              <w:bidi w:val="0"/>
              <w:spacing w:before="0" w:after="283"/>
              <w:jc w:val="left"/>
              <w:rPr/>
            </w:pPr>
            <w:r>
              <w:rPr/>
              <w:t> </w:t>
            </w:r>
          </w:p>
        </w:tc>
        <w:tc>
          <w:tcPr>
            <w:tcW w:w="1130" w:type="dxa"/>
            <w:tcBorders>
              <w:bottom w:val="single" w:sz="12" w:space="0" w:color="000000"/>
            </w:tcBorders>
            <w:tcMar>
              <w:bottom w:w="28" w:type="dxa"/>
            </w:tcMar>
          </w:tcPr>
          <w:p>
            <w:pPr>
              <w:pStyle w:val="TableContents"/>
              <w:bidi w:val="0"/>
              <w:spacing w:before="0" w:after="283"/>
              <w:jc w:val="left"/>
              <w:rPr/>
            </w:pPr>
            <w:r>
              <w:rPr/>
              <w:t> </w:t>
            </w:r>
          </w:p>
        </w:tc>
        <w:tc>
          <w:tcPr>
            <w:tcW w:w="90" w:type="dxa"/>
            <w:tcBorders/>
          </w:tcPr>
          <w:p>
            <w:pPr>
              <w:pStyle w:val="TableContents"/>
              <w:bidi w:val="0"/>
              <w:spacing w:before="0" w:after="283"/>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65" w:type="dxa"/>
            <w:tcBorders>
              <w:bottom w:val="single" w:sz="12" w:space="0" w:color="000000"/>
            </w:tcBorders>
            <w:tcMar>
              <w:bottom w:w="28" w:type="dxa"/>
            </w:tcMar>
          </w:tcPr>
          <w:p>
            <w:pPr>
              <w:pStyle w:val="TableContents"/>
              <w:bidi w:val="0"/>
              <w:spacing w:before="0" w:after="0"/>
              <w:ind w:left="0" w:right="0" w:hanging="0"/>
              <w:jc w:val="right"/>
              <w:rPr/>
            </w:pPr>
            <w:r>
              <w:rPr/>
              <w:t>(14,159</w:t>
            </w:r>
          </w:p>
        </w:tc>
        <w:tc>
          <w:tcPr>
            <w:tcW w:w="185"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90" w:type="dxa"/>
            <w:tcBorders/>
          </w:tcPr>
          <w:p>
            <w:pPr>
              <w:pStyle w:val="TableContents"/>
              <w:bidi w:val="0"/>
              <w:spacing w:before="0" w:after="0"/>
              <w:ind w:left="0" w:right="0" w:hanging="0"/>
              <w:jc w:val="left"/>
              <w:rPr/>
            </w:pPr>
            <w:r>
              <w:rPr/>
              <w:t> </w:t>
            </w:r>
          </w:p>
        </w:tc>
        <w:tc>
          <w:tcPr>
            <w:tcW w:w="170" w:type="dxa"/>
            <w:tcBorders>
              <w:bottom w:val="single" w:sz="12" w:space="0" w:color="000000"/>
            </w:tcBorders>
            <w:tcMar>
              <w:bottom w:w="28" w:type="dxa"/>
            </w:tcMar>
          </w:tcPr>
          <w:p>
            <w:pPr>
              <w:pStyle w:val="TableContents"/>
              <w:bidi w:val="0"/>
              <w:spacing w:before="0" w:after="0"/>
              <w:ind w:left="0" w:right="0" w:hanging="0"/>
              <w:jc w:val="left"/>
              <w:rPr/>
            </w:pPr>
            <w:r>
              <w:rPr/>
              <w:t> </w:t>
            </w:r>
          </w:p>
        </w:tc>
        <w:tc>
          <w:tcPr>
            <w:tcW w:w="1370" w:type="dxa"/>
            <w:tcBorders>
              <w:bottom w:val="single" w:sz="12" w:space="0" w:color="000000"/>
            </w:tcBorders>
            <w:tcMar>
              <w:bottom w:w="28" w:type="dxa"/>
            </w:tcMar>
          </w:tcPr>
          <w:p>
            <w:pPr>
              <w:pStyle w:val="TableContents"/>
              <w:bidi w:val="0"/>
              <w:spacing w:before="0" w:after="0"/>
              <w:ind w:left="0" w:right="0" w:hanging="0"/>
              <w:jc w:val="right"/>
              <w:rPr/>
            </w:pPr>
            <w:r>
              <w:rPr/>
              <w:t>(14,159</w:t>
            </w:r>
          </w:p>
        </w:tc>
        <w:tc>
          <w:tcPr>
            <w:tcW w:w="230" w:type="dxa"/>
            <w:tcBorders>
              <w:bottom w:val="single" w:sz="12" w:space="0" w:color="000000"/>
            </w:tcBorders>
            <w:tcMar>
              <w:bottom w:w="28" w:type="dxa"/>
            </w:tcMar>
          </w:tcPr>
          <w:p>
            <w:pPr>
              <w:pStyle w:val="TableContents"/>
              <w:bidi w:val="0"/>
              <w:spacing w:before="0" w:after="0"/>
              <w:jc w:val="left"/>
              <w:rPr/>
            </w:pPr>
            <w:r>
              <w:rPr/>
              <w:t>) </w:t>
            </w:r>
          </w:p>
        </w:tc>
      </w:tr>
      <w:tr>
        <w:trPr/>
        <w:tc>
          <w:tcPr>
            <w:tcW w:w="1226" w:type="dxa"/>
            <w:tcBorders/>
            <w:shd w:fill="CCEEFF" w:val="clear"/>
          </w:tcPr>
          <w:p>
            <w:pPr>
              <w:pStyle w:val="TableContents"/>
              <w:bidi w:val="0"/>
              <w:spacing w:before="0" w:after="283"/>
              <w:ind w:left="0" w:right="0" w:hanging="0"/>
              <w:jc w:val="left"/>
              <w:rPr>
                <w:b/>
                <w:spacing w:val="0"/>
              </w:rPr>
            </w:pPr>
            <w:r>
              <w:rPr>
                <w:b/>
                <w:spacing w:val="0"/>
              </w:rPr>
              <w:t>Balance at June 30, 2026</w:t>
            </w:r>
          </w:p>
        </w:tc>
        <w:tc>
          <w:tcPr>
            <w:tcW w:w="90" w:type="dxa"/>
            <w:tcBorders/>
            <w:shd w:fill="CCEEFF" w:val="clear"/>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010" w:type="dxa"/>
            <w:tcBorders>
              <w:bottom w:val="double" w:sz="8" w:space="0" w:color="000000"/>
            </w:tcBorders>
            <w:shd w:fill="CCEEFF" w:val="clear"/>
            <w:tcMar>
              <w:bottom w:w="28" w:type="dxa"/>
            </w:tcMar>
          </w:tcPr>
          <w:p>
            <w:pPr>
              <w:pStyle w:val="TableContents"/>
              <w:bidi w:val="0"/>
              <w:spacing w:before="0" w:after="0"/>
              <w:ind w:left="0" w:right="0" w:hanging="0"/>
              <w:jc w:val="right"/>
              <w:rPr>
                <w:b/>
                <w:spacing w:val="0"/>
              </w:rPr>
            </w:pPr>
            <w:r>
              <w:rPr>
                <w:b/>
                <w:spacing w:val="0"/>
              </w:rPr>
              <w:t>1,185,000</w:t>
            </w:r>
          </w:p>
        </w:tc>
        <w:tc>
          <w:tcPr>
            <w:tcW w:w="185"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shd w:fill="CCEEFF" w:val="clear"/>
            <w:tcMar>
              <w:bottom w:w="28" w:type="dxa"/>
            </w:tcMar>
          </w:tcPr>
          <w:p>
            <w:pPr>
              <w:pStyle w:val="TableContents"/>
              <w:bidi w:val="0"/>
              <w:spacing w:before="0" w:after="0"/>
              <w:ind w:left="0" w:right="0" w:hanging="0"/>
              <w:jc w:val="right"/>
              <w:rPr>
                <w:b/>
                <w:spacing w:val="0"/>
              </w:rPr>
            </w:pPr>
            <w:r>
              <w:rPr>
                <w:b/>
                <w:spacing w:val="0"/>
              </w:rPr>
              <w:t>480</w:t>
            </w:r>
          </w:p>
        </w:tc>
        <w:tc>
          <w:tcPr>
            <w:tcW w:w="185"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1130" w:type="dxa"/>
            <w:tcBorders>
              <w:bottom w:val="double" w:sz="8" w:space="0" w:color="000000"/>
            </w:tcBorders>
            <w:shd w:fill="CCEEFF" w:val="clear"/>
            <w:tcMar>
              <w:bottom w:w="28" w:type="dxa"/>
            </w:tcMar>
          </w:tcPr>
          <w:p>
            <w:pPr>
              <w:pStyle w:val="TableContents"/>
              <w:bidi w:val="0"/>
              <w:spacing w:before="0" w:after="0"/>
              <w:ind w:left="0" w:right="0" w:hanging="0"/>
              <w:jc w:val="right"/>
              <w:rPr>
                <w:b/>
                <w:spacing w:val="0"/>
              </w:rPr>
            </w:pPr>
            <w:r>
              <w:rPr>
                <w:b/>
                <w:spacing w:val="0"/>
              </w:rPr>
              <w:t>66,311,910</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890" w:type="dxa"/>
            <w:tcBorders>
              <w:bottom w:val="double" w:sz="8" w:space="0" w:color="000000"/>
            </w:tcBorders>
            <w:shd w:fill="CCEEFF" w:val="clear"/>
            <w:tcMar>
              <w:bottom w:w="28" w:type="dxa"/>
            </w:tcMar>
          </w:tcPr>
          <w:p>
            <w:pPr>
              <w:pStyle w:val="TableContents"/>
              <w:bidi w:val="0"/>
              <w:spacing w:before="0" w:after="0"/>
              <w:jc w:val="right"/>
              <w:rPr>
                <w:b/>
                <w:spacing w:val="0"/>
              </w:rPr>
            </w:pPr>
            <w:r>
              <w:rPr>
                <w:b/>
                <w:spacing w:val="0"/>
              </w:rPr>
              <w:t>66</w:t>
            </w:r>
          </w:p>
        </w:tc>
        <w:tc>
          <w:tcPr>
            <w:tcW w:w="90" w:type="dxa"/>
            <w:tcBorders>
              <w:bottom w:val="double" w:sz="8" w:space="0" w:color="000000"/>
            </w:tcBorders>
            <w:shd w:fill="CCEEFF" w:val="clear"/>
            <w:tcMar>
              <w:bottom w:w="28" w:type="dxa"/>
            </w:tcMar>
          </w:tcPr>
          <w:p>
            <w:pPr>
              <w:pStyle w:val="TableContents"/>
              <w:bidi w:val="0"/>
              <w:spacing w:before="0" w:after="283"/>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130" w:type="dxa"/>
            <w:tcBorders>
              <w:bottom w:val="double" w:sz="8" w:space="0" w:color="000000"/>
            </w:tcBorders>
            <w:shd w:fill="CCEEFF" w:val="clear"/>
            <w:tcMar>
              <w:bottom w:w="28" w:type="dxa"/>
            </w:tcMar>
          </w:tcPr>
          <w:p>
            <w:pPr>
              <w:pStyle w:val="TableContents"/>
              <w:bidi w:val="0"/>
              <w:spacing w:before="0" w:after="0"/>
              <w:ind w:left="0" w:right="0" w:hanging="0"/>
              <w:jc w:val="right"/>
              <w:rPr>
                <w:b/>
                <w:spacing w:val="0"/>
              </w:rPr>
            </w:pPr>
            <w:r>
              <w:rPr>
                <w:b/>
                <w:spacing w:val="0"/>
              </w:rPr>
              <w:t>307,667</w:t>
            </w:r>
          </w:p>
        </w:tc>
        <w:tc>
          <w:tcPr>
            <w:tcW w:w="90" w:type="dxa"/>
            <w:tcBorders>
              <w:bottom w:val="double" w:sz="8" w:space="0" w:color="000000"/>
            </w:tcBorders>
            <w:shd w:fill="CCEEFF" w:val="clear"/>
            <w:tcMar>
              <w:bottom w:w="28" w:type="dxa"/>
            </w:tcMar>
          </w:tcPr>
          <w:p>
            <w:pPr>
              <w:pStyle w:val="TableContents"/>
              <w:bidi w:val="0"/>
              <w:spacing w:before="0" w:after="0"/>
              <w:ind w:left="0" w:right="0" w:hanging="0"/>
              <w:jc w:val="left"/>
              <w:rPr/>
            </w:pPr>
            <w:r>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965" w:type="dxa"/>
            <w:tcBorders>
              <w:bottom w:val="double" w:sz="8" w:space="0" w:color="000000"/>
            </w:tcBorders>
            <w:shd w:fill="CCEEFF" w:val="clear"/>
            <w:tcMar>
              <w:bottom w:w="28" w:type="dxa"/>
            </w:tcMar>
          </w:tcPr>
          <w:p>
            <w:pPr>
              <w:pStyle w:val="TableContents"/>
              <w:bidi w:val="0"/>
              <w:spacing w:before="0" w:after="0"/>
              <w:ind w:left="0" w:right="0" w:hanging="0"/>
              <w:jc w:val="right"/>
              <w:rPr>
                <w:b/>
                <w:spacing w:val="0"/>
              </w:rPr>
            </w:pPr>
            <w:r>
              <w:rPr>
                <w:b/>
                <w:spacing w:val="0"/>
              </w:rPr>
              <w:t>(446,788</w:t>
            </w:r>
          </w:p>
        </w:tc>
        <w:tc>
          <w:tcPr>
            <w:tcW w:w="185"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 </w:t>
            </w:r>
          </w:p>
        </w:tc>
        <w:tc>
          <w:tcPr>
            <w:tcW w:w="90" w:type="dxa"/>
            <w:tcBorders/>
            <w:shd w:fill="CCEEFF" w:val="clear"/>
          </w:tcPr>
          <w:p>
            <w:pPr>
              <w:pStyle w:val="TableContents"/>
              <w:bidi w:val="0"/>
              <w:spacing w:before="0" w:after="0"/>
              <w:ind w:left="0" w:right="0" w:hanging="0"/>
              <w:jc w:val="left"/>
              <w:rPr/>
            </w:pPr>
            <w:r>
              <w:rPr/>
              <w:t> </w:t>
            </w:r>
          </w:p>
        </w:tc>
        <w:tc>
          <w:tcPr>
            <w:tcW w:w="170" w:type="dxa"/>
            <w:tcBorders>
              <w:bottom w:val="double" w:sz="8" w:space="0" w:color="000000"/>
            </w:tcBorders>
            <w:shd w:fill="CCEEFF" w:val="clear"/>
            <w:tcMar>
              <w:bottom w:w="28" w:type="dxa"/>
            </w:tcMar>
          </w:tcPr>
          <w:p>
            <w:pPr>
              <w:pStyle w:val="TableContents"/>
              <w:bidi w:val="0"/>
              <w:spacing w:before="0" w:after="0"/>
              <w:ind w:left="0" w:right="0" w:hanging="0"/>
              <w:jc w:val="left"/>
              <w:rPr>
                <w:b/>
              </w:rPr>
            </w:pPr>
            <w:r>
              <w:rPr>
                <w:b/>
              </w:rPr>
              <w:t>$</w:t>
            </w:r>
          </w:p>
        </w:tc>
        <w:tc>
          <w:tcPr>
            <w:tcW w:w="1370" w:type="dxa"/>
            <w:tcBorders>
              <w:bottom w:val="double" w:sz="8" w:space="0" w:color="000000"/>
            </w:tcBorders>
            <w:shd w:fill="CCEEFF" w:val="clear"/>
            <w:tcMar>
              <w:bottom w:w="28" w:type="dxa"/>
            </w:tcMar>
          </w:tcPr>
          <w:p>
            <w:pPr>
              <w:pStyle w:val="TableContents"/>
              <w:bidi w:val="0"/>
              <w:spacing w:before="0" w:after="0"/>
              <w:ind w:left="0" w:right="0" w:hanging="0"/>
              <w:jc w:val="right"/>
              <w:rPr>
                <w:b/>
              </w:rPr>
            </w:pPr>
            <w:r>
              <w:rPr>
                <w:b/>
              </w:rPr>
              <w:t>(138,575</w:t>
            </w:r>
          </w:p>
        </w:tc>
        <w:tc>
          <w:tcPr>
            <w:tcW w:w="230" w:type="dxa"/>
            <w:tcBorders>
              <w:bottom w:val="double" w:sz="8" w:space="0" w:color="000000"/>
            </w:tcBorders>
            <w:shd w:fill="CCEEFF" w:val="clear"/>
            <w:tcMar>
              <w:bottom w:w="28" w:type="dxa"/>
            </w:tcMar>
          </w:tcPr>
          <w:p>
            <w:pPr>
              <w:pStyle w:val="TableContents"/>
              <w:bidi w:val="0"/>
              <w:spacing w:before="0" w:after="0"/>
              <w:jc w:val="left"/>
              <w:rPr>
                <w:b/>
              </w:rPr>
            </w:pPr>
            <w:r>
              <w:rPr>
                <w:b/>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notes to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GALECTIN THERAPEUTICS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9" w:name="NOTES_TO_UNAUDITED_CONDENSED_CONSOLIDATE"/>
      <w:bookmarkEnd w:id="9"/>
      <w:r>
        <w:rPr>
          <w:rFonts w:ascii="Times New Roman" w:hAnsi="Times New Roman"/>
          <w:b/>
          <w:color w:val="000000"/>
          <w:sz w:val="20"/>
        </w:rPr>
        <w:t>NOTES TO UNAUDITED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1. Basis of Presentation and Liquidity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unaudited condensed consolidated financial statements as reported in this Quarterly Report on Form 10-Q reflect all adjustments which are, in the opinion of management, necessary to present fairly the financial position of the Company as of June 30, 2026 and the results of its operations for the three and six months ended June 30, 2026 and 2025 and its cash flows for the six months ended June 30, 2026 and 2025. All adjustments made to the interim financial statements include all those of a normal and recurring nature. Amounts presented in the condensed consolidated balance sheet as of December 31, 2025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2" w:right="0" w:firstLine="712"/>
        <w:jc w:val="left"/>
        <w:rPr>
          <w:rFonts w:ascii="Times New Roman" w:hAnsi="Times New Roman"/>
          <w:sz w:val="20"/>
        </w:rPr>
      </w:pPr>
      <w:r>
        <w:rPr>
          <w:rFonts w:ascii="Times New Roman" w:hAnsi="Times New Roman"/>
          <w:sz w:val="20"/>
        </w:rPr>
        <w:t xml:space="preserve">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 </w:t>
      </w:r>
    </w:p>
    <w:p>
      <w:pPr>
        <w:pStyle w:val="TextBody"/>
        <w:bidi w:val="0"/>
        <w:spacing w:before="0" w:after="0"/>
        <w:jc w:val="left"/>
        <w:rPr/>
      </w:pPr>
      <w:r>
        <w:rPr/>
        <w:t xml:space="preserve">  </w:t>
      </w:r>
    </w:p>
    <w:p>
      <w:pPr>
        <w:pStyle w:val="TextBody"/>
        <w:bidi w:val="0"/>
        <w:spacing w:before="0" w:after="0"/>
        <w:ind w:left="0" w:right="0" w:firstLine="718"/>
        <w:jc w:val="left"/>
        <w:rPr>
          <w:rFonts w:ascii="Times New Roman" w:hAnsi="Times New Roman"/>
          <w:sz w:val="20"/>
        </w:rPr>
      </w:pPr>
      <w:r>
        <w:rPr>
          <w:rFonts w:ascii="Times New Roman" w:hAnsi="Times New Roman"/>
          <w:sz w:val="20"/>
        </w:rPr>
        <w:t xml:space="preserve">The Company has operated at a loss since its inception and has had no revenues. The Company anticipates that losses will continue for the foreseeable future. At June 30, 2026, the Company had $13.3 million of unrestricted cash and cash equivalents available to fund future operations. As of June 30, 2026, the Company has available borrowings under a line of credit in the amount of $10 million provided by our chairman, Richard Uihlein, (See Note 10). All of the Company’s borrowings and accrued interest under related party debt to its chairman are due to mature on June 30, 2027. The Company believes there is sufficient cash, including availability of the line of credit, to fund currently planned operations through June 2027.  These factors raise substantial doubt about the Company’s ability to continue as a going concern for a period of 12 months from the issuance date of these financial statements. The ability of the Company to continue as a going concern is dependent on its ability to raise capital; however, the Company’s cash position may not be sufficient to support its daily operations after June 2027.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w:t>
      </w:r>
    </w:p>
    <w:p>
      <w:pPr>
        <w:pStyle w:val="TextBody"/>
        <w:bidi w:val="0"/>
        <w:spacing w:before="0" w:after="0"/>
        <w:ind w:left="0" w:right="0" w:firstLine="718"/>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Company was founded in July 2000, was incorporated in the State of Nevada in January 2001 under the name “Pro-Pharmaceuticals, Inc.,” and changed its name to “Galectin Therapeutics Inc.” on May 26, 2011.</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2. Accrued Expenses and Other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Accrued expenses consist of the following:</w:t>
      </w:r>
      <w:r>
        <w:rPr>
          <w:rFonts w:ascii="Times New Roman" w:hAnsi="Times New Roman"/>
          <w:sz w:val="20"/>
        </w:rPr>
        <w:t xml:space="preserve"> </w:t>
      </w:r>
    </w:p>
    <w:p>
      <w:pPr>
        <w:pStyle w:val="TextBody"/>
        <w:bidi w:val="0"/>
        <w:spacing w:before="0" w:after="0"/>
        <w:jc w:val="left"/>
        <w:rPr/>
      </w:pPr>
      <w:r>
        <w:rPr/>
        <w:t xml:space="preserve">  </w:t>
      </w:r>
    </w:p>
    <w:tbl>
      <w:tblPr>
        <w:tblW w:w="7630" w:type="dxa"/>
        <w:jc w:val="left"/>
        <w:tblInd w:w="0" w:type="dxa"/>
        <w:tblLayout w:type="fixed"/>
        <w:tblCellMar>
          <w:top w:w="0" w:type="dxa"/>
          <w:left w:w="0" w:type="dxa"/>
          <w:bottom w:w="0" w:type="dxa"/>
          <w:right w:w="0" w:type="dxa"/>
        </w:tblCellMar>
      </w:tblPr>
      <w:tblGrid>
        <w:gridCol w:w="4925"/>
        <w:gridCol w:w="90"/>
        <w:gridCol w:w="170"/>
        <w:gridCol w:w="755"/>
        <w:gridCol w:w="90"/>
        <w:gridCol w:w="90"/>
        <w:gridCol w:w="170"/>
        <w:gridCol w:w="1205"/>
        <w:gridCol w:w="135"/>
      </w:tblGrid>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June 30,</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December 31,</w:t>
              <w:br/>
              <w:t>2025</w:t>
            </w:r>
          </w:p>
        </w:tc>
        <w:tc>
          <w:tcPr>
            <w:tcW w:w="135" w:type="dxa"/>
            <w:tcBorders/>
            <w:vAlign w:val="center"/>
          </w:tcPr>
          <w:p>
            <w:pPr>
              <w:pStyle w:val="TableContents"/>
              <w:bidi w:val="0"/>
              <w:spacing w:before="0" w:after="283"/>
              <w:jc w:val="center"/>
              <w:rPr/>
            </w:pPr>
            <w:r>
              <w:rPr/>
              <w:t> </w:t>
            </w:r>
          </w:p>
        </w:tc>
      </w:tr>
      <w:tr>
        <w:trPr/>
        <w:tc>
          <w:tcPr>
            <w:tcW w:w="4925" w:type="dxa"/>
            <w:tcBorders/>
            <w:vAlign w:val="center"/>
          </w:tcPr>
          <w:p>
            <w:pPr>
              <w:pStyle w:val="TableContents"/>
              <w:bidi w:val="0"/>
              <w:spacing w:before="0" w:after="283"/>
              <w:jc w:val="left"/>
              <w:rPr/>
            </w:pPr>
            <w:r>
              <w:rPr/>
              <w:t> </w:t>
            </w:r>
          </w:p>
        </w:tc>
        <w:tc>
          <w:tcPr>
            <w:tcW w:w="2705" w:type="dxa"/>
            <w:gridSpan w:val="8"/>
            <w:tcBorders/>
            <w:vAlign w:val="center"/>
          </w:tcPr>
          <w:p>
            <w:pPr>
              <w:pStyle w:val="TableContents"/>
              <w:bidi w:val="0"/>
              <w:spacing w:before="0" w:after="283"/>
              <w:jc w:val="center"/>
              <w:rPr/>
            </w:pPr>
            <w:r>
              <w:rPr/>
              <w:t xml:space="preserve">(in thousands) </w:t>
            </w:r>
          </w:p>
        </w:tc>
      </w:tr>
      <w:tr>
        <w:trPr/>
        <w:tc>
          <w:tcPr>
            <w:tcW w:w="4925" w:type="dxa"/>
            <w:tcBorders/>
            <w:shd w:fill="CCEEFF" w:val="clear"/>
            <w:vAlign w:val="center"/>
          </w:tcPr>
          <w:p>
            <w:pPr>
              <w:pStyle w:val="TableContents"/>
              <w:bidi w:val="0"/>
              <w:spacing w:before="0" w:after="0"/>
              <w:ind w:left="25" w:right="0" w:hanging="0"/>
              <w:jc w:val="left"/>
              <w:rPr/>
            </w:pPr>
            <w:r>
              <w:rPr/>
              <w:t xml:space="preserve">Legal and accounting fees </w:t>
            </w:r>
          </w:p>
        </w:tc>
        <w:tc>
          <w:tcPr>
            <w:tcW w:w="90" w:type="dxa"/>
            <w:tcBorders/>
            <w:shd w:fill="CCEEFF" w:val="clear"/>
            <w:vAlign w:val="center"/>
          </w:tcPr>
          <w:p>
            <w:pPr>
              <w:pStyle w:val="TableContents"/>
              <w:bidi w:val="0"/>
              <w:spacing w:before="0" w:after="283"/>
              <w:ind w:left="2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109</w:t>
            </w:r>
          </w:p>
        </w:tc>
        <w:tc>
          <w:tcPr>
            <w:tcW w:w="90" w:type="dxa"/>
            <w:tcBorders/>
            <w:shd w:fill="CCEEFF" w:val="clear"/>
            <w:vAlign w:val="center"/>
          </w:tcPr>
          <w:p>
            <w:pPr>
              <w:pStyle w:val="TableContents"/>
              <w:bidi w:val="0"/>
              <w:spacing w:before="0" w:after="283"/>
              <w:ind w:left="25" w:right="0" w:hanging="0"/>
              <w:jc w:val="left"/>
              <w:rPr/>
            </w:pPr>
            <w:r>
              <w:rPr/>
              <w:t> </w:t>
            </w:r>
          </w:p>
        </w:tc>
        <w:tc>
          <w:tcPr>
            <w:tcW w:w="90" w:type="dxa"/>
            <w:tcBorders/>
            <w:shd w:fill="CCEEFF" w:val="clear"/>
            <w:vAlign w:val="center"/>
          </w:tcPr>
          <w:p>
            <w:pPr>
              <w:pStyle w:val="TableContents"/>
              <w:bidi w:val="0"/>
              <w:spacing w:before="0" w:after="283"/>
              <w:ind w:left="2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68</w:t>
            </w:r>
          </w:p>
        </w:tc>
        <w:tc>
          <w:tcPr>
            <w:tcW w:w="135" w:type="dxa"/>
            <w:tcBorders/>
            <w:shd w:fill="CCEEFF"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ind w:left="0" w:right="0" w:hanging="144"/>
              <w:jc w:val="left"/>
              <w:rPr/>
            </w:pPr>
            <w:r>
              <w:rPr/>
              <w:t xml:space="preserve">Accrued compensation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1,056</w:t>
            </w:r>
          </w:p>
        </w:tc>
        <w:tc>
          <w:tcPr>
            <w:tcW w:w="13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144"/>
              <w:jc w:val="left"/>
              <w:rPr/>
            </w:pPr>
            <w:r>
              <w:rPr/>
              <w:t xml:space="preserve">Lease liability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w:t>
            </w:r>
          </w:p>
        </w:tc>
        <w:tc>
          <w:tcPr>
            <w:tcW w:w="135" w:type="dxa"/>
            <w:tcBorders/>
            <w:shd w:fill="CCEEFF"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ind w:left="0" w:right="0" w:hanging="144"/>
              <w:jc w:val="left"/>
              <w:rPr/>
            </w:pPr>
            <w:r>
              <w:rPr/>
              <w:t xml:space="preserve">Accrued research and development costs and other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2,971</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3,576</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25" w:right="0" w:hanging="0"/>
              <w:jc w:val="left"/>
              <w:rPr/>
            </w:pPr>
            <w:r>
              <w:rPr/>
              <w:t xml:space="preserve">Total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25" w:right="0" w:hanging="0"/>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8" w:space="0" w:color="000000"/>
            </w:tcBorders>
            <w:shd w:fill="CCEEFF" w:val="clear"/>
            <w:tcMar>
              <w:bottom w:w="28" w:type="dxa"/>
            </w:tcMar>
            <w:vAlign w:val="center"/>
          </w:tcPr>
          <w:p>
            <w:pPr>
              <w:pStyle w:val="TableContents"/>
              <w:bidi w:val="0"/>
              <w:spacing w:before="0" w:after="0"/>
              <w:jc w:val="right"/>
              <w:rPr/>
            </w:pPr>
            <w:r>
              <w:rPr/>
              <w:t>3,993</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25" w:right="0" w:hanging="0"/>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ind w:left="25" w:right="0" w:hanging="0"/>
              <w:jc w:val="lef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8" w:space="0" w:color="000000"/>
            </w:tcBorders>
            <w:shd w:fill="CCEEFF" w:val="clear"/>
            <w:tcMar>
              <w:bottom w:w="28" w:type="dxa"/>
            </w:tcMar>
            <w:vAlign w:val="center"/>
          </w:tcPr>
          <w:p>
            <w:pPr>
              <w:pStyle w:val="TableContents"/>
              <w:bidi w:val="0"/>
              <w:spacing w:before="0" w:after="0"/>
              <w:jc w:val="right"/>
              <w:rPr/>
            </w:pPr>
            <w:r>
              <w:rPr/>
              <w:t>4,722</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3. Convertible Notes Payable – Related Party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April 16, 2021, the Company and Richard E. Uihlein entered into a debt financing arrangement whereby Mr. Uihlein loaned $10,000,000 to the Company. In consideration for the loan, the Company issued a convertible promissory note (the “April 2021 Note”) in the principal amount of ten million dollars.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April 2021 Note had an original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six months ended June 30, 2026 and 2025, approximately $108,000 and $107,000, respectively, of interest expense was accrued and included with the principal in the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amortization of the original $420,000 debt discount of $31,000 was recorded as additional interest expense for the six months ended June 30, 2025. The debt discount was fully amortized at December 31,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 April 2021 Note. In connection with entering into the March 2025 Supplemental Line of Credit (see Note 10), the Company agreed to extend the maturity date of the Convertible Promissory Note dated April 2021 from April 16, 2025 to September 30, 2025. Additionally, in connection with entering into the July 2025 Supplemental Line of Credit (see Note 10), the Company agreed to extend the maturity date of the Convertible Promissory Note dated April 2021 (and the September 2021 and December 2021 Convertible Notes) from September 30, 2025 to September 30, 2026. Finally, in connection with entering into the December 2025 Supplemental Line of Credit (see Note 9), the Company agreed to extend the maturity date of the Convertible Promissory Note dated April 2021 (and the September 2021 and December 2021 Convertible Notes) from September 30, 2026 to June 30, 2027. The April 2021 Note will remain outstanding and accrue interest until maturity, and no shares of common stock will be issued as a result of this election until June 30, 2027.</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September 2021 Note had an original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six months ended June 30, 2026 and 2025, approximately $108,000 and $107,000, respectively, of interest expense was accrued and included with the principal in the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amortization of the original $433,000 debt discount of $54,000 was recorded as additional interest expense for the six months ended June 30, 2025. The debt discount was fully amortized at December 31, 2025.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December 20, 2021, the second of the two promissory notes under the Loan Agreement was executed and delivered, (the “December 2021 Note”) to evidence the second loan in the principal amount of $10,000,000. The December 2021 Note had an original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six months ended June 30, 2026 and 2025, approximately $108,000 and $107,000, respectively, of interest expense was accrued and included with the principal in the financial statements.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amortization of the original $415,000 debt discount of $52,000 was recorded as additional interest expense for the six months ended June 30, 2025. The debt discount was fully amortized at December 31, 2025.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Company’s contractual cash obligations related to the outstanding convertible notes payable is a repayment of the September 2021 Note of the $10,000,000 plus accrued interest on June 30, 2027 and a repayment of the December 2021 Note of the $10,000,000 plus accrued interest on June 30, 2027, unless converted at the option of the noteholder.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June 30, 2026 or December 31, 2025. See below for Fair Value of Derivatives related to Convertible Notes Payable at June 30, 2026 and December 31, 2025, which are level 3 liabilities.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Level 3 assets and liabilities measured and recorded at fair value on a recurring basis at June 30, 2026 and December 31, 2025 were as follows:</w:t>
      </w:r>
      <w:r>
        <w:rPr>
          <w:rFonts w:ascii="Times New Roman" w:hAnsi="Times New Roman"/>
          <w:sz w:val="20"/>
        </w:rPr>
        <w:t xml:space="preserve"> </w:t>
      </w:r>
    </w:p>
    <w:p>
      <w:pPr>
        <w:pStyle w:val="TextBody"/>
        <w:bidi w:val="0"/>
        <w:spacing w:before="0" w:after="0"/>
        <w:jc w:val="left"/>
        <w:rPr/>
      </w:pPr>
      <w:r>
        <w:rPr/>
        <w:t xml:space="preserve">  </w:t>
      </w:r>
    </w:p>
    <w:tbl>
      <w:tblPr>
        <w:tblW w:w="8560" w:type="dxa"/>
        <w:jc w:val="left"/>
        <w:tblInd w:w="0" w:type="dxa"/>
        <w:tblLayout w:type="fixed"/>
        <w:tblCellMar>
          <w:top w:w="0" w:type="dxa"/>
          <w:left w:w="0" w:type="dxa"/>
          <w:bottom w:w="0" w:type="dxa"/>
          <w:right w:w="0" w:type="dxa"/>
        </w:tblCellMar>
      </w:tblPr>
      <w:tblGrid>
        <w:gridCol w:w="5600"/>
        <w:gridCol w:w="90"/>
        <w:gridCol w:w="170"/>
        <w:gridCol w:w="1010"/>
        <w:gridCol w:w="90"/>
        <w:gridCol w:w="90"/>
        <w:gridCol w:w="170"/>
        <w:gridCol w:w="1205"/>
        <w:gridCol w:w="135"/>
      </w:tblGrid>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December 31,</w:t>
              <w:br/>
              <w:t>2025</w:t>
            </w:r>
          </w:p>
        </w:tc>
        <w:tc>
          <w:tcPr>
            <w:tcW w:w="135" w:type="dxa"/>
            <w:tcBorders/>
            <w:vAlign w:val="center"/>
          </w:tcPr>
          <w:p>
            <w:pPr>
              <w:pStyle w:val="TableContents"/>
              <w:bidi w:val="0"/>
              <w:spacing w:before="0" w:after="283"/>
              <w:jc w:val="center"/>
              <w:rPr/>
            </w:pPr>
            <w:r>
              <w:rPr/>
              <w:t> </w:t>
            </w:r>
          </w:p>
        </w:tc>
      </w:tr>
      <w:tr>
        <w:trPr/>
        <w:tc>
          <w:tcPr>
            <w:tcW w:w="5600" w:type="dxa"/>
            <w:tcBorders/>
            <w:shd w:fill="CCEEFF" w:val="clear"/>
            <w:vAlign w:val="center"/>
          </w:tcPr>
          <w:p>
            <w:pPr>
              <w:pStyle w:val="TableContents"/>
              <w:bidi w:val="0"/>
              <w:spacing w:before="0" w:after="0"/>
              <w:ind w:left="5" w:right="0" w:hanging="0"/>
              <w:jc w:val="left"/>
              <w:rPr/>
            </w:pPr>
            <w:r>
              <w:rPr/>
              <w:t xml:space="preserve">Derivative Liability – Contingent Interest April Note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2,669,000</w:t>
            </w:r>
          </w:p>
        </w:tc>
        <w:tc>
          <w:tcPr>
            <w:tcW w:w="90" w:type="dxa"/>
            <w:tcBorders/>
            <w:shd w:fill="CCEEFF" w:val="clear"/>
            <w:vAlign w:val="center"/>
          </w:tcPr>
          <w:p>
            <w:pPr>
              <w:pStyle w:val="TableContents"/>
              <w:bidi w:val="0"/>
              <w:spacing w:before="0" w:after="283"/>
              <w:ind w:left="5" w:right="0" w:hanging="0"/>
              <w:jc w:val="left"/>
              <w:rPr/>
            </w:pPr>
            <w:r>
              <w:rPr/>
              <w: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1,680,000</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0"/>
              <w:ind w:left="5" w:right="0" w:hanging="0"/>
              <w:jc w:val="left"/>
              <w:rPr/>
            </w:pPr>
            <w:r>
              <w:rPr/>
              <w:t xml:space="preserve">Derivative Liability – Contingent Interest September Note </w:t>
            </w:r>
          </w:p>
        </w:tc>
        <w:tc>
          <w:tcPr>
            <w:tcW w:w="90" w:type="dxa"/>
            <w:tcBorders/>
            <w:vAlign w:val="center"/>
          </w:tcPr>
          <w:p>
            <w:pPr>
              <w:pStyle w:val="TableContents"/>
              <w:bidi w:val="0"/>
              <w:spacing w:before="0" w:after="283"/>
              <w:ind w:left="5" w:right="0" w:hanging="0"/>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1,339,000</w:t>
            </w:r>
          </w:p>
        </w:tc>
        <w:tc>
          <w:tcPr>
            <w:tcW w:w="90" w:type="dxa"/>
            <w:tcBorders/>
            <w:vAlign w:val="center"/>
          </w:tcPr>
          <w:p>
            <w:pPr>
              <w:pStyle w:val="TableContents"/>
              <w:bidi w:val="0"/>
              <w:spacing w:before="0" w:after="283"/>
              <w:ind w:left="5" w:right="0" w:hanging="0"/>
              <w:jc w:val="left"/>
              <w:rPr/>
            </w:pPr>
            <w:r>
              <w:rPr/>
              <w:t> </w:t>
            </w:r>
          </w:p>
        </w:tc>
        <w:tc>
          <w:tcPr>
            <w:tcW w:w="90" w:type="dxa"/>
            <w:tcBorders/>
            <w:vAlign w:val="center"/>
          </w:tcPr>
          <w:p>
            <w:pPr>
              <w:pStyle w:val="TableContents"/>
              <w:bidi w:val="0"/>
              <w:spacing w:before="0" w:after="283"/>
              <w:ind w:left="5" w:right="0" w:hanging="0"/>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924,000</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5" w:right="0" w:hanging="0"/>
              <w:jc w:val="left"/>
              <w:rPr/>
            </w:pPr>
            <w:r>
              <w:rPr/>
              <w:t xml:space="preserve">Derivative Liability – Contingent Interest December Note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2,127,000</w:t>
            </w:r>
          </w:p>
        </w:tc>
        <w:tc>
          <w:tcPr>
            <w:tcW w:w="90" w:type="dxa"/>
            <w:tcBorders/>
            <w:shd w:fill="CCEEFF" w:val="clear"/>
            <w:vAlign w:val="center"/>
          </w:tcPr>
          <w:p>
            <w:pPr>
              <w:pStyle w:val="TableContents"/>
              <w:bidi w:val="0"/>
              <w:spacing w:before="0" w:after="283"/>
              <w:ind w:left="5" w:right="0" w:hanging="0"/>
              <w:jc w:val="left"/>
              <w:rPr/>
            </w:pPr>
            <w:r>
              <w:rPr/>
              <w: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1,358,000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April Note derivative liability – contingent interest was valued using a Monte Carlo Geometric Brownian Stock Path Model. The key assumptions used in the model at June 30, 2026 and December 31, 2025 are as follows:</w:t>
      </w:r>
      <w:r>
        <w:rPr>
          <w:rFonts w:ascii="Times New Roman" w:hAnsi="Times New Roman"/>
          <w:sz w:val="20"/>
        </w:rPr>
        <w:t xml:space="preserve"> </w:t>
      </w:r>
    </w:p>
    <w:p>
      <w:pPr>
        <w:pStyle w:val="TextBody"/>
        <w:bidi w:val="0"/>
        <w:spacing w:before="0" w:after="0"/>
        <w:jc w:val="left"/>
        <w:rPr/>
      </w:pPr>
      <w:r>
        <w:rPr/>
        <w:t xml:space="preserve">  </w:t>
      </w:r>
    </w:p>
    <w:tbl>
      <w:tblPr>
        <w:tblW w:w="6890" w:type="dxa"/>
        <w:jc w:val="left"/>
        <w:tblInd w:w="0" w:type="dxa"/>
        <w:tblLayout w:type="fixed"/>
        <w:tblCellMar>
          <w:top w:w="0" w:type="dxa"/>
          <w:left w:w="0" w:type="dxa"/>
          <w:bottom w:w="0" w:type="dxa"/>
          <w:right w:w="0" w:type="dxa"/>
        </w:tblCellMar>
      </w:tblPr>
      <w:tblGrid>
        <w:gridCol w:w="3815"/>
        <w:gridCol w:w="90"/>
        <w:gridCol w:w="170"/>
        <w:gridCol w:w="815"/>
        <w:gridCol w:w="245"/>
        <w:gridCol w:w="90"/>
        <w:gridCol w:w="170"/>
        <w:gridCol w:w="1205"/>
        <w:gridCol w:w="29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1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June 30,</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December 31,</w:t>
              <w:br/>
              <w:t>2025</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0" w:right="0" w:hanging="0"/>
              <w:jc w:val="left"/>
              <w:rPr/>
            </w:pPr>
            <w:r>
              <w:rPr/>
              <w:t xml:space="preserve">Stock Price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4.64</w:t>
            </w:r>
          </w:p>
        </w:tc>
        <w:tc>
          <w:tcPr>
            <w:tcW w:w="245" w:type="dxa"/>
            <w:tcBorders/>
            <w:shd w:fill="CCEEFF" w:val="cle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4.16</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10" w:right="0" w:hanging="0"/>
              <w:jc w:val="left"/>
              <w:rPr/>
            </w:pPr>
            <w:r>
              <w:rPr/>
              <w:t xml:space="preserve">Conversion Price of conversion feature </w:t>
            </w:r>
          </w:p>
        </w:tc>
        <w:tc>
          <w:tcPr>
            <w:tcW w:w="90" w:type="dxa"/>
            <w:tcBorders/>
            <w:vAlign w:val="center"/>
          </w:tcPr>
          <w:p>
            <w:pPr>
              <w:pStyle w:val="TableContents"/>
              <w:bidi w:val="0"/>
              <w:spacing w:before="0" w:after="283"/>
              <w:ind w:left="10" w:right="0" w:hanging="0"/>
              <w:jc w:val="left"/>
              <w:rPr/>
            </w:pPr>
            <w:r>
              <w:rPr/>
              <w:t> </w:t>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pPr>
            <w:r>
              <w:rPr/>
              <w:t>5.00</w:t>
            </w:r>
          </w:p>
        </w:tc>
        <w:tc>
          <w:tcPr>
            <w:tcW w:w="245" w:type="dxa"/>
            <w:tcBorders/>
            <w:vAlign w:val="center"/>
          </w:tcPr>
          <w:p>
            <w:pPr>
              <w:pStyle w:val="TableContents"/>
              <w:bidi w:val="0"/>
              <w:spacing w:before="0" w:after="283"/>
              <w:ind w:left="10" w:right="0" w:hanging="0"/>
              <w:jc w:val="left"/>
              <w:rPr/>
            </w:pPr>
            <w:r>
              <w:rPr/>
              <w:t> </w:t>
            </w:r>
          </w:p>
        </w:tc>
        <w:tc>
          <w:tcPr>
            <w:tcW w:w="90" w:type="dxa"/>
            <w:tcBorders/>
            <w:vAlign w:val="center"/>
          </w:tcPr>
          <w:p>
            <w:pPr>
              <w:pStyle w:val="TableContents"/>
              <w:bidi w:val="0"/>
              <w:spacing w:before="0" w:after="283"/>
              <w:ind w:left="10" w:right="0" w:hanging="0"/>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144"/>
              <w:jc w:val="left"/>
              <w:rPr/>
            </w:pPr>
            <w:r>
              <w:rPr/>
              <w:t xml:space="preserve">Term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1.0 year</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xml:space="preserve">1.5 years </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144"/>
              <w:jc w:val="left"/>
              <w:rPr/>
            </w:pPr>
            <w:r>
              <w:rPr/>
              <w:t xml:space="preserve">Risk Free Interest Rate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ind w:left="10" w:right="0" w:hanging="0"/>
              <w:jc w:val="right"/>
              <w:rPr/>
            </w:pPr>
            <w:r>
              <w:rPr/>
              <w:t>3.98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ind w:left="10" w:right="0" w:hanging="0"/>
              <w:jc w:val="right"/>
              <w:rPr/>
            </w:pPr>
            <w:r>
              <w:rPr/>
              <w:t>3.48</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Credit Adjusted Discount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ind w:left="10" w:right="0" w:hanging="0"/>
              <w:jc w:val="right"/>
              <w:rPr/>
            </w:pPr>
            <w:r>
              <w:rPr/>
              <w:t>13.44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10" w:right="0" w:hanging="0"/>
              <w:jc w:val="right"/>
              <w:rPr/>
            </w:pPr>
            <w:r>
              <w:rPr/>
              <w:t>12.03</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0"/>
              <w:ind w:left="0" w:right="0" w:hanging="144"/>
              <w:jc w:val="left"/>
              <w:rPr/>
            </w:pPr>
            <w:r>
              <w:rPr/>
              <w:t xml:space="preserve">Volatility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ind w:left="10" w:right="0" w:hanging="0"/>
              <w:jc w:val="right"/>
              <w:rPr/>
            </w:pPr>
            <w:r>
              <w:rPr/>
              <w:t>92.5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ind w:left="10" w:right="0" w:hanging="0"/>
              <w:jc w:val="right"/>
              <w:rPr/>
            </w:pPr>
            <w:r>
              <w:rPr/>
              <w:t>113</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Dividend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ind w:left="10" w:right="0" w:hanging="0"/>
              <w:jc w:val="right"/>
              <w:rPr/>
            </w:pPr>
            <w:r>
              <w:rPr/>
              <w:t>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10" w:right="0" w:hanging="0"/>
              <w:jc w:val="right"/>
              <w:rPr/>
            </w:pPr>
            <w:r>
              <w:rPr/>
              <w:t>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roll forward of the April Note derivative liability – contingent interest is as follows for the six months ended June 30, 2026 and 2025:</w:t>
      </w:r>
      <w:r>
        <w:rPr>
          <w:rFonts w:ascii="Times New Roman" w:hAnsi="Times New Roman"/>
          <w:sz w:val="20"/>
        </w:rPr>
        <w:t xml:space="preserve"> </w:t>
      </w:r>
    </w:p>
    <w:p>
      <w:pPr>
        <w:pStyle w:val="TextBody"/>
        <w:bidi w:val="0"/>
        <w:spacing w:before="0" w:after="0"/>
        <w:jc w:val="left"/>
        <w:rPr/>
      </w:pPr>
      <w:r>
        <w:rPr/>
        <w:t xml:space="preserve">  </w:t>
      </w:r>
    </w:p>
    <w:tbl>
      <w:tblPr>
        <w:tblW w:w="4410" w:type="dxa"/>
        <w:jc w:val="left"/>
        <w:tblInd w:w="0" w:type="dxa"/>
        <w:tblLayout w:type="fixed"/>
        <w:tblCellMar>
          <w:top w:w="0" w:type="dxa"/>
          <w:left w:w="0" w:type="dxa"/>
          <w:bottom w:w="0" w:type="dxa"/>
          <w:right w:w="0" w:type="dxa"/>
        </w:tblCellMar>
      </w:tblPr>
      <w:tblGrid>
        <w:gridCol w:w="3005"/>
        <w:gridCol w:w="90"/>
        <w:gridCol w:w="170"/>
        <w:gridCol w:w="1010"/>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December 31, 2025</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1,680,000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pPr>
            <w:r>
              <w:rPr>
                <w:color w:val="000000"/>
              </w:rPr>
              <w:t>Fair Value Adjustment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989,000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June 30, 2026</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2,669,000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December 31, 2024</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47,000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pPr>
            <w:r>
              <w:rPr>
                <w:color w:val="000000"/>
              </w:rPr>
              <w:t>Fair Value Adjustment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603,000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June 30,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650,000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September Note derivative liability – contingent interest was valued using a Monte Carlo Geometric Brownian Stock Path Model. The key assumptions used in the model at June 30, 2026 and December 31, 2025 are as follows:</w:t>
      </w:r>
      <w:r>
        <w:rPr>
          <w:rFonts w:ascii="Times New Roman" w:hAnsi="Times New Roman"/>
          <w:sz w:val="20"/>
        </w:rPr>
        <w:t xml:space="preserve"> </w:t>
      </w:r>
    </w:p>
    <w:p>
      <w:pPr>
        <w:pStyle w:val="TextBody"/>
        <w:bidi w:val="0"/>
        <w:spacing w:before="0" w:after="0"/>
        <w:jc w:val="both"/>
        <w:rPr/>
      </w:pPr>
      <w:r>
        <w:rPr/>
        <w:t xml:space="preserve">  </w:t>
      </w:r>
    </w:p>
    <w:tbl>
      <w:tblPr>
        <w:tblW w:w="6830" w:type="dxa"/>
        <w:jc w:val="left"/>
        <w:tblInd w:w="0" w:type="dxa"/>
        <w:tblLayout w:type="fixed"/>
        <w:tblCellMar>
          <w:top w:w="0" w:type="dxa"/>
          <w:left w:w="0" w:type="dxa"/>
          <w:bottom w:w="0" w:type="dxa"/>
          <w:right w:w="0" w:type="dxa"/>
        </w:tblCellMar>
      </w:tblPr>
      <w:tblGrid>
        <w:gridCol w:w="3815"/>
        <w:gridCol w:w="90"/>
        <w:gridCol w:w="170"/>
        <w:gridCol w:w="755"/>
        <w:gridCol w:w="245"/>
        <w:gridCol w:w="90"/>
        <w:gridCol w:w="170"/>
        <w:gridCol w:w="1205"/>
        <w:gridCol w:w="29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5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June 30,</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spacing w:val="0"/>
                <w:sz w:val="20"/>
              </w:rPr>
            </w:pPr>
            <w:r>
              <w:rPr>
                <w:b/>
                <w:spacing w:val="0"/>
                <w:sz w:val="20"/>
              </w:rPr>
              <w:t>December 31,</w:t>
              <w:br/>
              <w:t>2025</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144"/>
              <w:jc w:val="left"/>
              <w:rPr/>
            </w:pPr>
            <w:r>
              <w:rPr/>
              <w:t xml:space="preserve">Stock Price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4.16</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144"/>
              <w:jc w:val="left"/>
              <w:rPr/>
            </w:pPr>
            <w:r>
              <w:rPr/>
              <w:t xml:space="preserve">Conversion Price of conversion feature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8.64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8.64</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144"/>
              <w:jc w:val="left"/>
              <w:rPr/>
            </w:pPr>
            <w:r>
              <w:rPr/>
              <w:t xml:space="preserve">Term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1.0 </w:t>
            </w:r>
            <w:r>
              <w:rPr>
                <w:spacing w:val="0"/>
                <w:sz w:val="20"/>
              </w:rPr>
              <w:t>year</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283"/>
              <w:jc w:val="right"/>
              <w:rPr/>
            </w:pPr>
            <w:r>
              <w:rPr/>
              <w:t xml:space="preserve">1.5 years </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144"/>
              <w:jc w:val="left"/>
              <w:rPr/>
            </w:pPr>
            <w:r>
              <w:rPr/>
              <w:t xml:space="preserve">Risk Free Interest Rate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3.48</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Credit Adjusted Discount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12.03</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0"/>
              <w:ind w:left="0" w:right="0" w:hanging="144"/>
              <w:jc w:val="left"/>
              <w:rPr/>
            </w:pPr>
            <w:r>
              <w:rPr/>
              <w:t xml:space="preserve">Volatility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113</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Dividend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roll forward of the September Note derivative liability – contingent interest is as follows:</w:t>
      </w:r>
      <w:r>
        <w:rPr>
          <w:rFonts w:ascii="Times New Roman" w:hAnsi="Times New Roman"/>
          <w:sz w:val="20"/>
        </w:rPr>
        <w:t xml:space="preserve"> </w:t>
      </w:r>
    </w:p>
    <w:p>
      <w:pPr>
        <w:pStyle w:val="TextBody"/>
        <w:bidi w:val="0"/>
        <w:spacing w:before="0" w:after="0"/>
        <w:jc w:val="left"/>
        <w:rPr/>
      </w:pPr>
      <w:r>
        <w:rPr/>
        <w:t xml:space="preserve">  </w:t>
      </w:r>
    </w:p>
    <w:tbl>
      <w:tblPr>
        <w:tblW w:w="4410" w:type="dxa"/>
        <w:jc w:val="left"/>
        <w:tblInd w:w="0" w:type="dxa"/>
        <w:tblLayout w:type="fixed"/>
        <w:tblCellMar>
          <w:top w:w="0" w:type="dxa"/>
          <w:left w:w="0" w:type="dxa"/>
          <w:bottom w:w="0" w:type="dxa"/>
          <w:right w:w="0" w:type="dxa"/>
        </w:tblCellMar>
      </w:tblPr>
      <w:tblGrid>
        <w:gridCol w:w="3005"/>
        <w:gridCol w:w="90"/>
        <w:gridCol w:w="170"/>
        <w:gridCol w:w="1010"/>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144"/>
              <w:jc w:val="left"/>
              <w:rPr>
                <w:color w:val="000000"/>
              </w:rPr>
            </w:pPr>
            <w:r>
              <w:rPr>
                <w:color w:val="000000"/>
              </w:rPr>
              <w:t xml:space="preserve">Balance – December 31, 2025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924,000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color w:val="000000"/>
              </w:rPr>
            </w:pPr>
            <w:r>
              <w:rPr>
                <w:color w:val="000000"/>
              </w:rPr>
              <w:t xml:space="preserve">Fair Value Adjustment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415,000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0" w:right="0" w:hanging="144"/>
              <w:jc w:val="left"/>
              <w:rPr>
                <w:color w:val="000000"/>
              </w:rPr>
            </w:pPr>
            <w:r>
              <w:rPr>
                <w:color w:val="000000"/>
              </w:rPr>
              <w:t xml:space="preserve">Balance – June 30, 2026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1,339,000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0"/>
              <w:ind w:left="0" w:right="0" w:hanging="144"/>
              <w:jc w:val="left"/>
              <w:rPr>
                <w:color w:val="000000"/>
              </w:rPr>
            </w:pPr>
            <w:r>
              <w:rPr>
                <w:color w:val="000000"/>
              </w:rPr>
              <w:t xml:space="preserve">Balance – December 31, 2024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94,000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color w:val="000000"/>
              </w:rPr>
            </w:pPr>
            <w:r>
              <w:rPr>
                <w:color w:val="000000"/>
              </w:rPr>
              <w:t xml:space="preserve">Fair Value Adjustment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204,000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0" w:right="0" w:hanging="144"/>
              <w:jc w:val="left"/>
              <w:rPr>
                <w:color w:val="000000"/>
              </w:rPr>
            </w:pPr>
            <w:r>
              <w:rPr>
                <w:color w:val="000000"/>
              </w:rPr>
              <w:t xml:space="preserve">Balance – June 30, 2025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298,000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December Note derivative liability – contingent interest was valued using a Monte Carlo Geometric Brownian Stock Path Model. The key assumptions used in the model at June 30, 2026 and December 31, 2025 are as follows:</w:t>
      </w:r>
      <w:r>
        <w:rPr>
          <w:rFonts w:ascii="Times New Roman" w:hAnsi="Times New Roman"/>
          <w:sz w:val="20"/>
        </w:rPr>
        <w:t xml:space="preserve"> </w:t>
      </w:r>
    </w:p>
    <w:p>
      <w:pPr>
        <w:pStyle w:val="TextBody"/>
        <w:bidi w:val="0"/>
        <w:spacing w:before="0" w:after="0"/>
        <w:jc w:val="left"/>
        <w:rPr/>
      </w:pPr>
      <w:r>
        <w:rPr/>
        <w:t xml:space="preserve">  </w:t>
      </w:r>
    </w:p>
    <w:tbl>
      <w:tblPr>
        <w:tblW w:w="7220" w:type="dxa"/>
        <w:jc w:val="left"/>
        <w:tblInd w:w="0" w:type="dxa"/>
        <w:tblLayout w:type="fixed"/>
        <w:tblCellMar>
          <w:top w:w="0" w:type="dxa"/>
          <w:left w:w="0" w:type="dxa"/>
          <w:bottom w:w="0" w:type="dxa"/>
          <w:right w:w="0" w:type="dxa"/>
        </w:tblCellMar>
      </w:tblPr>
      <w:tblGrid>
        <w:gridCol w:w="3815"/>
        <w:gridCol w:w="90"/>
        <w:gridCol w:w="170"/>
        <w:gridCol w:w="905"/>
        <w:gridCol w:w="245"/>
        <w:gridCol w:w="90"/>
        <w:gridCol w:w="170"/>
        <w:gridCol w:w="1445"/>
        <w:gridCol w:w="29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June 30,</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December 31,</w:t>
              <w:br/>
              <w:t>2025</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0" w:right="0" w:hanging="0"/>
              <w:jc w:val="left"/>
              <w:rPr/>
            </w:pPr>
            <w:r>
              <w:rPr/>
              <w:t xml:space="preserve">Stock Price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2.79</w:t>
            </w:r>
          </w:p>
        </w:tc>
        <w:tc>
          <w:tcPr>
            <w:tcW w:w="245" w:type="dxa"/>
            <w:tcBorders/>
            <w:shd w:fill="CCEEFF" w:val="cle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4.16</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10" w:right="0" w:hanging="0"/>
              <w:jc w:val="left"/>
              <w:rPr/>
            </w:pPr>
            <w:r>
              <w:rPr/>
              <w:t xml:space="preserve">Conversion Price of conversion feature </w:t>
            </w:r>
          </w:p>
        </w:tc>
        <w:tc>
          <w:tcPr>
            <w:tcW w:w="90" w:type="dxa"/>
            <w:tcBorders/>
            <w:vAlign w:val="center"/>
          </w:tcPr>
          <w:p>
            <w:pPr>
              <w:pStyle w:val="TableContents"/>
              <w:bidi w:val="0"/>
              <w:spacing w:before="0" w:after="283"/>
              <w:ind w:left="10" w:right="0" w:hanging="0"/>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5.43</w:t>
            </w:r>
          </w:p>
        </w:tc>
        <w:tc>
          <w:tcPr>
            <w:tcW w:w="245" w:type="dxa"/>
            <w:tcBorders/>
            <w:vAlign w:val="center"/>
          </w:tcPr>
          <w:p>
            <w:pPr>
              <w:pStyle w:val="TableContents"/>
              <w:bidi w:val="0"/>
              <w:spacing w:before="0" w:after="283"/>
              <w:ind w:left="10" w:right="0" w:hanging="0"/>
              <w:jc w:val="left"/>
              <w:rPr/>
            </w:pPr>
            <w:r>
              <w:rPr/>
              <w:t> </w:t>
            </w:r>
          </w:p>
        </w:tc>
        <w:tc>
          <w:tcPr>
            <w:tcW w:w="90" w:type="dxa"/>
            <w:tcBorders/>
            <w:vAlign w:val="center"/>
          </w:tcPr>
          <w:p>
            <w:pPr>
              <w:pStyle w:val="TableContents"/>
              <w:bidi w:val="0"/>
              <w:spacing w:before="0" w:after="283"/>
              <w:ind w:left="10" w:right="0" w:hanging="0"/>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5.43</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144"/>
              <w:jc w:val="left"/>
              <w:rPr/>
            </w:pPr>
            <w:r>
              <w:rPr/>
              <w:t xml:space="preserve">Term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1.0 </w:t>
            </w:r>
            <w:r>
              <w:rPr>
                <w:spacing w:val="0"/>
                <w:sz w:val="20"/>
              </w:rPr>
              <w:t>year</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445" w:type="dxa"/>
            <w:tcBorders/>
            <w:shd w:fill="CCEEFF" w:val="clear"/>
            <w:vAlign w:val="center"/>
          </w:tcPr>
          <w:p>
            <w:pPr>
              <w:pStyle w:val="TableContents"/>
              <w:bidi w:val="0"/>
              <w:spacing w:before="0" w:after="283"/>
              <w:jc w:val="right"/>
              <w:rPr/>
            </w:pPr>
            <w:r>
              <w:rPr/>
              <w:t xml:space="preserve">1.5 years </w:t>
            </w:r>
          </w:p>
        </w:tc>
        <w:tc>
          <w:tcPr>
            <w:tcW w:w="29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144"/>
              <w:jc w:val="left"/>
              <w:rPr/>
            </w:pPr>
            <w:r>
              <w:rPr/>
              <w:t xml:space="preserve">Risk Free Interest Rate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10" w:right="0" w:hanging="0"/>
              <w:jc w:val="right"/>
              <w:rPr/>
            </w:pPr>
            <w:r>
              <w:rPr/>
              <w:t>3.98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ind w:left="10" w:right="0" w:hanging="0"/>
              <w:jc w:val="right"/>
              <w:rPr/>
            </w:pPr>
            <w:r>
              <w:rPr/>
              <w:t>3.48</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Credit Adjusted Discount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10" w:right="0" w:hanging="0"/>
              <w:jc w:val="right"/>
              <w:rPr/>
            </w:pPr>
            <w:r>
              <w:rPr/>
              <w:t>13.44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ind w:left="10" w:right="0" w:hanging="0"/>
              <w:jc w:val="right"/>
              <w:rPr/>
            </w:pPr>
            <w:r>
              <w:rPr/>
              <w:t>12.03</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0"/>
              <w:ind w:left="0" w:right="0" w:hanging="144"/>
              <w:jc w:val="left"/>
              <w:rPr/>
            </w:pPr>
            <w:r>
              <w:rPr/>
              <w:t xml:space="preserve">Volatility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ind w:left="10" w:right="0" w:hanging="0"/>
              <w:jc w:val="right"/>
              <w:rPr/>
            </w:pPr>
            <w:r>
              <w:rPr/>
              <w:t>92.5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ind w:left="10" w:right="0" w:hanging="0"/>
              <w:jc w:val="right"/>
              <w:rPr/>
            </w:pPr>
            <w:r>
              <w:rPr/>
              <w:t>113</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0"/>
              <w:ind w:left="0" w:right="0" w:hanging="144"/>
              <w:jc w:val="left"/>
              <w:rPr/>
            </w:pPr>
            <w:r>
              <w:rPr/>
              <w:t xml:space="preserve">Dividend Rate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ind w:left="10" w:right="0" w:hanging="0"/>
              <w:jc w:val="right"/>
              <w:rPr/>
            </w:pPr>
            <w:r>
              <w:rPr/>
              <w:t>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ind w:left="10" w:right="0" w:hanging="0"/>
              <w:jc w:val="right"/>
              <w:rPr/>
            </w:pPr>
            <w:r>
              <w:rPr/>
              <w:t>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roll forward of the December Note derivative liability – contingent interest is as follows:</w:t>
      </w:r>
      <w:r>
        <w:rPr>
          <w:rFonts w:ascii="Times New Roman" w:hAnsi="Times New Roman"/>
          <w:sz w:val="20"/>
        </w:rPr>
        <w:t xml:space="preserve"> </w:t>
      </w:r>
    </w:p>
    <w:p>
      <w:pPr>
        <w:pStyle w:val="TextBody"/>
        <w:bidi w:val="0"/>
        <w:spacing w:before="0" w:after="0"/>
        <w:jc w:val="left"/>
        <w:rPr/>
      </w:pPr>
      <w:r>
        <w:rPr/>
        <w:t xml:space="preserve">  </w:t>
      </w:r>
    </w:p>
    <w:tbl>
      <w:tblPr>
        <w:tblW w:w="4410" w:type="dxa"/>
        <w:jc w:val="left"/>
        <w:tblInd w:w="0" w:type="dxa"/>
        <w:tblLayout w:type="fixed"/>
        <w:tblCellMar>
          <w:top w:w="0" w:type="dxa"/>
          <w:left w:w="0" w:type="dxa"/>
          <w:bottom w:w="0" w:type="dxa"/>
          <w:right w:w="0" w:type="dxa"/>
        </w:tblCellMar>
      </w:tblPr>
      <w:tblGrid>
        <w:gridCol w:w="3005"/>
        <w:gridCol w:w="90"/>
        <w:gridCol w:w="170"/>
        <w:gridCol w:w="1010"/>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December 31, 2025</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1,358,000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pPr>
            <w:r>
              <w:rPr>
                <w:color w:val="000000"/>
              </w:rPr>
              <w:t>Fair Value Adjustment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769,000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June 30, 2026</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2,127,000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December 31, 2024</w:t>
            </w:r>
            <w:r>
              <w:rPr/>
              <w:t xml:space="preserve"> </w:t>
            </w:r>
          </w:p>
        </w:tc>
        <w:tc>
          <w:tcPr>
            <w:tcW w:w="90" w:type="dxa"/>
            <w:tcBorders/>
            <w:shd w:fill="CCEEFF" w:val="clear"/>
            <w:vAlign w:val="center"/>
          </w:tcPr>
          <w:p>
            <w:pPr>
              <w:pStyle w:val="TableContents"/>
              <w:bidi w:val="0"/>
              <w:spacing w:before="0" w:after="283"/>
              <w:ind w:left="5"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10" w:type="dxa"/>
            <w:tcBorders/>
            <w:shd w:fill="CCEEFF" w:val="clear"/>
            <w:vAlign w:val="center"/>
          </w:tcPr>
          <w:p>
            <w:pPr>
              <w:pStyle w:val="TableContents"/>
              <w:bidi w:val="0"/>
              <w:spacing w:before="0" w:after="283"/>
              <w:jc w:val="right"/>
              <w:rPr>
                <w:color w:val="000000"/>
              </w:rPr>
            </w:pPr>
            <w:r>
              <w:rPr>
                <w:color w:val="000000"/>
              </w:rPr>
              <w:t>275,000</w:t>
            </w:r>
          </w:p>
        </w:tc>
        <w:tc>
          <w:tcPr>
            <w:tcW w:w="135" w:type="dxa"/>
            <w:tcBorders/>
            <w:shd w:fill="CCEEFF" w:val="clear"/>
            <w:vAlign w:val="center"/>
          </w:tcPr>
          <w:p>
            <w:pPr>
              <w:pStyle w:val="TableContents"/>
              <w:bidi w:val="0"/>
              <w:spacing w:before="0" w:after="283"/>
              <w:jc w:val="left"/>
              <w:rPr>
                <w:color w:val="000000"/>
              </w:rPr>
            </w:pPr>
            <w:r>
              <w:rPr>
                <w:color w:val="000000"/>
              </w:rPr>
              <w:t> </w:t>
            </w:r>
          </w:p>
        </w:tc>
      </w:tr>
      <w:tr>
        <w:trPr/>
        <w:tc>
          <w:tcPr>
            <w:tcW w:w="3005" w:type="dxa"/>
            <w:tcBorders/>
            <w:vAlign w:val="center"/>
          </w:tcPr>
          <w:p>
            <w:pPr>
              <w:pStyle w:val="TableContents"/>
              <w:bidi w:val="0"/>
              <w:spacing w:before="0" w:after="0"/>
              <w:ind w:left="0" w:right="0" w:hanging="144"/>
              <w:jc w:val="left"/>
              <w:rPr/>
            </w:pPr>
            <w:r>
              <w:rPr>
                <w:color w:val="000000"/>
              </w:rPr>
              <w:t>Fair Value Adjustment</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314,000</w:t>
            </w:r>
          </w:p>
        </w:tc>
        <w:tc>
          <w:tcPr>
            <w:tcW w:w="13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3005" w:type="dxa"/>
            <w:tcBorders/>
            <w:shd w:fill="CCEEFF" w:val="clear"/>
            <w:vAlign w:val="center"/>
          </w:tcPr>
          <w:p>
            <w:pPr>
              <w:pStyle w:val="TableContents"/>
              <w:bidi w:val="0"/>
              <w:spacing w:before="0" w:after="0"/>
              <w:ind w:left="5" w:right="0" w:hanging="0"/>
              <w:jc w:val="left"/>
              <w:rPr/>
            </w:pPr>
            <w:r>
              <w:rPr>
                <w:color w:val="000000"/>
              </w:rPr>
              <w:t>Balance – June 30, 2025</w:t>
            </w:r>
            <w:r>
              <w:rPr/>
              <w:t xml:space="preserv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color w:val="000000"/>
              </w:rPr>
            </w:pPr>
            <w:r>
              <w:rPr>
                <w:color w:val="000000"/>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color w:val="000000"/>
              </w:rPr>
            </w:pPr>
            <w:r>
              <w:rPr>
                <w:color w:val="000000"/>
              </w:rPr>
              <w:t>589,000</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5. Stock-Based Compensation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Following is the stock-based compensation expense related to common stock options, restricted common stock, common stock warrants and deferred stock units:</w:t>
      </w:r>
      <w:r>
        <w:rPr>
          <w:rFonts w:ascii="Times New Roman" w:hAnsi="Times New Roman"/>
          <w:sz w:val="20"/>
        </w:rPr>
        <w:t xml:space="preserve"> </w:t>
      </w:r>
    </w:p>
    <w:p>
      <w:pPr>
        <w:pStyle w:val="TextBody"/>
        <w:bidi w:val="0"/>
        <w:spacing w:before="0" w:after="0"/>
        <w:jc w:val="left"/>
        <w:rPr/>
      </w:pPr>
      <w:r>
        <w:rPr/>
        <w:t xml:space="preserve">  </w:t>
      </w:r>
    </w:p>
    <w:tbl>
      <w:tblPr>
        <w:tblW w:w="8898" w:type="dxa"/>
        <w:jc w:val="left"/>
        <w:tblInd w:w="0" w:type="dxa"/>
        <w:tblLayout w:type="fixed"/>
        <w:tblCellMar>
          <w:top w:w="0" w:type="dxa"/>
          <w:left w:w="0" w:type="dxa"/>
          <w:bottom w:w="0" w:type="dxa"/>
          <w:right w:w="0" w:type="dxa"/>
        </w:tblCellMar>
      </w:tblPr>
      <w:tblGrid>
        <w:gridCol w:w="3980"/>
        <w:gridCol w:w="90"/>
        <w:gridCol w:w="170"/>
        <w:gridCol w:w="841"/>
        <w:gridCol w:w="142"/>
        <w:gridCol w:w="142"/>
        <w:gridCol w:w="270"/>
        <w:gridCol w:w="841"/>
        <w:gridCol w:w="90"/>
        <w:gridCol w:w="90"/>
        <w:gridCol w:w="170"/>
        <w:gridCol w:w="778"/>
        <w:gridCol w:w="118"/>
        <w:gridCol w:w="118"/>
        <w:gridCol w:w="224"/>
        <w:gridCol w:w="699"/>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r>
          </w:p>
        </w:tc>
        <w:tc>
          <w:tcPr>
            <w:tcW w:w="2236"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Three Months Ended</w:t>
              <w:br/>
              <w:t>June 30,</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r>
          </w:p>
        </w:tc>
        <w:tc>
          <w:tcPr>
            <w:tcW w:w="1937" w:type="dxa"/>
            <w:gridSpan w:val="5"/>
            <w:tcBorders>
              <w:bottom w:val="single" w:sz="12" w:space="0" w:color="000000"/>
            </w:tcBorders>
            <w:tcMar>
              <w:bottom w:w="28" w:type="dxa"/>
            </w:tcMar>
            <w:vAlign w:val="center"/>
          </w:tcPr>
          <w:p>
            <w:pPr>
              <w:pStyle w:val="TableContents"/>
              <w:bidi w:val="0"/>
              <w:spacing w:before="0" w:after="283"/>
              <w:jc w:val="center"/>
              <w:rPr/>
            </w:pPr>
            <w:r>
              <w:rPr>
                <w:b/>
                <w:spacing w:val="0"/>
              </w:rPr>
              <w:t>Six Months Ended</w:t>
              <w:br/>
              <w:t>June 30,</w:t>
            </w:r>
            <w:r>
              <w:rPr/>
              <w:t xml:space="preserve"> </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1"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142"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r>
          </w:p>
        </w:tc>
        <w:tc>
          <w:tcPr>
            <w:tcW w:w="2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41"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78"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center"/>
              <w:rPr/>
            </w:pPr>
            <w:r>
              <w:rPr/>
              <w:t> </w:t>
            </w:r>
          </w:p>
        </w:tc>
        <w:tc>
          <w:tcPr>
            <w:tcW w:w="22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99" w:type="dxa"/>
            <w:tcBorders>
              <w:bottom w:val="single" w:sz="12" w:space="0" w:color="000000"/>
            </w:tcBorders>
            <w:tcMar>
              <w:bottom w:w="28" w:type="dxa"/>
            </w:tcMar>
            <w:vAlign w:val="center"/>
          </w:tcPr>
          <w:p>
            <w:pPr>
              <w:pStyle w:val="TableContents"/>
              <w:bidi w:val="0"/>
              <w:spacing w:before="0" w:after="283"/>
              <w:jc w:val="center"/>
              <w:rPr>
                <w:b/>
                <w:spacing w:val="0"/>
              </w:rPr>
            </w:pPr>
            <w:r>
              <w:rPr>
                <w:b/>
                <w:spacing w:val="0"/>
              </w:rPr>
              <w:t>2025</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4783" w:type="dxa"/>
            <w:gridSpan w:val="15"/>
            <w:tcBorders/>
            <w:vAlign w:val="center"/>
          </w:tcPr>
          <w:p>
            <w:pPr>
              <w:pStyle w:val="TableContents"/>
              <w:bidi w:val="0"/>
              <w:spacing w:before="0" w:after="283"/>
              <w:jc w:val="center"/>
              <w:rPr/>
            </w:pPr>
            <w:r>
              <w:rPr>
                <w:i/>
              </w:rPr>
              <w:t>in thousands</w:t>
            </w:r>
            <w:r>
              <w:rPr/>
              <w:t xml:space="preserve"> </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5" w:right="0" w:hanging="0"/>
              <w:jc w:val="left"/>
              <w:rPr/>
            </w:pPr>
            <w:r>
              <w:rPr/>
              <w:t xml:space="preserve">Research and development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624</w:t>
            </w:r>
          </w:p>
        </w:tc>
        <w:tc>
          <w:tcPr>
            <w:tcW w:w="142" w:type="dxa"/>
            <w:tcBorders/>
            <w:shd w:fill="CCEEFF" w:val="clear"/>
            <w:vAlign w:val="center"/>
          </w:tcPr>
          <w:p>
            <w:pPr>
              <w:pStyle w:val="TableContents"/>
              <w:bidi w:val="0"/>
              <w:spacing w:before="0" w:after="283"/>
              <w:ind w:left="5" w:right="0" w:hanging="0"/>
              <w:jc w:val="left"/>
              <w:rPr/>
            </w:pPr>
            <w:r>
              <w:rPr/>
              <w:t> </w:t>
            </w:r>
          </w:p>
        </w:tc>
        <w:tc>
          <w:tcPr>
            <w:tcW w:w="142" w:type="dxa"/>
            <w:tcBorders/>
            <w:shd w:fill="CCEEFF" w:val="clear"/>
            <w:vAlign w:val="center"/>
          </w:tcPr>
          <w:p>
            <w:pPr>
              <w:pStyle w:val="TableContents"/>
              <w:bidi w:val="0"/>
              <w:spacing w:before="0" w:after="283"/>
              <w:ind w:left="5" w:right="0" w:hanging="0"/>
              <w:jc w:val="left"/>
              <w:rPr/>
            </w:pPr>
            <w:r>
              <w:rPr/>
              <w:t> </w:t>
            </w:r>
          </w:p>
        </w:tc>
        <w:tc>
          <w:tcPr>
            <w:tcW w:w="270"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254</w:t>
            </w:r>
          </w:p>
        </w:tc>
        <w:tc>
          <w:tcPr>
            <w:tcW w:w="90" w:type="dxa"/>
            <w:tcBorders/>
            <w:shd w:fill="CCEEFF" w:val="clear"/>
            <w:vAlign w:val="center"/>
          </w:tcPr>
          <w:p>
            <w:pPr>
              <w:pStyle w:val="TableContents"/>
              <w:bidi w:val="0"/>
              <w:spacing w:before="0" w:after="283"/>
              <w:ind w:left="5" w:right="0" w:hanging="0"/>
              <w:jc w:val="left"/>
              <w:rPr/>
            </w:pPr>
            <w:r>
              <w:rPr/>
              <w:t> </w:t>
            </w:r>
          </w:p>
        </w:tc>
        <w:tc>
          <w:tcPr>
            <w:tcW w:w="90" w:type="dxa"/>
            <w:tcBorders/>
            <w:shd w:fill="CCEEFF" w:val="clear"/>
            <w:vAlign w:val="center"/>
          </w:tcPr>
          <w:p>
            <w:pPr>
              <w:pStyle w:val="TableContents"/>
              <w:bidi w:val="0"/>
              <w:spacing w:before="0" w:after="283"/>
              <w:ind w:left="5"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1,115</w:t>
            </w:r>
          </w:p>
        </w:tc>
        <w:tc>
          <w:tcPr>
            <w:tcW w:w="118" w:type="dxa"/>
            <w:tcBorders/>
            <w:shd w:fill="CCEEFF" w:val="clear"/>
            <w:vAlign w:val="center"/>
          </w:tcPr>
          <w:p>
            <w:pPr>
              <w:pStyle w:val="TableContents"/>
              <w:bidi w:val="0"/>
              <w:spacing w:before="0" w:after="283"/>
              <w:ind w:left="5" w:right="0" w:hanging="0"/>
              <w:jc w:val="left"/>
              <w:rPr/>
            </w:pPr>
            <w:r>
              <w:rPr/>
              <w:t> </w:t>
            </w:r>
          </w:p>
        </w:tc>
        <w:tc>
          <w:tcPr>
            <w:tcW w:w="118" w:type="dxa"/>
            <w:tcBorders/>
            <w:shd w:fill="CCEEFF" w:val="clear"/>
            <w:vAlign w:val="center"/>
          </w:tcPr>
          <w:p>
            <w:pPr>
              <w:pStyle w:val="TableContents"/>
              <w:bidi w:val="0"/>
              <w:spacing w:before="0" w:after="283"/>
              <w:ind w:left="5" w:right="0" w:hanging="0"/>
              <w:jc w:val="left"/>
              <w:rPr/>
            </w:pPr>
            <w:r>
              <w:rPr/>
              <w:t> </w:t>
            </w:r>
          </w:p>
        </w:tc>
        <w:tc>
          <w:tcPr>
            <w:tcW w:w="224" w:type="dxa"/>
            <w:tcBorders/>
            <w:shd w:fill="CCEEFF" w:val="clear"/>
            <w:vAlign w:val="center"/>
          </w:tcPr>
          <w:p>
            <w:pPr>
              <w:pStyle w:val="TableContents"/>
              <w:bidi w:val="0"/>
              <w:spacing w:before="0" w:after="283"/>
              <w:jc w:val="left"/>
              <w:rPr/>
            </w:pPr>
            <w:r>
              <w:rPr/>
              <w:t>$</w:t>
            </w:r>
          </w:p>
        </w:tc>
        <w:tc>
          <w:tcPr>
            <w:tcW w:w="699" w:type="dxa"/>
            <w:tcBorders/>
            <w:shd w:fill="CCEEFF" w:val="clear"/>
            <w:vAlign w:val="center"/>
          </w:tcPr>
          <w:p>
            <w:pPr>
              <w:pStyle w:val="TableContents"/>
              <w:bidi w:val="0"/>
              <w:spacing w:before="0" w:after="283"/>
              <w:jc w:val="right"/>
              <w:rPr/>
            </w:pPr>
            <w:r>
              <w:rPr/>
              <w:t>530</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144"/>
              <w:jc w:val="left"/>
              <w:rPr/>
            </w:pPr>
            <w:r>
              <w:rPr/>
              <w:t xml:space="preserve">General and administrative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before="0" w:after="283"/>
              <w:jc w:val="right"/>
              <w:rPr/>
            </w:pPr>
            <w:r>
              <w:rPr/>
              <w:t>339</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1" w:type="dxa"/>
            <w:tcBorders>
              <w:bottom w:val="single" w:sz="12" w:space="0" w:color="000000"/>
            </w:tcBorders>
            <w:tcMar>
              <w:bottom w:w="28" w:type="dxa"/>
            </w:tcMar>
            <w:vAlign w:val="center"/>
          </w:tcPr>
          <w:p>
            <w:pPr>
              <w:pStyle w:val="TableContents"/>
              <w:bidi w:val="0"/>
              <w:spacing w:before="0" w:after="283"/>
              <w:jc w:val="right"/>
              <w:rPr/>
            </w:pPr>
            <w:r>
              <w:rPr/>
              <w:t>246</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tcMar>
              <w:bottom w:w="28" w:type="dxa"/>
            </w:tcMar>
            <w:vAlign w:val="center"/>
          </w:tcPr>
          <w:p>
            <w:pPr>
              <w:pStyle w:val="TableContents"/>
              <w:bidi w:val="0"/>
              <w:spacing w:before="0" w:after="283"/>
              <w:jc w:val="right"/>
              <w:rPr/>
            </w:pPr>
            <w:r>
              <w:rPr/>
              <w:t>623</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pPr>
            <w:r>
              <w:rPr/>
              <w:t>436</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5" w:right="0" w:hanging="0"/>
              <w:jc w:val="left"/>
              <w:rPr/>
            </w:pPr>
            <w:r>
              <w:rPr/>
              <w:t xml:space="preserve">Total stock-based compensation expense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963</w:t>
            </w:r>
          </w:p>
        </w:tc>
        <w:tc>
          <w:tcPr>
            <w:tcW w:w="142"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1,738</w:t>
            </w:r>
          </w:p>
        </w:tc>
        <w:tc>
          <w:tcPr>
            <w:tcW w:w="118"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ind w:left="5" w:right="0" w:hanging="0"/>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966</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summarizes the stock option activity in the Company’s equity incentive plans, including non-plan grants to Company executives, from December 31, 2025 through June 30, 2026:</w:t>
      </w:r>
      <w:r>
        <w:rPr>
          <w:rFonts w:ascii="Times New Roman" w:hAnsi="Times New Roman"/>
          <w:sz w:val="20"/>
        </w:rPr>
        <w:t xml:space="preserve"> </w:t>
      </w:r>
    </w:p>
    <w:p>
      <w:pPr>
        <w:pStyle w:val="TextBody"/>
        <w:bidi w:val="0"/>
        <w:spacing w:before="0" w:after="0"/>
        <w:jc w:val="left"/>
        <w:rPr/>
      </w:pPr>
      <w:r>
        <w:rPr/>
        <w:t xml:space="preserve">  </w:t>
      </w:r>
    </w:p>
    <w:tbl>
      <w:tblPr>
        <w:tblW w:w="6070" w:type="dxa"/>
        <w:jc w:val="left"/>
        <w:tblInd w:w="0" w:type="dxa"/>
        <w:tblLayout w:type="fixed"/>
        <w:tblCellMar>
          <w:top w:w="0" w:type="dxa"/>
          <w:left w:w="0" w:type="dxa"/>
          <w:bottom w:w="0" w:type="dxa"/>
          <w:right w:w="0" w:type="dxa"/>
        </w:tblCellMar>
      </w:tblPr>
      <w:tblGrid>
        <w:gridCol w:w="3275"/>
        <w:gridCol w:w="90"/>
        <w:gridCol w:w="90"/>
        <w:gridCol w:w="1010"/>
        <w:gridCol w:w="185"/>
        <w:gridCol w:w="90"/>
        <w:gridCol w:w="170"/>
        <w:gridCol w:w="1025"/>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pPr>
            <w:r>
              <w:rPr>
                <w:b/>
                <w:color w:val="000000"/>
              </w:rPr>
              <w:t>Shares</w:t>
            </w:r>
            <w:r>
              <w:rPr>
                <w:color w:val="000000"/>
              </w:rPr>
              <w:t> </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center"/>
              <w:rPr/>
            </w:pPr>
            <w:r>
              <w:rPr>
                <w:b/>
                <w:color w:val="000000"/>
              </w:rPr>
              <w:t>Weighted</w:t>
              <w:br/>
              <w:t>Average</w:t>
              <w:br/>
              <w:t>Exercise</w:t>
              <w:br/>
              <w:t>Price</w:t>
            </w:r>
            <w:r>
              <w:rPr>
                <w:color w:val="000000"/>
              </w:rPr>
              <w:t> </w:t>
            </w:r>
            <w:r>
              <w:rPr/>
              <w:t xml:space="preserve"> </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color w:val="000000"/>
              </w:rPr>
              <w:t>Outstanding, December 31, 2025</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color w:val="000000"/>
              </w:rPr>
            </w:pPr>
            <w:r>
              <w:rPr>
                <w:color w:val="000000"/>
              </w:rPr>
              <w:t>6,572,509</w:t>
            </w:r>
          </w:p>
        </w:tc>
        <w:tc>
          <w:tcPr>
            <w:tcW w:w="185" w:type="dxa"/>
            <w:tcBorders/>
            <w:shd w:fill="CCEEFF" w:val="cle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25" w:type="dxa"/>
            <w:tcBorders/>
            <w:shd w:fill="CCEEFF" w:val="clear"/>
            <w:vAlign w:val="center"/>
          </w:tcPr>
          <w:p>
            <w:pPr>
              <w:pStyle w:val="TableContents"/>
              <w:bidi w:val="0"/>
              <w:spacing w:before="0" w:after="283"/>
              <w:jc w:val="right"/>
              <w:rPr>
                <w:color w:val="000000"/>
              </w:rPr>
            </w:pPr>
            <w:r>
              <w:rPr>
                <w:color w:val="000000"/>
              </w:rPr>
              <w:t>2.27</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275" w:type="dxa"/>
            <w:tcBorders/>
            <w:vAlign w:val="center"/>
          </w:tcPr>
          <w:p>
            <w:pPr>
              <w:pStyle w:val="TableContents"/>
              <w:bidi w:val="0"/>
              <w:spacing w:before="0" w:after="0"/>
              <w:jc w:val="left"/>
              <w:rPr/>
            </w:pPr>
            <w:r>
              <w:rPr>
                <w:color w:val="000000"/>
              </w:rPr>
              <w:t>Granted</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color w:val="000000"/>
              </w:rPr>
            </w:pPr>
            <w:r>
              <w:rPr>
                <w:color w:val="000000"/>
              </w:rPr>
              <w:t>1,020,000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color w:val="000000"/>
              </w:rPr>
            </w:pPr>
            <w:r>
              <w:rPr>
                <w:color w:val="000000"/>
              </w:rPr>
              <w:t>3.05</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color w:val="000000"/>
              </w:rPr>
              <w:t>Exercised</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ind w:left="10" w:right="0" w:hanging="0"/>
              <w:jc w:val="right"/>
              <w:rPr>
                <w:color w:val="000000"/>
              </w:rPr>
            </w:pPr>
            <w:r>
              <w:rPr>
                <w:color w:val="000000"/>
              </w:rPr>
              <w:t>(347,245</w:t>
            </w:r>
          </w:p>
        </w:tc>
        <w:tc>
          <w:tcPr>
            <w:tcW w:w="185" w:type="dxa"/>
            <w:tcBorders/>
            <w:shd w:fill="CCEEFF" w:val="clear"/>
            <w:vAlign w:val="center"/>
          </w:tcPr>
          <w:p>
            <w:pPr>
              <w:pStyle w:val="TableContents"/>
              <w:bidi w:val="0"/>
              <w:spacing w:before="0" w:after="283"/>
              <w:jc w:val="left"/>
              <w:rPr>
                <w:color w:val="000000"/>
              </w:rPr>
            </w:pPr>
            <w:r>
              <w:rPr>
                <w:color w:val="000000"/>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color w:val="000000"/>
              </w:rPr>
            </w:pPr>
            <w:r>
              <w:rPr>
                <w:color w:val="000000"/>
              </w:rPr>
              <w:t>1.61</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275" w:type="dxa"/>
            <w:tcBorders/>
            <w:vAlign w:val="center"/>
          </w:tcPr>
          <w:p>
            <w:pPr>
              <w:pStyle w:val="TableContents"/>
              <w:bidi w:val="0"/>
              <w:spacing w:before="0" w:after="0"/>
              <w:jc w:val="left"/>
              <w:rPr/>
            </w:pPr>
            <w:r>
              <w:rPr>
                <w:color w:val="000000"/>
              </w:rPr>
              <w:t>Options forfeited/cancelled</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ind w:left="10" w:right="0" w:hanging="0"/>
              <w:jc w:val="right"/>
              <w:rPr>
                <w:color w:val="000000"/>
              </w:rPr>
            </w:pPr>
            <w:r>
              <w:rPr>
                <w:color w:val="000000"/>
              </w:rPr>
              <w:t>(211,583</w:t>
            </w:r>
          </w:p>
        </w:tc>
        <w:tc>
          <w:tcPr>
            <w:tcW w:w="185" w:type="dxa"/>
            <w:tcBorders>
              <w:bottom w:val="single" w:sz="12" w:space="0" w:color="000000"/>
            </w:tcBorders>
            <w:tcMar>
              <w:bottom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color w:val="000000"/>
              </w:rPr>
            </w:pPr>
            <w:r>
              <w:rPr>
                <w:color w:val="000000"/>
              </w:rPr>
              <w:t>2.72</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color w:val="000000"/>
              </w:rPr>
              <w:t>Outstanding, June 30, 2026</w:t>
            </w:r>
            <w:r>
              <w:rPr/>
              <w:t xml:space="preserve">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7,033,681</w:t>
            </w:r>
          </w:p>
        </w:tc>
        <w:tc>
          <w:tcPr>
            <w:tcW w:w="185" w:type="dxa"/>
            <w:tcBorders>
              <w:bottom w:val="double" w:sz="8" w:space="0" w:color="000000"/>
            </w:tcBorders>
            <w:shd w:fill="CCEEFF" w:val="clear"/>
            <w:tcMar>
              <w:bottom w:w="28" w:type="dxa"/>
            </w:tcMar>
            <w:vAlign w:val="center"/>
          </w:tcPr>
          <w:p>
            <w:pPr>
              <w:pStyle w:val="TableContents"/>
              <w:bidi w:val="0"/>
              <w:spacing w:before="0" w:after="283"/>
              <w:ind w:left="10" w:right="0" w:hanging="0"/>
              <w:jc w:val="left"/>
              <w:rPr/>
            </w:pPr>
            <w:r>
              <w:rPr/>
              <w:t> </w:t>
            </w:r>
          </w:p>
        </w:tc>
        <w:tc>
          <w:tcPr>
            <w:tcW w:w="90" w:type="dxa"/>
            <w:tcBorders/>
            <w:shd w:fill="CCEEFF" w:val="clear"/>
            <w:vAlign w:val="center"/>
          </w:tcPr>
          <w:p>
            <w:pPr>
              <w:pStyle w:val="TableContents"/>
              <w:bidi w:val="0"/>
              <w:spacing w:before="0" w:after="283"/>
              <w:ind w:left="10" w:right="0" w:hanging="0"/>
              <w:jc w:val="left"/>
              <w:rPr>
                <w:color w:val="000000"/>
              </w:rPr>
            </w:pPr>
            <w:r>
              <w:rPr>
                <w:color w:val="000000"/>
              </w:rPr>
              <w:t> </w:t>
            </w:r>
          </w:p>
        </w:tc>
        <w:tc>
          <w:tcPr>
            <w:tcW w:w="170" w:type="dxa"/>
            <w:tcBorders/>
            <w:shd w:fill="CCEEFF" w:val="clear"/>
            <w:vAlign w:val="center"/>
          </w:tcPr>
          <w:p>
            <w:pPr>
              <w:pStyle w:val="TableContents"/>
              <w:bidi w:val="0"/>
              <w:spacing w:before="0" w:after="283"/>
              <w:jc w:val="left"/>
              <w:rPr>
                <w:color w:val="000000"/>
              </w:rPr>
            </w:pPr>
            <w:r>
              <w:rPr>
                <w:color w:val="000000"/>
              </w:rPr>
              <w:t>$</w:t>
            </w:r>
          </w:p>
        </w:tc>
        <w:tc>
          <w:tcPr>
            <w:tcW w:w="1025" w:type="dxa"/>
            <w:tcBorders/>
            <w:shd w:fill="CCEEFF" w:val="clear"/>
            <w:vAlign w:val="center"/>
          </w:tcPr>
          <w:p>
            <w:pPr>
              <w:pStyle w:val="TableContents"/>
              <w:bidi w:val="0"/>
              <w:spacing w:before="0" w:after="283"/>
              <w:jc w:val="right"/>
              <w:rPr>
                <w:color w:val="000000"/>
              </w:rPr>
            </w:pPr>
            <w:r>
              <w:rPr>
                <w:color w:val="000000"/>
              </w:rPr>
              <w:t>2.40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As of June 30, 2026, there was $1,560,100 of unrecognized compensation related to 1,089,584 unvested options, which is expected to be recognized over a weighted–average period of approximately 0.7 years. The weighted-average grant date fair value for options granted during the six months ended June 30, 2026 was $2.22. The Company granted 1,020,000 stock options during the six months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fair value of all other options granted is determined using the Black-Scholes option-pricing model. The following weighted average assumptions were used:</w:t>
      </w:r>
      <w:r>
        <w:rPr>
          <w:rFonts w:ascii="Times New Roman" w:hAnsi="Times New Roman"/>
          <w:sz w:val="20"/>
        </w:rPr>
        <w:t xml:space="preserve"> </w:t>
      </w:r>
    </w:p>
    <w:p>
      <w:pPr>
        <w:pStyle w:val="TextBody"/>
        <w:bidi w:val="0"/>
        <w:spacing w:before="0" w:after="0"/>
        <w:jc w:val="left"/>
        <w:rPr/>
      </w:pPr>
      <w:r>
        <w:rPr/>
        <w:t xml:space="preserve">  </w:t>
      </w:r>
    </w:p>
    <w:tbl>
      <w:tblPr>
        <w:tblW w:w="6955" w:type="dxa"/>
        <w:jc w:val="left"/>
        <w:tblInd w:w="0" w:type="dxa"/>
        <w:tblLayout w:type="fixed"/>
        <w:tblCellMar>
          <w:top w:w="0" w:type="dxa"/>
          <w:left w:w="0" w:type="dxa"/>
          <w:bottom w:w="0" w:type="dxa"/>
          <w:right w:w="0" w:type="dxa"/>
        </w:tblCellMar>
      </w:tblPr>
      <w:tblGrid>
        <w:gridCol w:w="4130"/>
        <w:gridCol w:w="90"/>
        <w:gridCol w:w="90"/>
        <w:gridCol w:w="965"/>
        <w:gridCol w:w="245"/>
        <w:gridCol w:w="90"/>
        <w:gridCol w:w="90"/>
        <w:gridCol w:w="965"/>
        <w:gridCol w:w="290"/>
      </w:tblGrid>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pPr>
            <w:r>
              <w:rPr>
                <w:b/>
                <w:color w:val="000000"/>
              </w:rPr>
              <w:t>Three</w:t>
              <w:br/>
              <w:t>Months</w:t>
              <w:br/>
              <w:t>Ended</w:t>
              <w:br/>
              <w:t>June 30,</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pPr>
            <w:r>
              <w:rPr>
                <w:b/>
                <w:color w:val="000000"/>
              </w:rPr>
              <w:t>Three</w:t>
              <w:br/>
              <w:t>Months</w:t>
              <w:br/>
              <w:t>Ended</w:t>
              <w:br/>
              <w:t>June 30,</w:t>
            </w:r>
            <w:r>
              <w:rPr/>
              <w:t xml:space="preserve"> </w:t>
            </w:r>
          </w:p>
        </w:tc>
        <w:tc>
          <w:tcPr>
            <w:tcW w:w="29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pPr>
            <w:r>
              <w:rPr>
                <w:b/>
                <w:color w:val="000000"/>
              </w:rPr>
              <w:t>2026</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tcMar>
              <w:bottom w:w="28" w:type="dxa"/>
            </w:tcMar>
            <w:vAlign w:val="center"/>
          </w:tcPr>
          <w:p>
            <w:pPr>
              <w:pStyle w:val="TableContents"/>
              <w:bidi w:val="0"/>
              <w:spacing w:before="0" w:after="283"/>
              <w:jc w:val="center"/>
              <w:rPr/>
            </w:pPr>
            <w:r>
              <w:rPr>
                <w:b/>
                <w:color w:val="000000"/>
              </w:rPr>
              <w:t>2025</w:t>
            </w:r>
            <w:r>
              <w:rPr/>
              <w:t xml:space="preserve"> </w:t>
            </w:r>
          </w:p>
        </w:tc>
        <w:tc>
          <w:tcPr>
            <w:tcW w:w="29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144"/>
              <w:jc w:val="left"/>
              <w:rPr/>
            </w:pPr>
            <w:r>
              <w:rPr>
                <w:color w:val="000000"/>
              </w:rPr>
              <w:t>Risk-free interest rate</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ind w:left="10" w:right="0" w:hanging="0"/>
              <w:jc w:val="right"/>
              <w:rPr>
                <w:color w:val="000000"/>
              </w:rPr>
            </w:pPr>
            <w:r>
              <w:rPr>
                <w:color w:val="000000"/>
              </w:rPr>
              <w:t>3.84</w:t>
            </w:r>
          </w:p>
        </w:tc>
        <w:tc>
          <w:tcPr>
            <w:tcW w:w="245" w:type="dxa"/>
            <w:tcBorders/>
            <w:shd w:fill="CCEEFF" w:val="clear"/>
            <w:vAlign w:val="center"/>
          </w:tcPr>
          <w:p>
            <w:pPr>
              <w:pStyle w:val="TableContents"/>
              <w:bidi w:val="0"/>
              <w:spacing w:before="0" w:after="283"/>
              <w:jc w:val="left"/>
              <w:rPr>
                <w:color w:val="000000"/>
              </w:rPr>
            </w:pPr>
            <w:r>
              <w:rPr>
                <w:color w:val="000000"/>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ind w:left="10" w:right="0" w:hanging="0"/>
              <w:jc w:val="right"/>
              <w:rPr>
                <w:color w:val="000000"/>
              </w:rPr>
            </w:pPr>
            <w:r>
              <w:rPr>
                <w:color w:val="000000"/>
              </w:rPr>
              <w:t>4.48</w:t>
            </w:r>
          </w:p>
        </w:tc>
        <w:tc>
          <w:tcPr>
            <w:tcW w:w="290" w:type="dxa"/>
            <w:tcBorders/>
            <w:shd w:fill="CCEEFF" w:val="clear"/>
            <w:vAlign w:val="center"/>
          </w:tcPr>
          <w:p>
            <w:pPr>
              <w:pStyle w:val="TableContents"/>
              <w:bidi w:val="0"/>
              <w:spacing w:before="0" w:after="283"/>
              <w:jc w:val="left"/>
              <w:rPr>
                <w:color w:val="000000"/>
              </w:rPr>
            </w:pPr>
            <w:r>
              <w:rPr>
                <w:color w:val="000000"/>
              </w:rPr>
              <w:t>%</w:t>
            </w:r>
          </w:p>
        </w:tc>
      </w:tr>
      <w:tr>
        <w:trPr/>
        <w:tc>
          <w:tcPr>
            <w:tcW w:w="4130" w:type="dxa"/>
            <w:tcBorders/>
            <w:vAlign w:val="center"/>
          </w:tcPr>
          <w:p>
            <w:pPr>
              <w:pStyle w:val="TableContents"/>
              <w:bidi w:val="0"/>
              <w:spacing w:before="0" w:after="0"/>
              <w:ind w:left="0" w:right="0" w:hanging="144"/>
              <w:jc w:val="left"/>
              <w:rPr/>
            </w:pPr>
            <w:r>
              <w:rPr>
                <w:color w:val="000000"/>
              </w:rPr>
              <w:t>Expected life of the options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color w:val="000000"/>
              </w:rPr>
            </w:pPr>
            <w:r>
              <w:rPr>
                <w:color w:val="000000"/>
              </w:rPr>
              <w:t xml:space="preserve">5.6 years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color w:val="000000"/>
              </w:rPr>
            </w:pPr>
            <w:r>
              <w:rPr>
                <w:color w:val="000000"/>
              </w:rPr>
              <w:t xml:space="preserve">5.6 years </w:t>
            </w:r>
          </w:p>
        </w:tc>
        <w:tc>
          <w:tcPr>
            <w:tcW w:w="29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144"/>
              <w:jc w:val="left"/>
              <w:rPr/>
            </w:pPr>
            <w:r>
              <w:rPr>
                <w:color w:val="000000"/>
              </w:rPr>
              <w:t>Expected volatility of the underlying stock</w:t>
            </w:r>
            <w:r>
              <w:rPr/>
              <w:t xml:space="preserve">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ind w:left="10" w:right="0" w:hanging="0"/>
              <w:jc w:val="right"/>
              <w:rPr>
                <w:color w:val="000000"/>
              </w:rPr>
            </w:pPr>
            <w:r>
              <w:rPr>
                <w:color w:val="000000"/>
              </w:rPr>
              <w:t>88</w:t>
            </w:r>
          </w:p>
        </w:tc>
        <w:tc>
          <w:tcPr>
            <w:tcW w:w="245" w:type="dxa"/>
            <w:tcBorders/>
            <w:shd w:fill="CCEEFF" w:val="clear"/>
            <w:vAlign w:val="center"/>
          </w:tcPr>
          <w:p>
            <w:pPr>
              <w:pStyle w:val="TableContents"/>
              <w:bidi w:val="0"/>
              <w:spacing w:before="0" w:after="283"/>
              <w:jc w:val="left"/>
              <w:rPr>
                <w:color w:val="000000"/>
              </w:rPr>
            </w:pPr>
            <w:r>
              <w:rPr>
                <w:color w:val="000000"/>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ind w:left="10" w:right="0" w:hanging="0"/>
              <w:jc w:val="right"/>
              <w:rPr>
                <w:color w:val="000000"/>
              </w:rPr>
            </w:pPr>
            <w:r>
              <w:rPr>
                <w:color w:val="000000"/>
              </w:rPr>
              <w:t>83</w:t>
            </w:r>
          </w:p>
        </w:tc>
        <w:tc>
          <w:tcPr>
            <w:tcW w:w="290" w:type="dxa"/>
            <w:tcBorders/>
            <w:shd w:fill="CCEEFF" w:val="clear"/>
            <w:vAlign w:val="center"/>
          </w:tcPr>
          <w:p>
            <w:pPr>
              <w:pStyle w:val="TableContents"/>
              <w:bidi w:val="0"/>
              <w:spacing w:before="0" w:after="283"/>
              <w:jc w:val="left"/>
              <w:rPr>
                <w:color w:val="000000"/>
              </w:rPr>
            </w:pPr>
            <w:r>
              <w:rPr>
                <w:color w:val="000000"/>
              </w:rPr>
              <w:t>%</w:t>
            </w:r>
          </w:p>
        </w:tc>
      </w:tr>
      <w:tr>
        <w:trPr/>
        <w:tc>
          <w:tcPr>
            <w:tcW w:w="4130" w:type="dxa"/>
            <w:tcBorders/>
            <w:vAlign w:val="center"/>
          </w:tcPr>
          <w:p>
            <w:pPr>
              <w:pStyle w:val="TableContents"/>
              <w:bidi w:val="0"/>
              <w:spacing w:before="0" w:after="0"/>
              <w:ind w:left="0" w:right="0" w:hanging="144"/>
              <w:jc w:val="left"/>
              <w:rPr/>
            </w:pPr>
            <w:r>
              <w:rPr>
                <w:color w:val="000000"/>
              </w:rPr>
              <w:t>Expected dividend rate</w:t>
            </w:r>
            <w:r>
              <w:rPr/>
              <w:t xml:space="preserv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ind w:left="10" w:right="0" w:hanging="0"/>
              <w:jc w:val="right"/>
              <w:rPr>
                <w:color w:val="000000"/>
              </w:rPr>
            </w:pPr>
            <w:r>
              <w:rPr>
                <w:color w:val="000000"/>
              </w:rPr>
              <w:t>0</w:t>
            </w:r>
          </w:p>
        </w:tc>
        <w:tc>
          <w:tcPr>
            <w:tcW w:w="245" w:type="dxa"/>
            <w:tcBorders/>
            <w:vAlign w:val="center"/>
          </w:tcPr>
          <w:p>
            <w:pPr>
              <w:pStyle w:val="TableContents"/>
              <w:bidi w:val="0"/>
              <w:spacing w:before="0" w:after="283"/>
              <w:jc w:val="left"/>
              <w:rPr>
                <w:color w:val="000000"/>
              </w:rPr>
            </w:pPr>
            <w:r>
              <w:rPr>
                <w:color w:val="000000"/>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ind w:left="10" w:right="0" w:hanging="0"/>
              <w:jc w:val="right"/>
              <w:rPr>
                <w:color w:val="000000"/>
              </w:rPr>
            </w:pPr>
            <w:r>
              <w:rPr>
                <w:color w:val="000000"/>
              </w:rPr>
              <w:t>0</w:t>
            </w:r>
          </w:p>
        </w:tc>
        <w:tc>
          <w:tcPr>
            <w:tcW w:w="290" w:type="dxa"/>
            <w:tcBorders/>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In January 2026, the Company’s board chairman elected to take restricted stock grants in lieu of cash retainers for 2025. A total of 13,158 shares of restricted stock valued at approximately $40,000 is being amortized to expense on a straight-line basis until December 31, 2026 when the stock vests in full. In January 2025, the Company’s board chairman elected to take restricted stock grants in lieu of cash retainers for 2025. A total of 32,250 shares of restricted stock valued at approximately $40,000 is being amortized to expense on a straight-line basis until December 31, 2025 when the stock vested in full.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In January 2026, the Company issued 505,000 restricted stock units to its employees valued at $1,535,000 at the date of grant. These restricted stock units will vest 100% on the earlier of entering into a partnership or December 31, 2026. The Company believes that is probable that the vesting condition will be met and is amortizing the restricted stock unit expense ratably in 2026. The amount of expense recorded during the three and six months ended June 30, 2026 was $399,000 and $728,000.</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In January 2025, the Company issued 504,000 restricted stock units to its employees valued at $620,000 at the date of grant. These restricted stock units will vest 100% on the earlier of entering into a partnership or December 31, 2025. The Company believes that is probable that the vesting condition will be met and is amortizing the restricted stock unit expense ratably in 2025. The amount of expense recorded during the three and six months ended June 30, 2025 was $143,000 and $267,000, respectively.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In September 2020, the Company entered into an employment agreement with its new Chief Executive Officer whereby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Additionally, a 2023 DSU Agreement was executed in July 2022, whereby Mr. Lewis would continue to receive 20% of salary in cash and 80% in DSUs through December 31, 2023. The shares under the 2023 DSU Agreement are to be issued fifty percent on March 1, 2025 and fifty percent on January 5,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January 5, 2026, fifty percent of the DSU’s were issued to Mr. Lewis in accordance with the 2023 DSU Agreement. A total of 137,563 shares were due to be issued; however, 56,336 shares were withheld to cover income tax withholding of $218,568 resulting in 81,232 shares actually issued.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March 1, 2025, fifty percent of the DSU’s were issued to Mr. Lewis in accordance with the 2023 DSU Agreement. A total of 137,563 shares were due to be issued; however, 56,420 shares were withheld to cover income tax withholding of $88,579 resulting in 81,144 shares actually issued.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There is no unrecognized compensation expense related to the DSUs.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6. Common Stock Warrants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summarizes the common stock warrant activity from December 31, 2025 through June 30, 2026:</w:t>
      </w:r>
      <w:r>
        <w:rPr>
          <w:rFonts w:ascii="Times New Roman" w:hAnsi="Times New Roman"/>
          <w:sz w:val="20"/>
        </w:rPr>
        <w:t xml:space="preserve"> </w:t>
      </w:r>
    </w:p>
    <w:p>
      <w:pPr>
        <w:pStyle w:val="TextBody"/>
        <w:bidi w:val="0"/>
        <w:spacing w:before="0" w:after="0"/>
        <w:jc w:val="left"/>
        <w:rPr/>
      </w:pPr>
      <w:r>
        <w:rPr/>
        <w:t xml:space="preserve">  </w:t>
      </w:r>
    </w:p>
    <w:tbl>
      <w:tblPr>
        <w:tblW w:w="6145" w:type="dxa"/>
        <w:jc w:val="left"/>
        <w:tblInd w:w="0" w:type="dxa"/>
        <w:tblLayout w:type="fixed"/>
        <w:tblCellMar>
          <w:top w:w="0" w:type="dxa"/>
          <w:left w:w="0" w:type="dxa"/>
          <w:bottom w:w="0" w:type="dxa"/>
          <w:right w:w="0" w:type="dxa"/>
        </w:tblCellMar>
      </w:tblPr>
      <w:tblGrid>
        <w:gridCol w:w="3275"/>
        <w:gridCol w:w="90"/>
        <w:gridCol w:w="90"/>
        <w:gridCol w:w="1085"/>
        <w:gridCol w:w="185"/>
        <w:gridCol w:w="90"/>
        <w:gridCol w:w="170"/>
        <w:gridCol w:w="1025"/>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Shares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 xml:space="preserve">Price </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t xml:space="preserve">Outstanding, December 31, 2025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4,172,144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5.93</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275" w:type="dxa"/>
            <w:tcBorders/>
            <w:vAlign w:val="center"/>
          </w:tcPr>
          <w:p>
            <w:pPr>
              <w:pStyle w:val="TableContents"/>
              <w:bidi w:val="0"/>
              <w:spacing w:before="0" w:after="0"/>
              <w:jc w:val="left"/>
              <w:rPr/>
            </w:pPr>
            <w:r>
              <w:rPr/>
              <w:t xml:space="preserve">Granted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xml:space="preserve">   —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xml:space="preserve">   — </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t xml:space="preserve">Exercised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xml:space="preserve">   —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xml:space="preserve">   — </w:t>
            </w:r>
          </w:p>
        </w:tc>
        <w:tc>
          <w:tcPr>
            <w:tcW w:w="135" w:type="dxa"/>
            <w:tcBorders/>
            <w:shd w:fill="CCEEFF" w:val="clear"/>
            <w:vAlign w:val="center"/>
          </w:tcPr>
          <w:p>
            <w:pPr>
              <w:pStyle w:val="TableContents"/>
              <w:bidi w:val="0"/>
              <w:spacing w:before="0" w:after="283"/>
              <w:ind w:left="0" w:right="0" w:hanging="150"/>
              <w:jc w:val="left"/>
              <w:rPr/>
            </w:pPr>
            <w:r>
              <w:rPr/>
              <w:t> </w:t>
            </w:r>
          </w:p>
        </w:tc>
      </w:tr>
      <w:tr>
        <w:trPr/>
        <w:tc>
          <w:tcPr>
            <w:tcW w:w="3275" w:type="dxa"/>
            <w:tcBorders/>
            <w:vAlign w:val="center"/>
          </w:tcPr>
          <w:p>
            <w:pPr>
              <w:pStyle w:val="TableContents"/>
              <w:bidi w:val="0"/>
              <w:spacing w:before="0" w:after="0"/>
              <w:jc w:val="left"/>
              <w:rPr/>
            </w:pPr>
            <w:r>
              <w:rPr/>
              <w:t xml:space="preserve">Forfeited/cancelled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(2,622,144</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7.00</w:t>
            </w:r>
          </w:p>
        </w:tc>
        <w:tc>
          <w:tcPr>
            <w:tcW w:w="135" w:type="dxa"/>
            <w:tcBorders/>
            <w:vAlign w:val="center"/>
          </w:tcPr>
          <w:p>
            <w:pPr>
              <w:pStyle w:val="TableContents"/>
              <w:bidi w:val="0"/>
              <w:spacing w:before="0" w:after="283"/>
              <w:ind w:left="0" w:right="0" w:hanging="150"/>
              <w:jc w:val="left"/>
              <w:rPr/>
            </w:pPr>
            <w:r>
              <w:rPr/>
              <w:t> </w:t>
            </w:r>
          </w:p>
        </w:tc>
      </w:tr>
      <w:tr>
        <w:trPr/>
        <w:tc>
          <w:tcPr>
            <w:tcW w:w="3275" w:type="dxa"/>
            <w:tcBorders/>
            <w:shd w:fill="CCEEFF" w:val="clear"/>
            <w:vAlign w:val="center"/>
          </w:tcPr>
          <w:p>
            <w:pPr>
              <w:pStyle w:val="TableContents"/>
              <w:bidi w:val="0"/>
              <w:spacing w:before="0" w:after="0"/>
              <w:jc w:val="left"/>
              <w:rPr/>
            </w:pPr>
            <w:r>
              <w:rPr/>
              <w:t xml:space="preserve">Outstanding, June 30, 2026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center"/>
          </w:tcPr>
          <w:p>
            <w:pPr>
              <w:pStyle w:val="TableContents"/>
              <w:bidi w:val="0"/>
              <w:spacing w:before="0" w:after="283"/>
              <w:jc w:val="right"/>
              <w:rPr/>
            </w:pPr>
            <w:r>
              <w:rPr/>
              <w:t>1,550,000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4.13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weighted average expiration of the warrants outstanding as of June 30, 2026 is 3.3 years.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7.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Dilutive shares which could exist pursuant to the exercise of outstanding stock instruments and which were not included in the calculation because their affect would have been anti-dilutive are as follows:</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360"/>
        <w:gridCol w:w="90"/>
        <w:gridCol w:w="90"/>
        <w:gridCol w:w="1130"/>
        <w:gridCol w:w="90"/>
        <w:gridCol w:w="90"/>
        <w:gridCol w:w="90"/>
        <w:gridCol w:w="1130"/>
        <w:gridCol w:w="135"/>
      </w:tblGrid>
      <w:tr>
        <w:trPr/>
        <w:tc>
          <w:tcPr>
            <w:tcW w:w="7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color w:val="000000"/>
              </w:rPr>
              <w:t>June 30,</w:t>
              <w:br/>
              <w:t>2026</w:t>
            </w:r>
            <w:r>
              <w:rPr/>
              <w:t xml:space="preserve">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pPr>
            <w:r>
              <w:rPr>
                <w:b/>
                <w:color w:val="000000"/>
              </w:rPr>
              <w:t>June 30,</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7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b/>
                <w:color w:val="000000"/>
              </w:rPr>
              <w:t>(shares)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tcBorders/>
            <w:vAlign w:val="center"/>
          </w:tcPr>
          <w:p>
            <w:pPr>
              <w:pStyle w:val="TableContents"/>
              <w:bidi w:val="0"/>
              <w:spacing w:before="0" w:after="283"/>
              <w:jc w:val="center"/>
              <w:rPr/>
            </w:pPr>
            <w:r>
              <w:rPr>
                <w:b/>
                <w:color w:val="000000"/>
              </w:rPr>
              <w:t>(shares)</w:t>
            </w:r>
            <w:r>
              <w:rPr/>
              <w:t xml:space="preserve"> </w:t>
            </w:r>
          </w:p>
        </w:tc>
        <w:tc>
          <w:tcPr>
            <w:tcW w:w="135" w:type="dxa"/>
            <w:tcBorders/>
            <w:vAlign w:val="center"/>
          </w:tcPr>
          <w:p>
            <w:pPr>
              <w:pStyle w:val="TableContents"/>
              <w:bidi w:val="0"/>
              <w:spacing w:before="0" w:after="283"/>
              <w:jc w:val="center"/>
              <w:rPr/>
            </w:pPr>
            <w:r>
              <w:rPr/>
              <w:t> </w:t>
            </w:r>
          </w:p>
        </w:tc>
      </w:tr>
      <w:tr>
        <w:trPr/>
        <w:tc>
          <w:tcPr>
            <w:tcW w:w="7360" w:type="dxa"/>
            <w:tcBorders/>
            <w:shd w:fill="CCEEFF" w:val="clear"/>
            <w:vAlign w:val="center"/>
          </w:tcPr>
          <w:p>
            <w:pPr>
              <w:pStyle w:val="TableContents"/>
              <w:bidi w:val="0"/>
              <w:spacing w:before="0" w:after="0"/>
              <w:ind w:left="0" w:right="0" w:hanging="144"/>
              <w:jc w:val="left"/>
              <w:rPr/>
            </w:pPr>
            <w:r>
              <w:rPr>
                <w:color w:val="000000"/>
              </w:rPr>
              <w:t>Warrants to purchase shares of common stock</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color w:val="000000"/>
              </w:rPr>
            </w:pPr>
            <w:r>
              <w:rPr>
                <w:color w:val="000000"/>
              </w:rPr>
              <w:t>1,550,000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9,704,430</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0"/>
              <w:ind w:left="0" w:right="0" w:hanging="144"/>
              <w:jc w:val="left"/>
              <w:rPr/>
            </w:pPr>
            <w:r>
              <w:rPr>
                <w:color w:val="000000"/>
              </w:rPr>
              <w:t>Options to purchase shares of common stock</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color w:val="000000"/>
              </w:rPr>
            </w:pPr>
            <w:r>
              <w:rPr>
                <w:color w:val="000000"/>
              </w:rPr>
              <w:t>7,033,681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7,541,818</w:t>
            </w:r>
          </w:p>
        </w:tc>
        <w:tc>
          <w:tcPr>
            <w:tcW w:w="135" w:type="dxa"/>
            <w:tcBorders/>
            <w:vAlign w:val="center"/>
          </w:tcPr>
          <w:p>
            <w:pPr>
              <w:pStyle w:val="TableContents"/>
              <w:bidi w:val="0"/>
              <w:spacing w:before="0" w:after="283"/>
              <w:jc w:val="left"/>
              <w:rPr/>
            </w:pPr>
            <w:r>
              <w:rPr/>
              <w:t> </w:t>
            </w:r>
          </w:p>
        </w:tc>
      </w:tr>
      <w:tr>
        <w:trPr/>
        <w:tc>
          <w:tcPr>
            <w:tcW w:w="7360" w:type="dxa"/>
            <w:tcBorders/>
            <w:shd w:fill="CCEEFF" w:val="clear"/>
            <w:vAlign w:val="center"/>
          </w:tcPr>
          <w:p>
            <w:pPr>
              <w:pStyle w:val="TableContents"/>
              <w:bidi w:val="0"/>
              <w:spacing w:before="0" w:after="0"/>
              <w:ind w:left="0" w:right="0" w:hanging="144"/>
              <w:jc w:val="left"/>
              <w:rPr/>
            </w:pPr>
            <w:r>
              <w:rPr>
                <w:color w:val="000000"/>
              </w:rPr>
              <w:t>Restricted stock units</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color w:val="000000"/>
              </w:rPr>
            </w:pPr>
            <w:r>
              <w:rPr>
                <w:color w:val="000000"/>
              </w:rPr>
              <w:t>518,158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496,520</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0"/>
              <w:ind w:left="0" w:right="0" w:hanging="144"/>
              <w:jc w:val="left"/>
              <w:rPr/>
            </w:pPr>
            <w:r>
              <w:rPr>
                <w:color w:val="000000"/>
              </w:rPr>
              <w:t>Shares of common stock issuable upon conversion of convertible notes payable – related party</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color w:val="000000"/>
              </w:rPr>
            </w:pPr>
            <w:r>
              <w:rPr>
                <w:color w:val="000000"/>
              </w:rPr>
              <w:t>7,937,397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7,327,374</w:t>
            </w:r>
          </w:p>
        </w:tc>
        <w:tc>
          <w:tcPr>
            <w:tcW w:w="135" w:type="dxa"/>
            <w:tcBorders/>
            <w:vAlign w:val="center"/>
          </w:tcPr>
          <w:p>
            <w:pPr>
              <w:pStyle w:val="TableContents"/>
              <w:bidi w:val="0"/>
              <w:spacing w:before="0" w:after="283"/>
              <w:jc w:val="left"/>
              <w:rPr/>
            </w:pPr>
            <w:r>
              <w:rPr/>
              <w:t> </w:t>
            </w:r>
          </w:p>
        </w:tc>
      </w:tr>
      <w:tr>
        <w:trPr/>
        <w:tc>
          <w:tcPr>
            <w:tcW w:w="7360" w:type="dxa"/>
            <w:tcBorders/>
            <w:shd w:fill="CCEEFF" w:val="clear"/>
            <w:vAlign w:val="center"/>
          </w:tcPr>
          <w:p>
            <w:pPr>
              <w:pStyle w:val="TableContents"/>
              <w:bidi w:val="0"/>
              <w:spacing w:before="0" w:after="0"/>
              <w:ind w:left="0" w:right="0" w:hanging="144"/>
              <w:jc w:val="left"/>
              <w:rPr/>
            </w:pPr>
            <w:r>
              <w:rPr>
                <w:color w:val="000000"/>
              </w:rPr>
              <w:t>Shares of common stock issuable upon conversion of convertible line of credit – related party</w:t>
            </w: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color w:val="000000"/>
              </w:rPr>
            </w:pPr>
            <w:r>
              <w:rPr>
                <w:color w:val="000000"/>
              </w:rPr>
              <w:t>34,191,381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29,621,834</w:t>
            </w:r>
          </w:p>
        </w:tc>
        <w:tc>
          <w:tcPr>
            <w:tcW w:w="135" w:type="dxa"/>
            <w:tcBorders/>
            <w:shd w:fill="CCEEFF" w:val="clear"/>
            <w:vAlign w:val="center"/>
          </w:tcPr>
          <w:p>
            <w:pPr>
              <w:pStyle w:val="TableContents"/>
              <w:bidi w:val="0"/>
              <w:spacing w:before="0" w:after="283"/>
              <w:jc w:val="left"/>
              <w:rPr/>
            </w:pPr>
            <w:r>
              <w:rPr/>
              <w:t> </w:t>
            </w:r>
          </w:p>
        </w:tc>
      </w:tr>
      <w:tr>
        <w:trPr/>
        <w:tc>
          <w:tcPr>
            <w:tcW w:w="7360" w:type="dxa"/>
            <w:tcBorders/>
            <w:vAlign w:val="center"/>
          </w:tcPr>
          <w:p>
            <w:pPr>
              <w:pStyle w:val="TableContents"/>
              <w:bidi w:val="0"/>
              <w:spacing w:before="0" w:after="0"/>
              <w:ind w:left="0" w:right="0" w:hanging="144"/>
              <w:jc w:val="left"/>
              <w:rPr/>
            </w:pPr>
            <w:r>
              <w:rPr>
                <w:color w:val="000000"/>
              </w:rPr>
              <w:t>Shares of common stock issuable upon conversion of preferred stock</w:t>
            </w: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color w:val="000000"/>
              </w:rPr>
            </w:pPr>
            <w:r>
              <w:rPr>
                <w:color w:val="000000"/>
              </w:rPr>
              <w:t>490,840</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495,007</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360" w:type="dxa"/>
            <w:tcBorders/>
            <w:shd w:fill="CCEEFF" w:val="cle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51,721,456</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55,186,983</w:t>
            </w:r>
          </w:p>
        </w:tc>
        <w:tc>
          <w:tcPr>
            <w:tcW w:w="13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8.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i/>
          <w:sz w:val="20"/>
        </w:rPr>
        <w:t>2020 At Market Issuance of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quarters ended June 30, 2026 and 2025, the Company issued 281,100 and 419,904 shares of common stock under the 2020 At Market Agreement, respectively, for net proceeds of approximately $1,294,000 and $1,218,000, respectively.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For each of the three months ended March 31, 2026 and 2025, the Company issued a total of 29,450 and 29,950 shares of common stock, respectively, for dividends on Series A and Series C Preferred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color w:val="000000"/>
          <w:sz w:val="20"/>
        </w:rPr>
        <w:t>9. Convertible Line of Credit – Related Party and Supplemental Convertible Lines of Credit – Related Party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 xml:space="preserve">Each advance made pursuant to the Credit Agreement shall be evidenced by an unsecured, convertible promissory note (individually, a “Promissory Note,” and collectively, the “Promissory Notes”), and bear interest at the Applicable Federal Rate for short term loans, plus two (2%) percent. </w:t>
      </w:r>
      <w:r>
        <w:rPr>
          <w:rFonts w:ascii="Times New Roman" w:hAnsi="Times New Roman"/>
          <w:sz w:val="20"/>
        </w:rPr>
        <w:t xml:space="preserve">Principal and interest on the Promissory Notes were originally due on or before January 31, 2026, however, the maturity date was extended to September 30, 2026 in connection with a new line of credit dated July 8, 2025. Due to the extension of the maturity date for all lines of credit, the remaining amortization expense of the warrants issued with each draw was adjusted prospectively from July 8, 2025 through September 30, 2026. In connection with another new line of credit dated December 31, 2025, the maturity date for all lines of credit was extended to June 30, 2027. Only with the consent of the Lender, may the Promissory Notes be prepaid, in whole or in part, at any time without premium or penalty, but with interest on the amount or amounts prepaid.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6" w:right="0" w:firstLine="698"/>
        <w:jc w:val="left"/>
        <w:rPr>
          <w:rFonts w:ascii="Times New Roman" w:hAnsi="Times New Roman"/>
          <w:sz w:val="20"/>
        </w:rPr>
      </w:pPr>
      <w:r>
        <w:rPr>
          <w:rFonts w:ascii="Times New Roman" w:hAnsi="Times New Roman"/>
          <w:color w:val="000000"/>
          <w:sz w:val="20"/>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r>
        <w:rPr>
          <w:rFonts w:ascii="Times New Roman" w:hAnsi="Times New Roman"/>
          <w:sz w:val="20"/>
        </w:rPr>
        <w:t xml:space="preserve"> </w:t>
      </w:r>
    </w:p>
    <w:p>
      <w:pPr>
        <w:pStyle w:val="TextBody"/>
        <w:bidi w:val="0"/>
        <w:spacing w:before="0" w:after="0"/>
        <w:ind w:left="6" w:right="0" w:hanging="0"/>
        <w:jc w:val="left"/>
        <w:rPr/>
      </w:pPr>
      <w:r>
        <w:rPr/>
        <w:t xml:space="preserve">  </w:t>
      </w:r>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which was extended through June 30, 2027 in connection with the December 2025 agreement. Only with the consent of the Lender, may the Promissory Notes be prepaid, in whole or in part, at any time without premium or penalty, but with interest on the amount or amounts prepaid. </w:t>
      </w:r>
    </w:p>
    <w:p>
      <w:pPr>
        <w:pStyle w:val="TextBody"/>
        <w:bidi w:val="0"/>
        <w:spacing w:before="0" w:after="0"/>
        <w:ind w:left="6" w:right="0" w:hanging="0"/>
        <w:jc w:val="left"/>
        <w:rPr/>
      </w:pPr>
      <w:r>
        <w:rPr/>
        <w:t xml:space="preserve">  </w:t>
      </w:r>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 </w:t>
      </w:r>
    </w:p>
    <w:p>
      <w:pPr>
        <w:pStyle w:val="TextBody"/>
        <w:bidi w:val="0"/>
        <w:spacing w:before="0" w:after="0"/>
        <w:ind w:left="6" w:right="0" w:hanging="0"/>
        <w:jc w:val="left"/>
        <w:rPr/>
      </w:pPr>
      <w:r>
        <w:rPr/>
        <w:t xml:space="preserve">  </w:t>
      </w:r>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as amended, through May 31, 2025. On April 30, 2025, The Company executed a $6 million promissory note under the November 2024 Supplemental Line of Credit. </w:t>
      </w:r>
    </w:p>
    <w:p>
      <w:pPr>
        <w:pStyle w:val="TextBody"/>
        <w:bidi w:val="0"/>
        <w:spacing w:before="0" w:after="0"/>
        <w:ind w:left="6" w:right="0" w:hanging="0"/>
        <w:jc w:val="left"/>
        <w:rPr/>
      </w:pPr>
      <w:r>
        <w:rPr/>
        <w:t xml:space="preserve">  </w:t>
      </w:r>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extended to June 30, 2027 as part of the December 2025 agreement. Only with the consent of the Lender, may the Promissory Notes be prepaid, in whole or in part, at any time without premium or penalty, but with interest on the amount or amounts prepaid. </w:t>
      </w:r>
    </w:p>
    <w:p>
      <w:pPr>
        <w:pStyle w:val="TextBody"/>
        <w:bidi w:val="0"/>
        <w:spacing w:before="0" w:after="0"/>
        <w:ind w:left="6" w:right="0" w:hanging="0"/>
        <w:jc w:val="left"/>
        <w:rPr/>
      </w:pPr>
      <w:r>
        <w:rPr/>
        <w:t xml:space="preserve">  </w:t>
      </w:r>
    </w:p>
    <w:p>
      <w:pPr>
        <w:pStyle w:val="TextBody"/>
        <w:bidi w:val="0"/>
        <w:spacing w:before="0" w:after="0"/>
        <w:ind w:left="6" w:right="0" w:firstLine="702"/>
        <w:jc w:val="left"/>
        <w:rPr>
          <w:rFonts w:ascii="Times New Roman" w:hAnsi="Times New Roman"/>
          <w:sz w:val="20"/>
        </w:rPr>
      </w:pPr>
      <w:r>
        <w:rPr>
          <w:rFonts w:ascii="Times New Roman" w:hAnsi="Times New Roman"/>
          <w:sz w:val="20"/>
        </w:rPr>
        <w:t xml:space="preserve">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 </w:t>
      </w:r>
    </w:p>
    <w:p>
      <w:pPr>
        <w:pStyle w:val="TextBody"/>
        <w:bidi w:val="0"/>
        <w:spacing w:before="0" w:after="0"/>
        <w:ind w:left="6" w:right="0" w:hanging="0"/>
        <w:jc w:val="left"/>
        <w:rPr/>
      </w:pPr>
      <w:r>
        <w:rPr/>
        <w:t xml:space="preserve">  </w:t>
      </w:r>
    </w:p>
    <w:p>
      <w:pPr>
        <w:pStyle w:val="TextBody"/>
        <w:bidi w:val="0"/>
        <w:spacing w:before="0" w:after="0"/>
        <w:ind w:left="4" w:right="0" w:firstLine="706"/>
        <w:jc w:val="left"/>
        <w:rPr>
          <w:rFonts w:ascii="Times New Roman" w:hAnsi="Times New Roman"/>
          <w:sz w:val="20"/>
        </w:rPr>
      </w:pPr>
      <w:r>
        <w:rPr>
          <w:rFonts w:ascii="Times New Roman" w:hAnsi="Times New Roman"/>
          <w:sz w:val="20"/>
        </w:rPr>
        <w:t xml:space="preserve">In connection with the November 2024 Supplemental Credit Agreement, the Company agreed to issue the Lender warrants to purchase up to an aggregate of 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 </w:t>
      </w:r>
    </w:p>
    <w:p>
      <w:pPr>
        <w:pStyle w:val="TextBody"/>
        <w:bidi w:val="0"/>
        <w:spacing w:before="0" w:after="0"/>
        <w:ind w:left="4" w:right="0" w:hanging="0"/>
        <w:jc w:val="left"/>
        <w:rPr/>
      </w:pPr>
      <w:r>
        <w:rPr/>
        <w:t xml:space="preserve">  </w:t>
      </w:r>
    </w:p>
    <w:p>
      <w:pPr>
        <w:pStyle w:val="TextBody"/>
        <w:bidi w:val="0"/>
        <w:spacing w:before="0" w:after="0"/>
        <w:ind w:left="0" w:right="0" w:firstLine="630"/>
        <w:jc w:val="left"/>
        <w:rPr>
          <w:rFonts w:ascii="Times New Roman" w:hAnsi="Times New Roman"/>
          <w:sz w:val="20"/>
        </w:rPr>
      </w:pPr>
      <w:r>
        <w:rPr>
          <w:rFonts w:ascii="Times New Roman" w:hAnsi="Times New Roman"/>
          <w:sz w:val="20"/>
        </w:rPr>
        <w:t xml:space="preserve">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March 2025 Supplemental Line of Credit through September 30, 2025. </w:t>
      </w:r>
    </w:p>
    <w:p>
      <w:pPr>
        <w:pStyle w:val="TextBody"/>
        <w:bidi w:val="0"/>
        <w:spacing w:before="0" w:after="0"/>
        <w:ind w:left="2" w:right="0" w:hanging="0"/>
        <w:jc w:val="left"/>
        <w:rPr/>
      </w:pPr>
      <w:r>
        <w:rPr/>
        <w:t xml:space="preserve">  </w:t>
      </w:r>
    </w:p>
    <w:p>
      <w:pPr>
        <w:pStyle w:val="TextBody"/>
        <w:bidi w:val="0"/>
        <w:spacing w:before="0" w:after="0"/>
        <w:ind w:left="2" w:right="0" w:firstLine="714"/>
        <w:jc w:val="left"/>
        <w:rPr>
          <w:rFonts w:ascii="Times New Roman" w:hAnsi="Times New Roman"/>
          <w:sz w:val="20"/>
        </w:rPr>
      </w:pPr>
      <w:r>
        <w:rPr>
          <w:rFonts w:ascii="Times New Roman" w:hAnsi="Times New Roman"/>
          <w:sz w:val="20"/>
        </w:rPr>
        <w:t xml:space="preserve">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extended to June 30, 2027 as part of the December 2025 agreement. Only with the consent of the Lender, may the Promissory Notes be prepaid, in whole or in part, at any time without premium or penalty, but with interest on the amount or amounts prepaid. </w:t>
      </w:r>
    </w:p>
    <w:p>
      <w:pPr>
        <w:pStyle w:val="TextBody"/>
        <w:bidi w:val="0"/>
        <w:spacing w:before="0" w:after="0"/>
        <w:ind w:left="2" w:right="0" w:hanging="0"/>
        <w:jc w:val="left"/>
        <w:rPr/>
      </w:pPr>
      <w:r>
        <w:rPr/>
        <w:t xml:space="preserve">  </w:t>
      </w:r>
    </w:p>
    <w:p>
      <w:pPr>
        <w:pStyle w:val="TextBody"/>
        <w:bidi w:val="0"/>
        <w:spacing w:before="0" w:after="0"/>
        <w:ind w:left="2" w:right="0" w:firstLine="714"/>
        <w:jc w:val="left"/>
        <w:rPr>
          <w:rFonts w:ascii="Times New Roman" w:hAnsi="Times New Roman"/>
          <w:sz w:val="20"/>
        </w:rPr>
      </w:pPr>
      <w:r>
        <w:rPr>
          <w:rFonts w:ascii="Times New Roman" w:hAnsi="Times New Roman"/>
          <w:sz w:val="20"/>
        </w:rPr>
        <w:t xml:space="preserve">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 </w:t>
      </w:r>
    </w:p>
    <w:p>
      <w:pPr>
        <w:pStyle w:val="TextBody"/>
        <w:bidi w:val="0"/>
        <w:spacing w:before="0" w:after="0"/>
        <w:ind w:left="2"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 </w:t>
      </w:r>
    </w:p>
    <w:p>
      <w:pPr>
        <w:pStyle w:val="TextBody"/>
        <w:bidi w:val="0"/>
        <w:spacing w:before="0" w:after="0"/>
        <w:ind w:left="4" w:right="0" w:hanging="0"/>
        <w:jc w:val="left"/>
        <w:rPr/>
      </w:pPr>
      <w:r>
        <w:rPr/>
        <w:t xml:space="preserve">  </w:t>
      </w:r>
    </w:p>
    <w:p>
      <w:pPr>
        <w:pStyle w:val="TextBody"/>
        <w:bidi w:val="0"/>
        <w:spacing w:before="0" w:after="0"/>
        <w:ind w:left="4" w:right="0" w:firstLine="712"/>
        <w:jc w:val="left"/>
        <w:rPr>
          <w:rFonts w:ascii="Times New Roman" w:hAnsi="Times New Roman"/>
          <w:sz w:val="20"/>
        </w:rPr>
      </w:pPr>
      <w:r>
        <w:rPr>
          <w:rFonts w:ascii="Times New Roman" w:hAnsi="Times New Roman"/>
          <w:sz w:val="20"/>
        </w:rPr>
        <w:t xml:space="preserve">On July 8, 2025, the Company and Richard E. Uihlein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 Additionally, in connection with the July 2025 Supplemental Credit Agreement, the maturity dates of the Convertible Notes Payable – Related Party and all borrowings under the Convertible Lines of Credit –Related Party were extended to September 30, 2026, and further adjusted to June 30, 2027 in connection with the extension of maturity in December 2025. </w:t>
      </w:r>
    </w:p>
    <w:p>
      <w:pPr>
        <w:pStyle w:val="TextBody"/>
        <w:bidi w:val="0"/>
        <w:spacing w:before="150" w:after="15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4" w:right="0" w:firstLine="712"/>
        <w:jc w:val="left"/>
        <w:rPr>
          <w:rFonts w:ascii="Times New Roman" w:hAnsi="Times New Roman"/>
          <w:sz w:val="20"/>
        </w:rPr>
      </w:pPr>
      <w:r>
        <w:rPr>
          <w:rFonts w:ascii="Times New Roman" w:hAnsi="Times New Roman"/>
          <w:sz w:val="20"/>
        </w:rPr>
        <w:t xml:space="preserve">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 </w:t>
      </w:r>
    </w:p>
    <w:p>
      <w:pPr>
        <w:pStyle w:val="TextBody"/>
        <w:bidi w:val="0"/>
        <w:spacing w:before="0" w:after="0"/>
        <w:ind w:left="4" w:right="0" w:hanging="0"/>
        <w:jc w:val="left"/>
        <w:rPr/>
      </w:pPr>
      <w:r>
        <w:rPr/>
        <w:t xml:space="preserve">  </w:t>
      </w:r>
    </w:p>
    <w:p>
      <w:pPr>
        <w:pStyle w:val="TextBody"/>
        <w:bidi w:val="0"/>
        <w:spacing w:before="0" w:after="0"/>
        <w:ind w:left="4" w:right="0" w:firstLine="712"/>
        <w:jc w:val="left"/>
        <w:rPr>
          <w:rFonts w:ascii="Times New Roman" w:hAnsi="Times New Roman"/>
          <w:sz w:val="20"/>
        </w:rPr>
      </w:pPr>
      <w:r>
        <w:rPr>
          <w:rFonts w:ascii="Times New Roman" w:hAnsi="Times New Roman"/>
          <w:sz w:val="20"/>
        </w:rPr>
        <w:t xml:space="preserve">In connection with the July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 </w:t>
      </w:r>
    </w:p>
    <w:p>
      <w:pPr>
        <w:pStyle w:val="TextBody"/>
        <w:bidi w:val="0"/>
        <w:spacing w:before="0" w:after="0"/>
        <w:ind w:left="4"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December 19, 2025, the Company and Richard E. Uihlein (the “Lender”) entered into a Supplemental Line of Credit Letter Agreement (the “December 2025 Supplemental Credit Agreement”), pursuant to which the Lender shall provide the Company a line of credit of up to $10.0 million (the “December 2025 Supplemental Line of Credit”) to finance the Company’s working capital needs. The Company may draw upon the December 2025 Supplemental Line of Credit through January 31, 2027.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Each advance made pursuant to the December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$4.38 per share.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connection with the December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fair value of warrants that vest in the future based on borrowings will be computed when those borrowings occur and amortized over the remaining period through June 30, 2027.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Credit Facility Terms</w:t>
      </w:r>
      <w:r>
        <w:rPr>
          <w:rFonts w:ascii="Times New Roman" w:hAnsi="Times New Roman"/>
          <w:sz w:val="20"/>
        </w:rPr>
        <w:t xml:space="preserve"> </w:t>
      </w:r>
    </w:p>
    <w:tbl>
      <w:tblPr>
        <w:tblW w:w="10316" w:type="dxa"/>
        <w:jc w:val="left"/>
        <w:tblInd w:w="0" w:type="dxa"/>
        <w:tblLayout w:type="fixed"/>
        <w:tblCellMar>
          <w:top w:w="0" w:type="dxa"/>
          <w:left w:w="0" w:type="dxa"/>
          <w:bottom w:w="0" w:type="dxa"/>
          <w:right w:w="0" w:type="dxa"/>
        </w:tblCellMar>
      </w:tblPr>
      <w:tblGrid>
        <w:gridCol w:w="1211"/>
        <w:gridCol w:w="1175"/>
        <w:gridCol w:w="90"/>
        <w:gridCol w:w="170"/>
        <w:gridCol w:w="1385"/>
        <w:gridCol w:w="260"/>
        <w:gridCol w:w="90"/>
        <w:gridCol w:w="1055"/>
        <w:gridCol w:w="90"/>
        <w:gridCol w:w="995"/>
        <w:gridCol w:w="1220"/>
        <w:gridCol w:w="90"/>
        <w:gridCol w:w="1205"/>
        <w:gridCol w:w="90"/>
        <w:gridCol w:w="1190"/>
      </w:tblGrid>
      <w:tr>
        <w:trPr/>
        <w:tc>
          <w:tcPr>
            <w:tcW w:w="1211"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0"/>
              <w:ind w:left="0" w:right="0" w:hanging="144"/>
              <w:jc w:val="left"/>
              <w:rPr/>
            </w:pPr>
            <w:r>
              <w:rPr>
                <w:b/>
              </w:rPr>
              <w:t>Facility</w:t>
            </w:r>
            <w:r>
              <w:rPr/>
              <w:t xml:space="preserve"> </w:t>
            </w:r>
          </w:p>
        </w:tc>
        <w:tc>
          <w:tcPr>
            <w:tcW w:w="1175" w:type="dxa"/>
            <w:tcBorders/>
            <w:vAlign w:val="center"/>
          </w:tcPr>
          <w:p>
            <w:pPr>
              <w:pStyle w:val="TableContents"/>
              <w:bidi w:val="0"/>
              <w:spacing w:before="0" w:after="0"/>
              <w:jc w:val="left"/>
              <w:rPr/>
            </w:pPr>
            <w:r>
              <w:rPr>
                <w:b/>
              </w:rPr>
              <w:t xml:space="preserve">Agreement </w:t>
              <w:br/>
              <w:t>Date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b/>
              </w:rPr>
              <w:t>Commitment</w:t>
            </w:r>
            <w:r>
              <w:rPr/>
              <w:t xml:space="preserve">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pPr>
            <w:r>
              <w:rPr>
                <w:b/>
              </w:rPr>
              <w:t xml:space="preserve">Draw </w:t>
              <w:br/>
              <w:t>Period</w:t>
            </w:r>
            <w:r>
              <w:rPr/>
              <w:t xml:space="preserve">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b/>
              </w:rPr>
              <w:t xml:space="preserve">Current </w:t>
              <w:br/>
              <w:t xml:space="preserve">Maturity </w:t>
              <w:br/>
              <w:t xml:space="preserve">(after Dec. </w:t>
              <w:br/>
              <w:t xml:space="preserve">2025 </w:t>
              <w:br/>
              <w:t>extension)</w:t>
            </w:r>
            <w:r>
              <w:rPr/>
              <w:t xml:space="preserve"> </w:t>
            </w:r>
          </w:p>
        </w:tc>
        <w:tc>
          <w:tcPr>
            <w:tcW w:w="1220" w:type="dxa"/>
            <w:tcBorders/>
            <w:vAlign w:val="center"/>
          </w:tcPr>
          <w:p>
            <w:pPr>
              <w:pStyle w:val="TableContents"/>
              <w:bidi w:val="0"/>
              <w:spacing w:before="0" w:after="0"/>
              <w:jc w:val="left"/>
              <w:rPr/>
            </w:pPr>
            <w:r>
              <w:rPr>
                <w:b/>
              </w:rPr>
              <w:t xml:space="preserve">Conversion </w:t>
              <w:br/>
              <w:t>Floor Price</w:t>
            </w:r>
            <w:r>
              <w:rPr/>
              <w:t xml:space="preserve">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pPr>
            <w:r>
              <w:rPr>
                <w:b/>
              </w:rPr>
              <w:t xml:space="preserve">Warrants </w:t>
              <w:br/>
              <w:t>Authorized</w:t>
            </w:r>
            <w:r>
              <w:rPr/>
              <w:t xml:space="preserve">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b/>
              </w:rPr>
              <w:t xml:space="preserve">Warrant </w:t>
              <w:br/>
              <w:t>Expiration</w:t>
            </w:r>
            <w:r>
              <w:rPr/>
              <w:t xml:space="preserve"> </w:t>
            </w:r>
          </w:p>
        </w:tc>
      </w:tr>
      <w:tr>
        <w:trPr/>
        <w:tc>
          <w:tcPr>
            <w:tcW w:w="1211" w:type="dxa"/>
            <w:tcBorders/>
            <w:shd w:fill="CCEEFF" w:val="clear"/>
            <w:vAlign w:val="center"/>
          </w:tcPr>
          <w:p>
            <w:pPr>
              <w:pStyle w:val="TableContents"/>
              <w:bidi w:val="0"/>
              <w:spacing w:before="0" w:after="0"/>
              <w:ind w:left="0" w:right="0" w:hanging="144"/>
              <w:jc w:val="left"/>
              <w:rPr/>
            </w:pPr>
            <w:r>
              <w:rPr/>
              <w:t xml:space="preserve">Original Line of Credit </w:t>
            </w:r>
          </w:p>
        </w:tc>
        <w:tc>
          <w:tcPr>
            <w:tcW w:w="1175" w:type="dxa"/>
            <w:tcBorders/>
            <w:shd w:fill="CCEEFF" w:val="clear"/>
            <w:vAlign w:val="center"/>
          </w:tcPr>
          <w:p>
            <w:pPr>
              <w:pStyle w:val="TableContents"/>
              <w:bidi w:val="0"/>
              <w:spacing w:before="0" w:after="0"/>
              <w:jc w:val="left"/>
              <w:rPr/>
            </w:pPr>
            <w:r>
              <w:rPr/>
              <w:t xml:space="preserve">July 25, 2022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60.0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1055" w:type="dxa"/>
            <w:tcBorders/>
            <w:shd w:fill="CCEEFF" w:val="clear"/>
            <w:vAlign w:val="center"/>
          </w:tcPr>
          <w:p>
            <w:pPr>
              <w:pStyle w:val="TableContents"/>
              <w:bidi w:val="0"/>
              <w:spacing w:before="0" w:after="283"/>
              <w:jc w:val="left"/>
              <w:rPr/>
            </w:pPr>
            <w:r>
              <w:rPr/>
              <w:t xml:space="preserve">Through July 31, 2024 </w:t>
            </w:r>
          </w:p>
        </w:tc>
        <w:tc>
          <w:tcPr>
            <w:tcW w:w="9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left"/>
              <w:rPr/>
            </w:pPr>
            <w:r>
              <w:rPr/>
              <w:t xml:space="preserve">June 30, 2027 </w:t>
            </w:r>
          </w:p>
        </w:tc>
        <w:tc>
          <w:tcPr>
            <w:tcW w:w="1220" w:type="dxa"/>
            <w:tcBorders/>
            <w:shd w:fill="CCEEFF" w:val="clear"/>
            <w:vAlign w:val="center"/>
          </w:tcPr>
          <w:p>
            <w:pPr>
              <w:pStyle w:val="TableContents"/>
              <w:bidi w:val="0"/>
              <w:spacing w:before="0" w:after="0"/>
              <w:jc w:val="left"/>
              <w:rPr/>
            </w:pPr>
            <w:r>
              <w:rPr/>
              <w:t xml:space="preserve">$3.00/share </w:t>
            </w:r>
          </w:p>
        </w:tc>
        <w:tc>
          <w:tcPr>
            <w:tcW w:w="9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0"/>
              <w:jc w:val="left"/>
              <w:rPr/>
            </w:pPr>
            <w:r>
              <w:rPr/>
              <w:t xml:space="preserve">1,700,000 shares </w:t>
            </w:r>
          </w:p>
        </w:tc>
        <w:tc>
          <w:tcPr>
            <w:tcW w:w="90" w:type="dxa"/>
            <w:tcBorders/>
            <w:shd w:fill="CCEEFF" w:val="clear"/>
            <w:vAlign w:val="center"/>
          </w:tcPr>
          <w:p>
            <w:pPr>
              <w:pStyle w:val="TableContents"/>
              <w:bidi w:val="0"/>
              <w:spacing w:before="0" w:after="283"/>
              <w:jc w:val="right"/>
              <w:rPr/>
            </w:pPr>
            <w:r>
              <w:rPr/>
              <w:t> </w:t>
            </w:r>
          </w:p>
        </w:tc>
        <w:tc>
          <w:tcPr>
            <w:tcW w:w="1190" w:type="dxa"/>
            <w:tcBorders/>
            <w:shd w:fill="CCEEFF" w:val="clear"/>
            <w:vAlign w:val="center"/>
          </w:tcPr>
          <w:p>
            <w:pPr>
              <w:pStyle w:val="TableContents"/>
              <w:bidi w:val="0"/>
              <w:spacing w:before="0" w:after="283"/>
              <w:jc w:val="left"/>
              <w:rPr/>
            </w:pPr>
            <w:r>
              <w:rPr/>
              <w:t xml:space="preserve">July 31, 2029 </w:t>
            </w:r>
          </w:p>
        </w:tc>
      </w:tr>
      <w:tr>
        <w:trPr/>
        <w:tc>
          <w:tcPr>
            <w:tcW w:w="1211" w:type="dxa"/>
            <w:tcBorders/>
            <w:vAlign w:val="center"/>
          </w:tcPr>
          <w:p>
            <w:pPr>
              <w:pStyle w:val="TableContents"/>
              <w:bidi w:val="0"/>
              <w:spacing w:before="0" w:after="0"/>
              <w:ind w:left="0" w:right="0" w:hanging="144"/>
              <w:jc w:val="left"/>
              <w:rPr/>
            </w:pPr>
            <w:r>
              <w:rPr/>
              <w:t xml:space="preserve">Supplemental LOC (2024) </w:t>
            </w:r>
          </w:p>
        </w:tc>
        <w:tc>
          <w:tcPr>
            <w:tcW w:w="1175" w:type="dxa"/>
            <w:tcBorders/>
            <w:vAlign w:val="center"/>
          </w:tcPr>
          <w:p>
            <w:pPr>
              <w:pStyle w:val="TableContents"/>
              <w:bidi w:val="0"/>
              <w:spacing w:before="0" w:after="0"/>
              <w:jc w:val="left"/>
              <w:rPr/>
            </w:pPr>
            <w:r>
              <w:rPr/>
              <w:t xml:space="preserve">March 29, 2024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left"/>
              <w:rPr/>
            </w:pPr>
            <w:r>
              <w:rPr/>
              <w:t xml:space="preserve">Through March 31, 2025 </w:t>
            </w:r>
          </w:p>
        </w:tc>
        <w:tc>
          <w:tcPr>
            <w:tcW w:w="90"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left"/>
              <w:rPr/>
            </w:pPr>
            <w:r>
              <w:rPr/>
              <w:t xml:space="preserve">June 30, 2027 </w:t>
            </w:r>
          </w:p>
        </w:tc>
        <w:tc>
          <w:tcPr>
            <w:tcW w:w="1220" w:type="dxa"/>
            <w:tcBorders/>
            <w:vAlign w:val="center"/>
          </w:tcPr>
          <w:p>
            <w:pPr>
              <w:pStyle w:val="TableContents"/>
              <w:bidi w:val="0"/>
              <w:spacing w:before="0" w:after="0"/>
              <w:jc w:val="left"/>
              <w:rPr/>
            </w:pPr>
            <w:r>
              <w:rPr/>
              <w:t xml:space="preserve">$3.00/share </w:t>
            </w:r>
          </w:p>
        </w:tc>
        <w:tc>
          <w:tcPr>
            <w:tcW w:w="9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0"/>
              <w:jc w:val="left"/>
              <w:rPr/>
            </w:pPr>
            <w:r>
              <w:rPr/>
              <w:t xml:space="preserve">200,000 shares </w:t>
            </w:r>
          </w:p>
        </w:tc>
        <w:tc>
          <w:tcPr>
            <w:tcW w:w="90" w:type="dxa"/>
            <w:tcBorders/>
            <w:vAlign w:val="center"/>
          </w:tcPr>
          <w:p>
            <w:pPr>
              <w:pStyle w:val="TableContents"/>
              <w:bidi w:val="0"/>
              <w:spacing w:before="0" w:after="283"/>
              <w:jc w:val="right"/>
              <w:rPr/>
            </w:pPr>
            <w:r>
              <w:rPr/>
              <w:t> </w:t>
            </w:r>
          </w:p>
        </w:tc>
        <w:tc>
          <w:tcPr>
            <w:tcW w:w="1190" w:type="dxa"/>
            <w:tcBorders/>
            <w:vAlign w:val="center"/>
          </w:tcPr>
          <w:p>
            <w:pPr>
              <w:pStyle w:val="TableContents"/>
              <w:bidi w:val="0"/>
              <w:spacing w:before="0" w:after="283"/>
              <w:jc w:val="left"/>
              <w:rPr/>
            </w:pPr>
            <w:r>
              <w:rPr/>
              <w:t xml:space="preserve">July 31, 2029 </w:t>
            </w:r>
          </w:p>
        </w:tc>
      </w:tr>
      <w:tr>
        <w:trPr/>
        <w:tc>
          <w:tcPr>
            <w:tcW w:w="1211" w:type="dxa"/>
            <w:tcBorders/>
            <w:shd w:fill="CCEEFF" w:val="clear"/>
            <w:vAlign w:val="center"/>
          </w:tcPr>
          <w:p>
            <w:pPr>
              <w:pStyle w:val="TableContents"/>
              <w:bidi w:val="0"/>
              <w:spacing w:before="0" w:after="0"/>
              <w:ind w:left="0" w:right="0" w:hanging="144"/>
              <w:jc w:val="left"/>
              <w:rPr/>
            </w:pPr>
            <w:r>
              <w:rPr/>
              <w:t xml:space="preserve">November 2024 Supplemental LOC </w:t>
            </w:r>
          </w:p>
        </w:tc>
        <w:tc>
          <w:tcPr>
            <w:tcW w:w="1175" w:type="dxa"/>
            <w:tcBorders/>
            <w:shd w:fill="CCEEFF" w:val="clear"/>
            <w:vAlign w:val="center"/>
          </w:tcPr>
          <w:p>
            <w:pPr>
              <w:pStyle w:val="TableContents"/>
              <w:bidi w:val="0"/>
              <w:spacing w:before="0" w:after="0"/>
              <w:jc w:val="left"/>
              <w:rPr/>
            </w:pPr>
            <w:r>
              <w:rPr/>
              <w:t xml:space="preserve">November 14, 2024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6.0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1055" w:type="dxa"/>
            <w:tcBorders/>
            <w:shd w:fill="CCEEFF" w:val="clear"/>
            <w:vAlign w:val="center"/>
          </w:tcPr>
          <w:p>
            <w:pPr>
              <w:pStyle w:val="TableContents"/>
              <w:bidi w:val="0"/>
              <w:spacing w:before="0" w:after="283"/>
              <w:jc w:val="left"/>
              <w:rPr/>
            </w:pPr>
            <w:r>
              <w:rPr/>
              <w:t xml:space="preserve">Through May 31, 2025 (as amended) </w:t>
            </w:r>
          </w:p>
        </w:tc>
        <w:tc>
          <w:tcPr>
            <w:tcW w:w="9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left"/>
              <w:rPr/>
            </w:pPr>
            <w:r>
              <w:rPr/>
              <w:t xml:space="preserve">June 30, 2027 </w:t>
            </w:r>
          </w:p>
        </w:tc>
        <w:tc>
          <w:tcPr>
            <w:tcW w:w="1220" w:type="dxa"/>
            <w:tcBorders/>
            <w:shd w:fill="CCEEFF" w:val="clear"/>
            <w:vAlign w:val="center"/>
          </w:tcPr>
          <w:p>
            <w:pPr>
              <w:pStyle w:val="TableContents"/>
              <w:bidi w:val="0"/>
              <w:spacing w:before="0" w:after="0"/>
              <w:jc w:val="left"/>
              <w:rPr/>
            </w:pPr>
            <w:r>
              <w:rPr/>
              <w:t xml:space="preserve">$3.00/share </w:t>
            </w:r>
          </w:p>
        </w:tc>
        <w:tc>
          <w:tcPr>
            <w:tcW w:w="9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0"/>
              <w:jc w:val="left"/>
              <w:rPr/>
            </w:pPr>
            <w:r>
              <w:rPr/>
              <w:t xml:space="preserve">120,000 shares </w:t>
            </w:r>
          </w:p>
        </w:tc>
        <w:tc>
          <w:tcPr>
            <w:tcW w:w="90" w:type="dxa"/>
            <w:tcBorders/>
            <w:shd w:fill="CCEEFF" w:val="clear"/>
            <w:vAlign w:val="center"/>
          </w:tcPr>
          <w:p>
            <w:pPr>
              <w:pStyle w:val="TableContents"/>
              <w:bidi w:val="0"/>
              <w:spacing w:before="0" w:after="283"/>
              <w:jc w:val="right"/>
              <w:rPr/>
            </w:pPr>
            <w:r>
              <w:rPr/>
              <w:t> </w:t>
            </w:r>
          </w:p>
        </w:tc>
        <w:tc>
          <w:tcPr>
            <w:tcW w:w="1190" w:type="dxa"/>
            <w:tcBorders/>
            <w:shd w:fill="CCEEFF" w:val="clear"/>
            <w:vAlign w:val="center"/>
          </w:tcPr>
          <w:p>
            <w:pPr>
              <w:pStyle w:val="TableContents"/>
              <w:bidi w:val="0"/>
              <w:spacing w:before="0" w:after="283"/>
              <w:jc w:val="left"/>
              <w:rPr/>
            </w:pPr>
            <w:r>
              <w:rPr/>
              <w:t xml:space="preserve">July 31, 2029 </w:t>
            </w:r>
          </w:p>
        </w:tc>
      </w:tr>
      <w:tr>
        <w:trPr/>
        <w:tc>
          <w:tcPr>
            <w:tcW w:w="1211" w:type="dxa"/>
            <w:tcBorders/>
            <w:vAlign w:val="center"/>
          </w:tcPr>
          <w:p>
            <w:pPr>
              <w:pStyle w:val="TableContents"/>
              <w:bidi w:val="0"/>
              <w:spacing w:before="0" w:after="0"/>
              <w:ind w:left="0" w:right="0" w:hanging="144"/>
              <w:jc w:val="left"/>
              <w:rPr/>
            </w:pPr>
            <w:r>
              <w:rPr/>
              <w:t xml:space="preserve">March 2025 Supplemental LOC </w:t>
            </w:r>
          </w:p>
        </w:tc>
        <w:tc>
          <w:tcPr>
            <w:tcW w:w="1175" w:type="dxa"/>
            <w:tcBorders/>
            <w:vAlign w:val="center"/>
          </w:tcPr>
          <w:p>
            <w:pPr>
              <w:pStyle w:val="TableContents"/>
              <w:bidi w:val="0"/>
              <w:spacing w:before="0" w:after="0"/>
              <w:jc w:val="left"/>
              <w:rPr/>
            </w:pPr>
            <w:r>
              <w:rPr/>
              <w:t xml:space="preserve">March 31, 2025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5.0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left"/>
              <w:rPr/>
            </w:pPr>
            <w:r>
              <w:rPr/>
              <w:t xml:space="preserve">Through September 30, 2025 </w:t>
            </w:r>
          </w:p>
        </w:tc>
        <w:tc>
          <w:tcPr>
            <w:tcW w:w="90"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left"/>
              <w:rPr/>
            </w:pPr>
            <w:r>
              <w:rPr/>
              <w:t xml:space="preserve">June 30, 2027 </w:t>
            </w:r>
          </w:p>
        </w:tc>
        <w:tc>
          <w:tcPr>
            <w:tcW w:w="1220" w:type="dxa"/>
            <w:tcBorders/>
            <w:vAlign w:val="center"/>
          </w:tcPr>
          <w:p>
            <w:pPr>
              <w:pStyle w:val="TableContents"/>
              <w:bidi w:val="0"/>
              <w:spacing w:before="0" w:after="0"/>
              <w:jc w:val="left"/>
              <w:rPr/>
            </w:pPr>
            <w:r>
              <w:rPr/>
              <w:t xml:space="preserve">$3.00/share </w:t>
            </w:r>
          </w:p>
        </w:tc>
        <w:tc>
          <w:tcPr>
            <w:tcW w:w="9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0"/>
              <w:jc w:val="left"/>
              <w:rPr/>
            </w:pPr>
            <w:r>
              <w:rPr/>
              <w:t xml:space="preserve">100,000 shares </w:t>
            </w:r>
          </w:p>
        </w:tc>
        <w:tc>
          <w:tcPr>
            <w:tcW w:w="90" w:type="dxa"/>
            <w:tcBorders/>
            <w:vAlign w:val="center"/>
          </w:tcPr>
          <w:p>
            <w:pPr>
              <w:pStyle w:val="TableContents"/>
              <w:bidi w:val="0"/>
              <w:spacing w:before="0" w:after="283"/>
              <w:jc w:val="right"/>
              <w:rPr/>
            </w:pPr>
            <w:r>
              <w:rPr/>
              <w:t> </w:t>
            </w:r>
          </w:p>
        </w:tc>
        <w:tc>
          <w:tcPr>
            <w:tcW w:w="1190" w:type="dxa"/>
            <w:tcBorders/>
            <w:vAlign w:val="center"/>
          </w:tcPr>
          <w:p>
            <w:pPr>
              <w:pStyle w:val="TableContents"/>
              <w:bidi w:val="0"/>
              <w:spacing w:before="0" w:after="283"/>
              <w:jc w:val="left"/>
              <w:rPr/>
            </w:pPr>
            <w:r>
              <w:rPr/>
              <w:t xml:space="preserve">July 31, 2029 </w:t>
            </w:r>
          </w:p>
        </w:tc>
      </w:tr>
      <w:tr>
        <w:trPr/>
        <w:tc>
          <w:tcPr>
            <w:tcW w:w="1211" w:type="dxa"/>
            <w:tcBorders/>
            <w:shd w:fill="CCEEFF" w:val="clear"/>
            <w:vAlign w:val="center"/>
          </w:tcPr>
          <w:p>
            <w:pPr>
              <w:pStyle w:val="TableContents"/>
              <w:bidi w:val="0"/>
              <w:spacing w:before="0" w:after="0"/>
              <w:ind w:left="0" w:right="0" w:hanging="144"/>
              <w:jc w:val="left"/>
              <w:rPr/>
            </w:pPr>
            <w:r>
              <w:rPr/>
              <w:t xml:space="preserve">July 2025 Supplemental LOC </w:t>
            </w:r>
          </w:p>
        </w:tc>
        <w:tc>
          <w:tcPr>
            <w:tcW w:w="1175" w:type="dxa"/>
            <w:tcBorders/>
            <w:shd w:fill="CCEEFF" w:val="clear"/>
            <w:vAlign w:val="center"/>
          </w:tcPr>
          <w:p>
            <w:pPr>
              <w:pStyle w:val="TableContents"/>
              <w:bidi w:val="0"/>
              <w:spacing w:before="0" w:after="0"/>
              <w:jc w:val="left"/>
              <w:rPr/>
            </w:pPr>
            <w:r>
              <w:rPr/>
              <w:t xml:space="preserve">July 8, 2025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10.0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1055" w:type="dxa"/>
            <w:tcBorders/>
            <w:shd w:fill="CCEEFF" w:val="clear"/>
            <w:vAlign w:val="center"/>
          </w:tcPr>
          <w:p>
            <w:pPr>
              <w:pStyle w:val="TableContents"/>
              <w:bidi w:val="0"/>
              <w:spacing w:before="0" w:after="283"/>
              <w:jc w:val="left"/>
              <w:rPr/>
            </w:pPr>
            <w:r>
              <w:rPr/>
              <w:t xml:space="preserve">Through April 30, 2026 </w:t>
            </w:r>
          </w:p>
        </w:tc>
        <w:tc>
          <w:tcPr>
            <w:tcW w:w="9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left"/>
              <w:rPr/>
            </w:pPr>
            <w:r>
              <w:rPr/>
              <w:t xml:space="preserve">June 30, 2027 </w:t>
            </w:r>
          </w:p>
        </w:tc>
        <w:tc>
          <w:tcPr>
            <w:tcW w:w="1220" w:type="dxa"/>
            <w:tcBorders/>
            <w:shd w:fill="CCEEFF" w:val="clear"/>
            <w:vAlign w:val="center"/>
          </w:tcPr>
          <w:p>
            <w:pPr>
              <w:pStyle w:val="TableContents"/>
              <w:bidi w:val="0"/>
              <w:spacing w:before="0" w:after="0"/>
              <w:jc w:val="left"/>
              <w:rPr/>
            </w:pPr>
            <w:r>
              <w:rPr/>
              <w:t xml:space="preserve">$3.00/share </w:t>
            </w:r>
          </w:p>
        </w:tc>
        <w:tc>
          <w:tcPr>
            <w:tcW w:w="9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0"/>
              <w:jc w:val="left"/>
              <w:rPr/>
            </w:pPr>
            <w:r>
              <w:rPr/>
              <w:t xml:space="preserve">200,000 shares </w:t>
            </w:r>
          </w:p>
        </w:tc>
        <w:tc>
          <w:tcPr>
            <w:tcW w:w="90" w:type="dxa"/>
            <w:tcBorders/>
            <w:shd w:fill="CCEEFF" w:val="clear"/>
            <w:vAlign w:val="center"/>
          </w:tcPr>
          <w:p>
            <w:pPr>
              <w:pStyle w:val="TableContents"/>
              <w:bidi w:val="0"/>
              <w:spacing w:before="0" w:after="283"/>
              <w:jc w:val="right"/>
              <w:rPr/>
            </w:pPr>
            <w:r>
              <w:rPr/>
              <w:t> </w:t>
            </w:r>
          </w:p>
        </w:tc>
        <w:tc>
          <w:tcPr>
            <w:tcW w:w="1190" w:type="dxa"/>
            <w:tcBorders/>
            <w:shd w:fill="CCEEFF" w:val="clear"/>
            <w:vAlign w:val="center"/>
          </w:tcPr>
          <w:p>
            <w:pPr>
              <w:pStyle w:val="TableContents"/>
              <w:bidi w:val="0"/>
              <w:spacing w:before="0" w:after="283"/>
              <w:jc w:val="left"/>
              <w:rPr/>
            </w:pPr>
            <w:r>
              <w:rPr/>
              <w:t xml:space="preserve">Not stated </w:t>
            </w:r>
          </w:p>
        </w:tc>
      </w:tr>
      <w:tr>
        <w:trPr/>
        <w:tc>
          <w:tcPr>
            <w:tcW w:w="1211" w:type="dxa"/>
            <w:tcBorders/>
            <w:vAlign w:val="center"/>
          </w:tcPr>
          <w:p>
            <w:pPr>
              <w:pStyle w:val="TableContents"/>
              <w:bidi w:val="0"/>
              <w:spacing w:before="0" w:after="0"/>
              <w:ind w:left="0" w:right="0" w:hanging="144"/>
              <w:jc w:val="left"/>
              <w:rPr/>
            </w:pPr>
            <w:r>
              <w:rPr/>
              <w:t xml:space="preserve">December 2025 Supplemental LOC </w:t>
            </w:r>
          </w:p>
        </w:tc>
        <w:tc>
          <w:tcPr>
            <w:tcW w:w="1175" w:type="dxa"/>
            <w:tcBorders/>
            <w:vAlign w:val="center"/>
          </w:tcPr>
          <w:p>
            <w:pPr>
              <w:pStyle w:val="TableContents"/>
              <w:bidi w:val="0"/>
              <w:spacing w:before="0" w:after="0"/>
              <w:jc w:val="left"/>
              <w:rPr/>
            </w:pPr>
            <w:r>
              <w:rPr/>
              <w:t xml:space="preserve">December 19, 2025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left"/>
              <w:rPr/>
            </w:pPr>
            <w:r>
              <w:rPr/>
              <w:t xml:space="preserve">Through January 31, 2027 </w:t>
            </w:r>
          </w:p>
        </w:tc>
        <w:tc>
          <w:tcPr>
            <w:tcW w:w="90"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left"/>
              <w:rPr/>
            </w:pPr>
            <w:r>
              <w:rPr/>
              <w:t xml:space="preserve">June 30, 2027 </w:t>
            </w:r>
          </w:p>
        </w:tc>
        <w:tc>
          <w:tcPr>
            <w:tcW w:w="1220" w:type="dxa"/>
            <w:tcBorders/>
            <w:vAlign w:val="center"/>
          </w:tcPr>
          <w:p>
            <w:pPr>
              <w:pStyle w:val="TableContents"/>
              <w:bidi w:val="0"/>
              <w:spacing w:before="0" w:after="0"/>
              <w:jc w:val="left"/>
              <w:rPr/>
            </w:pPr>
            <w:r>
              <w:rPr/>
              <w:t xml:space="preserve">$4.38/share </w:t>
            </w:r>
          </w:p>
        </w:tc>
        <w:tc>
          <w:tcPr>
            <w:tcW w:w="9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0"/>
              <w:jc w:val="left"/>
              <w:rPr/>
            </w:pPr>
            <w:r>
              <w:rPr/>
              <w:t xml:space="preserve">200,000 shares </w:t>
            </w:r>
          </w:p>
        </w:tc>
        <w:tc>
          <w:tcPr>
            <w:tcW w:w="90" w:type="dxa"/>
            <w:tcBorders/>
            <w:vAlign w:val="center"/>
          </w:tcPr>
          <w:p>
            <w:pPr>
              <w:pStyle w:val="TableContents"/>
              <w:bidi w:val="0"/>
              <w:spacing w:before="0" w:after="283"/>
              <w:jc w:val="right"/>
              <w:rPr/>
            </w:pPr>
            <w:r>
              <w:rPr/>
              <w:t> </w:t>
            </w:r>
          </w:p>
        </w:tc>
        <w:tc>
          <w:tcPr>
            <w:tcW w:w="1190" w:type="dxa"/>
            <w:tcBorders/>
            <w:vAlign w:val="center"/>
          </w:tcPr>
          <w:p>
            <w:pPr>
              <w:pStyle w:val="TableContents"/>
              <w:bidi w:val="0"/>
              <w:spacing w:before="0" w:after="283"/>
              <w:jc w:val="left"/>
              <w:rPr/>
            </w:pPr>
            <w:r>
              <w:rPr/>
              <w:t xml:space="preserve">Not stated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All maturity dates were originally Jan 31, 2026 (or later for newer facilities), extended to Sept 30, 2026 under the July 2025 agreement, and then further extended to June 30, 2027 under the December 2025 agreement. The December 2025 Supplemental LOC had not yet been drawn upon as of June 30, 2026.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Promissory Note Draws</w:t>
      </w:r>
      <w:r>
        <w:rPr>
          <w:rFonts w:ascii="Times New Roman" w:hAnsi="Times New Roman"/>
          <w:sz w:val="20"/>
        </w:rPr>
        <w:t xml:space="preserve"> </w:t>
      </w:r>
    </w:p>
    <w:tbl>
      <w:tblPr>
        <w:tblW w:w="10205" w:type="dxa"/>
        <w:jc w:val="left"/>
        <w:tblInd w:w="0" w:type="dxa"/>
        <w:tblLayout w:type="fixed"/>
        <w:tblCellMar>
          <w:top w:w="0" w:type="dxa"/>
          <w:left w:w="0" w:type="dxa"/>
          <w:bottom w:w="0" w:type="dxa"/>
          <w:right w:w="0" w:type="dxa"/>
        </w:tblCellMar>
      </w:tblPr>
      <w:tblGrid>
        <w:gridCol w:w="685"/>
        <w:gridCol w:w="1415"/>
        <w:gridCol w:w="90"/>
        <w:gridCol w:w="170"/>
        <w:gridCol w:w="982"/>
        <w:gridCol w:w="260"/>
        <w:gridCol w:w="90"/>
        <w:gridCol w:w="90"/>
        <w:gridCol w:w="726"/>
        <w:gridCol w:w="245"/>
        <w:gridCol w:w="937"/>
        <w:gridCol w:w="90"/>
        <w:gridCol w:w="170"/>
        <w:gridCol w:w="1222"/>
        <w:gridCol w:w="90"/>
        <w:gridCol w:w="90"/>
        <w:gridCol w:w="170"/>
        <w:gridCol w:w="1068"/>
        <w:gridCol w:w="90"/>
        <w:gridCol w:w="90"/>
        <w:gridCol w:w="170"/>
        <w:gridCol w:w="1126"/>
        <w:gridCol w:w="139"/>
      </w:tblGrid>
      <w:tr>
        <w:trPr/>
        <w:tc>
          <w:tcPr>
            <w:tcW w:w="68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jc w:val="left"/>
              <w:rPr/>
            </w:pPr>
            <w:r>
              <w:rPr>
                <w:b/>
              </w:rPr>
              <w:t xml:space="preserve">Draw </w:t>
              <w:br/>
              <w:t>Date</w:t>
            </w:r>
            <w:r>
              <w:rPr/>
              <w:t xml:space="preserve"> </w:t>
            </w:r>
          </w:p>
        </w:tc>
        <w:tc>
          <w:tcPr>
            <w:tcW w:w="1415" w:type="dxa"/>
            <w:tcBorders/>
            <w:vAlign w:val="center"/>
          </w:tcPr>
          <w:p>
            <w:pPr>
              <w:pStyle w:val="TableContents"/>
              <w:bidi w:val="0"/>
              <w:spacing w:before="0" w:after="0"/>
              <w:jc w:val="left"/>
              <w:rPr/>
            </w:pPr>
            <w:r>
              <w:rPr>
                <w:b/>
              </w:rPr>
              <w:t>Facility</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0"/>
              <w:jc w:val="left"/>
              <w:rPr/>
            </w:pPr>
            <w:r>
              <w:rPr>
                <w:b/>
              </w:rPr>
              <w:t>Principal</w:t>
            </w:r>
            <w:r>
              <w:rPr/>
              <w:t xml:space="preserve">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0"/>
              <w:jc w:val="left"/>
              <w:rPr/>
            </w:pPr>
            <w:r>
              <w:rPr>
                <w:b/>
              </w:rPr>
              <w:t xml:space="preserve">Stated Rate </w:t>
              <w:br/>
              <w:t>(AFR + 2%)</w:t>
            </w:r>
            <w:r>
              <w:rPr/>
              <w:t xml:space="preserve"> </w:t>
            </w:r>
          </w:p>
        </w:tc>
        <w:tc>
          <w:tcPr>
            <w:tcW w:w="24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left"/>
              <w:rPr/>
            </w:pPr>
            <w:r>
              <w:rPr>
                <w:b/>
              </w:rPr>
              <w:t xml:space="preserve">Effective </w:t>
              <w:br/>
              <w:t>Rate</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0"/>
              <w:jc w:val="left"/>
              <w:rPr/>
            </w:pPr>
            <w:r>
              <w:rPr>
                <w:b/>
              </w:rPr>
              <w:t xml:space="preserve">Conversion </w:t>
              <w:br/>
              <w:t>Price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left"/>
              <w:rPr>
                <w:b/>
              </w:rPr>
            </w:pPr>
            <w:r>
              <w:rPr>
                <w:b/>
              </w:rPr>
              <w:t xml:space="preserve">Accrued </w:t>
              <w:br/>
              <w:t>Interest June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0"/>
              <w:jc w:val="left"/>
              <w:rPr>
                <w:b/>
              </w:rPr>
            </w:pPr>
            <w:r>
              <w:rPr>
                <w:b/>
              </w:rPr>
              <w:t xml:space="preserve">Accrued Interest </w:t>
              <w:br/>
              <w:t>December 31, 2025</w:t>
            </w:r>
          </w:p>
        </w:tc>
        <w:tc>
          <w:tcPr>
            <w:tcW w:w="139" w:type="dxa"/>
            <w:tcBorders/>
            <w:vAlign w:val="center"/>
          </w:tcPr>
          <w:p>
            <w:pPr>
              <w:pStyle w:val="TableContents"/>
              <w:bidi w:val="0"/>
              <w:spacing w:before="0" w:after="283"/>
              <w:jc w:val="left"/>
              <w:rPr/>
            </w:pPr>
            <w:r>
              <w:rPr/>
              <w:t> </w:t>
            </w:r>
          </w:p>
        </w:tc>
      </w:tr>
      <w:tr>
        <w:trPr/>
        <w:tc>
          <w:tcPr>
            <w:tcW w:w="685" w:type="dxa"/>
            <w:tcBorders/>
            <w:shd w:fill="CCEEFF" w:val="clear"/>
            <w:vAlign w:val="center"/>
          </w:tcPr>
          <w:p>
            <w:pPr>
              <w:pStyle w:val="TableContents"/>
              <w:bidi w:val="0"/>
              <w:spacing w:before="0" w:after="0"/>
              <w:ind w:left="0" w:right="0" w:hanging="144"/>
              <w:jc w:val="left"/>
              <w:rPr/>
            </w:pPr>
            <w:r>
              <w:rPr/>
              <w:t xml:space="preserve">Dec 19, 2022 </w:t>
            </w:r>
          </w:p>
        </w:tc>
        <w:tc>
          <w:tcPr>
            <w:tcW w:w="1415" w:type="dxa"/>
            <w:tcBorders/>
            <w:shd w:fill="CCEEFF" w:val="clear"/>
            <w:vAlign w:val="center"/>
          </w:tcPr>
          <w:p>
            <w:pPr>
              <w:pStyle w:val="TableContents"/>
              <w:bidi w:val="0"/>
              <w:spacing w:before="0" w:after="0"/>
              <w:jc w:val="left"/>
              <w:rPr/>
            </w:pPr>
            <w:r>
              <w:rPr/>
              <w:t xml:space="preserve">Original LOC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6.46</w:t>
            </w:r>
          </w:p>
        </w:tc>
        <w:tc>
          <w:tcPr>
            <w:tcW w:w="245"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 xml:space="preserve">~7.1%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2,556,000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2,158,000</w:t>
            </w:r>
          </w:p>
        </w:tc>
        <w:tc>
          <w:tcPr>
            <w:tcW w:w="139" w:type="dxa"/>
            <w:tcBorders/>
            <w:shd w:fill="CCEEFF" w:val="clear"/>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44"/>
              <w:jc w:val="left"/>
              <w:rPr/>
            </w:pPr>
            <w:r>
              <w:rPr/>
              <w:t xml:space="preserve">Mar 31, 2023 </w:t>
            </w:r>
          </w:p>
        </w:tc>
        <w:tc>
          <w:tcPr>
            <w:tcW w:w="1415" w:type="dxa"/>
            <w:tcBorders/>
            <w:vAlign w:val="center"/>
          </w:tcPr>
          <w:p>
            <w:pPr>
              <w:pStyle w:val="TableContents"/>
              <w:bidi w:val="0"/>
              <w:spacing w:before="0" w:after="0"/>
              <w:jc w:val="left"/>
              <w:rPr/>
            </w:pPr>
            <w:r>
              <w:rPr/>
              <w:t xml:space="preserve">Original LOC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6.41</w:t>
            </w:r>
          </w:p>
        </w:tc>
        <w:tc>
          <w:tcPr>
            <w:tcW w:w="245"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 xml:space="preserve">~7.1%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2"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2,309,000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1,922,000</w:t>
            </w:r>
          </w:p>
        </w:tc>
        <w:tc>
          <w:tcPr>
            <w:tcW w:w="139" w:type="dxa"/>
            <w:tcBorders/>
            <w:vAlign w:val="center"/>
          </w:tcPr>
          <w:p>
            <w:pPr>
              <w:pStyle w:val="TableContents"/>
              <w:bidi w:val="0"/>
              <w:spacing w:before="0" w:after="283"/>
              <w:jc w:val="left"/>
              <w:rPr/>
            </w:pPr>
            <w:r>
              <w:rPr/>
              <w:t> </w:t>
            </w:r>
          </w:p>
        </w:tc>
      </w:tr>
      <w:tr>
        <w:trPr/>
        <w:tc>
          <w:tcPr>
            <w:tcW w:w="685" w:type="dxa"/>
            <w:tcBorders/>
            <w:shd w:fill="CCEEFF" w:val="clear"/>
            <w:vAlign w:val="center"/>
          </w:tcPr>
          <w:p>
            <w:pPr>
              <w:pStyle w:val="TableContents"/>
              <w:bidi w:val="0"/>
              <w:spacing w:before="0" w:after="0"/>
              <w:ind w:left="0" w:right="0" w:hanging="144"/>
              <w:jc w:val="left"/>
              <w:rPr/>
            </w:pPr>
            <w:r>
              <w:rPr/>
              <w:t xml:space="preserve">Jun 30, 2023 </w:t>
            </w:r>
          </w:p>
        </w:tc>
        <w:tc>
          <w:tcPr>
            <w:tcW w:w="1415" w:type="dxa"/>
            <w:tcBorders/>
            <w:shd w:fill="CCEEFF" w:val="clear"/>
            <w:vAlign w:val="center"/>
          </w:tcPr>
          <w:p>
            <w:pPr>
              <w:pStyle w:val="TableContents"/>
              <w:bidi w:val="0"/>
              <w:spacing w:before="0" w:after="0"/>
              <w:jc w:val="left"/>
              <w:rPr/>
            </w:pPr>
            <w:r>
              <w:rPr/>
              <w:t xml:space="preserve">Original LOC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6.34</w:t>
            </w:r>
          </w:p>
        </w:tc>
        <w:tc>
          <w:tcPr>
            <w:tcW w:w="245"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 xml:space="preserve">~7.1%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2,089,000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1,713,000</w:t>
            </w:r>
          </w:p>
        </w:tc>
        <w:tc>
          <w:tcPr>
            <w:tcW w:w="139" w:type="dxa"/>
            <w:tcBorders/>
            <w:shd w:fill="CCEEFF" w:val="clear"/>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44"/>
              <w:jc w:val="left"/>
              <w:rPr/>
            </w:pPr>
            <w:r>
              <w:rPr/>
              <w:t xml:space="preserve">Dec 29, 2023 </w:t>
            </w:r>
          </w:p>
        </w:tc>
        <w:tc>
          <w:tcPr>
            <w:tcW w:w="1415" w:type="dxa"/>
            <w:tcBorders/>
            <w:vAlign w:val="center"/>
          </w:tcPr>
          <w:p>
            <w:pPr>
              <w:pStyle w:val="TableContents"/>
              <w:bidi w:val="0"/>
              <w:spacing w:before="0" w:after="0"/>
              <w:jc w:val="left"/>
              <w:rPr/>
            </w:pPr>
            <w:r>
              <w:rPr/>
              <w:t xml:space="preserve">Original LOC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7.13</w:t>
            </w:r>
          </w:p>
        </w:tc>
        <w:tc>
          <w:tcPr>
            <w:tcW w:w="245"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 xml:space="preserve">~7.5%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2"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1,950,000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1,532,000</w:t>
            </w:r>
          </w:p>
        </w:tc>
        <w:tc>
          <w:tcPr>
            <w:tcW w:w="139" w:type="dxa"/>
            <w:tcBorders/>
            <w:vAlign w:val="center"/>
          </w:tcPr>
          <w:p>
            <w:pPr>
              <w:pStyle w:val="TableContents"/>
              <w:bidi w:val="0"/>
              <w:spacing w:before="0" w:after="283"/>
              <w:jc w:val="left"/>
              <w:rPr/>
            </w:pPr>
            <w:r>
              <w:rPr/>
              <w:t> </w:t>
            </w:r>
          </w:p>
        </w:tc>
      </w:tr>
      <w:tr>
        <w:trPr/>
        <w:tc>
          <w:tcPr>
            <w:tcW w:w="685" w:type="dxa"/>
            <w:tcBorders/>
            <w:shd w:fill="CCEEFF" w:val="clear"/>
            <w:vAlign w:val="center"/>
          </w:tcPr>
          <w:p>
            <w:pPr>
              <w:pStyle w:val="TableContents"/>
              <w:bidi w:val="0"/>
              <w:spacing w:before="0" w:after="0"/>
              <w:ind w:left="0" w:right="0" w:hanging="144"/>
              <w:jc w:val="left"/>
              <w:rPr/>
            </w:pPr>
            <w:r>
              <w:rPr/>
              <w:t xml:space="preserve">Mar 29, 2024 </w:t>
            </w:r>
          </w:p>
        </w:tc>
        <w:tc>
          <w:tcPr>
            <w:tcW w:w="1415" w:type="dxa"/>
            <w:tcBorders/>
            <w:shd w:fill="CCEEFF" w:val="clear"/>
            <w:vAlign w:val="center"/>
          </w:tcPr>
          <w:p>
            <w:pPr>
              <w:pStyle w:val="TableContents"/>
              <w:bidi w:val="0"/>
              <w:spacing w:before="0" w:after="0"/>
              <w:jc w:val="left"/>
              <w:rPr/>
            </w:pPr>
            <w:r>
              <w:rPr/>
              <w:t xml:space="preserve">Original LOC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6.62</w:t>
            </w:r>
          </w:p>
        </w:tc>
        <w:tc>
          <w:tcPr>
            <w:tcW w:w="245"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 xml:space="preserve">~7.1%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1,606,000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1,229,000</w:t>
            </w:r>
          </w:p>
        </w:tc>
        <w:tc>
          <w:tcPr>
            <w:tcW w:w="139" w:type="dxa"/>
            <w:tcBorders/>
            <w:shd w:fill="CCEEFF" w:val="clear"/>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44"/>
              <w:jc w:val="left"/>
              <w:rPr/>
            </w:pPr>
            <w:r>
              <w:rPr/>
              <w:t xml:space="preserve">Jun 28, 2024 </w:t>
            </w:r>
          </w:p>
        </w:tc>
        <w:tc>
          <w:tcPr>
            <w:tcW w:w="1415" w:type="dxa"/>
            <w:tcBorders/>
            <w:vAlign w:val="center"/>
          </w:tcPr>
          <w:p>
            <w:pPr>
              <w:pStyle w:val="TableContents"/>
              <w:bidi w:val="0"/>
              <w:spacing w:before="0" w:after="0"/>
              <w:jc w:val="left"/>
              <w:rPr/>
            </w:pPr>
            <w:r>
              <w:rPr/>
              <w:t xml:space="preserve">Original LOC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7.01</w:t>
            </w:r>
          </w:p>
        </w:tc>
        <w:tc>
          <w:tcPr>
            <w:tcW w:w="245"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 xml:space="preserve">~7.4%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2"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1,505,000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1,110,000</w:t>
            </w:r>
          </w:p>
        </w:tc>
        <w:tc>
          <w:tcPr>
            <w:tcW w:w="139" w:type="dxa"/>
            <w:tcBorders/>
            <w:vAlign w:val="center"/>
          </w:tcPr>
          <w:p>
            <w:pPr>
              <w:pStyle w:val="TableContents"/>
              <w:bidi w:val="0"/>
              <w:spacing w:before="0" w:after="283"/>
              <w:jc w:val="left"/>
              <w:rPr/>
            </w:pPr>
            <w:r>
              <w:rPr/>
              <w:t> </w:t>
            </w:r>
          </w:p>
        </w:tc>
      </w:tr>
      <w:tr>
        <w:trPr/>
        <w:tc>
          <w:tcPr>
            <w:tcW w:w="685" w:type="dxa"/>
            <w:tcBorders/>
            <w:shd w:fill="CCEEFF" w:val="clear"/>
            <w:vAlign w:val="center"/>
          </w:tcPr>
          <w:p>
            <w:pPr>
              <w:pStyle w:val="TableContents"/>
              <w:bidi w:val="0"/>
              <w:spacing w:before="0" w:after="0"/>
              <w:ind w:left="0" w:right="0" w:hanging="144"/>
              <w:jc w:val="left"/>
              <w:rPr/>
            </w:pPr>
            <w:r>
              <w:rPr/>
              <w:t xml:space="preserve">Sep 30, 2024 </w:t>
            </w:r>
          </w:p>
        </w:tc>
        <w:tc>
          <w:tcPr>
            <w:tcW w:w="1415" w:type="dxa"/>
            <w:tcBorders/>
            <w:shd w:fill="CCEEFF" w:val="clear"/>
            <w:vAlign w:val="center"/>
          </w:tcPr>
          <w:p>
            <w:pPr>
              <w:pStyle w:val="TableContents"/>
              <w:bidi w:val="0"/>
              <w:spacing w:before="0" w:after="0"/>
              <w:jc w:val="left"/>
              <w:rPr/>
            </w:pPr>
            <w:r>
              <w:rPr/>
              <w:t xml:space="preserve">Supplemental LOC (2024)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10.0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6.48</w:t>
            </w:r>
          </w:p>
        </w:tc>
        <w:tc>
          <w:tcPr>
            <w:tcW w:w="245"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 xml:space="preserve">~6.4%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1,197,000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841,000</w:t>
            </w:r>
          </w:p>
        </w:tc>
        <w:tc>
          <w:tcPr>
            <w:tcW w:w="139" w:type="dxa"/>
            <w:tcBorders/>
            <w:shd w:fill="CCEEFF" w:val="clear"/>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44"/>
              <w:jc w:val="left"/>
              <w:rPr/>
            </w:pPr>
            <w:r>
              <w:rPr/>
              <w:t xml:space="preserve">Apr 30, 2025 </w:t>
            </w:r>
          </w:p>
        </w:tc>
        <w:tc>
          <w:tcPr>
            <w:tcW w:w="1415" w:type="dxa"/>
            <w:tcBorders/>
            <w:vAlign w:val="center"/>
          </w:tcPr>
          <w:p>
            <w:pPr>
              <w:pStyle w:val="TableContents"/>
              <w:bidi w:val="0"/>
              <w:spacing w:before="0" w:after="0"/>
              <w:jc w:val="left"/>
              <w:rPr/>
            </w:pPr>
            <w:r>
              <w:rPr/>
              <w:t xml:space="preserve">Nov 2024 Supplemental LOC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6.0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6.13</w:t>
            </w:r>
          </w:p>
        </w:tc>
        <w:tc>
          <w:tcPr>
            <w:tcW w:w="245"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 xml:space="preserve">~6.4%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2"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441,000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248,000</w:t>
            </w:r>
          </w:p>
        </w:tc>
        <w:tc>
          <w:tcPr>
            <w:tcW w:w="139" w:type="dxa"/>
            <w:tcBorders/>
            <w:vAlign w:val="center"/>
          </w:tcPr>
          <w:p>
            <w:pPr>
              <w:pStyle w:val="TableContents"/>
              <w:bidi w:val="0"/>
              <w:spacing w:before="0" w:after="283"/>
              <w:jc w:val="left"/>
              <w:rPr/>
            </w:pPr>
            <w:r>
              <w:rPr/>
              <w:t> </w:t>
            </w:r>
          </w:p>
        </w:tc>
      </w:tr>
      <w:tr>
        <w:trPr/>
        <w:tc>
          <w:tcPr>
            <w:tcW w:w="685" w:type="dxa"/>
            <w:tcBorders/>
            <w:shd w:fill="CCEEFF" w:val="clear"/>
            <w:vAlign w:val="center"/>
          </w:tcPr>
          <w:p>
            <w:pPr>
              <w:pStyle w:val="TableContents"/>
              <w:bidi w:val="0"/>
              <w:spacing w:before="0" w:after="0"/>
              <w:ind w:left="0" w:right="0" w:hanging="144"/>
              <w:jc w:val="left"/>
              <w:rPr/>
            </w:pPr>
            <w:r>
              <w:rPr/>
              <w:t xml:space="preserve">Jun 30, 2025 </w:t>
            </w:r>
          </w:p>
        </w:tc>
        <w:tc>
          <w:tcPr>
            <w:tcW w:w="1415" w:type="dxa"/>
            <w:tcBorders/>
            <w:shd w:fill="CCEEFF" w:val="clear"/>
            <w:vAlign w:val="center"/>
          </w:tcPr>
          <w:p>
            <w:pPr>
              <w:pStyle w:val="TableContents"/>
              <w:bidi w:val="0"/>
              <w:spacing w:before="0" w:after="0"/>
              <w:jc w:val="left"/>
              <w:rPr/>
            </w:pPr>
            <w:r>
              <w:rPr/>
              <w:t xml:space="preserve">Mar 2025 Supplemental LOC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5.0</w:t>
            </w:r>
          </w:p>
        </w:tc>
        <w:tc>
          <w:tcPr>
            <w:tcW w:w="260" w:type="dxa"/>
            <w:tcBorders/>
            <w:shd w:fill="CCEEFF" w:val="clear"/>
            <w:vAlign w:val="center"/>
          </w:tcPr>
          <w:p>
            <w:pPr>
              <w:pStyle w:val="TableContents"/>
              <w:bidi w:val="0"/>
              <w:spacing w:before="0" w:after="283"/>
              <w:jc w:val="left"/>
              <w:rPr/>
            </w:pPr>
            <w:r>
              <w:rPr/>
              <w:t>M</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5.93</w:t>
            </w:r>
          </w:p>
        </w:tc>
        <w:tc>
          <w:tcPr>
            <w:tcW w:w="245"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0"/>
              <w:jc w:val="right"/>
              <w:rPr/>
            </w:pPr>
            <w:r>
              <w:rPr/>
              <w:t xml:space="preserve">~6.4%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150,000</w:t>
            </w:r>
          </w:p>
        </w:tc>
        <w:tc>
          <w:tcPr>
            <w:tcW w:w="139" w:type="dxa"/>
            <w:tcBorders/>
            <w:shd w:fill="CCEEFF" w:val="clear"/>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144"/>
              <w:jc w:val="left"/>
              <w:rPr/>
            </w:pPr>
            <w:r>
              <w:rPr/>
              <w:t xml:space="preserve">Dec 31, 2025 </w:t>
            </w:r>
          </w:p>
        </w:tc>
        <w:tc>
          <w:tcPr>
            <w:tcW w:w="1415" w:type="dxa"/>
            <w:tcBorders/>
            <w:vAlign w:val="center"/>
          </w:tcPr>
          <w:p>
            <w:pPr>
              <w:pStyle w:val="TableContents"/>
              <w:bidi w:val="0"/>
              <w:spacing w:before="0" w:after="0"/>
              <w:jc w:val="left"/>
              <w:rPr/>
            </w:pPr>
            <w:r>
              <w:rPr/>
              <w:t xml:space="preserve">Jul 2025 Supplemental LOC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10.0</w:t>
            </w:r>
          </w:p>
        </w:tc>
        <w:tc>
          <w:tcPr>
            <w:tcW w:w="260" w:type="dxa"/>
            <w:tcBorders/>
            <w:vAlign w:val="center"/>
          </w:tcPr>
          <w:p>
            <w:pPr>
              <w:pStyle w:val="TableContents"/>
              <w:bidi w:val="0"/>
              <w:spacing w:before="0" w:after="283"/>
              <w:jc w:val="left"/>
              <w:rPr/>
            </w:pPr>
            <w:r>
              <w:rPr/>
              <w:t>M</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5.6</w:t>
            </w:r>
          </w:p>
        </w:tc>
        <w:tc>
          <w:tcPr>
            <w:tcW w:w="245"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0"/>
              <w:jc w:val="right"/>
              <w:rPr/>
            </w:pPr>
            <w:r>
              <w:rPr/>
              <w:t xml:space="preserve">~5.9%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2" w:type="dxa"/>
            <w:tcBorders/>
            <w:vAlign w:val="center"/>
          </w:tcPr>
          <w:p>
            <w:pPr>
              <w:pStyle w:val="TableContents"/>
              <w:bidi w:val="0"/>
              <w:spacing w:before="0" w:after="283"/>
              <w:jc w:val="right"/>
              <w:rPr/>
            </w:pPr>
            <w:r>
              <w:rPr/>
              <w:t>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283,000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xml:space="preserve">— </w:t>
            </w:r>
          </w:p>
        </w:tc>
        <w:tc>
          <w:tcPr>
            <w:tcW w:w="139"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Warrants Issued</w:t>
      </w:r>
      <w:r>
        <w:rPr>
          <w:rFonts w:ascii="Times New Roman" w:hAnsi="Times New Roman"/>
          <w:sz w:val="20"/>
        </w:rPr>
        <w:t xml:space="preserve"> </w:t>
      </w:r>
    </w:p>
    <w:tbl>
      <w:tblPr>
        <w:tblW w:w="10640" w:type="dxa"/>
        <w:jc w:val="left"/>
        <w:tblInd w:w="0" w:type="dxa"/>
        <w:tblLayout w:type="fixed"/>
        <w:tblCellMar>
          <w:top w:w="0" w:type="dxa"/>
          <w:left w:w="0" w:type="dxa"/>
          <w:bottom w:w="0" w:type="dxa"/>
          <w:right w:w="0" w:type="dxa"/>
        </w:tblCellMar>
      </w:tblPr>
      <w:tblGrid>
        <w:gridCol w:w="935"/>
        <w:gridCol w:w="1340"/>
        <w:gridCol w:w="90"/>
        <w:gridCol w:w="90"/>
        <w:gridCol w:w="830"/>
        <w:gridCol w:w="90"/>
        <w:gridCol w:w="90"/>
        <w:gridCol w:w="170"/>
        <w:gridCol w:w="905"/>
        <w:gridCol w:w="90"/>
        <w:gridCol w:w="90"/>
        <w:gridCol w:w="170"/>
        <w:gridCol w:w="1220"/>
        <w:gridCol w:w="90"/>
        <w:gridCol w:w="90"/>
        <w:gridCol w:w="90"/>
        <w:gridCol w:w="995"/>
        <w:gridCol w:w="335"/>
        <w:gridCol w:w="90"/>
        <w:gridCol w:w="90"/>
        <w:gridCol w:w="980"/>
        <w:gridCol w:w="245"/>
        <w:gridCol w:w="90"/>
        <w:gridCol w:w="90"/>
        <w:gridCol w:w="1055"/>
        <w:gridCol w:w="290"/>
      </w:tblGrid>
      <w:tr>
        <w:trPr/>
        <w:tc>
          <w:tcPr>
            <w:tcW w:w="93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pPr>
            <w:r>
              <w:rPr>
                <w:b/>
              </w:rPr>
              <w:t xml:space="preserve">Issuance </w:t>
              <w:br/>
              <w:t>Date</w:t>
            </w:r>
            <w:r>
              <w:rPr/>
              <w:t xml:space="preserve"> </w:t>
            </w:r>
          </w:p>
        </w:tc>
        <w:tc>
          <w:tcPr>
            <w:tcW w:w="1340" w:type="dxa"/>
            <w:tcBorders/>
            <w:vAlign w:val="center"/>
          </w:tcPr>
          <w:p>
            <w:pPr>
              <w:pStyle w:val="TableContents"/>
              <w:bidi w:val="0"/>
              <w:spacing w:before="0" w:after="0"/>
              <w:jc w:val="left"/>
              <w:rPr/>
            </w:pPr>
            <w:r>
              <w:rPr>
                <w:b/>
              </w:rPr>
              <w:t>Related Draw</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b/>
              </w:rPr>
              <w:t>Shares</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left"/>
              <w:rPr/>
            </w:pPr>
            <w:r>
              <w:rPr>
                <w:b/>
              </w:rPr>
              <w:t xml:space="preserve">Exercise </w:t>
              <w:br/>
              <w:t>Price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pPr>
            <w:r>
              <w:rPr>
                <w:b/>
              </w:rPr>
              <w:t xml:space="preserve">Grant-Date Fair </w:t>
              <w:br/>
              <w:t>Value</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b/>
              </w:rPr>
              <w:t xml:space="preserve">Expected </w:t>
              <w:br/>
              <w:t>Life</w:t>
            </w:r>
            <w:r>
              <w:rPr/>
              <w:t xml:space="preserve"> </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pPr>
            <w:r>
              <w:rPr>
                <w:b/>
              </w:rPr>
              <w:t>Volatility</w:t>
            </w:r>
            <w:r>
              <w:rPr/>
              <w:t xml:space="preserve">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left"/>
              <w:rPr/>
            </w:pPr>
            <w:r>
              <w:rPr>
                <w:b/>
              </w:rPr>
              <w:t xml:space="preserve">Risk-Free </w:t>
              <w:br/>
              <w:t>Rate</w:t>
            </w:r>
            <w:r>
              <w:rPr/>
              <w:t xml:space="preserve"> </w:t>
            </w:r>
          </w:p>
        </w:tc>
        <w:tc>
          <w:tcPr>
            <w:tcW w:w="29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ind w:left="0" w:right="0" w:hanging="144"/>
              <w:jc w:val="left"/>
              <w:rPr/>
            </w:pPr>
            <w:r>
              <w:rPr/>
              <w:t xml:space="preserve">Jul 25, 2022 </w:t>
            </w:r>
          </w:p>
        </w:tc>
        <w:tc>
          <w:tcPr>
            <w:tcW w:w="1340" w:type="dxa"/>
            <w:tcBorders/>
            <w:shd w:fill="CCEEFF" w:val="clear"/>
            <w:vAlign w:val="center"/>
          </w:tcPr>
          <w:p>
            <w:pPr>
              <w:pStyle w:val="TableContents"/>
              <w:bidi w:val="0"/>
              <w:spacing w:before="0" w:after="0"/>
              <w:jc w:val="left"/>
              <w:rPr/>
            </w:pPr>
            <w:r>
              <w:rPr/>
              <w:t xml:space="preserve">At closing (Original LOC)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738,000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7.00</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3.19</w:t>
            </w:r>
          </w:p>
        </w:tc>
        <w:tc>
          <w:tcPr>
            <w:tcW w:w="290" w:type="dxa"/>
            <w:tcBorders/>
            <w:shd w:fill="CCEEFF" w:val="clear"/>
            <w:vAlign w:val="center"/>
          </w:tcPr>
          <w:p>
            <w:pPr>
              <w:pStyle w:val="TableContents"/>
              <w:bidi w:val="0"/>
              <w:spacing w:before="0" w:after="283"/>
              <w:jc w:val="left"/>
              <w:rPr/>
            </w:pPr>
            <w:r>
              <w:rPr/>
              <w:t>%</w:t>
            </w:r>
          </w:p>
        </w:tc>
      </w:tr>
      <w:tr>
        <w:trPr/>
        <w:tc>
          <w:tcPr>
            <w:tcW w:w="935" w:type="dxa"/>
            <w:tcBorders/>
            <w:vAlign w:val="center"/>
          </w:tcPr>
          <w:p>
            <w:pPr>
              <w:pStyle w:val="TableContents"/>
              <w:bidi w:val="0"/>
              <w:spacing w:before="0" w:after="0"/>
              <w:ind w:left="0" w:right="0" w:hanging="144"/>
              <w:jc w:val="left"/>
              <w:rPr/>
            </w:pPr>
            <w:r>
              <w:rPr/>
              <w:t xml:space="preserve">Dec 19, 2022 </w:t>
            </w:r>
          </w:p>
        </w:tc>
        <w:tc>
          <w:tcPr>
            <w:tcW w:w="1340" w:type="dxa"/>
            <w:tcBorders/>
            <w:vAlign w:val="center"/>
          </w:tcPr>
          <w:p>
            <w:pPr>
              <w:pStyle w:val="TableContents"/>
              <w:bidi w:val="0"/>
              <w:spacing w:before="0" w:after="0"/>
              <w:jc w:val="left"/>
              <w:rPr/>
            </w:pPr>
            <w:r>
              <w:rPr/>
              <w:t xml:space="preserve">Original LOC draw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160,780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7.00</w:t>
            </w:r>
          </w:p>
        </w:tc>
        <w:tc>
          <w:tcPr>
            <w:tcW w:w="335" w:type="dxa"/>
            <w:tcBorders/>
            <w:vAlign w:val="center"/>
          </w:tcPr>
          <w:p>
            <w:pPr>
              <w:pStyle w:val="TableContents"/>
              <w:bidi w:val="0"/>
              <w:spacing w:before="0" w:after="283"/>
              <w:jc w:val="left"/>
              <w:rPr/>
            </w:pPr>
            <w:r>
              <w:rPr/>
              <w:t>yrs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4.06</w:t>
            </w:r>
          </w:p>
        </w:tc>
        <w:tc>
          <w:tcPr>
            <w:tcW w:w="290" w:type="dxa"/>
            <w:tcBorders/>
            <w:vAlign w:val="center"/>
          </w:tcPr>
          <w:p>
            <w:pPr>
              <w:pStyle w:val="TableContents"/>
              <w:bidi w:val="0"/>
              <w:spacing w:before="0" w:after="283"/>
              <w:jc w:val="left"/>
              <w:rPr/>
            </w:pPr>
            <w:r>
              <w:rPr/>
              <w:t>%</w:t>
            </w:r>
          </w:p>
        </w:tc>
      </w:tr>
      <w:tr>
        <w:trPr/>
        <w:tc>
          <w:tcPr>
            <w:tcW w:w="935" w:type="dxa"/>
            <w:tcBorders/>
            <w:shd w:fill="CCEEFF" w:val="clear"/>
            <w:vAlign w:val="center"/>
          </w:tcPr>
          <w:p>
            <w:pPr>
              <w:pStyle w:val="TableContents"/>
              <w:bidi w:val="0"/>
              <w:spacing w:before="0" w:after="0"/>
              <w:ind w:left="0" w:right="0" w:hanging="144"/>
              <w:jc w:val="left"/>
              <w:rPr/>
            </w:pPr>
            <w:r>
              <w:rPr/>
              <w:t xml:space="preserve">Mar 31, 2023 </w:t>
            </w:r>
          </w:p>
        </w:tc>
        <w:tc>
          <w:tcPr>
            <w:tcW w:w="1340" w:type="dxa"/>
            <w:tcBorders/>
            <w:shd w:fill="CCEEFF" w:val="clear"/>
            <w:vAlign w:val="center"/>
          </w:tcPr>
          <w:p>
            <w:pPr>
              <w:pStyle w:val="TableContents"/>
              <w:bidi w:val="0"/>
              <w:spacing w:before="0" w:after="0"/>
              <w:jc w:val="left"/>
              <w:rPr/>
            </w:pPr>
            <w:r>
              <w:rPr/>
              <w:t xml:space="preserve">Original LOC draw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296,680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6.33</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3.94</w:t>
            </w:r>
          </w:p>
        </w:tc>
        <w:tc>
          <w:tcPr>
            <w:tcW w:w="290" w:type="dxa"/>
            <w:tcBorders/>
            <w:shd w:fill="CCEEFF" w:val="clear"/>
            <w:vAlign w:val="center"/>
          </w:tcPr>
          <w:p>
            <w:pPr>
              <w:pStyle w:val="TableContents"/>
              <w:bidi w:val="0"/>
              <w:spacing w:before="0" w:after="283"/>
              <w:jc w:val="left"/>
              <w:rPr/>
            </w:pPr>
            <w:r>
              <w:rPr/>
              <w:t>%</w:t>
            </w:r>
          </w:p>
        </w:tc>
      </w:tr>
      <w:tr>
        <w:trPr/>
        <w:tc>
          <w:tcPr>
            <w:tcW w:w="935" w:type="dxa"/>
            <w:tcBorders/>
            <w:vAlign w:val="center"/>
          </w:tcPr>
          <w:p>
            <w:pPr>
              <w:pStyle w:val="TableContents"/>
              <w:bidi w:val="0"/>
              <w:spacing w:before="0" w:after="0"/>
              <w:ind w:left="0" w:right="0" w:hanging="144"/>
              <w:jc w:val="left"/>
              <w:rPr/>
            </w:pPr>
            <w:r>
              <w:rPr/>
              <w:t xml:space="preserve">Jun 30, 2023 </w:t>
            </w:r>
          </w:p>
        </w:tc>
        <w:tc>
          <w:tcPr>
            <w:tcW w:w="1340" w:type="dxa"/>
            <w:tcBorders/>
            <w:vAlign w:val="center"/>
          </w:tcPr>
          <w:p>
            <w:pPr>
              <w:pStyle w:val="TableContents"/>
              <w:bidi w:val="0"/>
              <w:spacing w:before="0" w:after="0"/>
              <w:jc w:val="left"/>
              <w:rPr/>
            </w:pPr>
            <w:r>
              <w:rPr/>
              <w:t xml:space="preserve">Original LOC draw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179,920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6.08</w:t>
            </w:r>
          </w:p>
        </w:tc>
        <w:tc>
          <w:tcPr>
            <w:tcW w:w="335" w:type="dxa"/>
            <w:tcBorders/>
            <w:vAlign w:val="center"/>
          </w:tcPr>
          <w:p>
            <w:pPr>
              <w:pStyle w:val="TableContents"/>
              <w:bidi w:val="0"/>
              <w:spacing w:before="0" w:after="283"/>
              <w:jc w:val="left"/>
              <w:rPr/>
            </w:pPr>
            <w:r>
              <w:rPr/>
              <w:t>yrs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3.59</w:t>
            </w:r>
          </w:p>
        </w:tc>
        <w:tc>
          <w:tcPr>
            <w:tcW w:w="290" w:type="dxa"/>
            <w:tcBorders/>
            <w:vAlign w:val="center"/>
          </w:tcPr>
          <w:p>
            <w:pPr>
              <w:pStyle w:val="TableContents"/>
              <w:bidi w:val="0"/>
              <w:spacing w:before="0" w:after="283"/>
              <w:jc w:val="left"/>
              <w:rPr/>
            </w:pPr>
            <w:r>
              <w:rPr/>
              <w:t>%</w:t>
            </w:r>
          </w:p>
        </w:tc>
      </w:tr>
      <w:tr>
        <w:trPr/>
        <w:tc>
          <w:tcPr>
            <w:tcW w:w="935" w:type="dxa"/>
            <w:tcBorders/>
            <w:shd w:fill="CCEEFF" w:val="clear"/>
            <w:vAlign w:val="center"/>
          </w:tcPr>
          <w:p>
            <w:pPr>
              <w:pStyle w:val="TableContents"/>
              <w:bidi w:val="0"/>
              <w:spacing w:before="0" w:after="0"/>
              <w:ind w:left="0" w:right="0" w:hanging="144"/>
              <w:jc w:val="left"/>
              <w:rPr/>
            </w:pPr>
            <w:r>
              <w:rPr/>
              <w:t xml:space="preserve">Dec 29, 2023 </w:t>
            </w:r>
          </w:p>
        </w:tc>
        <w:tc>
          <w:tcPr>
            <w:tcW w:w="1340" w:type="dxa"/>
            <w:tcBorders/>
            <w:shd w:fill="CCEEFF" w:val="clear"/>
            <w:vAlign w:val="center"/>
          </w:tcPr>
          <w:p>
            <w:pPr>
              <w:pStyle w:val="TableContents"/>
              <w:bidi w:val="0"/>
              <w:spacing w:before="0" w:after="0"/>
              <w:jc w:val="left"/>
              <w:rPr/>
            </w:pPr>
            <w:r>
              <w:rPr/>
              <w:t xml:space="preserve">Original LOC draw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193,745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5.70</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4.49</w:t>
            </w:r>
          </w:p>
        </w:tc>
        <w:tc>
          <w:tcPr>
            <w:tcW w:w="290" w:type="dxa"/>
            <w:tcBorders/>
            <w:shd w:fill="CCEEFF" w:val="clear"/>
            <w:vAlign w:val="center"/>
          </w:tcPr>
          <w:p>
            <w:pPr>
              <w:pStyle w:val="TableContents"/>
              <w:bidi w:val="0"/>
              <w:spacing w:before="0" w:after="283"/>
              <w:jc w:val="left"/>
              <w:rPr/>
            </w:pPr>
            <w:r>
              <w:rPr/>
              <w:t>%</w:t>
            </w:r>
          </w:p>
        </w:tc>
      </w:tr>
      <w:tr>
        <w:trPr/>
        <w:tc>
          <w:tcPr>
            <w:tcW w:w="935" w:type="dxa"/>
            <w:tcBorders/>
            <w:vAlign w:val="center"/>
          </w:tcPr>
          <w:p>
            <w:pPr>
              <w:pStyle w:val="TableContents"/>
              <w:bidi w:val="0"/>
              <w:spacing w:before="0" w:after="0"/>
              <w:ind w:left="0" w:right="0" w:hanging="144"/>
              <w:jc w:val="left"/>
              <w:rPr/>
            </w:pPr>
            <w:r>
              <w:rPr/>
              <w:t xml:space="preserve">Mar 29, 2024 </w:t>
            </w:r>
          </w:p>
        </w:tc>
        <w:tc>
          <w:tcPr>
            <w:tcW w:w="1340" w:type="dxa"/>
            <w:tcBorders/>
            <w:vAlign w:val="center"/>
          </w:tcPr>
          <w:p>
            <w:pPr>
              <w:pStyle w:val="TableContents"/>
              <w:bidi w:val="0"/>
              <w:spacing w:before="0" w:after="0"/>
              <w:jc w:val="left"/>
              <w:rPr/>
            </w:pPr>
            <w:r>
              <w:rPr/>
              <w:t xml:space="preserve">Original LOC draw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277,389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5.33</w:t>
            </w:r>
          </w:p>
        </w:tc>
        <w:tc>
          <w:tcPr>
            <w:tcW w:w="335" w:type="dxa"/>
            <w:tcBorders/>
            <w:vAlign w:val="center"/>
          </w:tcPr>
          <w:p>
            <w:pPr>
              <w:pStyle w:val="TableContents"/>
              <w:bidi w:val="0"/>
              <w:spacing w:before="0" w:after="283"/>
              <w:jc w:val="left"/>
              <w:rPr/>
            </w:pPr>
            <w:r>
              <w:rPr/>
              <w:t>yrs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4.19</w:t>
            </w:r>
          </w:p>
        </w:tc>
        <w:tc>
          <w:tcPr>
            <w:tcW w:w="290" w:type="dxa"/>
            <w:tcBorders/>
            <w:vAlign w:val="center"/>
          </w:tcPr>
          <w:p>
            <w:pPr>
              <w:pStyle w:val="TableContents"/>
              <w:bidi w:val="0"/>
              <w:spacing w:before="0" w:after="283"/>
              <w:jc w:val="left"/>
              <w:rPr/>
            </w:pPr>
            <w:r>
              <w:rPr/>
              <w:t>%</w:t>
            </w:r>
          </w:p>
        </w:tc>
      </w:tr>
      <w:tr>
        <w:trPr/>
        <w:tc>
          <w:tcPr>
            <w:tcW w:w="935" w:type="dxa"/>
            <w:tcBorders/>
            <w:shd w:fill="CCEEFF" w:val="clear"/>
            <w:vAlign w:val="center"/>
          </w:tcPr>
          <w:p>
            <w:pPr>
              <w:pStyle w:val="TableContents"/>
              <w:bidi w:val="0"/>
              <w:spacing w:before="0" w:after="0"/>
              <w:ind w:left="0" w:right="0" w:hanging="144"/>
              <w:jc w:val="left"/>
              <w:rPr/>
            </w:pPr>
            <w:r>
              <w:rPr/>
              <w:t xml:space="preserve">Jun 28, 2024 </w:t>
            </w:r>
          </w:p>
        </w:tc>
        <w:tc>
          <w:tcPr>
            <w:tcW w:w="1340" w:type="dxa"/>
            <w:tcBorders/>
            <w:shd w:fill="CCEEFF" w:val="clear"/>
            <w:vAlign w:val="center"/>
          </w:tcPr>
          <w:p>
            <w:pPr>
              <w:pStyle w:val="TableContents"/>
              <w:bidi w:val="0"/>
              <w:spacing w:before="0" w:after="0"/>
              <w:jc w:val="left"/>
              <w:rPr/>
            </w:pPr>
            <w:r>
              <w:rPr/>
              <w:t xml:space="preserve">Original LOC draw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5.03</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w:t>
            </w:r>
          </w:p>
        </w:tc>
        <w:tc>
          <w:tcPr>
            <w:tcW w:w="290" w:type="dxa"/>
            <w:tcBorders/>
            <w:shd w:fill="CCEEFF" w:val="clear"/>
            <w:vAlign w:val="center"/>
          </w:tcPr>
          <w:p>
            <w:pPr>
              <w:pStyle w:val="TableContents"/>
              <w:bidi w:val="0"/>
              <w:spacing w:before="0" w:after="283"/>
              <w:jc w:val="left"/>
              <w:rPr/>
            </w:pPr>
            <w:r>
              <w:rPr/>
              <w:t>%</w:t>
            </w:r>
          </w:p>
        </w:tc>
      </w:tr>
      <w:tr>
        <w:trPr/>
        <w:tc>
          <w:tcPr>
            <w:tcW w:w="935" w:type="dxa"/>
            <w:tcBorders/>
            <w:vAlign w:val="center"/>
          </w:tcPr>
          <w:p>
            <w:pPr>
              <w:pStyle w:val="TableContents"/>
              <w:bidi w:val="0"/>
              <w:spacing w:before="0" w:after="0"/>
              <w:ind w:left="0" w:right="0" w:hanging="144"/>
              <w:jc w:val="left"/>
              <w:rPr/>
            </w:pPr>
            <w:r>
              <w:rPr/>
              <w:t xml:space="preserve">Sep 30, 2024 </w:t>
            </w:r>
          </w:p>
        </w:tc>
        <w:tc>
          <w:tcPr>
            <w:tcW w:w="1340" w:type="dxa"/>
            <w:tcBorders/>
            <w:vAlign w:val="center"/>
          </w:tcPr>
          <w:p>
            <w:pPr>
              <w:pStyle w:val="TableContents"/>
              <w:bidi w:val="0"/>
              <w:spacing w:before="0" w:after="0"/>
              <w:jc w:val="left"/>
              <w:rPr/>
            </w:pPr>
            <w:r>
              <w:rPr/>
              <w:t xml:space="preserve">Supplemental LOC (2024) draw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307,780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4.83</w:t>
            </w:r>
          </w:p>
        </w:tc>
        <w:tc>
          <w:tcPr>
            <w:tcW w:w="335" w:type="dxa"/>
            <w:tcBorders/>
            <w:vAlign w:val="center"/>
          </w:tcPr>
          <w:p>
            <w:pPr>
              <w:pStyle w:val="TableContents"/>
              <w:bidi w:val="0"/>
              <w:spacing w:before="0" w:after="283"/>
              <w:jc w:val="left"/>
              <w:rPr/>
            </w:pPr>
            <w:r>
              <w:rPr/>
              <w:t>yrs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3.58</w:t>
            </w:r>
          </w:p>
        </w:tc>
        <w:tc>
          <w:tcPr>
            <w:tcW w:w="290" w:type="dxa"/>
            <w:tcBorders/>
            <w:vAlign w:val="center"/>
          </w:tcPr>
          <w:p>
            <w:pPr>
              <w:pStyle w:val="TableContents"/>
              <w:bidi w:val="0"/>
              <w:spacing w:before="0" w:after="283"/>
              <w:jc w:val="left"/>
              <w:rPr/>
            </w:pPr>
            <w:r>
              <w:rPr/>
              <w:t>%</w:t>
            </w:r>
          </w:p>
        </w:tc>
      </w:tr>
      <w:tr>
        <w:trPr/>
        <w:tc>
          <w:tcPr>
            <w:tcW w:w="935" w:type="dxa"/>
            <w:tcBorders/>
            <w:shd w:fill="CCEEFF" w:val="clear"/>
            <w:vAlign w:val="center"/>
          </w:tcPr>
          <w:p>
            <w:pPr>
              <w:pStyle w:val="TableContents"/>
              <w:bidi w:val="0"/>
              <w:spacing w:before="0" w:after="0"/>
              <w:ind w:left="0" w:right="0" w:hanging="144"/>
              <w:jc w:val="left"/>
              <w:rPr/>
            </w:pPr>
            <w:r>
              <w:rPr/>
              <w:t xml:space="preserve">Apr 30, 2025 </w:t>
            </w:r>
          </w:p>
        </w:tc>
        <w:tc>
          <w:tcPr>
            <w:tcW w:w="1340" w:type="dxa"/>
            <w:tcBorders/>
            <w:shd w:fill="CCEEFF" w:val="clear"/>
            <w:vAlign w:val="center"/>
          </w:tcPr>
          <w:p>
            <w:pPr>
              <w:pStyle w:val="TableContents"/>
              <w:bidi w:val="0"/>
              <w:spacing w:before="0" w:after="0"/>
              <w:jc w:val="left"/>
              <w:rPr/>
            </w:pPr>
            <w:r>
              <w:rPr/>
              <w:t xml:space="preserve">Nov 2024 Supplemental LOC draw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80,040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4.25</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w:t>
            </w:r>
          </w:p>
        </w:tc>
        <w:tc>
          <w:tcPr>
            <w:tcW w:w="290" w:type="dxa"/>
            <w:tcBorders/>
            <w:shd w:fill="CCEEFF" w:val="clear"/>
            <w:vAlign w:val="center"/>
          </w:tcPr>
          <w:p>
            <w:pPr>
              <w:pStyle w:val="TableContents"/>
              <w:bidi w:val="0"/>
              <w:spacing w:before="0" w:after="283"/>
              <w:jc w:val="left"/>
              <w:rPr/>
            </w:pPr>
            <w:r>
              <w:rPr/>
              <w:t>%</w:t>
            </w:r>
          </w:p>
        </w:tc>
      </w:tr>
      <w:tr>
        <w:trPr/>
        <w:tc>
          <w:tcPr>
            <w:tcW w:w="935" w:type="dxa"/>
            <w:tcBorders/>
            <w:vAlign w:val="center"/>
          </w:tcPr>
          <w:p>
            <w:pPr>
              <w:pStyle w:val="TableContents"/>
              <w:bidi w:val="0"/>
              <w:spacing w:before="0" w:after="0"/>
              <w:ind w:left="0" w:right="0" w:hanging="144"/>
              <w:jc w:val="left"/>
              <w:rPr/>
            </w:pPr>
            <w:r>
              <w:rPr/>
              <w:t xml:space="preserve">Jun 30, 2025 </w:t>
            </w:r>
          </w:p>
        </w:tc>
        <w:tc>
          <w:tcPr>
            <w:tcW w:w="1340" w:type="dxa"/>
            <w:tcBorders/>
            <w:vAlign w:val="center"/>
          </w:tcPr>
          <w:p>
            <w:pPr>
              <w:pStyle w:val="TableContents"/>
              <w:bidi w:val="0"/>
              <w:spacing w:before="0" w:after="0"/>
              <w:jc w:val="left"/>
              <w:rPr/>
            </w:pPr>
            <w:r>
              <w:rPr/>
              <w:t xml:space="preserve">Mar 2025 Supplemental LOC draw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132,000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4.08</w:t>
            </w:r>
          </w:p>
        </w:tc>
        <w:tc>
          <w:tcPr>
            <w:tcW w:w="335" w:type="dxa"/>
            <w:tcBorders/>
            <w:vAlign w:val="center"/>
          </w:tcPr>
          <w:p>
            <w:pPr>
              <w:pStyle w:val="TableContents"/>
              <w:bidi w:val="0"/>
              <w:spacing w:before="0" w:after="283"/>
              <w:jc w:val="left"/>
              <w:rPr/>
            </w:pPr>
            <w:r>
              <w:rPr/>
              <w:t>yrs</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3.75</w:t>
            </w:r>
          </w:p>
        </w:tc>
        <w:tc>
          <w:tcPr>
            <w:tcW w:w="290" w:type="dxa"/>
            <w:tcBorders/>
            <w:vAlign w:val="center"/>
          </w:tcPr>
          <w:p>
            <w:pPr>
              <w:pStyle w:val="TableContents"/>
              <w:bidi w:val="0"/>
              <w:spacing w:before="0" w:after="283"/>
              <w:jc w:val="left"/>
              <w:rPr/>
            </w:pPr>
            <w:r>
              <w:rPr/>
              <w:t>%</w:t>
            </w:r>
          </w:p>
        </w:tc>
      </w:tr>
      <w:tr>
        <w:trPr/>
        <w:tc>
          <w:tcPr>
            <w:tcW w:w="935" w:type="dxa"/>
            <w:tcBorders/>
            <w:shd w:fill="CCEEFF" w:val="clear"/>
            <w:vAlign w:val="center"/>
          </w:tcPr>
          <w:p>
            <w:pPr>
              <w:pStyle w:val="TableContents"/>
              <w:bidi w:val="0"/>
              <w:spacing w:before="0" w:after="0"/>
              <w:ind w:left="0" w:right="0" w:hanging="144"/>
              <w:jc w:val="left"/>
              <w:rPr/>
            </w:pPr>
            <w:r>
              <w:rPr/>
              <w:t xml:space="preserve">Dec 31, 2025 </w:t>
            </w:r>
          </w:p>
        </w:tc>
        <w:tc>
          <w:tcPr>
            <w:tcW w:w="1340" w:type="dxa"/>
            <w:tcBorders/>
            <w:shd w:fill="CCEEFF" w:val="clear"/>
            <w:vAlign w:val="center"/>
          </w:tcPr>
          <w:p>
            <w:pPr>
              <w:pStyle w:val="TableContents"/>
              <w:bidi w:val="0"/>
              <w:spacing w:before="0" w:after="0"/>
              <w:jc w:val="left"/>
              <w:rPr/>
            </w:pPr>
            <w:r>
              <w:rPr/>
              <w:t xml:space="preserve">Jul 2025 Supplemental LOC draw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454,000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3.58</w:t>
            </w:r>
          </w:p>
        </w:tc>
        <w:tc>
          <w:tcPr>
            <w:tcW w:w="335" w:type="dxa"/>
            <w:tcBorders/>
            <w:shd w:fill="CCEEFF" w:val="clear"/>
            <w:vAlign w:val="center"/>
          </w:tcPr>
          <w:p>
            <w:pPr>
              <w:pStyle w:val="TableContents"/>
              <w:bidi w:val="0"/>
              <w:spacing w:before="0" w:after="283"/>
              <w:jc w:val="left"/>
              <w:rPr/>
            </w:pPr>
            <w:r>
              <w:rPr/>
              <w:t>yrs</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All valuations assume zero dividends. Warrants for unfunded future borrowings will be valued when the related borrowings occur.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Related Amortization Expense (recorded as interest expense)</w:t>
      </w:r>
      <w:r>
        <w:rPr>
          <w:rFonts w:ascii="Times New Roman" w:hAnsi="Times New Roman"/>
          <w:sz w:val="20"/>
        </w:rPr>
        <w:t xml:space="preserve"> </w:t>
      </w:r>
    </w:p>
    <w:p>
      <w:pPr>
        <w:pStyle w:val="TextBody"/>
        <w:bidi w:val="0"/>
        <w:spacing w:before="0" w:after="0"/>
        <w:ind w:left="6"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714"/>
        <w:gridCol w:w="3085"/>
        <w:gridCol w:w="90"/>
        <w:gridCol w:w="170"/>
        <w:gridCol w:w="830"/>
        <w:gridCol w:w="90"/>
        <w:gridCol w:w="90"/>
        <w:gridCol w:w="170"/>
        <w:gridCol w:w="830"/>
        <w:gridCol w:w="136"/>
      </w:tblGrid>
      <w:tr>
        <w:trPr/>
        <w:tc>
          <w:tcPr>
            <w:tcW w:w="471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2406" w:type="dxa"/>
            <w:gridSpan w:val="8"/>
            <w:tcBorders/>
            <w:vAlign w:val="center"/>
          </w:tcPr>
          <w:p>
            <w:pPr>
              <w:pStyle w:val="TableContents"/>
              <w:bidi w:val="0"/>
              <w:spacing w:before="0" w:after="283"/>
              <w:jc w:val="center"/>
              <w:rPr/>
            </w:pPr>
            <w:r>
              <w:rPr>
                <w:b/>
              </w:rPr>
              <w:t>Six Months Ended</w:t>
            </w:r>
            <w:r>
              <w:rPr/>
              <w:t xml:space="preserve"> </w:t>
            </w:r>
          </w:p>
        </w:tc>
      </w:tr>
      <w:tr>
        <w:trPr/>
        <w:tc>
          <w:tcPr>
            <w:tcW w:w="471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2406" w:type="dxa"/>
            <w:gridSpan w:val="8"/>
            <w:tcBorders/>
            <w:vAlign w:val="center"/>
          </w:tcPr>
          <w:p>
            <w:pPr>
              <w:pStyle w:val="TableContents"/>
              <w:bidi w:val="0"/>
              <w:spacing w:before="0" w:after="283"/>
              <w:jc w:val="center"/>
              <w:rPr/>
            </w:pPr>
            <w:r>
              <w:rPr>
                <w:b/>
              </w:rPr>
              <w:t>June 30,</w:t>
            </w:r>
            <w:r>
              <w:rPr/>
              <w:t xml:space="preserve"> </w:t>
            </w:r>
          </w:p>
        </w:tc>
      </w:tr>
      <w:tr>
        <w:trPr/>
        <w:tc>
          <w:tcPr>
            <w:tcW w:w="4714" w:type="dxa"/>
            <w:tcBorders/>
            <w:vAlign w:val="center"/>
          </w:tcPr>
          <w:p>
            <w:pPr>
              <w:pStyle w:val="TableContents"/>
              <w:bidi w:val="0"/>
              <w:spacing w:before="0" w:after="0"/>
              <w:ind w:left="0" w:right="0" w:hanging="144"/>
              <w:jc w:val="left"/>
              <w:rPr/>
            </w:pPr>
            <w:r>
              <w:rPr>
                <w:b/>
              </w:rPr>
              <w:t>Warrant Tranche</w:t>
            </w:r>
            <w:r>
              <w:rPr/>
              <w:t xml:space="preserve"> </w:t>
            </w:r>
          </w:p>
        </w:tc>
        <w:tc>
          <w:tcPr>
            <w:tcW w:w="3085" w:type="dxa"/>
            <w:tcBorders/>
            <w:vAlign w:val="center"/>
          </w:tcPr>
          <w:p>
            <w:pPr>
              <w:pStyle w:val="TableContents"/>
              <w:bidi w:val="0"/>
              <w:spacing w:before="0" w:after="0"/>
              <w:jc w:val="left"/>
              <w:rPr/>
            </w:pPr>
            <w:r>
              <w:rPr>
                <w:b/>
              </w:rPr>
              <w:t>Amortization Period (current)</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b/>
              </w:rPr>
              <w:t>2026</w:t>
            </w: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pPr>
            <w:r>
              <w:rPr>
                <w:b/>
              </w:rPr>
              <w:t>2025</w:t>
            </w:r>
            <w:r>
              <w:rPr/>
              <w:t xml:space="preserve"> </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Jul 2022 closing warrants (deferred financing cost) </w:t>
            </w:r>
          </w:p>
        </w:tc>
        <w:tc>
          <w:tcPr>
            <w:tcW w:w="3085" w:type="dxa"/>
            <w:tcBorders/>
            <w:shd w:fill="CCEEFF" w:val="clear"/>
            <w:vAlign w:val="center"/>
          </w:tcPr>
          <w:p>
            <w:pPr>
              <w:pStyle w:val="TableContents"/>
              <w:bidi w:val="0"/>
              <w:spacing w:before="0" w:after="0"/>
              <w:jc w:val="left"/>
              <w:rPr/>
            </w:pPr>
            <w:r>
              <w:rPr/>
              <w:t xml:space="preserve">Jul 25, 2022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104,000</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t xml:space="preserve">Dec 2022 draw warrants </w:t>
            </w:r>
          </w:p>
        </w:tc>
        <w:tc>
          <w:tcPr>
            <w:tcW w:w="3085" w:type="dxa"/>
            <w:tcBorders/>
            <w:vAlign w:val="center"/>
          </w:tcPr>
          <w:p>
            <w:pPr>
              <w:pStyle w:val="TableContents"/>
              <w:bidi w:val="0"/>
              <w:spacing w:before="0" w:after="0"/>
              <w:jc w:val="left"/>
              <w:rPr/>
            </w:pPr>
            <w:r>
              <w:rPr/>
              <w:t xml:space="preserve">Dec 19, 2022 – Jun 30, 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6,000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26,000</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Mar 2023 draw warrants </w:t>
            </w:r>
          </w:p>
        </w:tc>
        <w:tc>
          <w:tcPr>
            <w:tcW w:w="3085" w:type="dxa"/>
            <w:tcBorders/>
            <w:shd w:fill="CCEEFF" w:val="clear"/>
            <w:vAlign w:val="center"/>
          </w:tcPr>
          <w:p>
            <w:pPr>
              <w:pStyle w:val="TableContents"/>
              <w:bidi w:val="0"/>
              <w:spacing w:before="0" w:after="0"/>
              <w:jc w:val="left"/>
              <w:rPr/>
            </w:pPr>
            <w:r>
              <w:rPr/>
              <w:t xml:space="preserve">Mar 31, 2023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52,000</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t xml:space="preserve">Jun 2023 draw warrants </w:t>
            </w:r>
          </w:p>
        </w:tc>
        <w:tc>
          <w:tcPr>
            <w:tcW w:w="3085" w:type="dxa"/>
            <w:tcBorders/>
            <w:vAlign w:val="center"/>
          </w:tcPr>
          <w:p>
            <w:pPr>
              <w:pStyle w:val="TableContents"/>
              <w:bidi w:val="0"/>
              <w:spacing w:before="0" w:after="0"/>
              <w:jc w:val="left"/>
              <w:rPr/>
            </w:pPr>
            <w:r>
              <w:rPr/>
              <w:t xml:space="preserve">Jun 30, 2023 – Jun 30, 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35,000</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Dec 2023 draw warrants </w:t>
            </w:r>
          </w:p>
        </w:tc>
        <w:tc>
          <w:tcPr>
            <w:tcW w:w="3085" w:type="dxa"/>
            <w:tcBorders/>
            <w:shd w:fill="CCEEFF" w:val="clear"/>
            <w:vAlign w:val="center"/>
          </w:tcPr>
          <w:p>
            <w:pPr>
              <w:pStyle w:val="TableContents"/>
              <w:bidi w:val="0"/>
              <w:spacing w:before="0" w:after="0"/>
              <w:jc w:val="left"/>
              <w:rPr/>
            </w:pPr>
            <w:r>
              <w:rPr/>
              <w:t xml:space="preserve">Dec 29, 2023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47,000</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t xml:space="preserve">Mar 2024 draw warrants </w:t>
            </w:r>
          </w:p>
        </w:tc>
        <w:tc>
          <w:tcPr>
            <w:tcW w:w="3085" w:type="dxa"/>
            <w:tcBorders/>
            <w:vAlign w:val="center"/>
          </w:tcPr>
          <w:p>
            <w:pPr>
              <w:pStyle w:val="TableContents"/>
              <w:bidi w:val="0"/>
              <w:spacing w:before="0" w:after="0"/>
              <w:jc w:val="left"/>
              <w:rPr/>
            </w:pPr>
            <w:r>
              <w:rPr/>
              <w:t xml:space="preserve">Mar 29, 2024 – Jun 30, 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17,000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76,000</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Jun 2024 draw warrants </w:t>
            </w:r>
          </w:p>
        </w:tc>
        <w:tc>
          <w:tcPr>
            <w:tcW w:w="3085" w:type="dxa"/>
            <w:tcBorders/>
            <w:shd w:fill="CCEEFF" w:val="clear"/>
            <w:vAlign w:val="center"/>
          </w:tcPr>
          <w:p>
            <w:pPr>
              <w:pStyle w:val="TableContents"/>
              <w:bidi w:val="0"/>
              <w:spacing w:before="0" w:after="0"/>
              <w:jc w:val="left"/>
              <w:rPr/>
            </w:pPr>
            <w:r>
              <w:rPr/>
              <w:t xml:space="preserve">Jun 28, 2024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82,000</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t xml:space="preserve">Sep 2024 draw warrants </w:t>
            </w:r>
          </w:p>
        </w:tc>
        <w:tc>
          <w:tcPr>
            <w:tcW w:w="3085" w:type="dxa"/>
            <w:tcBorders/>
            <w:vAlign w:val="center"/>
          </w:tcPr>
          <w:p>
            <w:pPr>
              <w:pStyle w:val="TableContents"/>
              <w:bidi w:val="0"/>
              <w:spacing w:before="0" w:after="0"/>
              <w:jc w:val="left"/>
              <w:rPr/>
            </w:pPr>
            <w:r>
              <w:rPr/>
              <w:t xml:space="preserve">Oct 1, 2024 – Jun 30, 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27,000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116,000</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Apr 2025 draw warrants </w:t>
            </w:r>
          </w:p>
        </w:tc>
        <w:tc>
          <w:tcPr>
            <w:tcW w:w="3085" w:type="dxa"/>
            <w:tcBorders/>
            <w:shd w:fill="CCEEFF" w:val="clear"/>
            <w:vAlign w:val="center"/>
          </w:tcPr>
          <w:p>
            <w:pPr>
              <w:pStyle w:val="TableContents"/>
              <w:bidi w:val="0"/>
              <w:spacing w:before="0" w:after="0"/>
              <w:jc w:val="left"/>
              <w:rPr/>
            </w:pPr>
            <w:r>
              <w:rPr/>
              <w:t xml:space="preserve">Apr 30, 2025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19,000</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t xml:space="preserve">Jun 2025 draw warrants </w:t>
            </w:r>
          </w:p>
        </w:tc>
        <w:tc>
          <w:tcPr>
            <w:tcW w:w="3085" w:type="dxa"/>
            <w:tcBorders/>
            <w:vAlign w:val="center"/>
          </w:tcPr>
          <w:p>
            <w:pPr>
              <w:pStyle w:val="TableContents"/>
              <w:bidi w:val="0"/>
              <w:spacing w:before="0" w:after="0"/>
              <w:jc w:val="left"/>
              <w:rPr/>
            </w:pPr>
            <w:r>
              <w:rPr/>
              <w:t xml:space="preserve">Jun 30, 2025 – Jun 30, 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26,000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36" w:type="dxa"/>
            <w:tcBorders/>
            <w:vAlign w:val="center"/>
          </w:tcPr>
          <w:p>
            <w:pPr>
              <w:pStyle w:val="TableContents"/>
              <w:bidi w:val="0"/>
              <w:spacing w:before="0" w:after="283"/>
              <w:jc w:val="left"/>
              <w:rPr/>
            </w:pPr>
            <w:r>
              <w:rPr/>
              <w:t> </w:t>
            </w:r>
          </w:p>
        </w:tc>
      </w:tr>
      <w:tr>
        <w:trPr/>
        <w:tc>
          <w:tcPr>
            <w:tcW w:w="4714" w:type="dxa"/>
            <w:tcBorders/>
            <w:shd w:fill="CCEEFF" w:val="clear"/>
            <w:vAlign w:val="center"/>
          </w:tcPr>
          <w:p>
            <w:pPr>
              <w:pStyle w:val="TableContents"/>
              <w:bidi w:val="0"/>
              <w:spacing w:before="0" w:after="0"/>
              <w:ind w:left="0" w:right="0" w:hanging="144"/>
              <w:jc w:val="left"/>
              <w:rPr/>
            </w:pPr>
            <w:r>
              <w:rPr/>
              <w:t xml:space="preserve">Dec 2025 draw warrants </w:t>
            </w:r>
          </w:p>
        </w:tc>
        <w:tc>
          <w:tcPr>
            <w:tcW w:w="3085" w:type="dxa"/>
            <w:tcBorders/>
            <w:shd w:fill="CCEEFF" w:val="clear"/>
            <w:vAlign w:val="center"/>
          </w:tcPr>
          <w:p>
            <w:pPr>
              <w:pStyle w:val="TableContents"/>
              <w:bidi w:val="0"/>
              <w:spacing w:before="0" w:after="0"/>
              <w:jc w:val="left"/>
              <w:rPr/>
            </w:pPr>
            <w:r>
              <w:rPr/>
              <w:t xml:space="preserve">Dec 31, 2025 – Jun 30, 2027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151,000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36" w:type="dxa"/>
            <w:tcBorders/>
            <w:shd w:fill="CCEEFF" w:val="clear"/>
            <w:vAlign w:val="center"/>
          </w:tcPr>
          <w:p>
            <w:pPr>
              <w:pStyle w:val="TableContents"/>
              <w:bidi w:val="0"/>
              <w:spacing w:before="0" w:after="283"/>
              <w:jc w:val="left"/>
              <w:rPr/>
            </w:pPr>
            <w:r>
              <w:rPr/>
              <w:t> </w:t>
            </w:r>
          </w:p>
        </w:tc>
      </w:tr>
      <w:tr>
        <w:trPr/>
        <w:tc>
          <w:tcPr>
            <w:tcW w:w="4714" w:type="dxa"/>
            <w:tcBorders/>
            <w:vAlign w:val="center"/>
          </w:tcPr>
          <w:p>
            <w:pPr>
              <w:pStyle w:val="TableContents"/>
              <w:bidi w:val="0"/>
              <w:spacing w:before="0" w:after="0"/>
              <w:ind w:left="0" w:right="0" w:hanging="144"/>
              <w:jc w:val="left"/>
              <w:rPr/>
            </w:pPr>
            <w:r>
              <w:rPr>
                <w:b/>
              </w:rPr>
              <w:t>Total</w:t>
            </w:r>
            <w:r>
              <w:rPr/>
              <w:t xml:space="preserve"> </w:t>
            </w:r>
          </w:p>
        </w:tc>
        <w:tc>
          <w:tcPr>
            <w:tcW w:w="3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313,000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557,000</w:t>
            </w:r>
          </w:p>
        </w:tc>
        <w:tc>
          <w:tcPr>
            <w:tcW w:w="136" w:type="dxa"/>
            <w:tcBorders/>
            <w:vAlign w:val="center"/>
          </w:tcPr>
          <w:p>
            <w:pPr>
              <w:pStyle w:val="TableContents"/>
              <w:bidi w:val="0"/>
              <w:spacing w:before="0" w:after="283"/>
              <w:jc w:val="left"/>
              <w:rPr/>
            </w:pPr>
            <w:r>
              <w:rPr/>
              <w:t> </w:t>
            </w:r>
          </w:p>
        </w:tc>
      </w:tr>
    </w:tbl>
    <w:p>
      <w:pPr>
        <w:pStyle w:val="TextBody"/>
        <w:bidi w:val="0"/>
        <w:spacing w:before="0" w:after="0"/>
        <w:ind w:left="6" w:right="0" w:hanging="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sz w:val="20"/>
        </w:rPr>
        <w:t>10. Segments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Operating segments are identified as components of an entity about which separate discrete financial information is available for evaluation by the CODM, or decision-making group, in making decisions on how to allocate resources and assess performance. The Company’s CODM, the Chief Executive Officer, views the Company’s operations as one operating segment, which is focused on creating new therapies for fibrotic disease based on targeting galectin proteins. The Company does not have revenue in the current comparative period, incurs expenses primarily in North America and manages the business activities on a consolidated basis.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accounting policies of the fibrotic disease therapeutics segment are the same as those described in the summary of significant accounting policies.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CODM assesses performance for the fibrotic disease therapeutics segment and decides how to allocate resources based on net loss that also is reported on the income statement as consolidated net loss. The measure of segment assets is reported on the balance sheet as cash and cash equivalents.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such, the CODM uses cash forecast models in deciding how to invest into the fibrotic disease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table below summarizes the significant expense categories regularly reviewed by the CODM for the six month periods ended June 30, 2026 and 2025 (in thousands). </w:t>
      </w:r>
    </w:p>
    <w:p>
      <w:pPr>
        <w:pStyle w:val="TextBody"/>
        <w:bidi w:val="0"/>
        <w:spacing w:before="0" w:after="0"/>
        <w:jc w:val="both"/>
        <w:rPr/>
      </w:pPr>
      <w:r>
        <w:rPr/>
        <w:t xml:space="preserve">  </w:t>
      </w:r>
    </w:p>
    <w:tbl>
      <w:tblPr>
        <w:tblW w:w="6785" w:type="dxa"/>
        <w:jc w:val="left"/>
        <w:tblInd w:w="0" w:type="dxa"/>
        <w:tblLayout w:type="fixed"/>
        <w:tblCellMar>
          <w:top w:w="0" w:type="dxa"/>
          <w:left w:w="0" w:type="dxa"/>
          <w:bottom w:w="0" w:type="dxa"/>
          <w:right w:w="0" w:type="dxa"/>
        </w:tblCellMar>
      </w:tblPr>
      <w:tblGrid>
        <w:gridCol w:w="4280"/>
        <w:gridCol w:w="90"/>
        <w:gridCol w:w="170"/>
        <w:gridCol w:w="785"/>
        <w:gridCol w:w="185"/>
        <w:gridCol w:w="90"/>
        <w:gridCol w:w="170"/>
        <w:gridCol w:w="785"/>
        <w:gridCol w:w="230"/>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pPr>
            <w:r>
              <w:rPr>
                <w:b/>
                <w:spacing w:val="0"/>
              </w:rPr>
              <w:t>Six Months</w:t>
              <w:br/>
            </w:r>
            <w:r>
              <w:rPr>
                <w:b/>
              </w:rPr>
              <w:t>Ended</w:t>
            </w:r>
            <w:r>
              <w:rPr>
                <w:spacing w:val="0"/>
              </w:rPr>
              <w:br/>
            </w:r>
            <w:r>
              <w:rPr>
                <w:b/>
                <w:spacing w:val="0"/>
              </w:rPr>
              <w:t>June 30,</w:t>
            </w:r>
            <w:r>
              <w:rPr/>
              <w:t xml:space="preserve"> </w:t>
            </w:r>
          </w:p>
        </w:tc>
        <w:tc>
          <w:tcPr>
            <w:tcW w:w="23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2026</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12" w:space="0" w:color="000000"/>
            </w:tcBorders>
            <w:tcMar>
              <w:bottom w:w="28" w:type="dxa"/>
            </w:tcMar>
            <w:vAlign w:val="center"/>
          </w:tcPr>
          <w:p>
            <w:pPr>
              <w:pStyle w:val="TableContents"/>
              <w:bidi w:val="0"/>
              <w:spacing w:before="0" w:after="283"/>
              <w:jc w:val="center"/>
              <w:rPr/>
            </w:pPr>
            <w:r>
              <w:rPr>
                <w:b/>
              </w:rPr>
              <w:t>2025</w:t>
            </w:r>
            <w:r>
              <w:rPr/>
              <w:t xml:space="preserve"> </w:t>
            </w:r>
          </w:p>
        </w:tc>
        <w:tc>
          <w:tcPr>
            <w:tcW w:w="230"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283"/>
              <w:jc w:val="left"/>
              <w:rPr/>
            </w:pPr>
            <w:r>
              <w:rPr/>
              <w:t> </w:t>
            </w:r>
          </w:p>
        </w:tc>
        <w:tc>
          <w:tcPr>
            <w:tcW w:w="2505" w:type="dxa"/>
            <w:gridSpan w:val="8"/>
            <w:tcBorders/>
            <w:vAlign w:val="center"/>
          </w:tcPr>
          <w:p>
            <w:pPr>
              <w:pStyle w:val="TableContents"/>
              <w:bidi w:val="0"/>
              <w:spacing w:before="0" w:after="283"/>
              <w:jc w:val="center"/>
              <w:rPr/>
            </w:pPr>
            <w:r>
              <w:rPr>
                <w:b/>
              </w:rPr>
              <w:t>(in thousands)</w:t>
            </w:r>
            <w:r>
              <w:rPr/>
              <w:t xml:space="preserve"> </w:t>
            </w:r>
          </w:p>
        </w:tc>
      </w:tr>
      <w:tr>
        <w:trPr/>
        <w:tc>
          <w:tcPr>
            <w:tcW w:w="4280" w:type="dxa"/>
            <w:tcBorders/>
            <w:vAlign w:val="center"/>
          </w:tcPr>
          <w:p>
            <w:pPr>
              <w:pStyle w:val="TableContents"/>
              <w:bidi w:val="0"/>
              <w:spacing w:before="0" w:after="0"/>
              <w:ind w:left="0" w:right="0" w:hanging="144"/>
              <w:jc w:val="left"/>
              <w:rPr/>
            </w:pPr>
            <w:r>
              <w:rPr/>
              <w:t xml:space="preserve">Operating expenses: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Research and development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4,366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9,746</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General and administrative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3,693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2,776</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Total operating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8,059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12,522</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Total operating loss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(8,059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(12,522</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Other income (expense):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Interest income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Interest expense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(3,992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(3,570</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Change in fair value of derivatives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(1,122</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Total other expense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(6,100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(4,630</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(14,159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(17,152</w:t>
            </w:r>
          </w:p>
        </w:tc>
        <w:tc>
          <w:tcPr>
            <w:tcW w:w="230"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144"/>
              <w:jc w:val="left"/>
              <w:rPr/>
            </w:pPr>
            <w:r>
              <w:rPr/>
              <w:t xml:space="preserve">Preferred stock dividends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230"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144"/>
              <w:jc w:val="left"/>
              <w:rPr/>
            </w:pPr>
            <w:r>
              <w:rPr/>
              <w:t xml:space="preserve">Net loss applicable to common stockholders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tcMar>
              <w:bottom w:w="28" w:type="dxa"/>
            </w:tcMar>
            <w:vAlign w:val="center"/>
          </w:tcPr>
          <w:p>
            <w:pPr>
              <w:pStyle w:val="TableContents"/>
              <w:bidi w:val="0"/>
              <w:spacing w:before="0" w:after="283"/>
              <w:jc w:val="right"/>
              <w:rPr/>
            </w:pPr>
            <w:r>
              <w:rPr/>
              <w:t>(14,242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785" w:type="dxa"/>
            <w:tcBorders>
              <w:bottom w:val="double" w:sz="8" w:space="0" w:color="000000"/>
            </w:tcBorders>
            <w:tcMar>
              <w:bottom w:w="28" w:type="dxa"/>
            </w:tcMar>
            <w:vAlign w:val="center"/>
          </w:tcPr>
          <w:p>
            <w:pPr>
              <w:pStyle w:val="TableContents"/>
              <w:bidi w:val="0"/>
              <w:spacing w:before="0" w:after="283"/>
              <w:jc w:val="right"/>
              <w:rPr/>
            </w:pPr>
            <w:r>
              <w:rPr/>
              <w:t>(17,189</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640"/>
        <w:jc w:val="left"/>
        <w:rPr>
          <w:rFonts w:ascii="Times New Roman" w:hAnsi="Times New Roman"/>
          <w:sz w:val="20"/>
        </w:rPr>
      </w:pPr>
      <w:r>
        <w:rPr>
          <w:rFonts w:ascii="Times New Roman" w:hAnsi="Times New Roman"/>
          <w:sz w:val="20"/>
        </w:rPr>
        <w:t xml:space="preserve">Other segment items included in segment loss includes interest income and interest expense. </w:t>
      </w:r>
    </w:p>
    <w:p>
      <w:pPr>
        <w:pStyle w:val="TextBody"/>
        <w:bidi w:val="0"/>
        <w:spacing w:before="0" w:after="0"/>
        <w:jc w:val="left"/>
        <w:rPr/>
      </w:pPr>
      <w:r>
        <w:rPr/>
        <w:t xml:space="preserve">  </w:t>
      </w:r>
    </w:p>
    <w:p>
      <w:pPr>
        <w:pStyle w:val="TextBody"/>
        <w:bidi w:val="0"/>
        <w:spacing w:before="0" w:after="0"/>
        <w:ind w:left="0" w:right="0" w:firstLine="640"/>
        <w:jc w:val="both"/>
        <w:rPr>
          <w:rFonts w:ascii="Times New Roman" w:hAnsi="Times New Roman"/>
          <w:sz w:val="20"/>
        </w:rPr>
      </w:pPr>
      <w:r>
        <w:rPr>
          <w:rFonts w:ascii="Times New Roman" w:hAnsi="Times New Roman"/>
          <w:sz w:val="20"/>
        </w:rPr>
        <w:t xml:space="preserve">The Company is a single operating segment and therefore the measure of segment net loss is the same as consolidated net loss and does not require reconciliation. </w:t>
      </w:r>
    </w:p>
    <w:p>
      <w:pPr>
        <w:pStyle w:val="TextBody"/>
        <w:bidi w:val="0"/>
        <w:spacing w:before="0" w:after="0"/>
        <w:jc w:val="both"/>
        <w:rPr/>
      </w:pPr>
      <w:r>
        <w:rPr/>
        <w:t xml:space="preserve">  </w:t>
      </w:r>
    </w:p>
    <w:p>
      <w:pPr>
        <w:pStyle w:val="TextBody"/>
        <w:bidi w:val="0"/>
        <w:spacing w:before="0" w:after="0"/>
        <w:ind w:left="0" w:right="0" w:firstLine="640"/>
        <w:jc w:val="left"/>
        <w:rPr>
          <w:rFonts w:ascii="Times New Roman" w:hAnsi="Times New Roman"/>
          <w:sz w:val="20"/>
        </w:rPr>
      </w:pPr>
      <w:r>
        <w:rPr>
          <w:rFonts w:ascii="Times New Roman" w:hAnsi="Times New Roman"/>
          <w:sz w:val="20"/>
        </w:rPr>
        <w:t xml:space="preserve">For the six month periods ended June 30, 2026 and 2025, the net cash used in operating activities was $6.3 million and $14.3 million, respectively. The table below summarizes the significant asset categories regularly reviewed by the CODM as of June 30, 2026 and December 31, 2025 (in thousands). </w:t>
      </w:r>
    </w:p>
    <w:p>
      <w:pPr>
        <w:pStyle w:val="TextBody"/>
        <w:bidi w:val="0"/>
        <w:spacing w:before="0" w:after="0"/>
        <w:jc w:val="left"/>
        <w:rPr/>
      </w:pPr>
      <w:r>
        <w:rPr/>
        <w:t xml:space="preserve">  </w:t>
      </w:r>
    </w:p>
    <w:tbl>
      <w:tblPr>
        <w:tblW w:w="5770" w:type="dxa"/>
        <w:jc w:val="left"/>
        <w:tblInd w:w="0" w:type="dxa"/>
        <w:tblLayout w:type="fixed"/>
        <w:tblCellMar>
          <w:top w:w="0" w:type="dxa"/>
          <w:left w:w="0" w:type="dxa"/>
          <w:bottom w:w="0" w:type="dxa"/>
          <w:right w:w="0" w:type="dxa"/>
        </w:tblCellMar>
      </w:tblPr>
      <w:tblGrid>
        <w:gridCol w:w="2615"/>
        <w:gridCol w:w="90"/>
        <w:gridCol w:w="170"/>
        <w:gridCol w:w="965"/>
        <w:gridCol w:w="90"/>
        <w:gridCol w:w="90"/>
        <w:gridCol w:w="170"/>
        <w:gridCol w:w="1445"/>
        <w:gridCol w:w="13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t> </w:t>
            </w:r>
          </w:p>
        </w:tc>
        <w:tc>
          <w:tcPr>
            <w:tcW w:w="96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b/>
              </w:rPr>
              <w:t xml:space="preserve">June 30, </w:t>
              <w:br/>
              <w:t>2026</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t> </w:t>
            </w:r>
          </w:p>
        </w:tc>
        <w:tc>
          <w:tcPr>
            <w:tcW w:w="144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pPr>
            <w:r>
              <w:rPr>
                <w:b/>
              </w:rPr>
              <w:t>December 31,</w:t>
              <w:br/>
              <w:t>2025</w:t>
            </w:r>
            <w:r>
              <w:rPr/>
              <w:t xml:space="preserve"> </w:t>
            </w:r>
          </w:p>
        </w:tc>
        <w:tc>
          <w:tcPr>
            <w:tcW w:w="135" w:type="dxa"/>
            <w:tcBorders/>
            <w:vAlign w:val="center"/>
          </w:tcPr>
          <w:p>
            <w:pPr>
              <w:pStyle w:val="TableContents"/>
              <w:bidi w:val="0"/>
              <w:spacing w:before="0" w:after="283"/>
              <w:jc w:val="center"/>
              <w:rPr/>
            </w:pPr>
            <w:r>
              <w:rPr/>
              <w:t> </w:t>
            </w:r>
          </w:p>
        </w:tc>
      </w:tr>
      <w:tr>
        <w:trPr/>
        <w:tc>
          <w:tcPr>
            <w:tcW w:w="2615" w:type="dxa"/>
            <w:tcBorders/>
            <w:vAlign w:val="center"/>
          </w:tcPr>
          <w:p>
            <w:pPr>
              <w:pStyle w:val="TableContents"/>
              <w:bidi w:val="0"/>
              <w:spacing w:before="0" w:after="283"/>
              <w:jc w:val="left"/>
              <w:rPr/>
            </w:pPr>
            <w:r>
              <w:rPr/>
              <w:t> </w:t>
            </w:r>
          </w:p>
        </w:tc>
        <w:tc>
          <w:tcPr>
            <w:tcW w:w="3155" w:type="dxa"/>
            <w:gridSpan w:val="8"/>
            <w:tcBorders/>
            <w:vAlign w:val="center"/>
          </w:tcPr>
          <w:p>
            <w:pPr>
              <w:pStyle w:val="TableContents"/>
              <w:bidi w:val="0"/>
              <w:spacing w:before="0" w:after="283"/>
              <w:jc w:val="center"/>
              <w:rPr/>
            </w:pPr>
            <w:r>
              <w:rPr>
                <w:b/>
              </w:rPr>
              <w:t>(in thousands)</w:t>
            </w:r>
            <w:r>
              <w:rPr/>
              <w:t xml:space="preserve"> </w:t>
            </w:r>
          </w:p>
        </w:tc>
      </w:tr>
      <w:tr>
        <w:trPr/>
        <w:tc>
          <w:tcPr>
            <w:tcW w:w="2615" w:type="dxa"/>
            <w:tcBorders/>
            <w:shd w:fill="CCEEFF" w:val="clear"/>
            <w:vAlign w:val="center"/>
          </w:tcPr>
          <w:p>
            <w:pPr>
              <w:pStyle w:val="TableContents"/>
              <w:bidi w:val="0"/>
              <w:spacing w:before="0" w:after="0"/>
              <w:ind w:left="0" w:right="0" w:hanging="144"/>
              <w:jc w:val="left"/>
              <w:rPr/>
            </w:pPr>
            <w:r>
              <w:rPr/>
              <w:t xml:space="preserve">Cash and cash equivalents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13,269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17,720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11. Commitments and Contingencies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Other Legal Proceedings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 records accruals for such contingencies to the extent that the Company concludes that their occurrence is probable, and the related damages are estimable. There are no significant pending legal proceedings.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Clinical Trial and Research Commitments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 has entered into agreements with contractors for research and development activities to further its product candidates. The contracts generally may be canceled at any time by providing thirty days’ notice. The Company is involved in a dispute with a contract vendor for clinical trial management services. The Company has accrued its estimate of the amount owed to the contract vendor at June 30, 2026 and December 31, 2025. </w:t>
      </w:r>
    </w:p>
    <w:p>
      <w:pPr>
        <w:pStyle w:val="TextBody"/>
        <w:bidi w:val="0"/>
        <w:spacing w:before="0" w:after="0"/>
        <w:ind w:left="0" w:right="0" w:hanging="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12. Leases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640"/>
        <w:jc w:val="left"/>
        <w:rPr>
          <w:rFonts w:ascii="Times New Roman" w:hAnsi="Times New Roman"/>
          <w:sz w:val="20"/>
        </w:rPr>
      </w:pPr>
      <w:r>
        <w:rPr>
          <w:rFonts w:ascii="Times New Roman" w:hAnsi="Times New Roman"/>
          <w:sz w:val="20"/>
        </w:rPr>
        <w:t>The Company has one operating lease for its office space which was amended effective May 1, 2026 for a term of 24 months with no residual value guarantees or material restrictive covenants. The amended lease may be terminated by the Company effective April 30, 2027 or October 31, 2027 and continues the security deposit of $6,000. In addition to base rental payments included in the contractual obligations table above, the Company is responsible for our pro-rata share of the operating expenses for the building. Our lease cost for the three months ended June 30, 2026 and 2025 was approximately $17,000 and $13,000, respectively, and is included in general and administrative expenses. Our lease cost for the six months ended June 30, 2026 and 2025 was approximately $33,000 and $28,000, respectively, and is included in general and administrative expenses.</w:t>
      </w:r>
    </w:p>
    <w:p>
      <w:pPr>
        <w:pStyle w:val="TextBody"/>
        <w:bidi w:val="0"/>
        <w:spacing w:before="0" w:after="0"/>
        <w:jc w:val="left"/>
        <w:rPr/>
      </w:pPr>
      <w:r>
        <w:rPr/>
        <w:t xml:space="preserve">  </w:t>
      </w:r>
    </w:p>
    <w:p>
      <w:pPr>
        <w:pStyle w:val="TextBody"/>
        <w:bidi w:val="0"/>
        <w:spacing w:before="0" w:after="0"/>
        <w:ind w:left="0" w:right="0" w:firstLine="640"/>
        <w:jc w:val="left"/>
        <w:rPr>
          <w:rFonts w:ascii="Times New Roman" w:hAnsi="Times New Roman"/>
          <w:sz w:val="20"/>
        </w:rPr>
      </w:pPr>
      <w:r>
        <w:rPr>
          <w:rFonts w:ascii="Times New Roman" w:hAnsi="Times New Roman"/>
          <w:sz w:val="20"/>
        </w:rPr>
        <w:t xml:space="preserve">As of June 30, 2026, the right to use lease asset consisted of $118,000 and is included in other assets. Also, at June 30, 2026, current lease liability of $59,000 is included in accrued expenses and the long term lease liability of $59,000 is included in other noncurrent liabilities.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Maturity of operating lease as of June 30, 2026 in thousands: </w:t>
      </w:r>
    </w:p>
    <w:p>
      <w:pPr>
        <w:pStyle w:val="TextBody"/>
        <w:bidi w:val="0"/>
        <w:spacing w:before="0" w:after="0"/>
        <w:jc w:val="left"/>
        <w:rPr/>
      </w:pPr>
      <w:r>
        <w:rPr/>
        <w:t xml:space="preserve">  </w:t>
      </w:r>
    </w:p>
    <w:tbl>
      <w:tblPr>
        <w:tblW w:w="3735" w:type="dxa"/>
        <w:jc w:val="left"/>
        <w:tblInd w:w="0" w:type="dxa"/>
        <w:tblLayout w:type="fixed"/>
        <w:tblCellMar>
          <w:top w:w="0" w:type="dxa"/>
          <w:left w:w="0" w:type="dxa"/>
          <w:bottom w:w="0" w:type="dxa"/>
          <w:right w:w="0" w:type="dxa"/>
        </w:tblCellMar>
      </w:tblPr>
      <w:tblGrid>
        <w:gridCol w:w="2930"/>
        <w:gridCol w:w="90"/>
        <w:gridCol w:w="170"/>
        <w:gridCol w:w="410"/>
        <w:gridCol w:w="135"/>
      </w:tblGrid>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pPr>
            <w:r>
              <w:rPr/>
              <w:t xml:space="preserve">2026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35</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pPr>
            <w:r>
              <w:rPr/>
              <w:t xml:space="preserve">2027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74</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pPr>
            <w:r>
              <w:rPr/>
              <w:t xml:space="preserve">2028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pPr>
            <w:r>
              <w:rPr/>
              <w:t xml:space="preserve">Total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135</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pPr>
            <w:r>
              <w:rPr/>
              <w:t xml:space="preserve">Less imputed interest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pPr>
            <w:r>
              <w:rPr/>
              <w:t xml:space="preserve">Present value of lease liability </w:t>
            </w:r>
          </w:p>
        </w:tc>
        <w:tc>
          <w:tcPr>
            <w:tcW w:w="90" w:type="dxa"/>
            <w:tcBorders/>
            <w:vAlign w:val="center"/>
          </w:tcPr>
          <w:p>
            <w:pPr>
              <w:pStyle w:val="TableContents"/>
              <w:bidi w:val="0"/>
              <w:spacing w:before="0" w:after="283"/>
              <w:jc w:val="right"/>
              <w:rPr/>
            </w:pPr>
            <w:r>
              <w:rPr/>
              <w:t> </w:t>
            </w:r>
          </w:p>
        </w:tc>
        <w:tc>
          <w:tcPr>
            <w:tcW w:w="170" w:type="dxa"/>
            <w:tcBorders>
              <w:bottom w:val="double" w:sz="8" w:space="0" w:color="000000"/>
            </w:tcBorders>
            <w:tcMar>
              <w:bottom w:w="28" w:type="dxa"/>
            </w:tcMar>
            <w:vAlign w:val="center"/>
          </w:tcPr>
          <w:p>
            <w:pPr>
              <w:pStyle w:val="TableContents"/>
              <w:bidi w:val="0"/>
              <w:spacing w:before="0" w:after="283"/>
              <w:jc w:val="left"/>
              <w:rPr/>
            </w:pPr>
            <w:r>
              <w:rPr/>
              <w:t>$</w:t>
            </w:r>
          </w:p>
        </w:tc>
        <w:tc>
          <w:tcPr>
            <w:tcW w:w="410" w:type="dxa"/>
            <w:tcBorders>
              <w:bottom w:val="double" w:sz="8" w:space="0" w:color="000000"/>
            </w:tcBorders>
            <w:tcMar>
              <w:bottom w:w="28" w:type="dxa"/>
            </w:tcMar>
            <w:vAlign w:val="center"/>
          </w:tcPr>
          <w:p>
            <w:pPr>
              <w:pStyle w:val="TableContents"/>
              <w:bidi w:val="0"/>
              <w:spacing w:before="0" w:after="283"/>
              <w:jc w:val="right"/>
              <w:rPr/>
            </w:pPr>
            <w:r>
              <w:rPr/>
              <w:t>118</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discount rate used in calculating the present value of the lease payments was 14%.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13. Galectin Sciences LLC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as of June 30, 2026, the Company has contributed a total of $4,221,000, including $33,000 and $36,000 for the six months ended June 30, 2026 and 2025, respectively, for expenses of the LLC. Since the end of 2014, SBH has contributed $711,000 for expenses in the LLC. As of June 30, 2026, the Company’s ownership percentage in the LLC was 85.6%. The Company accounts for the interest in the LLC as a consolidated, less than wholly owned subsidiary. Because the LLC’s equity is immaterial, the value of the non-controlling interest is also deemed to be immaterial.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14. Subsequent Event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July 31, 2026, Richard E. Uihlein elected to convert all of the principal and accrued interest relating to the Convertible Line of Credit and Supplemental Lines of Credit into common stock pursuant to the terms of those lines of credit (See Note 9).  As a result on July 31, 2026, the Company issued a total of 34,376,167 shares of its common stock to Mr. Uihlein to extinguish the total principal of $91,000,000 and accrued interest of $14,806,981.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hanging="900"/>
        <w:jc w:val="left"/>
        <w:rPr>
          <w:rFonts w:ascii="Times New Roman" w:hAnsi="Times New Roman"/>
          <w:sz w:val="20"/>
        </w:rPr>
      </w:pPr>
      <w:bookmarkStart w:id="10" w:name="Managements_Discussion_and_Analysis_of_F"/>
      <w:bookmarkEnd w:id="10"/>
      <w:r>
        <w:rPr>
          <w:rFonts w:ascii="Times New Roman" w:hAnsi="Times New Roman"/>
          <w:b/>
          <w:sz w:val="20"/>
        </w:rPr>
        <w:t>Management’s Discussion and Analysis of Financial Condition and Results of Operations</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571500" cy="146685"/>
                <wp:effectExtent l="0" t="0" r="0" b="0"/>
                <wp:wrapSquare wrapText="right"/>
                <wp:docPr id="3" name="Frame3"/>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2.</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June 2027;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 </w:t>
      </w:r>
    </w:p>
    <w:p>
      <w:pPr>
        <w:pStyle w:val="TextBody"/>
        <w:bidi w:val="0"/>
        <w:spacing w:before="0" w:after="0"/>
        <w:ind w:left="0" w:right="0" w:firstLine="360"/>
        <w:jc w:val="left"/>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our early stage of development,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dependence on Mr. Uihlein for financing;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NAVIGATE trial was our only active clinical trial, and we currently do not have plans or funding to undertake another clinical trial;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have from time to time faced substantial doubt about our ability to continue as a going concern;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have incurred significant operating losses since our inception and cannot assure you that we will generate revenue or profit;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our dependence on additional outside capital;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may be unable to enter into strategic partnerships for the development, commercialization, manufacturing and distribution of our proposed product candidates;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uncertainties related to any litigation;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uncertainties related to our technology and clinical trials, including expected dates of availability of clinical data;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may be unable to demonstrate the efficacy and safety of our developmental product candidates in human trials;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may be unable to improve upon, protect and/or enforce our intellectual property;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we are subject to extensive and costly regulation by the U.S. Food and Drug Administration (FDA) and by foreign regulatory authorities, which must approve our product candidates in development and could restrict the sales and marketing and pricing of such products;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competition and stock price volatility in the biotechnology industry;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limited trading volume for our stock, concentration of ownership of our stock, and other risks detailed herein and from time to time in our SEC reports; and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36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the occurrence of a widespread pandemic and its potential impact, which could delay clinical trial and development efforts, as well as the impact that such a pandemic has on the volatility of the capital market and our ability to access the capital market.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left"/>
        <w:rPr>
          <w:rFonts w:ascii="Times New Roman" w:hAnsi="Times New Roman"/>
          <w:sz w:val="20"/>
        </w:rPr>
      </w:pPr>
      <w:r>
        <w:rPr>
          <w:rFonts w:ascii="Times New Roman" w:hAnsi="Times New Roman"/>
          <w:sz w:val="20"/>
        </w:rPr>
        <w:t xml:space="preserve">other risks detailed herein and from time to time in our SEC reports, including our Annual Report on Form 10-K filed with the SEC for the fiscal year ended December 31, 2025, and our subsequent SEC filings.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following discussion should be read in conjunction with the accompanying consolidated financial statements and notes thereto of Galectin Therapeutics appearing elsewhere herein.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metabolic dysfunction-associated steatohepatitis (MASH, formerly known as nonalcoholic steatohepatitis, or NASH)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MASH patients. We have completed two Phase 1 clinical studies, a Phase 2 clinical study in MASH patients with advanced fibrosis (NASH-FX) and a second Phase 2b clinical trial in MASH patients with compensated cirrhosis and portal hypertension (NASH-CX).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(MASH) cirrhosis. Further details are available at </w:t>
      </w:r>
      <w:r>
        <w:rPr>
          <w:rFonts w:ascii="Times New Roman" w:hAnsi="Times New Roman"/>
          <w:sz w:val="20"/>
          <w:u w:val="single"/>
        </w:rPr>
        <w:t>www.clinicaltrials.gov</w:t>
      </w:r>
      <w:r>
        <w:rPr>
          <w:rFonts w:ascii="Times New Roman" w:hAnsi="Times New Roman"/>
          <w:sz w:val="20"/>
        </w:rPr>
        <w:t xml:space="preserve"> under study NCT04365868. The information contained therein is not incorporated herein by reference. In September 2020, the Company received a letter from the FDA providing comments, asking questions and providing guidance on various aspects of the ongoing NAVIGATE trial. These comments were addressed, and the study proceeded accordingly.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Based on feedback from the U.S. Food and Drug Administration (FDA), the Company decided to analyze stage 1 of the NAVIGATE clinical trial results as a stand-alone trial. Therefore, the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Belapectin demonstrated consistent, meaningful effects across multiple key biomarkers in MASH cirrhosis. Fewer patients experienced clinically significant worsening of liver stiffness (LSM), while improvements in the ELF (Enhanced Liver Fibrosis) score suggested reduced fibrosis risk and potential improvement in liver function. Notably, the strongest impact was observed in the subgroup with the highest baseline risk (ELF score 11.3), underscoring belapectin’s potential to benefit patients with advanced MASH cirrhosis. FibroScan</w:t>
      </w:r>
      <w:r>
        <w:rPr>
          <w:rFonts w:ascii="Times New Roman" w:hAnsi="Times New Roman"/>
          <w:position w:val="7"/>
          <w:sz w:val="16"/>
          <w:sz w:val="20"/>
        </w:rPr>
        <w:t>®</w:t>
      </w:r>
      <w:r>
        <w:rPr>
          <w:rFonts w:ascii="Times New Roman" w:hAnsi="Times New Roman"/>
          <w:sz w:val="20"/>
        </w:rPr>
        <w:t xml:space="preserve"> derived liver stiffness measurement (LSM) and the ELF test are the most widely used noninvasive markers to assess fibrosis severity and the risk of complications in patients with MASH and MASH cirrhosis.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Additionally, using the validated Baveno VII criteria for portal hypertension, treatment with belapectin was associated with a reduced presence of clinically significant portal hypertension (CSPH) and a lower risk of hepatic decompensation at 18 months. </w:t>
      </w:r>
    </w:p>
    <w:p>
      <w:pPr>
        <w:pStyle w:val="TextBody"/>
        <w:bidi w:val="0"/>
        <w:spacing w:before="0" w:after="0"/>
        <w:jc w:val="left"/>
        <w:rPr/>
      </w:pPr>
      <w:r>
        <w:rPr/>
        <w:t xml:space="preserve">  </w:t>
      </w:r>
    </w:p>
    <w:p>
      <w:pPr>
        <w:pStyle w:val="TextBody"/>
        <w:bidi w:val="0"/>
        <w:spacing w:before="0" w:after="0"/>
        <w:ind w:left="540" w:right="0" w:hanging="0"/>
        <w:jc w:val="left"/>
        <w:rPr/>
      </w:pPr>
      <w:r>
        <w:rPr/>
        <w:t>●       </w:t>
      </w:r>
      <w:r>
        <w:rPr>
          <w:rFonts w:ascii="Times New Roman" w:hAnsi="Times New Roman"/>
          <w:spacing w:val="0"/>
          <w:sz w:val="20"/>
        </w:rPr>
        <w:t>Belapectin reduced clinically significant portal hypertension category and risk of hepatic decompensation</w:t>
      </w:r>
      <w:r>
        <w:rPr>
          <w:rFonts w:ascii="Times New Roman" w:hAnsi="Times New Roman"/>
          <w:b/>
          <w:spacing w:val="0"/>
          <w:sz w:val="20"/>
        </w:rPr>
        <w:t>.</w:t>
      </w:r>
      <w:r>
        <w:rPr>
          <w:rFonts w:ascii="Times New Roman" w:hAnsi="Times New Roman"/>
          <w:spacing w:val="0"/>
          <w:sz w:val="20"/>
        </w:rPr>
        <w:t> Using Baveno VII criteria incorporating liver stiffness measurement (LSM) by transient elastography (FibroScan®) and platelet count, belapectin treatment reduced the presence of clinically significant portal hypertension (CSPH) and lowered the risk of hepatic decompensation in patients with MASH cirrhosis. Notably, among recent MASH cirrhosis trials reported, NAVIGATE enrolled one of the most advanced patient populations, as evidenced by the high proportion of subjects meeting CSPH criteria at baseline.</w:t>
      </w:r>
    </w:p>
    <w:p>
      <w:pPr>
        <w:pStyle w:val="TextBody"/>
        <w:bidi w:val="0"/>
        <w:spacing w:before="0" w:after="0"/>
        <w:ind w:left="540" w:right="0" w:hanging="0"/>
        <w:jc w:val="left"/>
        <w:rPr>
          <w:sz w:val="20"/>
        </w:rPr>
      </w:pPr>
      <w:r>
        <w:rPr>
          <w:sz w:val="20"/>
        </w:rPr>
      </w:r>
    </w:p>
    <w:p>
      <w:pPr>
        <w:pStyle w:val="TextBody"/>
        <w:bidi w:val="0"/>
        <w:spacing w:before="0" w:after="0"/>
        <w:ind w:left="540" w:right="0" w:hanging="0"/>
        <w:jc w:val="left"/>
        <w:rPr/>
      </w:pPr>
      <w:r>
        <w:rPr/>
        <w:t>●       </w:t>
      </w:r>
      <w:r>
        <w:rPr>
          <w:rFonts w:ascii="Times New Roman" w:hAnsi="Times New Roman"/>
          <w:spacing w:val="0"/>
          <w:sz w:val="20"/>
        </w:rPr>
        <w:t>All portal hypertension risk categories were improved comparing belapectin to placebo. Over 18 months, a higher proportion of patients treated with belapectin transitioned from the CSPH or probable CSPH categories to the no/low-risk category, compared to placebo.</w:t>
      </w:r>
    </w:p>
    <w:p>
      <w:pPr>
        <w:pStyle w:val="TextBody"/>
        <w:bidi w:val="0"/>
        <w:spacing w:before="0" w:after="0"/>
        <w:ind w:left="72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hAnsi="Times New Roman"/>
          <w:sz w:val="20"/>
          <w:u w:val="single"/>
        </w:rPr>
        <w:t>www.clinicaltrials.gov</w:t>
      </w:r>
      <w:r>
        <w:rPr>
          <w:rFonts w:ascii="Times New Roman" w:hAnsi="Times New Roman"/>
          <w:sz w:val="20"/>
        </w:rPr>
        <w:t xml:space="preserve">); this study became fully enrolled in February 2022 and favorable results were reported in 2023. The information contained therein is not incorporated herein by reference.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All of our proposed products are presently in development, including pre-clinical and clinical trials.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Our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MASH cirrhosis and head and neck cancer. Belapectin is a proprietary, patented compound derived from natural, plant-based, starting materials, which following chemical processing, exhibits the properties of binding to and inhibiting galectin-3.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pipeline is shown below: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852"/>
        <w:gridCol w:w="1070"/>
        <w:gridCol w:w="7283"/>
      </w:tblGrid>
      <w:tr>
        <w:trPr/>
        <w:tc>
          <w:tcPr>
            <w:tcW w:w="1852"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7283" w:type="dxa"/>
            <w:tcBorders/>
            <w:vAlign w:val="center"/>
          </w:tcPr>
          <w:p>
            <w:pPr>
              <w:pStyle w:val="TableContents"/>
              <w:bidi w:val="0"/>
              <w:spacing w:before="0" w:after="283"/>
              <w:jc w:val="left"/>
              <w:rPr/>
            </w:pPr>
            <w:r>
              <w:rPr/>
              <w:t> </w:t>
            </w:r>
          </w:p>
        </w:tc>
      </w:tr>
      <w:tr>
        <w:trPr/>
        <w:tc>
          <w:tcPr>
            <w:tcW w:w="1852" w:type="dxa"/>
            <w:tcBorders/>
            <w:tcMar>
              <w:top w:w="0" w:type="dxa"/>
              <w:left w:w="0" w:type="dxa"/>
              <w:bottom w:w="0" w:type="dxa"/>
              <w:right w:w="0" w:type="dxa"/>
            </w:tcMar>
            <w:vAlign w:val="center"/>
          </w:tcPr>
          <w:p>
            <w:pPr>
              <w:pStyle w:val="TableContents"/>
              <w:bidi w:val="0"/>
              <w:spacing w:before="0" w:after="0"/>
              <w:jc w:val="left"/>
              <w:rPr>
                <w:b/>
              </w:rPr>
            </w:pPr>
            <w:r>
              <w:rPr>
                <w:b/>
              </w:rPr>
              <w:t>Indication</w:t>
            </w:r>
          </w:p>
          <w:p>
            <w:pPr>
              <w:pStyle w:val="TableContents"/>
              <w:bidi w:val="0"/>
              <w:spacing w:before="0" w:after="0"/>
              <w:jc w:val="left"/>
              <w:rPr/>
            </w:pPr>
            <w:r>
              <w:rPr>
                <w:b/>
              </w:rPr>
              <w:t>Prevention of esophageal</w:t>
              <w:br/>
              <w:t>varices</w:t>
            </w:r>
            <w:r>
              <w:rPr/>
              <w:t xml:space="preserve"> </w:t>
            </w:r>
          </w:p>
          <w:p>
            <w:pPr>
              <w:pStyle w:val="TableContents"/>
              <w:bidi w:val="0"/>
              <w:spacing w:before="0" w:after="0"/>
              <w:jc w:val="left"/>
              <w:rPr/>
            </w:pPr>
            <w:r>
              <w:rPr>
                <w:b/>
              </w:rPr>
              <w:t>in</w:t>
            </w:r>
            <w:r>
              <w:rPr/>
              <w:t xml:space="preserve"> </w:t>
            </w:r>
          </w:p>
          <w:p>
            <w:pPr>
              <w:pStyle w:val="TableContents"/>
              <w:bidi w:val="0"/>
              <w:spacing w:before="0" w:after="0"/>
              <w:jc w:val="left"/>
              <w:rPr/>
            </w:pPr>
            <w:r>
              <w:rPr>
                <w:b/>
              </w:rPr>
              <w:t>MASH cirrhosis</w:t>
            </w:r>
            <w:r>
              <w:rPr/>
              <w:t xml:space="preserve"> </w:t>
            </w:r>
          </w:p>
        </w:tc>
        <w:tc>
          <w:tcPr>
            <w:tcW w:w="1070" w:type="dxa"/>
            <w:tcBorders/>
            <w:tcMar>
              <w:top w:w="0" w:type="dxa"/>
              <w:left w:w="0" w:type="dxa"/>
              <w:bottom w:w="0" w:type="dxa"/>
              <w:right w:w="0" w:type="dxa"/>
            </w:tcMar>
            <w:vAlign w:val="center"/>
          </w:tcPr>
          <w:p>
            <w:pPr>
              <w:pStyle w:val="TableContents"/>
              <w:bidi w:val="0"/>
              <w:spacing w:before="0" w:after="0"/>
              <w:jc w:val="left"/>
              <w:rPr/>
            </w:pPr>
            <w:r>
              <w:rPr>
                <w:b/>
              </w:rPr>
              <w:t>Drug</w:t>
            </w:r>
            <w:r>
              <w:rPr/>
              <w:t xml:space="preserve"> </w:t>
            </w:r>
          </w:p>
        </w:tc>
        <w:tc>
          <w:tcPr>
            <w:tcW w:w="7283" w:type="dxa"/>
            <w:tcBorders/>
            <w:tcMar>
              <w:top w:w="0" w:type="dxa"/>
              <w:left w:w="0" w:type="dxa"/>
              <w:bottom w:w="0" w:type="dxa"/>
              <w:right w:w="0" w:type="dxa"/>
            </w:tcMar>
            <w:vAlign w:val="center"/>
          </w:tcPr>
          <w:p>
            <w:pPr>
              <w:pStyle w:val="TableContents"/>
              <w:bidi w:val="0"/>
              <w:spacing w:before="0" w:after="0"/>
              <w:jc w:val="left"/>
              <w:rPr/>
            </w:pPr>
            <w:r>
              <w:rPr>
                <w:b/>
              </w:rPr>
              <w:t>Status</w:t>
            </w:r>
            <w:r>
              <w:rPr/>
              <w:t xml:space="preserve"> </w:t>
            </w:r>
          </w:p>
        </w:tc>
      </w:tr>
      <w:tr>
        <w:trPr/>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Phase 1 interaction trial: </w:t>
            </w:r>
          </w:p>
          <w:p>
            <w:pPr>
              <w:pStyle w:val="TableContents"/>
              <w:bidi w:val="0"/>
              <w:spacing w:before="0" w:after="0"/>
              <w:jc w:val="left"/>
              <w:rPr/>
            </w:pPr>
            <w:r>
              <w:rPr/>
              <w:t xml:space="preserve">NASH-CX trial and </w:t>
            </w:r>
          </w:p>
          <w:p>
            <w:pPr>
              <w:pStyle w:val="TableContents"/>
              <w:bidi w:val="0"/>
              <w:spacing w:before="0" w:after="0"/>
              <w:jc w:val="left"/>
              <w:rPr/>
            </w:pPr>
            <w:r>
              <w:rPr/>
              <w:t xml:space="preserve">NASH-FX trial </w:t>
            </w:r>
          </w:p>
        </w:tc>
        <w:tc>
          <w:tcPr>
            <w:tcW w:w="1070"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belapectin </w:t>
            </w:r>
          </w:p>
        </w:tc>
        <w:tc>
          <w:tcPr>
            <w:tcW w:w="7283" w:type="dxa"/>
            <w:tcBorders/>
            <w:shd w:fill="CCEEFF" w:val="clear"/>
            <w:tcMar>
              <w:top w:w="0" w:type="dxa"/>
              <w:left w:w="0" w:type="dxa"/>
              <w:bottom w:w="0" w:type="dxa"/>
              <w:right w:w="0" w:type="dxa"/>
            </w:tcMar>
            <w:vAlign w:val="center"/>
          </w:tcPr>
          <w:p>
            <w:pPr>
              <w:pStyle w:val="TableContents"/>
              <w:bidi w:val="0"/>
              <w:jc w:val="both"/>
              <w:rPr/>
            </w:pPr>
            <w:r>
              <w:rPr/>
              <w:t>IND submitted January 2013. Results from the Phase 1 interaction trial were reported in 2014, with final results reported in January 2015.</w:t>
            </w:r>
          </w:p>
          <w:p>
            <w:pPr>
              <w:pStyle w:val="TableContents"/>
              <w:bidi w:val="0"/>
              <w:jc w:val="both"/>
              <w:rPr/>
            </w:pPr>
            <w:r>
              <w:rPr/>
              <w:t>The Phase 2 NASH FX trial was conducted in patients with advanced fibrosis but not cirrhosis. Its principal purpose was to evaluate various imaging modalities. The NASH FX trial top line data was reported in September 2016 and published in Alimentary Pharmacology and Therapeutics in 2016.</w:t>
            </w:r>
          </w:p>
          <w:p>
            <w:pPr>
              <w:pStyle w:val="TableContents"/>
              <w:bidi w:val="0"/>
              <w:spacing w:before="0" w:after="0"/>
              <w:jc w:val="both"/>
              <w:rPr/>
            </w:pPr>
            <w:r>
              <w:rPr/>
              <w:t xml:space="preserve">The Phase 2 NASH CX trial was conducted in patients with compensated cirrhosis and portal hypertension. The NASH CX trial top line data was reported in December 2017 and was published in </w:t>
            </w:r>
            <w:r>
              <w:rPr>
                <w:i/>
              </w:rPr>
              <w:t>Gastroenterology</w:t>
            </w:r>
            <w:r>
              <w:rPr/>
              <w:t xml:space="preserve"> in 2020.   </w:t>
            </w:r>
          </w:p>
        </w:tc>
      </w:tr>
      <w:tr>
        <w:trPr/>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MASH NAVIGATE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shd w:fill="CCEEFF" w:val="clear"/>
            <w:tcMar>
              <w:top w:w="0" w:type="dxa"/>
              <w:left w:w="0" w:type="dxa"/>
              <w:bottom w:w="0" w:type="dxa"/>
              <w:right w:w="0" w:type="dxa"/>
            </w:tcMar>
            <w:vAlign w:val="center"/>
          </w:tcPr>
          <w:p>
            <w:pPr>
              <w:pStyle w:val="TableContents"/>
              <w:bidi w:val="0"/>
              <w:spacing w:before="0" w:after="0"/>
              <w:jc w:val="both"/>
              <w:rPr/>
            </w:pPr>
            <w:r>
              <w:rPr/>
              <w:t xml:space="preserve">Following FDA feedback, the NAVIGATE trial was for the prevention of esophageal varices in MASH patients with compensated cirrhosis and clinical signs of portal hypertension. The final patient was randomized in February 2023 and top-line results were presented in December 2024. Additional analysis from the trial has been presented in 2025 and continues. </w:t>
            </w:r>
          </w:p>
        </w:tc>
      </w:tr>
      <w:tr>
        <w:trPr/>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Phase 1 study: hepatic </w:t>
            </w:r>
          </w:p>
          <w:p>
            <w:pPr>
              <w:pStyle w:val="TableContents"/>
              <w:bidi w:val="0"/>
              <w:spacing w:before="0" w:after="0"/>
              <w:jc w:val="left"/>
              <w:rPr/>
            </w:pPr>
            <w:r>
              <w:rPr/>
              <w:t xml:space="preserve">insufficiency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shd w:fill="CCEEFF" w:val="clear"/>
            <w:tcMar>
              <w:top w:w="0" w:type="dxa"/>
              <w:left w:w="0" w:type="dxa"/>
              <w:bottom w:w="0" w:type="dxa"/>
              <w:right w:w="0" w:type="dxa"/>
            </w:tcMar>
            <w:vAlign w:val="center"/>
          </w:tcPr>
          <w:p>
            <w:pPr>
              <w:pStyle w:val="TableContents"/>
              <w:bidi w:val="0"/>
              <w:spacing w:before="0" w:after="0"/>
              <w:jc w:val="both"/>
              <w:rPr/>
            </w:pPr>
            <w:r>
              <w:rPr/>
              <w:t xml:space="preserve">A hepatic impairment study was conducted in subjects with normal hepatic function and subjects with varying degrees of hepatic impairment (www.clinicaltrials.gov NCT04332432) and began enrolling patients in the second quarter of 2020. The study completed enrollment in February 2022 and favorable results were presented in 2023. </w:t>
            </w:r>
          </w:p>
        </w:tc>
      </w:tr>
      <w:tr>
        <w:trPr/>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CEEFF" w:val="clear"/>
            <w:tcMar>
              <w:top w:w="0" w:type="dxa"/>
              <w:left w:w="0" w:type="dxa"/>
              <w:bottom w:w="0" w:type="dxa"/>
              <w:right w:w="0" w:type="dxa"/>
            </w:tcMar>
            <w:vAlign w:val="center"/>
          </w:tcPr>
          <w:p>
            <w:pPr>
              <w:pStyle w:val="TableContents"/>
              <w:bidi w:val="0"/>
              <w:spacing w:before="0" w:after="0"/>
              <w:jc w:val="left"/>
              <w:rPr/>
            </w:pPr>
            <w:r>
              <w:rPr>
                <w:b/>
              </w:rPr>
              <w:t>Cancer Immunotherapy</w:t>
            </w:r>
            <w:r>
              <w:rPr/>
              <w:t xml:space="preserve">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tcMar>
              <w:top w:w="0" w:type="dxa"/>
              <w:left w:w="0" w:type="dxa"/>
              <w:bottom w:w="0" w:type="dxa"/>
              <w:right w:w="0" w:type="dxa"/>
            </w:tcMar>
            <w:vAlign w:val="center"/>
          </w:tcPr>
          <w:p>
            <w:pPr>
              <w:pStyle w:val="TableContents"/>
              <w:bidi w:val="0"/>
              <w:spacing w:before="0" w:after="283"/>
              <w:jc w:val="left"/>
              <w:rPr/>
            </w:pPr>
            <w:r>
              <w:rPr/>
              <w:t> </w:t>
            </w:r>
          </w:p>
        </w:tc>
        <w:tc>
          <w:tcPr>
            <w:tcW w:w="7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Melanoma, Head, Neck </w:t>
            </w:r>
          </w:p>
          <w:p>
            <w:pPr>
              <w:pStyle w:val="TableContents"/>
              <w:bidi w:val="0"/>
              <w:spacing w:before="0" w:after="0"/>
              <w:jc w:val="left"/>
              <w:rPr/>
            </w:pPr>
            <w:r>
              <w:rPr/>
              <w:t xml:space="preserve">Squamous </w:t>
            </w:r>
          </w:p>
          <w:p>
            <w:pPr>
              <w:pStyle w:val="TableContents"/>
              <w:bidi w:val="0"/>
              <w:spacing w:before="0" w:after="0"/>
              <w:jc w:val="left"/>
              <w:rPr/>
            </w:pPr>
            <w:r>
              <w:rPr/>
              <w:t xml:space="preserve">Cell </w:t>
            </w:r>
          </w:p>
          <w:p>
            <w:pPr>
              <w:pStyle w:val="TableContents"/>
              <w:bidi w:val="0"/>
              <w:spacing w:before="0" w:after="0"/>
              <w:jc w:val="left"/>
              <w:rPr/>
            </w:pPr>
            <w:r>
              <w:rPr/>
              <w:t xml:space="preserve">Carcinoma (HNSCC) </w:t>
            </w:r>
          </w:p>
        </w:tc>
        <w:tc>
          <w:tcPr>
            <w:tcW w:w="1070"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belapectin </w:t>
            </w:r>
          </w:p>
        </w:tc>
        <w:tc>
          <w:tcPr>
            <w:tcW w:w="7283" w:type="dxa"/>
            <w:tcBorders/>
            <w:shd w:fill="CCEEFF" w:val="clear"/>
            <w:tcMar>
              <w:top w:w="0" w:type="dxa"/>
              <w:left w:w="0" w:type="dxa"/>
              <w:bottom w:w="0" w:type="dxa"/>
              <w:right w:w="0" w:type="dxa"/>
            </w:tcMar>
            <w:vAlign w:val="center"/>
          </w:tcPr>
          <w:p>
            <w:pPr>
              <w:pStyle w:val="TableContents"/>
              <w:bidi w:val="0"/>
              <w:spacing w:before="0" w:after="0"/>
              <w:jc w:val="both"/>
              <w:rPr/>
            </w:pPr>
            <w:r>
              <w:rPr/>
              <w:t xml:space="preserve">Investigator IND study was completed.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i/>
          <w:sz w:val="20"/>
        </w:rPr>
        <w:t xml:space="preserve">Liver cirrhosis. </w:t>
      </w:r>
      <w:r>
        <w:rPr>
          <w:rFonts w:ascii="Times New Roman" w:hAnsi="Times New Roman"/>
          <w:sz w:val="20"/>
        </w:rPr>
        <w:t xml:space="preserve">Belapectin is our lead product candidate for treatment of compensated MASH cirrhosis in patients with portal hypertension. Our preclinical data show that belapectin has a significant therapeutic effect on liver fibrosis as shown in several relevant animal models. In addition, in MASH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(MASH). In January 2013, an Investigational New Drug (“IND”) was submitted to the FDA with the goal of initiating a Phase 1 study in patients with MASH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MASH with advanced fibrosis. The Phase 1 trial was completed and demonstrated that belapectin up to 8 mg/kg Lean Body Mass (LBM), i.v. was safe and well tolerated.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Phase 2 program in fibrotic disease consisted of two separate human clinical trials. The main clinical trial was the Phase 2b NASH-CX study for one year for patients with MASH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MASH patients with compensated cirrhosis. A smaller, exploratory NASH-FX trial was conducted to explore potential use of various non-invasive imaging techniques in MASH patients with advanced fibrosis but not cirrhosis.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sz w:val="20"/>
        </w:rPr>
        <w:t xml:space="preserve">NASH-FX Trial: </w:t>
      </w:r>
      <w:r>
        <w:rPr>
          <w:rFonts w:ascii="Times New Roman" w:hAnsi="Times New Roman"/>
          <w:sz w:val="20"/>
        </w:rPr>
        <w:t>The NASH-FX trial was a Phase 2a pilot trial for patients with MASH and advanced fibrosis that explored use of three non-invasive imaging technologies. It was a short, single site, four-month trial in 30 MASH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hAnsi="Times New Roman"/>
          <w:position w:val="7"/>
          <w:sz w:val="16"/>
          <w:sz w:val="20"/>
        </w:rPr>
        <w:t>(R)</w:t>
      </w:r>
      <w:r>
        <w:rPr>
          <w:rFonts w:ascii="Times New Roman" w:hAnsi="Times New Roman"/>
          <w:sz w:val="20"/>
        </w:rPr>
        <w:t>, Perspectum Diagnostics). The trial also did not meet secondary endpoints that measure liver stiffness as a surrogate for fibrosis using, magnetic resonance-elastography and FibroScan</w:t>
      </w:r>
      <w:r>
        <w:rPr>
          <w:rFonts w:ascii="Times New Roman" w:hAnsi="Times New Roman"/>
          <w:position w:val="7"/>
          <w:sz w:val="16"/>
          <w:sz w:val="20"/>
        </w:rPr>
        <w:t>®</w:t>
      </w:r>
      <w:r>
        <w:rPr>
          <w:rFonts w:ascii="Times New Roman" w:hAnsi="Times New Roman"/>
          <w:sz w:val="20"/>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MASH.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sz w:val="20"/>
        </w:rPr>
        <w:t xml:space="preserve">NASH-CX Trial: </w:t>
      </w:r>
      <w:r>
        <w:rPr>
          <w:rFonts w:ascii="Times New Roman" w:hAnsi="Times New Roman"/>
          <w:sz w:val="20"/>
        </w:rPr>
        <w:t>The NASH-CX trial was a larger multi-center clinical trial that explored the use of belapectin for the treatment of patients with well-compensated MASH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hAnsi="Times New Roman"/>
          <w:position w:val="7"/>
          <w:sz w:val="16"/>
          <w:sz w:val="20"/>
        </w:rPr>
        <w:t>13</w:t>
      </w:r>
      <w:r>
        <w:rPr>
          <w:rFonts w:ascii="Times New Roman" w:hAnsi="Times New Roman"/>
          <w:sz w:val="20"/>
        </w:rPr>
        <w:t xml:space="preserve">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those MASH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MASH cirrhosis.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major conclusions from the NASH-CX trial results were that: (i) belapectin had a statistically significant and clinically meaningful effect in improving HVPG vs placebo in patients with MASH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MASH cirrhosis who have not yet developed esophageal varices.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Further information and details on the NASH-CX results is available in public presentations posted to our website and filed with the SEC and in a peer reviewed publication in </w:t>
      </w:r>
      <w:r>
        <w:rPr>
          <w:rFonts w:ascii="Times New Roman" w:hAnsi="Times New Roman"/>
          <w:i/>
          <w:sz w:val="20"/>
        </w:rPr>
        <w:t>Gastroenterology</w:t>
      </w:r>
      <w:r>
        <w:rPr>
          <w:rFonts w:ascii="Times New Roman" w:hAnsi="Times New Roman"/>
          <w:sz w:val="20"/>
        </w:rPr>
        <w:t xml:space="preserve"> 2020;158:1334–1345.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sz w:val="20"/>
        </w:rPr>
        <w:t xml:space="preserve">MASH NAVIGATE Trial: </w:t>
      </w:r>
      <w:r>
        <w:rPr>
          <w:rFonts w:ascii="Times New Roman" w:hAnsi="Times New Roman"/>
          <w:sz w:val="20"/>
        </w:rPr>
        <w:t xml:space="preserve">Building on the experience of the NASH-CX trial, the NAVIGATE Trial was designed as a seamless adaptively-designed Phase 2b/3 clinical study evaluating the safety and efficacy of our galectin-3 inhibitor, belapectin, for the prevention of esophageal varices in patient with metabolic dysfunction-associated steatohepatitis (MASH, formerly known as nonalcoholic steatohepatitis, or MASH) with cirrhosis. The major features of this innovative Phase 2b/3 study design are: i) In patients with MASH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MASH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Based on feedback from the U.S. Food and Drug Administration (FDA), the Company has decided to analyze stage 1 of the NAVIGATE clinical trial results as a stand-alone trial. Therefore, a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continued to analyze trial data and reported additional information in 2025.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 submitted a Type C meeting request in the first quarter of 2026. Subsequently, FDA granted an in-person Type C meeting which was held in the second quarter of 2026.   The Company reached agreement with FDA on the primary endpoint and regulatory path forward for the potential full approval of belapectin for patients with MASH cirrhosis and portal hypertension.   The Company plans to file a Phase 3 protocol with the FDA in the third quarter of 2026 and is actively exploring strategic and financial partnership opportunities to support the continued development and commercialization of belapectin.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the NAVIGATE trial, as proposed in the protocol, secondary endpoints include a composite clinical outcomes endpoint, including varices requiring treatment (development of large varices or varices with a red wale), decompensating events, all-cause mortality, MELD score increase, liver transplant. Also, MASH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MASH cirrhosis patient population i.e. those MASH cirrhosis patients with clinical signs of portal hypertension for whom, currently, apart from a liver transplantation, no specific liver targeted, treatments are available.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Further details on the NAVIGATE trial can be found on </w:t>
      </w:r>
      <w:r>
        <w:rPr>
          <w:rFonts w:ascii="Times New Roman" w:hAnsi="Times New Roman"/>
          <w:sz w:val="20"/>
          <w:u w:val="single"/>
        </w:rPr>
        <w:t>www.clinicaltrials.gov</w:t>
      </w:r>
      <w:r>
        <w:rPr>
          <w:rFonts w:ascii="Times New Roman" w:hAnsi="Times New Roman"/>
          <w:sz w:val="20"/>
        </w:rPr>
        <w:t xml:space="preserve"> under study NCT04365868 and on our NAVIGATE website (navigatenash.com). The information contained therein is not incorporated herein by reference.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hAnsi="Times New Roman"/>
          <w:color w:val="333333"/>
          <w:sz w:val="20"/>
        </w:rPr>
        <w:t>he Liver Meeting™ 2023, hosted by the American Association for the Study of Liver Diseases. The data indicated that belapectin exposure did not increase with the degree of hepatic insufficiency, a property that is consistent with the observed distribution of the drug into activated macrophages.</w:t>
      </w:r>
      <w:r>
        <w:rPr>
          <w:rFonts w:ascii="Times New Roman" w:hAnsi="Times New Roman"/>
          <w:sz w:val="20"/>
        </w:rPr>
        <w:t xml:space="preserve">Further details on this hepatic impairment study can be found on </w:t>
      </w:r>
      <w:r>
        <w:rPr>
          <w:rFonts w:ascii="Times New Roman" w:hAnsi="Times New Roman"/>
          <w:sz w:val="20"/>
          <w:u w:val="single"/>
        </w:rPr>
        <w:t>www.clinicaltrials.gov</w:t>
      </w:r>
      <w:r>
        <w:rPr>
          <w:rFonts w:ascii="Times New Roman" w:hAnsi="Times New Roman"/>
          <w:sz w:val="20"/>
        </w:rPr>
        <w:t xml:space="preserve"> study NCT04332432.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i/>
          <w:sz w:val="20"/>
        </w:rPr>
        <w:t xml:space="preserve">Cancer Immunotherapy. </w:t>
      </w:r>
      <w:r>
        <w:rPr>
          <w:rFonts w:ascii="Times New Roman" w:hAnsi="Times New Roman"/>
          <w:sz w:val="20"/>
        </w:rPr>
        <w:t>We believe there is potential for galectin inhibition to play a key role in the innovative area of cancer immunotherapy. 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hAnsi="Times New Roman"/>
          <w:position w:val="7"/>
          <w:sz w:val="16"/>
          <w:sz w:val="20"/>
        </w:rPr>
        <w:t>®</w:t>
      </w:r>
      <w:r>
        <w:rPr>
          <w:rFonts w:ascii="Times New Roman" w:hAnsi="Times New Roman"/>
          <w:sz w:val="20"/>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phase IB study in combination with Yervoy was rapidly discontinued after the first patients were recruited because of the availability of new treatment in the selected population.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Promising results were reported in the Phase 1b trial combining belapectin with pembrolizumab (KEYTRUDA</w:t>
      </w:r>
      <w:r>
        <w:rPr>
          <w:rFonts w:ascii="Times New Roman" w:hAnsi="Times New Roman"/>
          <w:position w:val="7"/>
          <w:sz w:val="16"/>
          <w:sz w:val="20"/>
        </w:rPr>
        <w:t>®</w:t>
      </w:r>
      <w:r>
        <w:rPr>
          <w:rFonts w:ascii="Times New Roman" w:hAnsi="Times New Roman"/>
          <w:sz w:val="20"/>
        </w:rPr>
        <w:t xml:space="preserve">).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Three and Six Months Ended June 30, 2026 Compared to Three and Six Months Ended June 30,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52"/>
        <w:gridCol w:w="90"/>
        <w:gridCol w:w="175"/>
        <w:gridCol w:w="607"/>
        <w:gridCol w:w="92"/>
        <w:gridCol w:w="92"/>
        <w:gridCol w:w="175"/>
        <w:gridCol w:w="607"/>
        <w:gridCol w:w="92"/>
        <w:gridCol w:w="90"/>
        <w:gridCol w:w="170"/>
        <w:gridCol w:w="591"/>
        <w:gridCol w:w="90"/>
        <w:gridCol w:w="90"/>
        <w:gridCol w:w="170"/>
        <w:gridCol w:w="591"/>
        <w:gridCol w:w="90"/>
        <w:gridCol w:w="90"/>
        <w:gridCol w:w="170"/>
        <w:gridCol w:w="665"/>
        <w:gridCol w:w="185"/>
        <w:gridCol w:w="90"/>
        <w:gridCol w:w="134"/>
        <w:gridCol w:w="548"/>
        <w:gridCol w:w="369"/>
        <w:gridCol w:w="90"/>
        <w:gridCol w:w="90"/>
        <w:gridCol w:w="92"/>
        <w:gridCol w:w="682"/>
        <w:gridCol w:w="191"/>
        <w:gridCol w:w="90"/>
        <w:gridCol w:w="205"/>
        <w:gridCol w:w="835"/>
        <w:gridCol w:w="315"/>
      </w:tblGrid>
      <w:tr>
        <w:trPr/>
        <w:tc>
          <w:tcPr>
            <w:tcW w:w="15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r>
      <w:tr>
        <w:trPr/>
        <w:tc>
          <w:tcPr>
            <w:tcW w:w="3482" w:type="dxa"/>
            <w:gridSpan w:val="9"/>
            <w:tcBorders/>
          </w:tcPr>
          <w:p>
            <w:pPr>
              <w:pStyle w:val="TableContents"/>
              <w:bidi w:val="0"/>
              <w:spacing w:before="0" w:after="0"/>
              <w:ind w:left="0" w:right="0" w:hanging="0"/>
              <w:jc w:val="left"/>
              <w:rPr/>
            </w:pPr>
            <w:r>
              <w:rPr/>
              <w:t>Research and Development Expense.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4" w:type="dxa"/>
            <w:tcBorders/>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 </w:t>
            </w:r>
          </w:p>
        </w:tc>
        <w:tc>
          <w:tcPr>
            <w:tcW w:w="36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82"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205" w:type="dxa"/>
            <w:tcBorders/>
          </w:tcPr>
          <w:p>
            <w:pPr>
              <w:pStyle w:val="TableContents"/>
              <w:bidi w:val="0"/>
              <w:spacing w:before="0" w:after="283"/>
              <w:jc w:val="left"/>
              <w:rPr/>
            </w:pPr>
            <w:r>
              <w:rPr/>
              <w:t> </w:t>
            </w:r>
          </w:p>
        </w:tc>
        <w:tc>
          <w:tcPr>
            <w:tcW w:w="835" w:type="dxa"/>
            <w:tcBorders/>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 </w:t>
            </w:r>
          </w:p>
        </w:tc>
      </w:tr>
      <w:tr>
        <w:trPr/>
        <w:tc>
          <w:tcPr>
            <w:tcW w:w="155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175" w:type="dxa"/>
            <w:tcBorders/>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70" w:type="dxa"/>
            <w:tcBorders/>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 </w:t>
            </w:r>
          </w:p>
        </w:tc>
        <w:tc>
          <w:tcPr>
            <w:tcW w:w="185"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34" w:type="dxa"/>
            <w:tcBorders/>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 </w:t>
            </w:r>
          </w:p>
        </w:tc>
        <w:tc>
          <w:tcPr>
            <w:tcW w:w="369"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682"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205" w:type="dxa"/>
            <w:tcBorders/>
          </w:tcPr>
          <w:p>
            <w:pPr>
              <w:pStyle w:val="TableContents"/>
              <w:bidi w:val="0"/>
              <w:spacing w:before="0" w:after="283"/>
              <w:jc w:val="left"/>
              <w:rPr/>
            </w:pPr>
            <w:r>
              <w:rPr/>
              <w:t> </w:t>
            </w:r>
          </w:p>
        </w:tc>
        <w:tc>
          <w:tcPr>
            <w:tcW w:w="835" w:type="dxa"/>
            <w:tcBorders/>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 </w:t>
            </w:r>
          </w:p>
        </w:tc>
      </w:tr>
      <w:tr>
        <w:trPr/>
        <w:tc>
          <w:tcPr>
            <w:tcW w:w="155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840" w:type="dxa"/>
            <w:gridSpan w:val="7"/>
            <w:tcBorders>
              <w:bottom w:val="single" w:sz="12" w:space="0" w:color="000000"/>
            </w:tcBorders>
            <w:tcMar>
              <w:bottom w:w="28" w:type="dxa"/>
            </w:tcMar>
          </w:tcPr>
          <w:p>
            <w:pPr>
              <w:pStyle w:val="TableContents"/>
              <w:bidi w:val="0"/>
              <w:spacing w:before="0" w:after="283"/>
              <w:jc w:val="center"/>
              <w:rPr>
                <w:spacing w:val="0"/>
              </w:rPr>
            </w:pPr>
            <w:r>
              <w:rPr>
                <w:spacing w:val="0"/>
              </w:rPr>
              <w:t>Three Months Ended</w:t>
            </w:r>
          </w:p>
        </w:tc>
        <w:tc>
          <w:tcPr>
            <w:tcW w:w="90" w:type="dxa"/>
            <w:tcBorders/>
          </w:tcPr>
          <w:p>
            <w:pPr>
              <w:pStyle w:val="TableContents"/>
              <w:bidi w:val="0"/>
              <w:spacing w:before="0" w:after="283"/>
              <w:jc w:val="left"/>
              <w:rPr/>
            </w:pPr>
            <w:r>
              <w:rPr/>
              <w:t> </w:t>
            </w:r>
          </w:p>
        </w:tc>
        <w:tc>
          <w:tcPr>
            <w:tcW w:w="1792" w:type="dxa"/>
            <w:gridSpan w:val="7"/>
            <w:tcBorders>
              <w:bottom w:val="single" w:sz="12" w:space="0" w:color="000000"/>
            </w:tcBorders>
            <w:tcMar>
              <w:bottom w:w="28" w:type="dxa"/>
            </w:tcMar>
          </w:tcPr>
          <w:p>
            <w:pPr>
              <w:pStyle w:val="TableContents"/>
              <w:bidi w:val="0"/>
              <w:spacing w:before="0" w:after="283"/>
              <w:jc w:val="center"/>
              <w:rPr>
                <w:spacing w:val="0"/>
              </w:rPr>
            </w:pPr>
            <w:r>
              <w:rPr>
                <w:spacing w:val="0"/>
              </w:rPr>
              <w:t>Six Months Ended</w:t>
            </w:r>
          </w:p>
        </w:tc>
        <w:tc>
          <w:tcPr>
            <w:tcW w:w="90" w:type="dxa"/>
            <w:tcBorders/>
          </w:tcPr>
          <w:p>
            <w:pPr>
              <w:pStyle w:val="TableContents"/>
              <w:bidi w:val="0"/>
              <w:spacing w:before="0" w:after="283"/>
              <w:jc w:val="center"/>
              <w:rPr/>
            </w:pPr>
            <w:r>
              <w:rPr/>
              <w:t> </w:t>
            </w:r>
          </w:p>
        </w:tc>
        <w:tc>
          <w:tcPr>
            <w:tcW w:w="170" w:type="dxa"/>
            <w:tcBorders>
              <w:bottom w:val="single" w:sz="12" w:space="0" w:color="000000"/>
            </w:tcBorders>
            <w:tcMar>
              <w:bottom w:w="28" w:type="dxa"/>
            </w:tcMar>
          </w:tcPr>
          <w:p>
            <w:pPr>
              <w:pStyle w:val="TableContents"/>
              <w:bidi w:val="0"/>
              <w:spacing w:before="0" w:after="283"/>
              <w:jc w:val="center"/>
              <w:rPr/>
            </w:pPr>
            <w:r>
              <w:rPr/>
              <w:t> </w:t>
            </w:r>
          </w:p>
        </w:tc>
        <w:tc>
          <w:tcPr>
            <w:tcW w:w="4266" w:type="dxa"/>
            <w:gridSpan w:val="14"/>
            <w:tcBorders>
              <w:bottom w:val="single" w:sz="12" w:space="0" w:color="000000"/>
            </w:tcBorders>
            <w:tcMar>
              <w:bottom w:w="28" w:type="dxa"/>
            </w:tcMar>
          </w:tcPr>
          <w:p>
            <w:pPr>
              <w:pStyle w:val="TableContents"/>
              <w:bidi w:val="0"/>
              <w:spacing w:before="0" w:after="283"/>
              <w:jc w:val="center"/>
              <w:rPr>
                <w:spacing w:val="0"/>
              </w:rPr>
            </w:pPr>
            <w:r>
              <w:rPr>
                <w:spacing w:val="0"/>
              </w:rPr>
              <w:t xml:space="preserve">2026 as Compared to </w:t>
              <w:br/>
              <w:t>2025</w:t>
            </w:r>
          </w:p>
        </w:tc>
        <w:tc>
          <w:tcPr>
            <w:tcW w:w="315" w:type="dxa"/>
            <w:tcBorders/>
          </w:tcPr>
          <w:p>
            <w:pPr>
              <w:pStyle w:val="TableContents"/>
              <w:bidi w:val="0"/>
              <w:spacing w:before="0" w:after="283"/>
              <w:jc w:val="left"/>
              <w:rPr/>
            </w:pPr>
            <w:r>
              <w:rPr/>
              <w:t> </w:t>
            </w:r>
          </w:p>
        </w:tc>
      </w:tr>
      <w:tr>
        <w:trPr/>
        <w:tc>
          <w:tcPr>
            <w:tcW w:w="155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1840" w:type="dxa"/>
            <w:gridSpan w:val="7"/>
            <w:tcBorders>
              <w:bottom w:val="single" w:sz="12" w:space="0" w:color="000000"/>
            </w:tcBorders>
            <w:tcMar>
              <w:bottom w:w="28" w:type="dxa"/>
            </w:tcMar>
          </w:tcPr>
          <w:p>
            <w:pPr>
              <w:pStyle w:val="TableContents"/>
              <w:bidi w:val="0"/>
              <w:spacing w:before="0" w:after="283"/>
              <w:jc w:val="center"/>
              <w:rPr/>
            </w:pPr>
            <w:r>
              <w:rPr>
                <w:spacing w:val="0"/>
              </w:rPr>
              <w:t>June 30,</w:t>
            </w:r>
            <w:r>
              <w:rPr/>
              <w:t xml:space="preserve"> </w:t>
            </w:r>
          </w:p>
        </w:tc>
        <w:tc>
          <w:tcPr>
            <w:tcW w:w="90" w:type="dxa"/>
            <w:tcBorders/>
          </w:tcPr>
          <w:p>
            <w:pPr>
              <w:pStyle w:val="TableContents"/>
              <w:bidi w:val="0"/>
              <w:spacing w:before="0" w:after="283"/>
              <w:jc w:val="left"/>
              <w:rPr/>
            </w:pPr>
            <w:r>
              <w:rPr/>
            </w:r>
          </w:p>
        </w:tc>
        <w:tc>
          <w:tcPr>
            <w:tcW w:w="1792" w:type="dxa"/>
            <w:gridSpan w:val="7"/>
            <w:tcBorders>
              <w:bottom w:val="single" w:sz="12" w:space="0" w:color="000000"/>
            </w:tcBorders>
            <w:tcMar>
              <w:bottom w:w="28" w:type="dxa"/>
            </w:tcMar>
          </w:tcPr>
          <w:p>
            <w:pPr>
              <w:pStyle w:val="TableContents"/>
              <w:bidi w:val="0"/>
              <w:spacing w:before="0" w:after="283"/>
              <w:jc w:val="center"/>
              <w:rPr/>
            </w:pPr>
            <w:r>
              <w:rPr>
                <w:spacing w:val="0"/>
              </w:rPr>
              <w:t>June 30,</w:t>
            </w:r>
            <w:r>
              <w:rPr/>
              <w:t xml:space="preserve"> </w:t>
            </w:r>
          </w:p>
        </w:tc>
        <w:tc>
          <w:tcPr>
            <w:tcW w:w="90" w:type="dxa"/>
            <w:tcBorders/>
          </w:tcPr>
          <w:p>
            <w:pPr>
              <w:pStyle w:val="TableContents"/>
              <w:bidi w:val="0"/>
              <w:spacing w:before="0" w:after="283"/>
              <w:jc w:val="left"/>
              <w:rPr/>
            </w:pPr>
            <w:r>
              <w:rPr/>
            </w:r>
          </w:p>
        </w:tc>
        <w:tc>
          <w:tcPr>
            <w:tcW w:w="2161" w:type="dxa"/>
            <w:gridSpan w:val="7"/>
            <w:tcBorders>
              <w:bottom w:val="single" w:sz="12" w:space="0" w:color="000000"/>
            </w:tcBorders>
            <w:tcMar>
              <w:bottom w:w="28" w:type="dxa"/>
            </w:tcMar>
          </w:tcPr>
          <w:p>
            <w:pPr>
              <w:pStyle w:val="TableContents"/>
              <w:bidi w:val="0"/>
              <w:spacing w:before="0" w:after="283"/>
              <w:jc w:val="center"/>
              <w:rPr/>
            </w:pPr>
            <w:r>
              <w:rPr>
                <w:spacing w:val="0"/>
              </w:rPr>
              <w:t>Three Months</w:t>
            </w:r>
            <w:r>
              <w:rPr/>
              <w:t xml:space="preserve"> </w:t>
            </w:r>
          </w:p>
        </w:tc>
        <w:tc>
          <w:tcPr>
            <w:tcW w:w="90"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2095" w:type="dxa"/>
            <w:gridSpan w:val="6"/>
            <w:tcBorders>
              <w:bottom w:val="single" w:sz="12" w:space="0" w:color="000000"/>
            </w:tcBorders>
            <w:tcMar>
              <w:bottom w:w="28" w:type="dxa"/>
            </w:tcMar>
          </w:tcPr>
          <w:p>
            <w:pPr>
              <w:pStyle w:val="TableContents"/>
              <w:bidi w:val="0"/>
              <w:spacing w:before="0" w:after="283"/>
              <w:jc w:val="center"/>
              <w:rPr>
                <w:spacing w:val="0"/>
              </w:rPr>
            </w:pPr>
            <w:r>
              <w:rPr>
                <w:spacing w:val="0"/>
              </w:rPr>
              <w:t>Six Months</w:t>
            </w:r>
          </w:p>
        </w:tc>
        <w:tc>
          <w:tcPr>
            <w:tcW w:w="315" w:type="dxa"/>
            <w:tcBorders/>
          </w:tcPr>
          <w:p>
            <w:pPr>
              <w:pStyle w:val="TableContents"/>
              <w:bidi w:val="0"/>
              <w:spacing w:before="0" w:after="283"/>
              <w:jc w:val="left"/>
              <w:rPr/>
            </w:pPr>
            <w:r>
              <w:rPr/>
              <w:t> </w:t>
            </w:r>
          </w:p>
        </w:tc>
      </w:tr>
      <w:tr>
        <w:trPr/>
        <w:tc>
          <w:tcPr>
            <w:tcW w:w="155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782" w:type="dxa"/>
            <w:gridSpan w:val="2"/>
            <w:tcBorders>
              <w:bottom w:val="single" w:sz="12" w:space="0" w:color="000000"/>
            </w:tcBorders>
            <w:tcMar>
              <w:bottom w:w="28" w:type="dxa"/>
            </w:tcMar>
          </w:tcPr>
          <w:p>
            <w:pPr>
              <w:pStyle w:val="TableContents"/>
              <w:bidi w:val="0"/>
              <w:spacing w:before="0" w:after="0"/>
              <w:ind w:left="0" w:right="0" w:hanging="0"/>
              <w:jc w:val="center"/>
              <w:rPr/>
            </w:pPr>
            <w:r>
              <w:rPr/>
              <w:t xml:space="preserve">2026 </w:t>
            </w:r>
          </w:p>
        </w:tc>
        <w:tc>
          <w:tcPr>
            <w:tcW w:w="92" w:type="dxa"/>
            <w:tcBorders/>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874" w:type="dxa"/>
            <w:gridSpan w:val="3"/>
            <w:tcBorders>
              <w:bottom w:val="single" w:sz="12" w:space="0" w:color="000000"/>
            </w:tcBorders>
            <w:tcMar>
              <w:bottom w:w="28" w:type="dxa"/>
            </w:tcMar>
          </w:tcPr>
          <w:p>
            <w:pPr>
              <w:pStyle w:val="TableContents"/>
              <w:bidi w:val="0"/>
              <w:spacing w:before="0" w:after="0"/>
              <w:ind w:left="0" w:right="0" w:hanging="0"/>
              <w:jc w:val="center"/>
              <w:rPr/>
            </w:pPr>
            <w:r>
              <w:rPr/>
              <w:t xml:space="preserve">2025 </w:t>
            </w:r>
          </w:p>
        </w:tc>
        <w:tc>
          <w:tcPr>
            <w:tcW w:w="90" w:type="dxa"/>
            <w:tcBorders/>
          </w:tcPr>
          <w:p>
            <w:pPr>
              <w:pStyle w:val="TableContents"/>
              <w:bidi w:val="0"/>
              <w:spacing w:before="0" w:after="283"/>
              <w:jc w:val="left"/>
              <w:rPr/>
            </w:pPr>
            <w:r>
              <w:rPr/>
              <w:t> </w:t>
            </w:r>
          </w:p>
        </w:tc>
        <w:tc>
          <w:tcPr>
            <w:tcW w:w="851" w:type="dxa"/>
            <w:gridSpan w:val="3"/>
            <w:tcBorders>
              <w:bottom w:val="single" w:sz="12" w:space="0" w:color="000000"/>
            </w:tcBorders>
            <w:tcMar>
              <w:bottom w:w="28" w:type="dxa"/>
            </w:tcMar>
          </w:tcPr>
          <w:p>
            <w:pPr>
              <w:pStyle w:val="TableContents"/>
              <w:bidi w:val="0"/>
              <w:spacing w:before="0" w:after="0"/>
              <w:ind w:left="0" w:right="0" w:hanging="0"/>
              <w:jc w:val="center"/>
              <w:rPr/>
            </w:pPr>
            <w:r>
              <w:rPr/>
              <w:t xml:space="preserve">2026 </w:t>
            </w:r>
          </w:p>
        </w:tc>
        <w:tc>
          <w:tcPr>
            <w:tcW w:w="90" w:type="dxa"/>
            <w:tcBorders/>
          </w:tcPr>
          <w:p>
            <w:pPr>
              <w:pStyle w:val="TableContents"/>
              <w:bidi w:val="0"/>
              <w:spacing w:before="0" w:after="283"/>
              <w:jc w:val="left"/>
              <w:rPr/>
            </w:pPr>
            <w:r>
              <w:rPr/>
              <w:t> </w:t>
            </w:r>
          </w:p>
        </w:tc>
        <w:tc>
          <w:tcPr>
            <w:tcW w:w="851" w:type="dxa"/>
            <w:gridSpan w:val="3"/>
            <w:tcBorders>
              <w:bottom w:val="single" w:sz="12" w:space="0" w:color="000000"/>
            </w:tcBorders>
            <w:tcMar>
              <w:bottom w:w="28" w:type="dxa"/>
            </w:tcMar>
          </w:tcPr>
          <w:p>
            <w:pPr>
              <w:pStyle w:val="TableContents"/>
              <w:bidi w:val="0"/>
              <w:spacing w:before="0" w:after="0"/>
              <w:ind w:left="0" w:right="0" w:hanging="0"/>
              <w:jc w:val="center"/>
              <w:rPr/>
            </w:pPr>
            <w:r>
              <w:rPr/>
              <w:t xml:space="preserve">2025 </w:t>
            </w:r>
          </w:p>
        </w:tc>
        <w:tc>
          <w:tcPr>
            <w:tcW w:w="90" w:type="dxa"/>
            <w:tcBorders/>
          </w:tcPr>
          <w:p>
            <w:pPr>
              <w:pStyle w:val="TableContents"/>
              <w:bidi w:val="0"/>
              <w:spacing w:before="0" w:after="283"/>
              <w:jc w:val="left"/>
              <w:rPr/>
            </w:pPr>
            <w:r>
              <w:rPr/>
              <w:t> </w:t>
            </w:r>
          </w:p>
        </w:tc>
        <w:tc>
          <w:tcPr>
            <w:tcW w:w="1020" w:type="dxa"/>
            <w:gridSpan w:val="3"/>
            <w:tcBorders>
              <w:bottom w:val="single" w:sz="12" w:space="0" w:color="000000"/>
            </w:tcBorders>
            <w:tcMar>
              <w:bottom w:w="28" w:type="dxa"/>
            </w:tcMar>
          </w:tcPr>
          <w:p>
            <w:pPr>
              <w:pStyle w:val="TableContents"/>
              <w:bidi w:val="0"/>
              <w:spacing w:before="0" w:after="0"/>
              <w:ind w:left="0" w:right="0" w:hanging="0"/>
              <w:jc w:val="center"/>
              <w:rPr/>
            </w:pPr>
            <w:r>
              <w:rPr/>
              <w:t xml:space="preserve">$ Change </w:t>
            </w:r>
          </w:p>
        </w:tc>
        <w:tc>
          <w:tcPr>
            <w:tcW w:w="90" w:type="dxa"/>
            <w:tcBorders/>
          </w:tcPr>
          <w:p>
            <w:pPr>
              <w:pStyle w:val="TableContents"/>
              <w:bidi w:val="0"/>
              <w:spacing w:before="0" w:after="283"/>
              <w:jc w:val="left"/>
              <w:rPr/>
            </w:pPr>
            <w:r>
              <w:rPr/>
              <w:t> </w:t>
            </w:r>
          </w:p>
        </w:tc>
        <w:tc>
          <w:tcPr>
            <w:tcW w:w="1051" w:type="dxa"/>
            <w:gridSpan w:val="3"/>
            <w:tcBorders>
              <w:bottom w:val="single" w:sz="12" w:space="0" w:color="000000"/>
            </w:tcBorders>
            <w:tcMar>
              <w:bottom w:w="28" w:type="dxa"/>
            </w:tcMar>
          </w:tcPr>
          <w:p>
            <w:pPr>
              <w:pStyle w:val="TableContents"/>
              <w:bidi w:val="0"/>
              <w:spacing w:before="0" w:after="0"/>
              <w:ind w:left="0" w:right="0" w:hanging="0"/>
              <w:jc w:val="center"/>
              <w:rPr/>
            </w:pPr>
            <w:r>
              <w:rPr/>
              <w:t xml:space="preserve">% Change </w:t>
            </w:r>
          </w:p>
        </w:tc>
        <w:tc>
          <w:tcPr>
            <w:tcW w:w="90" w:type="dxa"/>
            <w:tcBorders/>
          </w:tcPr>
          <w:p>
            <w:pPr>
              <w:pStyle w:val="TableContents"/>
              <w:bidi w:val="0"/>
              <w:spacing w:before="0" w:after="0"/>
              <w:ind w:left="0" w:right="0" w:hanging="0"/>
              <w:jc w:val="left"/>
              <w:rPr/>
            </w:pPr>
            <w:r>
              <w:rPr/>
            </w:r>
          </w:p>
        </w:tc>
        <w:tc>
          <w:tcPr>
            <w:tcW w:w="90" w:type="dxa"/>
            <w:tcBorders/>
          </w:tcPr>
          <w:p>
            <w:pPr>
              <w:pStyle w:val="TableContents"/>
              <w:bidi w:val="0"/>
              <w:spacing w:before="0" w:after="283"/>
              <w:jc w:val="left"/>
              <w:rPr/>
            </w:pPr>
            <w:r>
              <w:rPr/>
              <w:t> </w:t>
            </w:r>
          </w:p>
        </w:tc>
        <w:tc>
          <w:tcPr>
            <w:tcW w:w="965" w:type="dxa"/>
            <w:gridSpan w:val="3"/>
            <w:tcBorders>
              <w:bottom w:val="single" w:sz="12" w:space="0" w:color="000000"/>
            </w:tcBorders>
            <w:tcMar>
              <w:bottom w:w="28" w:type="dxa"/>
            </w:tcMar>
          </w:tcPr>
          <w:p>
            <w:pPr>
              <w:pStyle w:val="TableContents"/>
              <w:bidi w:val="0"/>
              <w:spacing w:before="0" w:after="0"/>
              <w:ind w:left="0" w:right="0" w:hanging="0"/>
              <w:jc w:val="center"/>
              <w:rPr>
                <w:spacing w:val="0"/>
              </w:rPr>
            </w:pPr>
            <w:r>
              <w:rPr>
                <w:spacing w:val="0"/>
              </w:rPr>
              <w:t>$ Change</w:t>
            </w:r>
          </w:p>
        </w:tc>
        <w:tc>
          <w:tcPr>
            <w:tcW w:w="90" w:type="dxa"/>
            <w:tcBorders/>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tcPr>
          <w:p>
            <w:pPr>
              <w:pStyle w:val="TableContents"/>
              <w:bidi w:val="0"/>
              <w:spacing w:before="0" w:after="283"/>
              <w:jc w:val="center"/>
              <w:rPr>
                <w:spacing w:val="0"/>
              </w:rPr>
            </w:pPr>
            <w:r>
              <w:rPr>
                <w:spacing w:val="0"/>
              </w:rPr>
              <w:t>% Change</w:t>
            </w:r>
          </w:p>
        </w:tc>
        <w:tc>
          <w:tcPr>
            <w:tcW w:w="315" w:type="dxa"/>
            <w:tcBorders/>
          </w:tcPr>
          <w:p>
            <w:pPr>
              <w:pStyle w:val="TableContents"/>
              <w:bidi w:val="0"/>
              <w:spacing w:before="0" w:after="283"/>
              <w:jc w:val="left"/>
              <w:rPr/>
            </w:pPr>
            <w:r>
              <w:rPr/>
              <w:t> </w:t>
            </w:r>
          </w:p>
        </w:tc>
      </w:tr>
      <w:tr>
        <w:trPr/>
        <w:tc>
          <w:tcPr>
            <w:tcW w:w="1552" w:type="dxa"/>
            <w:tcBorders/>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8248" w:type="dxa"/>
            <w:gridSpan w:val="31"/>
            <w:tcBorders/>
          </w:tcPr>
          <w:p>
            <w:pPr>
              <w:pStyle w:val="TableContents"/>
              <w:bidi w:val="0"/>
              <w:spacing w:before="0" w:after="0"/>
              <w:ind w:left="0" w:right="0" w:hanging="0"/>
              <w:jc w:val="center"/>
              <w:rPr/>
            </w:pPr>
            <w:r>
              <w:rPr/>
              <w:t xml:space="preserve">(In thousands, except %) </w:t>
            </w:r>
          </w:p>
        </w:tc>
        <w:tc>
          <w:tcPr>
            <w:tcW w:w="315" w:type="dxa"/>
            <w:tcBorders/>
          </w:tcPr>
          <w:p>
            <w:pPr>
              <w:pStyle w:val="TableContents"/>
              <w:bidi w:val="0"/>
              <w:spacing w:before="0" w:after="283"/>
              <w:jc w:val="left"/>
              <w:rPr/>
            </w:pPr>
            <w:r>
              <w:rPr/>
              <w:t> </w:t>
            </w:r>
          </w:p>
        </w:tc>
      </w:tr>
      <w:tr>
        <w:trPr/>
        <w:tc>
          <w:tcPr>
            <w:tcW w:w="1552" w:type="dxa"/>
            <w:tcBorders/>
            <w:shd w:fill="CCEEFF" w:val="clear"/>
          </w:tcPr>
          <w:p>
            <w:pPr>
              <w:pStyle w:val="TableContents"/>
              <w:bidi w:val="0"/>
              <w:spacing w:before="0" w:after="0"/>
              <w:ind w:left="0" w:right="0" w:hanging="0"/>
              <w:jc w:val="left"/>
              <w:rPr/>
            </w:pPr>
            <w:r>
              <w:rPr/>
              <w:t>Research and development</w:t>
            </w:r>
          </w:p>
        </w:tc>
        <w:tc>
          <w:tcPr>
            <w:tcW w:w="90" w:type="dxa"/>
            <w:tcBorders/>
            <w:shd w:fill="CCEEFF" w:val="clear"/>
            <w:vAlign w:val="bottom"/>
          </w:tcPr>
          <w:p>
            <w:pPr>
              <w:pStyle w:val="TableContents"/>
              <w:bidi w:val="0"/>
              <w:spacing w:before="0" w:after="0"/>
              <w:ind w:left="0" w:right="0" w:hanging="0"/>
              <w:jc w:val="left"/>
              <w:rPr/>
            </w:pPr>
            <w:r>
              <w:rPr/>
              <w:t> </w:t>
            </w:r>
          </w:p>
        </w:tc>
        <w:tc>
          <w:tcPr>
            <w:tcW w:w="175" w:type="dxa"/>
            <w:tcBorders/>
            <w:shd w:fill="CCEEFF" w:val="clear"/>
            <w:vAlign w:val="bottom"/>
          </w:tcPr>
          <w:p>
            <w:pPr>
              <w:pStyle w:val="TableContents"/>
              <w:bidi w:val="0"/>
              <w:spacing w:before="0" w:after="0"/>
              <w:ind w:left="0" w:right="0" w:hanging="0"/>
              <w:jc w:val="left"/>
              <w:rPr/>
            </w:pPr>
            <w:r>
              <w:rPr/>
              <w:t>$</w:t>
            </w:r>
          </w:p>
        </w:tc>
        <w:tc>
          <w:tcPr>
            <w:tcW w:w="607" w:type="dxa"/>
            <w:tcBorders/>
            <w:shd w:fill="CCEEFF" w:val="clear"/>
            <w:vAlign w:val="bottom"/>
          </w:tcPr>
          <w:p>
            <w:pPr>
              <w:pStyle w:val="TableContents"/>
              <w:bidi w:val="0"/>
              <w:spacing w:before="0" w:after="0"/>
              <w:jc w:val="right"/>
              <w:rPr/>
            </w:pPr>
            <w:r>
              <w:rPr/>
              <w:t>2,135</w:t>
            </w:r>
          </w:p>
        </w:tc>
        <w:tc>
          <w:tcPr>
            <w:tcW w:w="92" w:type="dxa"/>
            <w:tcBorders/>
            <w:shd w:fill="CCEEFF" w:val="clear"/>
            <w:vAlign w:val="bottom"/>
          </w:tcPr>
          <w:p>
            <w:pPr>
              <w:pStyle w:val="TableContents"/>
              <w:bidi w:val="0"/>
              <w:spacing w:before="0" w:after="283"/>
              <w:ind w:left="0" w:right="0" w:hanging="0"/>
              <w:jc w:val="left"/>
              <w:rPr/>
            </w:pPr>
            <w:r>
              <w:rPr/>
              <w:t> </w:t>
            </w:r>
          </w:p>
        </w:tc>
        <w:tc>
          <w:tcPr>
            <w:tcW w:w="92" w:type="dxa"/>
            <w:tcBorders/>
            <w:shd w:fill="CCEEFF" w:val="clear"/>
            <w:vAlign w:val="bottom"/>
          </w:tcPr>
          <w:p>
            <w:pPr>
              <w:pStyle w:val="TableContents"/>
              <w:bidi w:val="0"/>
              <w:spacing w:before="0" w:after="0"/>
              <w:ind w:left="0" w:right="0" w:hanging="0"/>
              <w:jc w:val="left"/>
              <w:rPr/>
            </w:pPr>
            <w:r>
              <w:rPr/>
              <w:t> </w:t>
            </w:r>
          </w:p>
        </w:tc>
        <w:tc>
          <w:tcPr>
            <w:tcW w:w="175" w:type="dxa"/>
            <w:tcBorders/>
            <w:shd w:fill="CCEEFF" w:val="clear"/>
            <w:vAlign w:val="bottom"/>
          </w:tcPr>
          <w:p>
            <w:pPr>
              <w:pStyle w:val="TableContents"/>
              <w:bidi w:val="0"/>
              <w:spacing w:before="0" w:after="0"/>
              <w:ind w:left="0" w:right="0" w:hanging="0"/>
              <w:jc w:val="left"/>
              <w:rPr/>
            </w:pPr>
            <w:r>
              <w:rPr/>
              <w:t>$</w:t>
            </w:r>
          </w:p>
        </w:tc>
        <w:tc>
          <w:tcPr>
            <w:tcW w:w="607" w:type="dxa"/>
            <w:tcBorders/>
            <w:shd w:fill="CCEEFF" w:val="clear"/>
            <w:vAlign w:val="bottom"/>
          </w:tcPr>
          <w:p>
            <w:pPr>
              <w:pStyle w:val="TableContents"/>
              <w:bidi w:val="0"/>
              <w:spacing w:before="0" w:after="0"/>
              <w:jc w:val="right"/>
              <w:rPr/>
            </w:pPr>
            <w:r>
              <w:rPr/>
              <w:t>3,261</w:t>
            </w:r>
          </w:p>
        </w:tc>
        <w:tc>
          <w:tcPr>
            <w:tcW w:w="92" w:type="dxa"/>
            <w:tcBorders/>
            <w:shd w:fill="CCEEFF" w:val="clear"/>
            <w:vAlign w:val="bottom"/>
          </w:tcPr>
          <w:p>
            <w:pPr>
              <w:pStyle w:val="TableContents"/>
              <w:bidi w:val="0"/>
              <w:spacing w:before="0" w:after="283"/>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591" w:type="dxa"/>
            <w:tcBorders/>
            <w:shd w:fill="CCEEFF" w:val="clear"/>
            <w:vAlign w:val="bottom"/>
          </w:tcPr>
          <w:p>
            <w:pPr>
              <w:pStyle w:val="TableContents"/>
              <w:bidi w:val="0"/>
              <w:spacing w:before="0" w:after="0"/>
              <w:jc w:val="right"/>
              <w:rPr/>
            </w:pPr>
            <w:r>
              <w:rPr/>
              <w:t>4,366</w:t>
            </w:r>
          </w:p>
        </w:tc>
        <w:tc>
          <w:tcPr>
            <w:tcW w:w="90" w:type="dxa"/>
            <w:tcBorders/>
            <w:shd w:fill="CCEEFF" w:val="clear"/>
            <w:vAlign w:val="bottom"/>
          </w:tcPr>
          <w:p>
            <w:pPr>
              <w:pStyle w:val="TableContents"/>
              <w:bidi w:val="0"/>
              <w:spacing w:before="0" w:after="283"/>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591" w:type="dxa"/>
            <w:tcBorders/>
            <w:shd w:fill="CCEEFF" w:val="clear"/>
            <w:vAlign w:val="bottom"/>
          </w:tcPr>
          <w:p>
            <w:pPr>
              <w:pStyle w:val="TableContents"/>
              <w:bidi w:val="0"/>
              <w:spacing w:before="0" w:after="0"/>
              <w:jc w:val="right"/>
              <w:rPr/>
            </w:pPr>
            <w:r>
              <w:rPr/>
              <w:t>9,746</w:t>
            </w:r>
          </w:p>
        </w:tc>
        <w:tc>
          <w:tcPr>
            <w:tcW w:w="90" w:type="dxa"/>
            <w:tcBorders/>
            <w:shd w:fill="CCEEFF" w:val="clear"/>
            <w:vAlign w:val="bottom"/>
          </w:tcPr>
          <w:p>
            <w:pPr>
              <w:pStyle w:val="TableContents"/>
              <w:bidi w:val="0"/>
              <w:spacing w:before="0" w:after="283"/>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70" w:type="dxa"/>
            <w:tcBorders/>
            <w:shd w:fill="CCEEFF" w:val="clear"/>
            <w:vAlign w:val="bottom"/>
          </w:tcPr>
          <w:p>
            <w:pPr>
              <w:pStyle w:val="TableContents"/>
              <w:bidi w:val="0"/>
              <w:spacing w:before="0" w:after="0"/>
              <w:ind w:left="0" w:right="0" w:hanging="0"/>
              <w:jc w:val="left"/>
              <w:rPr/>
            </w:pPr>
            <w:r>
              <w:rPr/>
              <w:t>$</w:t>
            </w:r>
          </w:p>
        </w:tc>
        <w:tc>
          <w:tcPr>
            <w:tcW w:w="665" w:type="dxa"/>
            <w:tcBorders/>
            <w:shd w:fill="CCEEFF" w:val="clear"/>
            <w:vAlign w:val="bottom"/>
          </w:tcPr>
          <w:p>
            <w:pPr>
              <w:pStyle w:val="TableContents"/>
              <w:bidi w:val="0"/>
              <w:spacing w:before="0" w:after="0"/>
              <w:jc w:val="right"/>
              <w:rPr/>
            </w:pPr>
            <w:r>
              <w:rPr/>
              <w:t>(1,126</w:t>
            </w:r>
          </w:p>
        </w:tc>
        <w:tc>
          <w:tcPr>
            <w:tcW w:w="185" w:type="dxa"/>
            <w:tcBorders/>
            <w:shd w:fill="CCEEFF" w:val="clear"/>
            <w:vAlign w:val="bottom"/>
          </w:tcPr>
          <w:p>
            <w:pPr>
              <w:pStyle w:val="TableContents"/>
              <w:bidi w:val="0"/>
              <w:spacing w:before="0" w:after="283"/>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134" w:type="dxa"/>
            <w:tcBorders/>
            <w:shd w:fill="CCEEFF" w:val="clear"/>
            <w:vAlign w:val="bottom"/>
          </w:tcPr>
          <w:p>
            <w:pPr>
              <w:pStyle w:val="TableContents"/>
              <w:bidi w:val="0"/>
              <w:spacing w:before="0" w:after="0"/>
              <w:ind w:left="0" w:right="0" w:hanging="0"/>
              <w:jc w:val="left"/>
              <w:rPr/>
            </w:pPr>
            <w:r>
              <w:rPr/>
              <w:t> </w:t>
            </w:r>
          </w:p>
        </w:tc>
        <w:tc>
          <w:tcPr>
            <w:tcW w:w="548" w:type="dxa"/>
            <w:tcBorders/>
            <w:shd w:fill="CCEEFF" w:val="clear"/>
            <w:vAlign w:val="bottom"/>
          </w:tcPr>
          <w:p>
            <w:pPr>
              <w:pStyle w:val="TableContents"/>
              <w:bidi w:val="0"/>
              <w:spacing w:before="0" w:after="0"/>
              <w:jc w:val="right"/>
              <w:rPr/>
            </w:pPr>
            <w:r>
              <w:rPr/>
              <w:t>(34</w:t>
            </w:r>
          </w:p>
        </w:tc>
        <w:tc>
          <w:tcPr>
            <w:tcW w:w="369"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0"/>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92" w:type="dxa"/>
            <w:tcBorders/>
            <w:shd w:fill="CCEEFF" w:val="clear"/>
            <w:vAlign w:val="bottom"/>
          </w:tcPr>
          <w:p>
            <w:pPr>
              <w:pStyle w:val="TableContents"/>
              <w:bidi w:val="0"/>
              <w:spacing w:before="0" w:after="0"/>
              <w:ind w:left="0" w:right="0" w:hanging="0"/>
              <w:jc w:val="left"/>
              <w:rPr/>
            </w:pPr>
            <w:r>
              <w:rPr/>
              <w:t> </w:t>
            </w:r>
          </w:p>
        </w:tc>
        <w:tc>
          <w:tcPr>
            <w:tcW w:w="682" w:type="dxa"/>
            <w:tcBorders/>
            <w:shd w:fill="CCEEFF" w:val="clear"/>
            <w:vAlign w:val="bottom"/>
          </w:tcPr>
          <w:p>
            <w:pPr>
              <w:pStyle w:val="TableContents"/>
              <w:bidi w:val="0"/>
              <w:spacing w:before="0" w:after="0"/>
              <w:jc w:val="right"/>
              <w:rPr/>
            </w:pPr>
            <w:r>
              <w:rPr/>
              <w:t>(5,380</w:t>
            </w:r>
          </w:p>
        </w:tc>
        <w:tc>
          <w:tcPr>
            <w:tcW w:w="191" w:type="dxa"/>
            <w:tcBorders/>
            <w:shd w:fill="CCEEFF" w:val="clear"/>
            <w:vAlign w:val="bottom"/>
          </w:tcPr>
          <w:p>
            <w:pPr>
              <w:pStyle w:val="TableContents"/>
              <w:bidi w:val="0"/>
              <w:spacing w:before="0" w:after="283"/>
              <w:ind w:left="0" w:right="0" w:hanging="0"/>
              <w:jc w:val="left"/>
              <w:rPr/>
            </w:pPr>
            <w:r>
              <w:rPr/>
              <w:t>) </w:t>
            </w:r>
          </w:p>
        </w:tc>
        <w:tc>
          <w:tcPr>
            <w:tcW w:w="90" w:type="dxa"/>
            <w:tcBorders/>
            <w:shd w:fill="CCEEFF" w:val="clear"/>
            <w:vAlign w:val="bottom"/>
          </w:tcPr>
          <w:p>
            <w:pPr>
              <w:pStyle w:val="TableContents"/>
              <w:bidi w:val="0"/>
              <w:spacing w:before="0" w:after="0"/>
              <w:ind w:left="0" w:right="0" w:hanging="0"/>
              <w:jc w:val="left"/>
              <w:rPr/>
            </w:pPr>
            <w:r>
              <w:rPr/>
              <w:t> </w:t>
            </w:r>
          </w:p>
        </w:tc>
        <w:tc>
          <w:tcPr>
            <w:tcW w:w="205" w:type="dxa"/>
            <w:tcBorders/>
            <w:shd w:fill="CCEEFF" w:val="clear"/>
            <w:vAlign w:val="bottom"/>
          </w:tcPr>
          <w:p>
            <w:pPr>
              <w:pStyle w:val="TableContents"/>
              <w:bidi w:val="0"/>
              <w:spacing w:before="0" w:after="0"/>
              <w:ind w:left="0" w:right="0" w:hanging="0"/>
              <w:jc w:val="left"/>
              <w:rPr/>
            </w:pPr>
            <w:r>
              <w:rPr/>
              <w:t> </w:t>
            </w:r>
          </w:p>
        </w:tc>
        <w:tc>
          <w:tcPr>
            <w:tcW w:w="835" w:type="dxa"/>
            <w:tcBorders/>
            <w:shd w:fill="CCEEFF" w:val="clear"/>
            <w:vAlign w:val="bottom"/>
          </w:tcPr>
          <w:p>
            <w:pPr>
              <w:pStyle w:val="TableContents"/>
              <w:bidi w:val="0"/>
              <w:spacing w:before="0" w:after="0"/>
              <w:ind w:left="0" w:right="0" w:hanging="0"/>
              <w:jc w:val="right"/>
              <w:rPr/>
            </w:pPr>
            <w:r>
              <w:rPr/>
              <w:t>(55</w:t>
            </w:r>
          </w:p>
        </w:tc>
        <w:tc>
          <w:tcPr>
            <w:tcW w:w="3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Our research and development expenses were as follows: </w:t>
      </w:r>
    </w:p>
    <w:p>
      <w:pPr>
        <w:pStyle w:val="TextBody"/>
        <w:bidi w:val="0"/>
        <w:spacing w:before="0" w:after="0"/>
        <w:jc w:val="left"/>
        <w:rPr/>
      </w:pPr>
      <w:r>
        <w:rPr/>
        <w:t xml:space="preserve">  </w:t>
      </w:r>
    </w:p>
    <w:tbl>
      <w:tblPr>
        <w:tblW w:w="9298" w:type="dxa"/>
        <w:jc w:val="left"/>
        <w:tblInd w:w="0" w:type="dxa"/>
        <w:tblLayout w:type="fixed"/>
        <w:tblCellMar>
          <w:top w:w="0" w:type="dxa"/>
          <w:left w:w="0" w:type="dxa"/>
          <w:bottom w:w="0" w:type="dxa"/>
          <w:right w:w="0" w:type="dxa"/>
        </w:tblCellMar>
      </w:tblPr>
      <w:tblGrid>
        <w:gridCol w:w="4400"/>
        <w:gridCol w:w="90"/>
        <w:gridCol w:w="212"/>
        <w:gridCol w:w="735"/>
        <w:gridCol w:w="112"/>
        <w:gridCol w:w="112"/>
        <w:gridCol w:w="322"/>
        <w:gridCol w:w="1122"/>
        <w:gridCol w:w="90"/>
        <w:gridCol w:w="90"/>
        <w:gridCol w:w="188"/>
        <w:gridCol w:w="652"/>
        <w:gridCol w:w="99"/>
        <w:gridCol w:w="99"/>
        <w:gridCol w:w="188"/>
        <w:gridCol w:w="652"/>
        <w:gridCol w:w="135"/>
      </w:tblGrid>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615" w:type="dxa"/>
            <w:gridSpan w:val="6"/>
            <w:tcBorders/>
            <w:vAlign w:val="center"/>
          </w:tcPr>
          <w:p>
            <w:pPr>
              <w:pStyle w:val="TableContents"/>
              <w:bidi w:val="0"/>
              <w:spacing w:before="0" w:after="283"/>
              <w:jc w:val="center"/>
              <w:rPr/>
            </w:pPr>
            <w:r>
              <w:rPr>
                <w:spacing w:val="0"/>
              </w:rPr>
              <w:t>Three Months Ended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1878" w:type="dxa"/>
            <w:gridSpan w:val="6"/>
            <w:tcBorders/>
            <w:vAlign w:val="center"/>
          </w:tcPr>
          <w:p>
            <w:pPr>
              <w:pStyle w:val="TableContents"/>
              <w:bidi w:val="0"/>
              <w:spacing w:before="0" w:after="283"/>
              <w:jc w:val="center"/>
              <w:rPr/>
            </w:pPr>
            <w:r>
              <w:rPr>
                <w:spacing w:val="0"/>
              </w:rPr>
              <w:t>Six Months Ended</w:t>
            </w:r>
            <w:r>
              <w:rPr/>
              <w:t xml:space="preserve"> </w:t>
            </w:r>
          </w:p>
        </w:tc>
        <w:tc>
          <w:tcPr>
            <w:tcW w:w="135" w:type="dxa"/>
            <w:tcBorders/>
            <w:vAlign w:val="center"/>
          </w:tcPr>
          <w:p>
            <w:pPr>
              <w:pStyle w:val="TableContents"/>
              <w:bidi w:val="0"/>
              <w:spacing w:before="0" w:after="283"/>
              <w:jc w:val="center"/>
              <w:rPr/>
            </w:pPr>
            <w:r>
              <w:rPr/>
              <w:t> </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r>
          </w:p>
        </w:tc>
        <w:tc>
          <w:tcPr>
            <w:tcW w:w="2615" w:type="dxa"/>
            <w:gridSpan w:val="6"/>
            <w:tcBorders>
              <w:bottom w:val="single" w:sz="12" w:space="0" w:color="000000"/>
            </w:tcBorders>
            <w:tcMar>
              <w:bottom w:w="28" w:type="dxa"/>
            </w:tcMar>
            <w:vAlign w:val="center"/>
          </w:tcPr>
          <w:p>
            <w:pPr>
              <w:pStyle w:val="TableContents"/>
              <w:bidi w:val="0"/>
              <w:spacing w:before="0" w:after="283"/>
              <w:jc w:val="center"/>
              <w:rPr/>
            </w:pPr>
            <w:r>
              <w:rPr>
                <w:spacing w:val="0"/>
              </w:rPr>
              <w:t>June 30,</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pPr>
            <w:r>
              <w:rPr>
                <w:spacing w:val="0"/>
              </w:rPr>
              <w:t>June 30,</w:t>
            </w:r>
            <w:r>
              <w:rPr/>
              <w:t xml:space="preserve"> </w:t>
            </w:r>
          </w:p>
        </w:tc>
        <w:tc>
          <w:tcPr>
            <w:tcW w:w="135" w:type="dxa"/>
            <w:tcBorders/>
            <w:vAlign w:val="center"/>
          </w:tcPr>
          <w:p>
            <w:pPr>
              <w:pStyle w:val="TableContents"/>
              <w:bidi w:val="0"/>
              <w:spacing w:before="0" w:after="283"/>
              <w:jc w:val="center"/>
              <w:rPr/>
            </w:pPr>
            <w:r>
              <w:rPr/>
              <w:t> </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2026 </w:t>
            </w:r>
          </w:p>
        </w:tc>
        <w:tc>
          <w:tcPr>
            <w:tcW w:w="112" w:type="dxa"/>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2025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2026 </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8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2025 </w:t>
            </w:r>
          </w:p>
        </w:tc>
        <w:tc>
          <w:tcPr>
            <w:tcW w:w="135" w:type="dxa"/>
            <w:tcBorders/>
            <w:vAlign w:val="center"/>
          </w:tcPr>
          <w:p>
            <w:pPr>
              <w:pStyle w:val="TableContents"/>
              <w:bidi w:val="0"/>
              <w:spacing w:before="0" w:after="283"/>
              <w:jc w:val="center"/>
              <w:rPr/>
            </w:pPr>
            <w:r>
              <w:rPr/>
              <w:t> </w:t>
            </w:r>
          </w:p>
        </w:tc>
      </w:tr>
      <w:tr>
        <w:trPr/>
        <w:tc>
          <w:tcPr>
            <w:tcW w:w="4400" w:type="dxa"/>
            <w:tcBorders/>
            <w:vAlign w:val="center"/>
          </w:tcPr>
          <w:p>
            <w:pPr>
              <w:pStyle w:val="TableContents"/>
              <w:bidi w:val="0"/>
              <w:spacing w:before="0" w:after="0"/>
              <w:jc w:val="left"/>
              <w:rPr/>
            </w:pPr>
            <w:r>
              <w:rPr/>
              <w:t xml:space="preserve">Direct external expenses: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center"/>
              <w:rPr/>
            </w:pPr>
            <w:r>
              <w:rPr/>
              <w:t> </w:t>
            </w:r>
          </w:p>
        </w:tc>
        <w:tc>
          <w:tcPr>
            <w:tcW w:w="1444" w:type="dxa"/>
            <w:gridSpan w:val="2"/>
            <w:tcBorders/>
            <w:vAlign w:val="center"/>
          </w:tcPr>
          <w:p>
            <w:pPr>
              <w:pStyle w:val="TableContents"/>
              <w:bidi w:val="0"/>
              <w:spacing w:before="0" w:after="283"/>
              <w:jc w:val="center"/>
              <w:rPr/>
            </w:pPr>
            <w:r>
              <w:rPr/>
              <w:t xml:space="preserve">(in thousands)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pPr>
            <w:r>
              <w:rPr/>
              <w:t xml:space="preserve">Clinical programs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5" w:type="dxa"/>
            <w:tcBorders/>
            <w:shd w:fill="CCEEFF" w:val="clear"/>
            <w:vAlign w:val="center"/>
          </w:tcPr>
          <w:p>
            <w:pPr>
              <w:pStyle w:val="TableContents"/>
              <w:bidi w:val="0"/>
              <w:spacing w:before="0" w:after="283"/>
              <w:jc w:val="right"/>
              <w:rPr/>
            </w:pPr>
            <w:r>
              <w:rPr/>
              <w:t>934</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1,639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1,736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6,173</w:t>
            </w:r>
          </w:p>
        </w:tc>
        <w:tc>
          <w:tcPr>
            <w:tcW w:w="135"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pPr>
            <w:r>
              <w:rPr/>
              <w:t xml:space="preserve">Pre-clinical activities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19</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159</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right"/>
              <w:rPr/>
            </w:pPr>
            <w:r>
              <w:rPr/>
              <w:t>537</w:t>
            </w:r>
          </w:p>
        </w:tc>
        <w:tc>
          <w:tcPr>
            <w:tcW w:w="13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pPr>
            <w:r>
              <w:rPr/>
              <w:t xml:space="preserve">All other research and development expenses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pPr>
            <w:r>
              <w:rPr/>
              <w:t>1,182</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1,493</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2,471</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3,036</w:t>
            </w:r>
          </w:p>
        </w:tc>
        <w:tc>
          <w:tcPr>
            <w:tcW w:w="1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735" w:type="dxa"/>
            <w:tcBorders/>
            <w:vAlign w:val="center"/>
          </w:tcPr>
          <w:p>
            <w:pPr>
              <w:pStyle w:val="TableContents"/>
              <w:bidi w:val="0"/>
              <w:spacing w:before="0" w:after="283"/>
              <w:jc w:val="right"/>
              <w:rPr/>
            </w:pPr>
            <w:r>
              <w:rPr/>
              <w:t>2,135</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3,261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4,366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9,746</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Clinical activities decreased primarily due to timing of incurrence of expenditures related to our NAVIGATE clinical trial which ended in the first quarter of 2025. Pre-clinical activities decreased due to decrease in work in those areas. All other research and development expenses decreased primarily due to fewer employees in 2026 than in 2025.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w:t>
      </w:r>
    </w:p>
    <w:p>
      <w:pPr>
        <w:pStyle w:val="TextBody"/>
        <w:bidi w:val="0"/>
        <w:spacing w:before="0" w:after="0"/>
        <w:jc w:val="left"/>
        <w:rPr/>
      </w:pPr>
      <w:r>
        <w:rPr/>
        <w:t xml:space="preserve">  </w:t>
      </w:r>
    </w:p>
    <w:tbl>
      <w:tblPr>
        <w:tblW w:w="10230" w:type="dxa"/>
        <w:jc w:val="left"/>
        <w:tblInd w:w="0" w:type="dxa"/>
        <w:tblLayout w:type="fixed"/>
        <w:tblCellMar>
          <w:top w:w="0" w:type="dxa"/>
          <w:left w:w="0" w:type="dxa"/>
          <w:bottom w:w="0" w:type="dxa"/>
          <w:right w:w="0" w:type="dxa"/>
        </w:tblCellMar>
      </w:tblPr>
      <w:tblGrid>
        <w:gridCol w:w="1385"/>
        <w:gridCol w:w="90"/>
        <w:gridCol w:w="170"/>
        <w:gridCol w:w="590"/>
        <w:gridCol w:w="90"/>
        <w:gridCol w:w="90"/>
        <w:gridCol w:w="170"/>
        <w:gridCol w:w="590"/>
        <w:gridCol w:w="90"/>
        <w:gridCol w:w="90"/>
        <w:gridCol w:w="170"/>
        <w:gridCol w:w="590"/>
        <w:gridCol w:w="90"/>
        <w:gridCol w:w="90"/>
        <w:gridCol w:w="170"/>
        <w:gridCol w:w="590"/>
        <w:gridCol w:w="90"/>
        <w:gridCol w:w="90"/>
        <w:gridCol w:w="282"/>
        <w:gridCol w:w="683"/>
        <w:gridCol w:w="90"/>
        <w:gridCol w:w="90"/>
        <w:gridCol w:w="246"/>
        <w:gridCol w:w="794"/>
        <w:gridCol w:w="245"/>
        <w:gridCol w:w="90"/>
        <w:gridCol w:w="282"/>
        <w:gridCol w:w="683"/>
        <w:gridCol w:w="90"/>
        <w:gridCol w:w="90"/>
        <w:gridCol w:w="246"/>
        <w:gridCol w:w="794"/>
        <w:gridCol w:w="290"/>
      </w:tblGrid>
      <w:tr>
        <w:trPr/>
        <w:tc>
          <w:tcPr>
            <w:tcW w:w="13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0" w:type="dxa"/>
            <w:gridSpan w:val="6"/>
            <w:tcBorders/>
            <w:vAlign w:val="center"/>
          </w:tcPr>
          <w:p>
            <w:pPr>
              <w:pStyle w:val="TableContents"/>
              <w:bidi w:val="0"/>
              <w:spacing w:before="0" w:after="283"/>
              <w:jc w:val="left"/>
              <w:rPr/>
            </w:pPr>
            <w:r>
              <w:rPr/>
              <w:t xml:space="preserve">Three Months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0" w:type="dxa"/>
            <w:gridSpan w:val="6"/>
            <w:tcBorders/>
            <w:vAlign w:val="center"/>
          </w:tcPr>
          <w:p>
            <w:pPr>
              <w:pStyle w:val="TableContents"/>
              <w:bidi w:val="0"/>
              <w:spacing w:before="0" w:after="283"/>
              <w:jc w:val="left"/>
              <w:rPr>
                <w:spacing w:val="0"/>
              </w:rPr>
            </w:pPr>
            <w:r>
              <w:rPr>
                <w:spacing w:val="0"/>
              </w:rPr>
              <w:t>Six Months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705" w:type="dxa"/>
            <w:gridSpan w:val="14"/>
            <w:tcBorders>
              <w:bottom w:val="single" w:sz="12" w:space="0" w:color="000000"/>
            </w:tcBorders>
            <w:tcMar>
              <w:bottom w:w="28" w:type="dxa"/>
            </w:tcMar>
            <w:vAlign w:val="center"/>
          </w:tcPr>
          <w:p>
            <w:pPr>
              <w:pStyle w:val="TableContents"/>
              <w:bidi w:val="0"/>
              <w:spacing w:before="0" w:after="283"/>
              <w:jc w:val="center"/>
              <w:rPr/>
            </w:pPr>
            <w:r>
              <w:rPr>
                <w:spacing w:val="0"/>
              </w:rPr>
              <w:t>2026 as Compared to 2025</w:t>
            </w:r>
            <w:r>
              <w:rPr/>
              <w:t>     </w:t>
            </w:r>
          </w:p>
        </w:tc>
        <w:tc>
          <w:tcPr>
            <w:tcW w:w="29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left"/>
              <w:rPr/>
            </w:pPr>
            <w:r>
              <w:rPr/>
              <w:t xml:space="preserve">Ended June 30,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left"/>
              <w:rPr>
                <w:spacing w:val="0"/>
              </w:rPr>
            </w:pPr>
            <w:r>
              <w:rPr>
                <w:spacing w:val="0"/>
              </w:rPr>
              <w:t>Ended 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left"/>
              <w:rPr/>
            </w:pPr>
            <w:r>
              <w:rPr>
                <w:spacing w:val="0"/>
              </w:rPr>
              <w:t>Three Months</w:t>
            </w:r>
            <w:r>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left"/>
              <w:rPr/>
            </w:pPr>
            <w:r>
              <w:rPr>
                <w:spacing w:val="0"/>
              </w:rPr>
              <w:t>Six Months</w:t>
            </w:r>
            <w:r>
              <w:rPr/>
              <w:t>   </w:t>
            </w:r>
          </w:p>
        </w:tc>
        <w:tc>
          <w:tcPr>
            <w:tcW w:w="29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2026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2025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2026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2025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left"/>
              <w:rPr/>
            </w:pPr>
            <w:r>
              <w:rPr/>
              <w:t xml:space="preserve">$ Change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 Change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left"/>
              <w:rPr/>
            </w:pPr>
            <w:r>
              <w:rPr/>
              <w:t xml:space="preserve">$ Change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left"/>
              <w:rPr/>
            </w:pPr>
            <w:r>
              <w:rPr/>
              <w:t xml:space="preserve">% Change </w:t>
            </w:r>
          </w:p>
        </w:tc>
        <w:tc>
          <w:tcPr>
            <w:tcW w:w="29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8465" w:type="dxa"/>
            <w:gridSpan w:val="30"/>
            <w:tcBorders/>
            <w:vAlign w:val="center"/>
          </w:tcPr>
          <w:p>
            <w:pPr>
              <w:pStyle w:val="TableContents"/>
              <w:bidi w:val="0"/>
              <w:spacing w:before="0" w:after="283"/>
              <w:jc w:val="center"/>
              <w:rPr/>
            </w:pPr>
            <w:r>
              <w:rPr/>
              <w:t>(In thousands, except %)              </w:t>
            </w:r>
          </w:p>
        </w:tc>
        <w:tc>
          <w:tcPr>
            <w:tcW w:w="290" w:type="dxa"/>
            <w:tcBorders/>
            <w:vAlign w:val="center"/>
          </w:tcPr>
          <w:p>
            <w:pPr>
              <w:pStyle w:val="TableContents"/>
              <w:bidi w:val="0"/>
              <w:spacing w:before="0" w:after="283"/>
              <w:ind w:left="0" w:right="0" w:hanging="150"/>
              <w:jc w:val="center"/>
              <w:rPr/>
            </w:pPr>
            <w:r>
              <w:rPr/>
              <w:t> </w:t>
            </w:r>
          </w:p>
        </w:tc>
      </w:tr>
      <w:tr>
        <w:trPr/>
        <w:tc>
          <w:tcPr>
            <w:tcW w:w="1385" w:type="dxa"/>
            <w:tcBorders/>
            <w:shd w:fill="CCEEFF" w:val="clear"/>
            <w:vAlign w:val="center"/>
          </w:tcPr>
          <w:p>
            <w:pPr>
              <w:pStyle w:val="TableContents"/>
              <w:bidi w:val="0"/>
              <w:spacing w:before="0" w:after="0"/>
              <w:jc w:val="left"/>
              <w:rPr/>
            </w:pPr>
            <w:r>
              <w:rPr/>
              <w:t xml:space="preserve">General and administrative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3,693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2,776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483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35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33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 and six month periods ended June 30, 2026 as compared to the same periods in 2025 are due to increases in non-cash stock-based compensation expenses of approximately $463,000 and $680,000, respectively.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Other Income and Expense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During the six months ended June 30, 2026, other income and expense consisted of $65,000 of interest income offset by interest expense and amortization of debt discounts on convertible notes payable and convertible line of credit of $3,992,000 and change in fair value of derivatives of $2,173,000.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During the year ended June 30, 2025, other income and expense consisted of $61,000 of interest income offset by interest expense and amortization of debt discounts on convertible notes payable and convertible line of credit of $3,570,000 and change in fair value of derivatives of $1,121,000.</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Since our inception on July 10, 2000, we have financed our operations from proceeds of public and private offerings of debt and equity. As of June 30, 2026, we raised a net total of $342 million from these offerings. At June 30, 2026, the Company had $13.3 million of unrestricted cash and cash equivalents in addition to $10 million remaining available under a line of credit provided by our chairman available to fund future operations. The Company believes there is sufficient cash to fund currently planned operations through June 2027.  These factors raise substantial doubt about the Company’s ability to continue as a going concern for a period of 12 months from the issuance date of this Form 10-Q. The ability of the Company to continue as a going concern is likely dependent on its ability to raise capital; however, the Company’s cash position may not be sufficient to support its daily operations after June 2027.  We will require more cash to fund our operations after June 2027. There can be no assurance that we will be successful in obtaining such new financing or, if available, that such financing will be on terms favorable to us.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Net cash used in operations decreased by $7,986,000 to $6,305,000 for the six months ended June 30, 2026, as compared to $14,291,000 for the six months ended June 30, 2025. Cash operating expenses decreased principally due to the completion of our NAVIGATE clinical trial with belapectin in 2025.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Off-Balance Sheet Arrangements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Application of Critical Accounting Policies and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2025 Annual Report on Form 10-K.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1" w:name="Quantitative_and_Qualitative_Disclosures"/>
      <w:bookmarkEnd w:id="11"/>
      <w:r>
        <w:rPr>
          <w:rFonts w:ascii="Times New Roman" w:hAnsi="Times New Roman"/>
          <w:b/>
          <w:sz w:val="20"/>
        </w:rPr>
        <w:t>Quantitative and Qualitative Disclosures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571500" cy="146685"/>
                <wp:effectExtent l="0" t="0" r="0" b="0"/>
                <wp:wrapSquare wrapText="right"/>
                <wp:docPr id="20" name="Frame20"/>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3.</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3.</w:t>
                      </w:r>
                      <w:r>
                        <w:rPr>
                          <w:sz w:val="20"/>
                        </w:rPr>
                        <w:t xml:space="preserve"> </w:t>
                      </w:r>
                    </w:p>
                  </w:txbxContent>
                </v:textbox>
                <w10:wrap type="square" side="right"/>
              </v:rect>
            </w:pict>
          </mc:Fallback>
        </mc:AlternateContent>
      </w:r>
    </w:p>
    <w:p>
      <w:pPr>
        <w:pStyle w:val="TextBody"/>
        <w:bidi w:val="0"/>
        <w:spacing w:before="0" w:after="0"/>
        <w:ind w:left="900" w:right="0" w:hanging="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hanging="900"/>
        <w:jc w:val="left"/>
        <w:rPr>
          <w:rFonts w:ascii="Times New Roman" w:hAnsi="Times New Roman"/>
          <w:sz w:val="20"/>
        </w:rPr>
      </w:pPr>
      <w:bookmarkStart w:id="12" w:name="Controls_and_Procedures"/>
      <w:bookmarkEnd w:id="12"/>
      <w:r>
        <w:rPr>
          <w:rFonts w:ascii="Times New Roman" w:hAnsi="Times New Roman"/>
          <w:b/>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571500" cy="146685"/>
                <wp:effectExtent l="0" t="0" r="0" b="0"/>
                <wp:wrapSquare wrapText="right"/>
                <wp:docPr id="21" name="Frame21"/>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4.</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4.</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Evaluation of Disclosure Controls and Procedures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2026, our disclosure controls and procedures were not effective due to the material weakness in internal control over financial reporting described below.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previously disclosed in our Annual Report on Form 10-K for the year ended December 31, 2025, we identified a material weakness in our internal control over financial reporting. Specifically, we did not implement and maintain effective controls related to the valuation of derivative liabilities associated with contingent interest on convertible notes payable, specifically controls over the review of interest forecasts used in the valuation of the derivative liabilities due to the extension of the maturity dates of the convertible notes payable. This material weakness creates a reasonable possibility that a material misstatement in our consolidated financial statements would not be prevented or detected on a timely basis.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sz w:val="20"/>
        </w:rPr>
        <w:t>Remediation Plan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In an effort to address the identified material weakness and enhance our internal controls related to our valuation of derivative liabilities process, we continue to maintain our financial reporting process we followed to prepare consolidated financial statements in accordance with GAAP for audit committee meetings on a quarterly and annual basis. We expect to remedy this material weakness by conducting additional training, using additional third-party consultants with appropriate knowledge, experience, and/or training commensurate with our technical accounting and financial reporting requirements to enhance the process going forward, a combination thereof, or any other remedial measures that we deem appropriate. Our ongoing remediation efforts are focused on additional reviews in the event of any future potential changes to financial instruments associated with derivatives related to internal control over financial reporting.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Notwithstanding the material weakness, our management has concluded that the consolidated financial statements included in this Quarterly Report on Form 10-Q fairly present, in all material respects, our financial position, results of operations, and cash flows for the periods presented in conformity with U.S. generally accepted accounting principles.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i/>
          <w:sz w:val="20"/>
        </w:rPr>
        <w:t>Changes in Internal Control Over Financial Reporting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Other than the ongoing remediation efforts related to the material weakness described above, there were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PART II — OTHER INFORMATION</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hanging="900"/>
        <w:jc w:val="left"/>
        <w:rPr>
          <w:rFonts w:ascii="Times New Roman" w:hAnsi="Times New Roman"/>
          <w:sz w:val="20"/>
        </w:rPr>
      </w:pPr>
      <w:bookmarkStart w:id="13" w:name="Legal_Proceedings"/>
      <w:bookmarkEnd w:id="13"/>
      <w:r>
        <w:rPr>
          <w:rFonts w:ascii="Times New Roman" w:hAnsi="Times New Roman"/>
          <w:b/>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571500" cy="146685"/>
                <wp:effectExtent l="0" t="0" r="0" b="0"/>
                <wp:wrapSquare wrapText="right"/>
                <wp:docPr id="22" name="Frame22"/>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1.</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1.</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4" w:name="Risk_Factors"/>
      <w:bookmarkEnd w:id="14"/>
      <w:r>
        <w:rPr>
          <w:rFonts w:ascii="Times New Roman" w:hAnsi="Times New Roman"/>
          <w:b/>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571500" cy="146685"/>
                <wp:effectExtent l="0" t="0" r="0" b="0"/>
                <wp:wrapSquare wrapText="right"/>
                <wp:docPr id="23" name="Frame23"/>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1A.</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1A.</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information set forth in this report should be read in conjunction with the risk factors set forth in Item 1A, “Risk Factors,” of Part I of our Annual Report on Form 10-K for the year ended December 31, 2025, which could materially impact our business, financial condition or future results.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ind w:left="0" w:right="0" w:hanging="900"/>
        <w:jc w:val="left"/>
        <w:rPr>
          <w:rFonts w:ascii="Times New Roman" w:hAnsi="Times New Roman"/>
          <w:sz w:val="20"/>
        </w:rPr>
      </w:pPr>
      <w:bookmarkStart w:id="15" w:name="Unregistered_Sales_of_Equity_Securities_"/>
      <w:bookmarkEnd w:id="15"/>
      <w:r>
        <w:rPr>
          <w:rFonts w:ascii="Times New Roman" w:hAnsi="Times New Roman"/>
          <w:b/>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571500" cy="146685"/>
                <wp:effectExtent l="0" t="0" r="0" b="0"/>
                <wp:wrapSquare wrapText="right"/>
                <wp:docPr id="24" name="Frame24"/>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2.</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2.</w:t>
                      </w:r>
                      <w:r>
                        <w:rPr>
                          <w:sz w:val="2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As previously disclosed in a Current Report on Form 8-K filed on August 4, 2026, on July 31, 2026, the Company issued 34,376,167 shares of its common stock, par value $0.001 per share, to Richard E. Uihlein, the Company’s Chairman of the Board and largest stockholder, upon the conversion of all outstanding convertible promissory notes (the "Notes") issued to Mr. Uihlein under the following line of credit facilities: </w:t>
      </w:r>
    </w:p>
    <w:p>
      <w:pPr>
        <w:pStyle w:val="TextBody"/>
        <w:bidi w:val="0"/>
        <w:spacing w:before="0" w:after="0"/>
        <w:jc w:val="left"/>
        <w:rPr/>
      </w:pPr>
      <w:r>
        <w:rPr/>
        <w:t xml:space="preserve">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(i) the Line of Credit Letter Agreement dated July 25, 2022 (providing for a $60,000,000 credit facility);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(ii) the Supplemental Line of Credit Agreement dated March 29, 2024 (providing for a $10,000,000 supplemental credit facility);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(iii) the November 2024 Supplemental Line of Credit Agreement dated November 14, 2024 (providing for a $6,000,000 supplemental credit facility);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(iv) the March 2025 Supplemental Line of Credit Agreement dated March 31, 2025 (providing for a $5,000,000 supplemental credit facility); and </w:t>
      </w:r>
    </w:p>
    <w:p>
      <w:pPr>
        <w:pStyle w:val="TextBody"/>
        <w:bidi w:val="0"/>
        <w:spacing w:before="0" w:after="0"/>
        <w:ind w:left="720" w:right="0" w:hanging="0"/>
        <w:jc w:val="left"/>
        <w:rPr>
          <w:rFonts w:ascii="Times New Roman" w:hAnsi="Times New Roman"/>
          <w:sz w:val="20"/>
        </w:rPr>
      </w:pPr>
      <w:r>
        <w:rPr>
          <w:rFonts w:ascii="Times New Roman" w:hAnsi="Times New Roman"/>
          <w:sz w:val="20"/>
        </w:rPr>
        <w:t xml:space="preserve">(v) the July 2025 Supplemental Line of Credit Agreement dated July 8, 2025 (providing for a $10,000,000 supplemental credit facility).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Company and Mr. Uihlein are also parties to a December 2025 Supplemental Line of Credit Agreement dated December 19, 2025 (providing for an additional $10,000,000 supplemental credit facility); however, no amounts have been drawn under that facility and no convertible promissory notes have been issued thereunder. The December 2025 Supplemental Line of Credit Agreement remains outstanding, undrawn, and available to the Company in accordance with its terms, and is not affected by the conversion.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conversion resulted in the elimination of $91.0 million in aggregate principal and approximately $14.8 million in aggregate accrued interest (approximately $105.8 million in total) in exchange for the issuance of 34,376,167 shares of Common Stock. Each Note was converted at the conversion price specified therein, which was not less than the closing price of the Common Stock on The Nasdaq Capital Market on the date such Note was issued, subject to a $3.00 per share floor price. The blended average conversion price across all Notes was approximately $3.07 per share.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issuance of the shares of Common Stock upon conversion was exempt from registration under the Securities Act of 1933, as amended (the "Securities Act"), pursuant to Section 3(a)(9) thereof, as the shares were issued in exchange for outstanding securities of the Company (the Notes) exclusively with existing security holders of the Company, and no commission or other remuneration was paid or given directly or indirectly for soliciting such exchange.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Following the conversion, the Company has approximately 100,849,644 shares of Common Stock and 197,500 of Series A Voting Preferred Stock outstanding. Mr. Uihlein beneficially owns approximately 44.3% of the outstanding voting power on an actual basis and approximately 49.3% of the outstanding voting power (calculated in accordance with Rule 13d-3 under the Securities Exchange Act of 1934, as amended, and including shares issuable upon exercise of outstanding warrants held by Mr. Uihlein).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The shares of Common Stock issued to Mr. Uihlein have not been registered under the Securities Act and are subject to restrictions on resale. The Company and Mr. Uihlein agreed that any registration rights with respect to the 34,376,167 shares issued remain in full force and effect in accordance with the terms of the credit facilities, and further agreed that the Company’s obligation to file a registration statement (or a post-effective amendment or supplement to an existing registration statement) with the Securities and Exchange Commission registering the resale of the 34,376,167 shares shall not arise until Mr. Uihlein delivers written notice to the Company requesting the filing of such registration statement (the “Registration Request Notice”). Upon receipt of the Registration Request Notice, the Company shall file the registration statement within 180 days of the date of such notice and shall use commercially reasonable efforts to cause such registration statement to become effective as promptly as practicable thereafter.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6" w:name="Defaults_Upon_Senior_Securities"/>
      <w:bookmarkEnd w:id="16"/>
      <w:r>
        <w:rPr>
          <w:rFonts w:ascii="Times New Roman" w:hAnsi="Times New Roman"/>
          <w:b/>
          <w:sz w:val="20"/>
        </w:rPr>
        <w:t>Defaults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571500" cy="146685"/>
                <wp:effectExtent l="0" t="0" r="0" b="0"/>
                <wp:wrapSquare wrapText="right"/>
                <wp:docPr id="25" name="Frame25"/>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3.</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3.</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7" w:name="Mine_Safety_Disclosures"/>
      <w:bookmarkEnd w:id="17"/>
      <w:r>
        <w:rPr>
          <w:rFonts w:ascii="Times New Roman" w:hAnsi="Times New Roman"/>
          <w:b/>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571500" cy="146685"/>
                <wp:effectExtent l="0" t="0" r="0" b="0"/>
                <wp:wrapSquare wrapText="right"/>
                <wp:docPr id="26" name="Frame26"/>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4.</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4.</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8" w:name="Other_Information"/>
      <w:bookmarkEnd w:id="18"/>
      <w:r>
        <w:rPr>
          <w:rFonts w:ascii="Times New Roman" w:hAnsi="Times New Roman"/>
          <w:b/>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571500" cy="146685"/>
                <wp:effectExtent l="0" t="0" r="0" b="0"/>
                <wp:wrapSquare wrapText="right"/>
                <wp:docPr id="27" name="Frame27"/>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5.</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5.</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54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xml:space="preserve">  </w:t>
      </w:r>
    </w:p>
    <w:p>
      <w:pPr>
        <w:pStyle w:val="TextBody"/>
        <w:bidi w:val="0"/>
        <w:spacing w:before="0" w:after="0"/>
        <w:ind w:left="0" w:right="0" w:hanging="900"/>
        <w:jc w:val="left"/>
        <w:rPr>
          <w:rFonts w:ascii="Times New Roman" w:hAnsi="Times New Roman"/>
          <w:sz w:val="20"/>
        </w:rPr>
      </w:pPr>
      <w:bookmarkStart w:id="19" w:name="Exhibits"/>
      <w:bookmarkEnd w:id="19"/>
      <w:r>
        <w:rPr>
          <w:rFonts w:ascii="Times New Roman" w:hAnsi="Times New Roman"/>
          <w:b/>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571500" cy="146685"/>
                <wp:effectExtent l="0" t="0" r="0" b="0"/>
                <wp:wrapSquare wrapText="right"/>
                <wp:docPr id="28" name="Frame28"/>
                <a:graphic xmlns:a="http://schemas.openxmlformats.org/drawingml/2006/main">
                  <a:graphicData uri="http://schemas.microsoft.com/office/word/2010/wordprocessingShape">
                    <wps:wsp>
                      <wps:cNvSpPr txBox="1"/>
                      <wps:spPr>
                        <a:xfrm>
                          <a:off x="0" y="0"/>
                          <a:ext cx="571500" cy="146685"/>
                        </a:xfrm>
                        <a:prstGeom prst="rect"/>
                        <a:solidFill>
                          <a:srgbClr val="FFFFFF"/>
                        </a:solidFill>
                      </wps:spPr>
                      <wps:txbx>
                        <w:txbxContent>
                          <w:p>
                            <w:pPr>
                              <w:pStyle w:val="TextBody"/>
                              <w:bidi w:val="0"/>
                              <w:spacing w:before="0" w:after="283"/>
                              <w:jc w:val="left"/>
                              <w:rPr>
                                <w:sz w:val="20"/>
                              </w:rPr>
                            </w:pPr>
                            <w:r>
                              <w:rPr>
                                <w:b/>
                                <w:sz w:val="20"/>
                              </w:rPr>
                              <w:t>Item 6.</w:t>
                            </w:r>
                            <w:r>
                              <w:rPr>
                                <w:sz w:val="20"/>
                              </w:rPr>
                              <w:t xml:space="preserve"> </w:t>
                            </w:r>
                          </w:p>
                        </w:txbxContent>
                      </wps:txbx>
                      <wps:bodyPr anchor="t" lIns="0" tIns="0" rIns="0" bIns="0">
                        <a:noAutofit/>
                      </wps:bodyPr>
                    </wps:wsp>
                  </a:graphicData>
                </a:graphic>
              </wp:anchor>
            </w:drawing>
          </mc:Choice>
          <mc:Fallback>
            <w:pict>
              <v:rect style="position:absolute;rotation:-0;width:4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6.</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999"/>
        <w:gridCol w:w="146"/>
        <w:gridCol w:w="7718"/>
        <w:gridCol w:w="146"/>
        <w:gridCol w:w="1196"/>
      </w:tblGrid>
      <w:tr>
        <w:trPr/>
        <w:tc>
          <w:tcPr>
            <w:tcW w:w="9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left"/>
              <w:rPr/>
            </w:pPr>
            <w:r>
              <w:rPr/>
              <w:t> </w:t>
            </w:r>
          </w:p>
        </w:tc>
      </w:tr>
      <w:tr>
        <w:trPr/>
        <w:tc>
          <w:tcPr>
            <w:tcW w:w="999"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Exhibit</w:t>
            </w:r>
            <w:r>
              <w:rPr/>
              <w:t xml:space="preserve"> </w:t>
            </w:r>
          </w:p>
          <w:p>
            <w:pPr>
              <w:pStyle w:val="TableContents"/>
              <w:bidi w:val="0"/>
              <w:spacing w:before="0" w:after="0"/>
              <w:jc w:val="left"/>
              <w:rPr/>
            </w:pPr>
            <w:r>
              <w:rPr>
                <w:b/>
              </w:rPr>
              <w:t>Number</w:t>
            </w:r>
            <w:r>
              <w:rPr/>
              <w:t xml:space="preserve"> </w:t>
            </w:r>
          </w:p>
        </w:tc>
        <w:tc>
          <w:tcPr>
            <w:tcW w:w="146" w:type="dxa"/>
            <w:tcBorders/>
            <w:vAlign w:val="center"/>
          </w:tcPr>
          <w:p>
            <w:pPr>
              <w:pStyle w:val="TableContents"/>
              <w:bidi w:val="0"/>
              <w:spacing w:before="0" w:after="283"/>
              <w:jc w:val="center"/>
              <w:rPr/>
            </w:pPr>
            <w:r>
              <w:rPr/>
              <w:t> </w:t>
            </w:r>
          </w:p>
        </w:tc>
        <w:tc>
          <w:tcPr>
            <w:tcW w:w="7718"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Description of Document</w:t>
            </w:r>
            <w:r>
              <w:rPr/>
              <w:t xml:space="preserve"> </w:t>
            </w:r>
          </w:p>
        </w:tc>
        <w:tc>
          <w:tcPr>
            <w:tcW w:w="146" w:type="dxa"/>
            <w:tcBorders/>
            <w:vAlign w:val="center"/>
          </w:tcPr>
          <w:p>
            <w:pPr>
              <w:pStyle w:val="TableContents"/>
              <w:bidi w:val="0"/>
              <w:spacing w:before="0" w:after="283"/>
              <w:jc w:val="center"/>
              <w:rPr/>
            </w:pPr>
            <w:r>
              <w:rPr/>
              <w:t> </w:t>
            </w:r>
          </w:p>
        </w:tc>
        <w:tc>
          <w:tcPr>
            <w:tcW w:w="11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Note</w:t>
            </w:r>
            <w:r>
              <w:rPr/>
              <w:t xml:space="preserve"> </w:t>
            </w:r>
          </w:p>
          <w:p>
            <w:pPr>
              <w:pStyle w:val="TableContents"/>
              <w:bidi w:val="0"/>
              <w:spacing w:before="0" w:after="0"/>
              <w:jc w:val="center"/>
              <w:rPr/>
            </w:pPr>
            <w:r>
              <w:rPr>
                <w:b/>
              </w:rPr>
              <w:t>Reference</w:t>
            </w:r>
            <w:r>
              <w:rPr/>
              <w:t xml:space="preserve"> </w:t>
            </w:r>
          </w:p>
        </w:tc>
      </w:tr>
      <w:tr>
        <w:trPr/>
        <w:tc>
          <w:tcPr>
            <w:tcW w:w="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252_ex31-1.htm">
              <w:r>
                <w:rPr>
                  <w:rStyle w:val="InternetLink"/>
                </w:rPr>
                <w:t>31.1*</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77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Pursuant to Rule 13a-14(a) of the Securities Exchange Act of 1934 </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252_ex31-2.htm">
              <w:r>
                <w:rPr>
                  <w:rStyle w:val="InternetLink"/>
                </w:rPr>
                <w:t>31.2*</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77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Pursuant to Rule 13a-14(a) of the Securities Exchange Act of 1934 </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252_ex32-1.htm">
              <w:r>
                <w:rPr>
                  <w:rStyle w:val="InternetLink"/>
                </w:rPr>
                <w:t>32.1**</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77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Pursuant to 18 U.S.C. Section 1350, as Adopted Pursuant to Section 906 of the Sarbanes-Oxley Act of 2002 </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shd w:fill="CCEEFF" w:val="clear"/>
            <w:tcMar>
              <w:top w:w="0" w:type="dxa"/>
              <w:left w:w="0" w:type="dxa"/>
              <w:bottom w:w="0" w:type="dxa"/>
              <w:right w:w="0" w:type="dxa"/>
            </w:tcMar>
            <w:vAlign w:val="center"/>
          </w:tcPr>
          <w:p>
            <w:pPr>
              <w:pStyle w:val="TableContents"/>
              <w:bidi w:val="0"/>
              <w:spacing w:before="0" w:after="0"/>
              <w:jc w:val="left"/>
              <w:rPr/>
            </w:pPr>
            <w:hyperlink w:anchor="ef20075252_ex32-2.htm">
              <w:r>
                <w:rPr>
                  <w:rStyle w:val="InternetLink"/>
                </w:rPr>
                <w:t>32.2**</w:t>
              </w:r>
            </w:hyperlink>
            <w:r>
              <w:rPr/>
              <w:t xml:space="preserve"> </w:t>
            </w:r>
          </w:p>
        </w:tc>
        <w:tc>
          <w:tcPr>
            <w:tcW w:w="146" w:type="dxa"/>
            <w:tcBorders/>
            <w:shd w:fill="CCEEFF" w:val="clear"/>
            <w:vAlign w:val="center"/>
          </w:tcPr>
          <w:p>
            <w:pPr>
              <w:pStyle w:val="TableContents"/>
              <w:bidi w:val="0"/>
              <w:spacing w:before="0" w:after="283"/>
              <w:jc w:val="left"/>
              <w:rPr/>
            </w:pPr>
            <w:r>
              <w:rPr/>
              <w:t> </w:t>
            </w:r>
          </w:p>
        </w:tc>
        <w:tc>
          <w:tcPr>
            <w:tcW w:w="77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Certification Pursuant to 18 U.S.C. Section 1350, as Adopted Pursuant to Section 906 of the Sarbanes-Oxley Act of 2002 </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101.INS </w:t>
            </w:r>
          </w:p>
        </w:tc>
        <w:tc>
          <w:tcPr>
            <w:tcW w:w="146" w:type="dxa"/>
            <w:tcBorders/>
            <w:shd w:fill="CCEEFF" w:val="clear"/>
            <w:vAlign w:val="center"/>
          </w:tcPr>
          <w:p>
            <w:pPr>
              <w:pStyle w:val="TableContents"/>
              <w:bidi w:val="0"/>
              <w:spacing w:before="0" w:after="283"/>
              <w:jc w:val="left"/>
              <w:rPr/>
            </w:pPr>
            <w:r>
              <w:rPr/>
              <w:t> </w:t>
            </w:r>
          </w:p>
        </w:tc>
        <w:tc>
          <w:tcPr>
            <w:tcW w:w="7718"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Instance Document** (the instance document does not appear in the Interactive Data File because its XBRL tags are embedded within the Inline XBRL document). </w:t>
            </w:r>
          </w:p>
        </w:tc>
        <w:tc>
          <w:tcPr>
            <w:tcW w:w="146" w:type="dxa"/>
            <w:tcBorders/>
            <w:shd w:fill="CCEEFF" w:val="clear"/>
            <w:vAlign w:val="center"/>
          </w:tcPr>
          <w:p>
            <w:pPr>
              <w:pStyle w:val="TableContents"/>
              <w:bidi w:val="0"/>
              <w:spacing w:before="0" w:after="283"/>
              <w:jc w:val="left"/>
              <w:rPr/>
            </w:pPr>
            <w:r>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tbl>
      <w:tblPr>
        <w:tblW w:w="10205" w:type="dxa"/>
        <w:jc w:val="left"/>
        <w:tblInd w:w="0" w:type="dxa"/>
        <w:tblLayout w:type="fixed"/>
        <w:tblCellMar>
          <w:top w:w="28" w:type="dxa"/>
          <w:left w:w="28" w:type="dxa"/>
          <w:bottom w:w="28" w:type="dxa"/>
          <w:right w:w="28" w:type="dxa"/>
        </w:tblCellMar>
      </w:tblPr>
      <w:tblGrid>
        <w:gridCol w:w="1041"/>
        <w:gridCol w:w="146"/>
        <w:gridCol w:w="7667"/>
        <w:gridCol w:w="146"/>
        <w:gridCol w:w="1205"/>
      </w:tblGrid>
      <w:tr>
        <w:trPr/>
        <w:tc>
          <w:tcPr>
            <w:tcW w:w="1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104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rPr>
              <w:t>Exhibit</w:t>
            </w:r>
            <w:r>
              <w:rPr/>
              <w:t xml:space="preserve"> </w:t>
            </w:r>
          </w:p>
          <w:p>
            <w:pPr>
              <w:pStyle w:val="TableContents"/>
              <w:bidi w:val="0"/>
              <w:spacing w:before="0" w:after="0"/>
              <w:jc w:val="left"/>
              <w:rPr/>
            </w:pPr>
            <w:r>
              <w:rPr>
                <w:b/>
              </w:rPr>
              <w:t>Number</w:t>
            </w:r>
            <w:r>
              <w:rPr/>
              <w:t xml:space="preserve"> </w:t>
            </w:r>
          </w:p>
        </w:tc>
        <w:tc>
          <w:tcPr>
            <w:tcW w:w="146" w:type="dxa"/>
            <w:tcBorders/>
            <w:vAlign w:val="center"/>
          </w:tcPr>
          <w:p>
            <w:pPr>
              <w:pStyle w:val="TableContents"/>
              <w:bidi w:val="0"/>
              <w:spacing w:before="0" w:after="283"/>
              <w:jc w:val="center"/>
              <w:rPr/>
            </w:pPr>
            <w:r>
              <w:rPr/>
              <w:t> </w:t>
            </w:r>
          </w:p>
        </w:tc>
        <w:tc>
          <w:tcPr>
            <w:tcW w:w="7667"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Description of Document</w:t>
            </w:r>
            <w:r>
              <w:rPr/>
              <w:t xml:space="preserve"> </w:t>
            </w:r>
          </w:p>
        </w:tc>
        <w:tc>
          <w:tcPr>
            <w:tcW w:w="146" w:type="dxa"/>
            <w:tcBorders/>
            <w:vAlign w:val="center"/>
          </w:tcPr>
          <w:p>
            <w:pPr>
              <w:pStyle w:val="TableContents"/>
              <w:bidi w:val="0"/>
              <w:spacing w:before="0" w:after="283"/>
              <w:jc w:val="center"/>
              <w:rPr/>
            </w:pPr>
            <w:r>
              <w:rPr/>
              <w:t> </w:t>
            </w:r>
          </w:p>
        </w:tc>
        <w:tc>
          <w:tcPr>
            <w:tcW w:w="1205"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b/>
              </w:rPr>
              <w:t>Note</w:t>
            </w:r>
            <w:r>
              <w:rPr/>
              <w:t xml:space="preserve"> </w:t>
            </w:r>
          </w:p>
          <w:p>
            <w:pPr>
              <w:pStyle w:val="TableContents"/>
              <w:bidi w:val="0"/>
              <w:spacing w:before="0" w:after="0"/>
              <w:jc w:val="center"/>
              <w:rPr/>
            </w:pPr>
            <w:r>
              <w:rPr>
                <w:b/>
              </w:rPr>
              <w:t>Reference</w:t>
            </w:r>
            <w:r>
              <w:rPr/>
              <w:t xml:space="preserve">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101.SCH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Schema Document**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101.CAL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Calculation Linkbase Document**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101.DEF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Extension Definition Linkbase Document**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101.LAB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Label Linkbase Document**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101.PRE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Inline XBRL Taxonomy Presentation Linkbase Document**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104* </w:t>
            </w:r>
          </w:p>
        </w:tc>
        <w:tc>
          <w:tcPr>
            <w:tcW w:w="146" w:type="dxa"/>
            <w:tcBorders/>
            <w:shd w:fill="CCEEFF" w:val="clear"/>
            <w:vAlign w:val="center"/>
          </w:tcPr>
          <w:p>
            <w:pPr>
              <w:pStyle w:val="TableContents"/>
              <w:bidi w:val="0"/>
              <w:spacing w:before="0" w:after="283"/>
              <w:jc w:val="left"/>
              <w:rPr/>
            </w:pPr>
            <w:r>
              <w:rPr/>
              <w:t> </w:t>
            </w:r>
          </w:p>
        </w:tc>
        <w:tc>
          <w:tcPr>
            <w:tcW w:w="7667"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Cover Page Interactive Data File (the cover page XBRL tags are embedded in the Inline XBRL document and included in Exhibit 101) </w:t>
            </w:r>
          </w:p>
        </w:tc>
        <w:tc>
          <w:tcPr>
            <w:tcW w:w="146" w:type="dxa"/>
            <w:tcBorders/>
            <w:shd w:fill="CCEEFF" w:val="clear"/>
            <w:vAlign w:val="center"/>
          </w:tcPr>
          <w:p>
            <w:pPr>
              <w:pStyle w:val="TableContents"/>
              <w:bidi w:val="0"/>
              <w:spacing w:before="0" w:after="283"/>
              <w:jc w:val="left"/>
              <w:rPr/>
            </w:pPr>
            <w:r>
              <w:rPr/>
              <w:t> </w:t>
            </w:r>
          </w:p>
        </w:tc>
        <w:tc>
          <w:tcPr>
            <w:tcW w:w="120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540"/>
        <w:jc w:val="both"/>
        <w:rPr>
          <w:rFonts w:ascii="Times New Roman" w:hAnsi="Times New Roman"/>
          <w:sz w:val="20"/>
        </w:rPr>
      </w:pPr>
      <w:r>
        <w:rPr>
          <w:rFonts w:ascii="Times New Roman" w:hAnsi="Times New Roman"/>
          <w:sz w:val="20"/>
        </w:rPr>
        <w:t>*    </w:t>
      </w:r>
      <w:r>
        <w:rPr>
          <w:rFonts w:ascii="Times New Roman" w:hAnsi="Times New Roman"/>
          <w:spacing w:val="0"/>
          <w:sz w:val="20"/>
        </w:rPr>
        <w:t>Filed herewith.</w:t>
      </w:r>
    </w:p>
    <w:p>
      <w:pPr>
        <w:pStyle w:val="TextBody"/>
        <w:bidi w:val="0"/>
        <w:spacing w:before="0" w:after="0"/>
        <w:ind w:left="0" w:right="0" w:hanging="540"/>
        <w:jc w:val="both"/>
        <w:rPr>
          <w:sz w:val="20"/>
        </w:rPr>
      </w:pPr>
      <w:r>
        <w:rPr>
          <w:sz w:val="20"/>
        </w:rPr>
      </w:r>
    </w:p>
    <w:p>
      <w:pPr>
        <w:pStyle w:val="TextBody"/>
        <w:bidi w:val="0"/>
        <w:spacing w:before="0" w:after="0"/>
        <w:ind w:left="0" w:right="0" w:hanging="540"/>
        <w:jc w:val="both"/>
        <w:rPr>
          <w:rFonts w:ascii="Times New Roman" w:hAnsi="Times New Roman"/>
          <w:sz w:val="20"/>
        </w:rPr>
      </w:pPr>
      <w:r>
        <w:rPr>
          <w:rFonts w:ascii="Times New Roman" w:hAnsi="Times New Roman"/>
          <w:sz w:val="20"/>
        </w:rPr>
        <w:t>**  </w:t>
      </w:r>
      <w:r>
        <w:rPr>
          <w:rFonts w:ascii="Times New Roman" w:hAnsi="Times New Roman"/>
          <w:spacing w:val="0"/>
          <w:sz w:val="20"/>
        </w:rPr>
        <w:t>Furnished herewith and not “filed” for purposes of Section 18 of the Securities Exchange Act of 1934, as amended.</w:t>
      </w:r>
    </w:p>
    <w:p>
      <w:pPr>
        <w:pStyle w:val="TextBody"/>
        <w:bidi w:val="0"/>
        <w:spacing w:before="0" w:after="0"/>
        <w:ind w:left="0" w:right="0" w:hanging="540"/>
        <w:jc w:val="both"/>
        <w:rPr>
          <w:sz w:val="20"/>
        </w:rPr>
      </w:pPr>
      <w:r>
        <w:rPr>
          <w:sz w:val="20"/>
        </w:rPr>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rPr/>
      </w:pPr>
      <w:r>
        <w:rPr/>
      </w:r>
    </w:p>
    <w:p>
      <w:pPr>
        <w:pStyle w:val="TextBody"/>
        <w:bidi w:val="0"/>
        <w:spacing w:before="200" w:after="200"/>
        <w:jc w:val="left"/>
        <w:rPr/>
      </w:pPr>
      <w:hyperlink w:anchor="Index_0">
        <w:r>
          <w:rPr>
            <w:rStyle w:val="InternetLink"/>
            <w:rFonts w:ascii="TimesNewRoman;Times New Roman;Times;Baskerville;Georgia;serif" w:hAnsi="TimesNewRoman;Times New Roman;Times;Baskerville;Georgia;serif"/>
            <w:b w:val="false"/>
            <w:i/>
            <w:caps w:val="false"/>
            <w:smallCaps w:val="false"/>
            <w:strike w:val="false"/>
            <w:dstrike w:val="false"/>
            <w:sz w:val="20"/>
            <w:u w:val="none"/>
            <w:effect w:val="none"/>
          </w:rPr>
          <w:t>Index</w:t>
        </w:r>
      </w:hyperlink>
    </w:p>
    <w:p>
      <w:pPr>
        <w:pStyle w:val="TextBody"/>
        <w:bidi w:val="0"/>
        <w:spacing w:before="0" w:after="0"/>
        <w:jc w:val="center"/>
        <w:rPr>
          <w:rFonts w:ascii="Times New Roman" w:hAnsi="Times New Roman"/>
          <w:sz w:val="20"/>
        </w:rPr>
      </w:pPr>
      <w:bookmarkStart w:id="20" w:name="SIGNATURES"/>
      <w:bookmarkEnd w:id="20"/>
      <w:r>
        <w:rPr>
          <w:rFonts w:ascii="Times New Roman" w:hAnsi="Times New Roman"/>
          <w:b/>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on August 14, 2026. </w:t>
      </w:r>
    </w:p>
    <w:p>
      <w:pPr>
        <w:pStyle w:val="TextBody"/>
        <w:bidi w:val="0"/>
        <w:spacing w:before="0" w:after="0"/>
        <w:jc w:val="left"/>
        <w:rPr/>
      </w:pPr>
      <w:r>
        <w:rPr/>
        <w:t xml:space="preserve">  </w:t>
      </w:r>
    </w:p>
    <w:tbl>
      <w:tblPr>
        <w:tblW w:w="5248" w:type="dxa"/>
        <w:jc w:val="left"/>
        <w:tblInd w:w="0" w:type="dxa"/>
        <w:tblLayout w:type="fixed"/>
        <w:tblCellMar>
          <w:top w:w="28" w:type="dxa"/>
          <w:left w:w="28" w:type="dxa"/>
          <w:bottom w:w="28" w:type="dxa"/>
          <w:right w:w="28" w:type="dxa"/>
        </w:tblCellMar>
      </w:tblPr>
      <w:tblGrid>
        <w:gridCol w:w="221"/>
        <w:gridCol w:w="796"/>
        <w:gridCol w:w="4231"/>
      </w:tblGrid>
      <w:tr>
        <w:trPr/>
        <w:tc>
          <w:tcPr>
            <w:tcW w:w="22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027" w:type="dxa"/>
            <w:gridSpan w:val="2"/>
            <w:tcBorders/>
            <w:vAlign w:val="center"/>
          </w:tcPr>
          <w:p>
            <w:pPr>
              <w:pStyle w:val="TableContents"/>
              <w:bidi w:val="0"/>
              <w:spacing w:before="0" w:after="0"/>
              <w:jc w:val="left"/>
              <w:rPr/>
            </w:pPr>
            <w:r>
              <w:rPr/>
              <w:t xml:space="preserve">GALECTIN THERAPEUTICS INC.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23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423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Joel Lewis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Joel Lewis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and President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(principal executive officer)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23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423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Jack W. Callicutt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Jack W. Callicutt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231" w:type="dxa"/>
            <w:tcBorders/>
            <w:tcMar>
              <w:top w:w="0" w:type="dxa"/>
              <w:left w:w="0" w:type="dxa"/>
              <w:bottom w:w="0" w:type="dxa"/>
              <w:right w:w="0" w:type="dxa"/>
            </w:tcMar>
            <w:vAlign w:val="center"/>
          </w:tcPr>
          <w:p>
            <w:pPr>
              <w:pStyle w:val="TableContents"/>
              <w:bidi w:val="0"/>
              <w:spacing w:before="0" w:after="0"/>
              <w:jc w:val="left"/>
              <w:rPr/>
            </w:pPr>
            <w:r>
              <w:rPr/>
              <w:t xml:space="preserve">(principal financial and accounting officer)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33</w:t>
      </w:r>
    </w:p>
    <w:p>
      <w:pPr>
        <w:pStyle w:val="HorizontalLine"/>
        <w:pBdr>
          <w:bottom w:val="double" w:sz="2" w:space="0" w:color="808080"/>
        </w:pBdr>
        <w:bidi w:val="0"/>
        <w:spacing w:before="0" w:after="283"/>
        <w:jc w:val="left"/>
        <w:rPr/>
      </w:pPr>
      <w:r>
        <w:rPr/>
      </w:r>
    </w:p>
    <w:p>
      <w:pPr>
        <w:pStyle w:val="HorizontalLine"/>
        <w:bidi w:val="0"/>
        <w:jc w:val="left"/>
        <w:rPr/>
      </w:pPr>
      <w:r>
        <w:rPr/>
      </w:r>
      <w:bookmarkStart w:id="21" w:name="ef20075252_ex31-1.htm"/>
      <w:bookmarkStart w:id="22" w:name="ksef20075252_ex311"/>
      <w:bookmarkStart w:id="23" w:name="ef20075252_ex31-1.htm"/>
      <w:bookmarkStart w:id="24" w:name="ksef20075252_ex311"/>
      <w:bookmarkEnd w:id="23"/>
      <w:bookmarkEnd w:id="24"/>
      <w:r>
        <w:br w:type="page"/>
      </w:r>
    </w:p>
    <w:p>
      <w:pPr>
        <w:pStyle w:val="TextBody"/>
        <w:bidi w:val="0"/>
        <w:spacing w:before="0" w:after="0"/>
        <w:jc w:val="left"/>
        <w:rPr>
          <w:color w:val="000000"/>
          <w:sz w:val="20"/>
        </w:rPr>
      </w:pPr>
      <w:r>
        <w:rPr>
          <w:b/>
          <w:color w:val="000000"/>
          <w:sz w:val="20"/>
        </w:rPr>
        <w:t>Exhibit 31.1</w:t>
      </w:r>
      <w:r>
        <w:rPr>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b/>
          <w:color w:val="000000"/>
          <w:sz w:val="20"/>
        </w:rPr>
      </w:pPr>
      <w:r>
        <w:rPr>
          <w:b/>
          <w:color w:val="000000"/>
          <w:sz w:val="20"/>
        </w:rPr>
        <w:t xml:space="preserve">Certification Pursuant to Rule 13a-14(a) of the Securities Exchange Act of 1934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sz w:val="20"/>
        </w:rPr>
      </w:pPr>
      <w:r>
        <w:rPr>
          <w:color w:val="000000"/>
          <w:sz w:val="20"/>
        </w:rPr>
        <w:t xml:space="preserve">I, Joel Lewis, certify that: </w: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I have reviewed this quarterly report on Form 10-Q of Galectin Therapeutics Inc;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46685"/>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1.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46685"/>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2.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46685"/>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3.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3.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46685"/>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4.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4.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46685"/>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(a)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46685"/>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(b)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46685"/>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(c)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(c)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46685"/>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(d)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(d)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630"/>
        <w:jc w:val="left"/>
        <w:rPr>
          <w:color w:val="000000"/>
          <w:sz w:val="20"/>
        </w:rPr>
      </w:pPr>
      <w:r>
        <w:rPr>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00050" cy="146685"/>
                <wp:effectExtent l="0" t="0" r="0" b="0"/>
                <wp:wrapSquare wrapText="right"/>
                <wp:docPr id="37" name="Frame37"/>
                <a:graphic xmlns:a="http://schemas.openxmlformats.org/drawingml/2006/main">
                  <a:graphicData uri="http://schemas.microsoft.com/office/word/2010/wordprocessingShape">
                    <wps:wsp>
                      <wps:cNvSpPr txBox="1"/>
                      <wps:spPr>
                        <a:xfrm>
                          <a:off x="0" y="0"/>
                          <a:ext cx="40005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5. </w:t>
                            </w:r>
                          </w:p>
                        </w:txbxContent>
                      </wps:txbx>
                      <wps:bodyPr anchor="t" lIns="0" tIns="0" rIns="0" bIns="0">
                        <a:noAutofit/>
                      </wps:bodyPr>
                    </wps:wsp>
                  </a:graphicData>
                </a:graphic>
              </wp:anchor>
            </w:drawing>
          </mc:Choice>
          <mc:Fallback>
            <w:pict>
              <v:rect style="position:absolute;rotation:-0;width:31.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5.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46685"/>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(a)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46685"/>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(b) </w:t>
                      </w:r>
                    </w:p>
                  </w:txbxContent>
                </v:textbox>
                <w10:wrap type="square" side="right"/>
              </v:rect>
            </w:pict>
          </mc:Fallback>
        </mc:AlternateContent>
      </w:r>
    </w:p>
    <w:p>
      <w:pPr>
        <w:pStyle w:val="TextBody"/>
        <w:bidi w:val="0"/>
        <w:spacing w:before="0" w:after="0"/>
        <w:jc w:val="left"/>
        <w:rPr/>
      </w:pPr>
      <w:r>
        <w:rPr/>
        <w:t xml:space="preserve">  </w:t>
      </w:r>
    </w:p>
    <w:tbl>
      <w:tblPr>
        <w:tblW w:w="5928" w:type="dxa"/>
        <w:jc w:val="left"/>
        <w:tblInd w:w="0" w:type="dxa"/>
        <w:tblLayout w:type="fixed"/>
        <w:tblCellMar>
          <w:top w:w="0" w:type="dxa"/>
          <w:left w:w="0" w:type="dxa"/>
          <w:bottom w:w="0" w:type="dxa"/>
          <w:right w:w="0" w:type="dxa"/>
        </w:tblCellMar>
      </w:tblPr>
      <w:tblGrid>
        <w:gridCol w:w="1996"/>
        <w:gridCol w:w="676"/>
        <w:gridCol w:w="3256"/>
      </w:tblGrid>
      <w:tr>
        <w:trPr/>
        <w:tc>
          <w:tcPr>
            <w:tcW w:w="1996" w:type="dxa"/>
            <w:tcBorders/>
            <w:vAlign w:val="center"/>
          </w:tcPr>
          <w:p>
            <w:pPr>
              <w:pStyle w:val="TableContents"/>
              <w:bidi w:val="0"/>
              <w:spacing w:before="0" w:after="283"/>
              <w:jc w:val="left"/>
              <w:rPr/>
            </w:pPr>
            <w:r>
              <w:rPr/>
              <w:t xml:space="preserve">  </w:t>
            </w:r>
          </w:p>
        </w:tc>
        <w:tc>
          <w:tcPr>
            <w:tcW w:w="676" w:type="dxa"/>
            <w:tcBorders/>
            <w:vAlign w:val="center"/>
          </w:tcPr>
          <w:p>
            <w:pPr>
              <w:pStyle w:val="TableContents"/>
              <w:bidi w:val="0"/>
              <w:spacing w:before="0" w:after="283"/>
              <w:jc w:val="left"/>
              <w:rPr/>
            </w:pPr>
            <w:r>
              <w:rPr/>
              <w:t xml:space="preserve">  </w:t>
            </w:r>
          </w:p>
        </w:tc>
        <w:tc>
          <w:tcPr>
            <w:tcW w:w="3256" w:type="dxa"/>
            <w:tcBorders/>
            <w:vAlign w:val="center"/>
          </w:tcPr>
          <w:p>
            <w:pPr>
              <w:pStyle w:val="TableContents"/>
              <w:bidi w:val="0"/>
              <w:spacing w:before="0" w:after="283"/>
              <w:jc w:val="left"/>
              <w:rPr/>
            </w:pPr>
            <w:r>
              <w:rPr/>
              <w:t xml:space="preserve">  </w:t>
            </w:r>
          </w:p>
        </w:tc>
      </w:tr>
      <w:tr>
        <w:trPr/>
        <w:tc>
          <w:tcPr>
            <w:tcW w:w="1996" w:type="dxa"/>
            <w:tcBorders/>
            <w:vAlign w:val="center"/>
          </w:tcPr>
          <w:p>
            <w:pPr>
              <w:pStyle w:val="TableContents"/>
              <w:bidi w:val="0"/>
              <w:spacing w:before="0" w:after="0"/>
              <w:jc w:val="left"/>
              <w:rPr>
                <w:color w:val="000000"/>
                <w:sz w:val="20"/>
              </w:rPr>
            </w:pPr>
            <w:r>
              <w:rPr>
                <w:color w:val="000000"/>
                <w:sz w:val="20"/>
              </w:rPr>
              <w:t xml:space="preserve">Date: August 14, 2026 </w:t>
            </w:r>
          </w:p>
        </w:tc>
        <w:tc>
          <w:tcPr>
            <w:tcW w:w="676" w:type="dxa"/>
            <w:tcBorders/>
            <w:vAlign w:val="center"/>
          </w:tcPr>
          <w:p>
            <w:pPr>
              <w:pStyle w:val="TableContents"/>
              <w:bidi w:val="0"/>
              <w:spacing w:before="0" w:after="0"/>
              <w:jc w:val="left"/>
              <w:rPr>
                <w:color w:val="000000"/>
              </w:rPr>
            </w:pPr>
            <w:r>
              <w:rPr>
                <w:color w:val="000000"/>
              </w:rPr>
              <w:t xml:space="preserve">  </w:t>
            </w:r>
          </w:p>
        </w:tc>
        <w:tc>
          <w:tcPr>
            <w:tcW w:w="3256"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 xml:space="preserve">/s/ Joel Lewis </w:t>
            </w:r>
          </w:p>
        </w:tc>
      </w:tr>
      <w:tr>
        <w:trPr/>
        <w:tc>
          <w:tcPr>
            <w:tcW w:w="1996" w:type="dxa"/>
            <w:tcBorders/>
            <w:vAlign w:val="center"/>
          </w:tcPr>
          <w:p>
            <w:pPr>
              <w:pStyle w:val="TableContents"/>
              <w:bidi w:val="0"/>
              <w:spacing w:before="0" w:after="0"/>
              <w:jc w:val="left"/>
              <w:rPr>
                <w:color w:val="000000"/>
              </w:rPr>
            </w:pPr>
            <w:r>
              <w:rPr>
                <w:color w:val="000000"/>
              </w:rPr>
              <w:t xml:space="preserve">  </w:t>
            </w:r>
          </w:p>
        </w:tc>
        <w:tc>
          <w:tcPr>
            <w:tcW w:w="676" w:type="dxa"/>
            <w:tcBorders/>
            <w:vAlign w:val="center"/>
          </w:tcPr>
          <w:p>
            <w:pPr>
              <w:pStyle w:val="TableContents"/>
              <w:bidi w:val="0"/>
              <w:spacing w:before="0" w:after="0"/>
              <w:jc w:val="left"/>
              <w:rPr>
                <w:color w:val="000000"/>
                <w:sz w:val="20"/>
              </w:rPr>
            </w:pPr>
            <w:r>
              <w:rPr>
                <w:color w:val="000000"/>
                <w:sz w:val="20"/>
              </w:rPr>
              <w:t xml:space="preserve">Name: </w:t>
            </w:r>
          </w:p>
        </w:tc>
        <w:tc>
          <w:tcPr>
            <w:tcW w:w="3256" w:type="dxa"/>
            <w:tcBorders/>
            <w:vAlign w:val="center"/>
          </w:tcPr>
          <w:p>
            <w:pPr>
              <w:pStyle w:val="TableContents"/>
              <w:bidi w:val="0"/>
              <w:spacing w:before="0" w:after="0"/>
              <w:jc w:val="left"/>
              <w:rPr>
                <w:color w:val="000000"/>
                <w:sz w:val="20"/>
              </w:rPr>
            </w:pPr>
            <w:r>
              <w:rPr>
                <w:color w:val="000000"/>
                <w:sz w:val="20"/>
              </w:rPr>
              <w:t xml:space="preserve">Joel Lewis </w:t>
            </w:r>
          </w:p>
        </w:tc>
      </w:tr>
      <w:tr>
        <w:trPr/>
        <w:tc>
          <w:tcPr>
            <w:tcW w:w="1996" w:type="dxa"/>
            <w:tcBorders/>
            <w:vAlign w:val="center"/>
          </w:tcPr>
          <w:p>
            <w:pPr>
              <w:pStyle w:val="TableContents"/>
              <w:bidi w:val="0"/>
              <w:spacing w:before="0" w:after="0"/>
              <w:jc w:val="left"/>
              <w:rPr/>
            </w:pPr>
            <w:r>
              <w:rPr>
                <w:color w:val="808080"/>
              </w:rPr>
              <w:t> </w:t>
            </w:r>
            <w:r>
              <w:rPr/>
              <w:t xml:space="preserve"> </w:t>
            </w:r>
          </w:p>
        </w:tc>
        <w:tc>
          <w:tcPr>
            <w:tcW w:w="676" w:type="dxa"/>
            <w:tcBorders/>
            <w:vAlign w:val="center"/>
          </w:tcPr>
          <w:p>
            <w:pPr>
              <w:pStyle w:val="TableContents"/>
              <w:bidi w:val="0"/>
              <w:spacing w:before="0" w:after="0"/>
              <w:jc w:val="left"/>
              <w:rPr>
                <w:color w:val="000000"/>
                <w:sz w:val="20"/>
              </w:rPr>
            </w:pPr>
            <w:r>
              <w:rPr>
                <w:color w:val="000000"/>
                <w:sz w:val="20"/>
              </w:rPr>
              <w:t xml:space="preserve">Title: </w:t>
            </w:r>
          </w:p>
        </w:tc>
        <w:tc>
          <w:tcPr>
            <w:tcW w:w="3256" w:type="dxa"/>
            <w:tcBorders/>
            <w:vAlign w:val="center"/>
          </w:tcPr>
          <w:p>
            <w:pPr>
              <w:pStyle w:val="TableContents"/>
              <w:bidi w:val="0"/>
              <w:spacing w:before="0" w:after="0"/>
              <w:jc w:val="left"/>
              <w:rPr>
                <w:color w:val="000000"/>
                <w:sz w:val="20"/>
              </w:rPr>
            </w:pPr>
            <w:r>
              <w:rPr>
                <w:color w:val="000000"/>
                <w:sz w:val="20"/>
              </w:rPr>
              <w:t xml:space="preserve">Chief Executive Officer and President </w:t>
            </w:r>
          </w:p>
        </w:tc>
      </w:tr>
      <w:tr>
        <w:trPr/>
        <w:tc>
          <w:tcPr>
            <w:tcW w:w="1996" w:type="dxa"/>
            <w:tcBorders/>
            <w:vAlign w:val="center"/>
          </w:tcPr>
          <w:p>
            <w:pPr>
              <w:pStyle w:val="TableContents"/>
              <w:bidi w:val="0"/>
              <w:spacing w:before="0" w:after="0"/>
              <w:jc w:val="left"/>
              <w:rPr/>
            </w:pPr>
            <w:r>
              <w:rPr>
                <w:color w:val="808080"/>
              </w:rPr>
              <w:t> </w:t>
            </w:r>
            <w:r>
              <w:rPr/>
              <w:t xml:space="preserve"> </w:t>
            </w:r>
          </w:p>
        </w:tc>
        <w:tc>
          <w:tcPr>
            <w:tcW w:w="676" w:type="dxa"/>
            <w:tcBorders/>
            <w:vAlign w:val="center"/>
          </w:tcPr>
          <w:p>
            <w:pPr>
              <w:pStyle w:val="TableContents"/>
              <w:bidi w:val="0"/>
              <w:spacing w:before="0" w:after="0"/>
              <w:jc w:val="left"/>
              <w:rPr/>
            </w:pPr>
            <w:r>
              <w:rPr>
                <w:color w:val="808080"/>
              </w:rPr>
              <w:t> </w:t>
            </w:r>
            <w:r>
              <w:rPr/>
              <w:t xml:space="preserve"> </w:t>
            </w:r>
          </w:p>
        </w:tc>
        <w:tc>
          <w:tcPr>
            <w:tcW w:w="3256" w:type="dxa"/>
            <w:tcBorders/>
            <w:vAlign w:val="center"/>
          </w:tcPr>
          <w:p>
            <w:pPr>
              <w:pStyle w:val="TableContents"/>
              <w:bidi w:val="0"/>
              <w:spacing w:before="0" w:after="0"/>
              <w:jc w:val="left"/>
              <w:rPr>
                <w:color w:val="000000"/>
                <w:sz w:val="20"/>
              </w:rPr>
            </w:pPr>
            <w:r>
              <w:rPr>
                <w:color w:val="000000"/>
                <w:sz w:val="20"/>
              </w:rPr>
              <w:t xml:space="preserve">(principal executive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25" w:name="ef20075252_ex31-2.htm"/>
      <w:bookmarkStart w:id="26" w:name="ksef20075252_ex312"/>
      <w:bookmarkStart w:id="27" w:name="ef20075252_ex31-2.htm"/>
      <w:bookmarkStart w:id="28" w:name="ksef20075252_ex312"/>
      <w:bookmarkEnd w:id="27"/>
      <w:bookmarkEnd w:id="28"/>
      <w:r>
        <w:br w:type="page"/>
      </w:r>
    </w:p>
    <w:p>
      <w:pPr>
        <w:pStyle w:val="TextBody"/>
        <w:bidi w:val="0"/>
        <w:spacing w:before="0" w:after="0"/>
        <w:jc w:val="left"/>
        <w:rPr>
          <w:color w:val="000000"/>
          <w:sz w:val="20"/>
        </w:rPr>
      </w:pPr>
      <w:r>
        <w:rPr>
          <w:b/>
          <w:color w:val="000000"/>
          <w:sz w:val="20"/>
        </w:rPr>
        <w:t>Exhibit 31.2</w:t>
      </w:r>
      <w:r>
        <w:rPr>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sz w:val="20"/>
        </w:rPr>
      </w:pPr>
      <w:r>
        <w:rPr>
          <w:b/>
          <w:color w:val="000000"/>
          <w:sz w:val="20"/>
        </w:rPr>
        <w:t>Certification Pursuant to Rule 13a-14(a) of the Securities Exchange Act of 1934</w:t>
      </w:r>
      <w:r>
        <w:rPr>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sz w:val="20"/>
        </w:rPr>
      </w:pPr>
      <w:r>
        <w:rPr>
          <w:color w:val="000000"/>
          <w:sz w:val="20"/>
        </w:rPr>
        <w:t xml:space="preserve">I, Jack W. Callicutt, certify that: </w: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I have reviewed this quarterly report on Form 10-Q of Galectin Therapeutics Inc;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46685"/>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1.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1.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46685"/>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2.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2. </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46685"/>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3.</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3.</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46685"/>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4.</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4.</w:t>
                      </w:r>
                    </w:p>
                  </w:txbxContent>
                </v:textbox>
                <w10:wrap type="square" side="right"/>
              </v:rect>
            </w:pict>
          </mc:Fallback>
        </mc:AlternateContent>
      </w:r>
    </w:p>
    <w:p>
      <w:pPr>
        <w:pStyle w:val="TextBody"/>
        <w:bidi w:val="0"/>
        <w:spacing w:before="0" w:after="0"/>
        <w:ind w:left="720" w:right="0" w:hanging="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46685"/>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(a)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46685"/>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(b)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46685"/>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(c)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(c)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46685"/>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(d)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(d)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46685"/>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5.</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5.</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46685"/>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(a)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(a)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TextBody"/>
        <w:bidi w:val="0"/>
        <w:spacing w:before="0" w:after="0"/>
        <w:ind w:left="0" w:right="0" w:hanging="720"/>
        <w:jc w:val="left"/>
        <w:rPr>
          <w:color w:val="000000"/>
          <w:sz w:val="20"/>
        </w:rPr>
      </w:pPr>
      <w:r>
        <w:rPr>
          <w:color w:val="000000"/>
          <w:sz w:val="20"/>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46685"/>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46685"/>
                        </a:xfrm>
                        <a:prstGeom prst="rect"/>
                        <a:solidFill>
                          <a:srgbClr val="FFFFFF"/>
                        </a:solidFill>
                      </wps:spPr>
                      <wps:txbx>
                        <w:txbxContent>
                          <w:p>
                            <w:pPr>
                              <w:pStyle w:val="TextBody"/>
                              <w:bidi w:val="0"/>
                              <w:spacing w:before="0" w:after="283"/>
                              <w:jc w:val="left"/>
                              <w:rPr>
                                <w:color w:val="000000"/>
                                <w:sz w:val="20"/>
                              </w:rPr>
                            </w:pPr>
                            <w:r>
                              <w:rPr>
                                <w:color w:val="000000"/>
                                <w:sz w:val="20"/>
                              </w:rPr>
                              <w:t xml:space="preserve">(b) </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000000"/>
                          <w:sz w:val="20"/>
                        </w:rPr>
                      </w:pPr>
                      <w:r>
                        <w:rPr>
                          <w:color w:val="000000"/>
                          <w:sz w:val="20"/>
                        </w:rPr>
                        <w:t xml:space="preserve">(b)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tbl>
      <w:tblPr>
        <w:tblW w:w="6363" w:type="dxa"/>
        <w:jc w:val="left"/>
        <w:tblInd w:w="0" w:type="dxa"/>
        <w:tblLayout w:type="fixed"/>
        <w:tblCellMar>
          <w:top w:w="28" w:type="dxa"/>
          <w:left w:w="28" w:type="dxa"/>
          <w:bottom w:w="28" w:type="dxa"/>
          <w:right w:w="28" w:type="dxa"/>
        </w:tblCellMar>
      </w:tblPr>
      <w:tblGrid>
        <w:gridCol w:w="1996"/>
        <w:gridCol w:w="676"/>
        <w:gridCol w:w="3691"/>
      </w:tblGrid>
      <w:tr>
        <w:trPr/>
        <w:tc>
          <w:tcPr>
            <w:tcW w:w="19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Date: August 14, 2026 </w:t>
            </w:r>
          </w:p>
        </w:tc>
        <w:tc>
          <w:tcPr>
            <w:tcW w:w="67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3691"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sz w:val="20"/>
              </w:rPr>
            </w:pPr>
            <w:r>
              <w:rPr>
                <w:color w:val="000000"/>
                <w:sz w:val="20"/>
              </w:rPr>
              <w:t xml:space="preserve">/s/ Jack W. Callicutt </w:t>
            </w:r>
          </w:p>
        </w:tc>
      </w:tr>
      <w:tr>
        <w:trPr/>
        <w:tc>
          <w:tcPr>
            <w:tcW w:w="199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Name: </w:t>
            </w:r>
          </w:p>
        </w:tc>
        <w:tc>
          <w:tcPr>
            <w:tcW w:w="3691"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Jack W. Callicutt </w:t>
            </w:r>
          </w:p>
        </w:tc>
      </w:tr>
      <w:tr>
        <w:trPr/>
        <w:tc>
          <w:tcPr>
            <w:tcW w:w="199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Title: </w:t>
            </w:r>
          </w:p>
        </w:tc>
        <w:tc>
          <w:tcPr>
            <w:tcW w:w="3691"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Chief Financial Officer </w:t>
            </w:r>
          </w:p>
        </w:tc>
      </w:tr>
      <w:tr>
        <w:trPr/>
        <w:tc>
          <w:tcPr>
            <w:tcW w:w="199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67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 xml:space="preserve">  </w:t>
            </w:r>
          </w:p>
        </w:tc>
        <w:tc>
          <w:tcPr>
            <w:tcW w:w="3691" w:type="dxa"/>
            <w:tcBorders/>
            <w:tcMar>
              <w:top w:w="0" w:type="dxa"/>
              <w:left w:w="0" w:type="dxa"/>
              <w:bottom w:w="0" w:type="dxa"/>
              <w:right w:w="0" w:type="dxa"/>
            </w:tcMar>
            <w:vAlign w:val="center"/>
          </w:tcPr>
          <w:p>
            <w:pPr>
              <w:pStyle w:val="TableContents"/>
              <w:bidi w:val="0"/>
              <w:spacing w:before="0" w:after="0"/>
              <w:jc w:val="left"/>
              <w:rPr>
                <w:color w:val="000000"/>
                <w:sz w:val="20"/>
              </w:rPr>
            </w:pPr>
            <w:r>
              <w:rPr>
                <w:color w:val="000000"/>
                <w:sz w:val="20"/>
              </w:rPr>
              <w:t xml:space="preserve">(principal financial and accounting officer)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29" w:name="ef20075252_ex32-1.htm"/>
      <w:bookmarkStart w:id="30" w:name="ksef20075252_ex321"/>
      <w:bookmarkStart w:id="31" w:name="ef20075252_ex32-1.htm"/>
      <w:bookmarkStart w:id="32" w:name="ksef20075252_ex321"/>
      <w:bookmarkEnd w:id="31"/>
      <w:bookmarkEnd w:id="32"/>
      <w:r>
        <w:br w:type="page"/>
      </w:r>
    </w:p>
    <w:p>
      <w:pPr>
        <w:pStyle w:val="TextBody"/>
        <w:bidi w:val="0"/>
        <w:spacing w:before="0" w:after="0"/>
        <w:jc w:val="right"/>
        <w:rPr>
          <w:sz w:val="20"/>
        </w:rPr>
      </w:pPr>
      <w:r>
        <w:rPr>
          <w:b/>
          <w:sz w:val="20"/>
        </w:rPr>
        <w:t>Exhibit 32.1</w:t>
      </w:r>
      <w:r>
        <w:rPr>
          <w:sz w:val="20"/>
        </w:rPr>
        <w:t xml:space="preserve"> </w:t>
      </w:r>
    </w:p>
    <w:p>
      <w:pPr>
        <w:pStyle w:val="TextBody"/>
        <w:bidi w:val="0"/>
        <w:spacing w:before="0" w:after="0"/>
        <w:jc w:val="center"/>
        <w:rPr/>
      </w:pPr>
      <w:r>
        <w:rPr/>
        <w:t xml:space="preserve">  </w:t>
      </w:r>
    </w:p>
    <w:p>
      <w:pPr>
        <w:pStyle w:val="TextBody"/>
        <w:bidi w:val="0"/>
        <w:spacing w:before="0" w:after="0"/>
        <w:jc w:val="center"/>
        <w:rPr>
          <w:sz w:val="20"/>
        </w:rPr>
      </w:pPr>
      <w:r>
        <w:rPr>
          <w:b/>
          <w:color w:val="000000"/>
          <w:sz w:val="20"/>
        </w:rPr>
        <w:t>CERTIFICATION PURSUANT TO 18 U.S.C. SECTION 1350, AS ADOPTED</w:t>
      </w:r>
      <w:r>
        <w:rPr>
          <w:sz w:val="20"/>
        </w:rPr>
        <w:t xml:space="preserve"> </w:t>
      </w:r>
    </w:p>
    <w:p>
      <w:pPr>
        <w:pStyle w:val="TextBody"/>
        <w:bidi w:val="0"/>
        <w:spacing w:before="0" w:after="0"/>
        <w:jc w:val="center"/>
        <w:rPr>
          <w:sz w:val="20"/>
        </w:rPr>
      </w:pPr>
      <w:r>
        <w:rPr>
          <w:b/>
          <w:color w:val="000000"/>
          <w:sz w:val="20"/>
        </w:rPr>
        <w:t>PURSUANT TO SECTION 906 OF THE SARBANES-OXLEY ACT OF 2002</w:t>
      </w:r>
      <w:r>
        <w:rPr>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sz w:val="20"/>
        </w:rPr>
      </w:pPr>
      <w:r>
        <w:rPr>
          <w:sz w:val="20"/>
        </w:rPr>
        <w:t xml:space="preserve">In connection with the Quarterly Report of Galectin Therapeutics Inc. (the “Company”) on Form 10-Q for the period ended June 30, 2026 as filed with the Securities and Exchange Commission on the date hereof (the “Report”), I, Joel Lewis, Chief Executive Officer of the Company, certify, pursuant to 18 U.S.C. § 1350, as adopted pursuant to § 906 of the Sarbanes- Oxley Act of 2002, that, to my knowledge: </w:t>
      </w:r>
    </w:p>
    <w:p>
      <w:pPr>
        <w:pStyle w:val="TextBody"/>
        <w:bidi w:val="0"/>
        <w:spacing w:before="0" w:after="0"/>
        <w:jc w:val="left"/>
        <w:rPr/>
      </w:pPr>
      <w:r>
        <w:rPr/>
        <w:t xml:space="preserve">  </w:t>
      </w:r>
    </w:p>
    <w:p>
      <w:pPr>
        <w:pStyle w:val="TextBody"/>
        <w:bidi w:val="0"/>
        <w:spacing w:before="0" w:after="0"/>
        <w:ind w:left="0" w:right="0" w:hanging="495"/>
        <w:jc w:val="left"/>
        <w:rPr>
          <w:sz w:val="20"/>
        </w:rPr>
      </w:pPr>
      <w:r>
        <w:rPr>
          <w:sz w:val="20"/>
        </w:rPr>
        <w:t xml:space="preserve">The Report fully complies with the requirements of Section 13(a) or 15(d) of the Securities Exchange Act of 1934; and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4325" cy="146685"/>
                <wp:effectExtent l="0" t="0" r="0" b="0"/>
                <wp:wrapSquare wrapText="right"/>
                <wp:docPr id="51" name="Frame51"/>
                <a:graphic xmlns:a="http://schemas.openxmlformats.org/drawingml/2006/main">
                  <a:graphicData uri="http://schemas.microsoft.com/office/word/2010/wordprocessingShape">
                    <wps:wsp>
                      <wps:cNvSpPr txBox="1"/>
                      <wps:spPr>
                        <a:xfrm>
                          <a:off x="0" y="0"/>
                          <a:ext cx="314325" cy="146685"/>
                        </a:xfrm>
                        <a:prstGeom prst="rect"/>
                        <a:solidFill>
                          <a:srgbClr val="FFFFFF"/>
                        </a:solidFill>
                      </wps:spPr>
                      <wps:txbx>
                        <w:txbxContent>
                          <w:p>
                            <w:pPr>
                              <w:pStyle w:val="TextBody"/>
                              <w:bidi w:val="0"/>
                              <w:spacing w:before="0" w:after="283"/>
                              <w:jc w:val="left"/>
                              <w:rPr>
                                <w:sz w:val="20"/>
                              </w:rPr>
                            </w:pPr>
                            <w:r>
                              <w:rPr>
                                <w:sz w:val="20"/>
                              </w:rPr>
                              <w:t xml:space="preserve">(1) </w:t>
                            </w:r>
                          </w:p>
                        </w:txbxContent>
                      </wps:txbx>
                      <wps:bodyPr anchor="t" lIns="0" tIns="0" rIns="0" bIns="0">
                        <a:noAutofit/>
                      </wps:bodyPr>
                    </wps:wsp>
                  </a:graphicData>
                </a:graphic>
              </wp:anchor>
            </w:drawing>
          </mc:Choice>
          <mc:Fallback>
            <w:pict>
              <v:rect style="position:absolute;rotation:-0;width:24.7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495"/>
        <w:jc w:val="left"/>
        <w:rPr>
          <w:sz w:val="20"/>
        </w:rPr>
      </w:pPr>
      <w:r>
        <w:rPr>
          <w:sz w:val="20"/>
        </w:rPr>
        <w:t xml:space="preserve">The information contained in the Report fairly presents, in all material respects, the financial condition and results of operations of the Company.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4325" cy="146685"/>
                <wp:effectExtent l="0" t="0" r="0" b="0"/>
                <wp:wrapSquare wrapText="right"/>
                <wp:docPr id="52" name="Frame52"/>
                <a:graphic xmlns:a="http://schemas.openxmlformats.org/drawingml/2006/main">
                  <a:graphicData uri="http://schemas.microsoft.com/office/word/2010/wordprocessingShape">
                    <wps:wsp>
                      <wps:cNvSpPr txBox="1"/>
                      <wps:spPr>
                        <a:xfrm>
                          <a:off x="0" y="0"/>
                          <a:ext cx="314325" cy="146685"/>
                        </a:xfrm>
                        <a:prstGeom prst="rect"/>
                        <a:solidFill>
                          <a:srgbClr val="FFFFFF"/>
                        </a:solidFill>
                      </wps:spPr>
                      <wps:txbx>
                        <w:txbxContent>
                          <w:p>
                            <w:pPr>
                              <w:pStyle w:val="TextBody"/>
                              <w:bidi w:val="0"/>
                              <w:spacing w:before="0" w:after="283"/>
                              <w:jc w:val="left"/>
                              <w:rPr>
                                <w:sz w:val="20"/>
                              </w:rPr>
                            </w:pPr>
                            <w:r>
                              <w:rPr>
                                <w:sz w:val="20"/>
                              </w:rPr>
                              <w:t xml:space="preserve">(2) </w:t>
                            </w:r>
                          </w:p>
                        </w:txbxContent>
                      </wps:txbx>
                      <wps:bodyPr anchor="t" lIns="0" tIns="0" rIns="0" bIns="0">
                        <a:noAutofit/>
                      </wps:bodyPr>
                    </wps:wsp>
                  </a:graphicData>
                </a:graphic>
              </wp:anchor>
            </w:drawing>
          </mc:Choice>
          <mc:Fallback>
            <w:pict>
              <v:rect style="position:absolute;rotation:-0;width:24.7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 xml:space="preserve">(2) </w:t>
                      </w:r>
                    </w:p>
                  </w:txbxContent>
                </v:textbox>
                <w10:wrap type="square" side="right"/>
              </v:rect>
            </w:pict>
          </mc:Fallback>
        </mc:AlternateContent>
      </w:r>
    </w:p>
    <w:p>
      <w:pPr>
        <w:pStyle w:val="TextBody"/>
        <w:bidi w:val="0"/>
        <w:spacing w:before="0" w:after="0"/>
        <w:jc w:val="left"/>
        <w:rPr/>
      </w:pPr>
      <w:r>
        <w:rPr/>
        <w:t xml:space="preserve">  </w:t>
      </w:r>
    </w:p>
    <w:tbl>
      <w:tblPr>
        <w:tblW w:w="6948" w:type="dxa"/>
        <w:jc w:val="left"/>
        <w:tblInd w:w="0" w:type="dxa"/>
        <w:tblLayout w:type="fixed"/>
        <w:tblCellMar>
          <w:top w:w="0" w:type="dxa"/>
          <w:left w:w="0" w:type="dxa"/>
          <w:bottom w:w="0" w:type="dxa"/>
          <w:right w:w="0" w:type="dxa"/>
        </w:tblCellMar>
      </w:tblPr>
      <w:tblGrid>
        <w:gridCol w:w="2341"/>
        <w:gridCol w:w="796"/>
        <w:gridCol w:w="3811"/>
      </w:tblGrid>
      <w:tr>
        <w:trPr/>
        <w:tc>
          <w:tcPr>
            <w:tcW w:w="2341" w:type="dxa"/>
            <w:tcBorders/>
            <w:vAlign w:val="center"/>
          </w:tcPr>
          <w:p>
            <w:pPr>
              <w:pStyle w:val="TableContents"/>
              <w:bidi w:val="0"/>
              <w:spacing w:before="0" w:after="283"/>
              <w:jc w:val="left"/>
              <w:rPr/>
            </w:pPr>
            <w:r>
              <w:rPr/>
              <w:t xml:space="preserve">  </w:t>
            </w:r>
          </w:p>
        </w:tc>
        <w:tc>
          <w:tcPr>
            <w:tcW w:w="796" w:type="dxa"/>
            <w:tcBorders/>
            <w:vAlign w:val="center"/>
          </w:tcPr>
          <w:p>
            <w:pPr>
              <w:pStyle w:val="TableContents"/>
              <w:bidi w:val="0"/>
              <w:spacing w:before="0" w:after="283"/>
              <w:jc w:val="left"/>
              <w:rPr/>
            </w:pPr>
            <w:r>
              <w:rPr/>
              <w:t xml:space="preserve">  </w:t>
            </w:r>
          </w:p>
        </w:tc>
        <w:tc>
          <w:tcPr>
            <w:tcW w:w="3811" w:type="dxa"/>
            <w:tcBorders/>
            <w:vAlign w:val="center"/>
          </w:tcPr>
          <w:p>
            <w:pPr>
              <w:pStyle w:val="TableContents"/>
              <w:bidi w:val="0"/>
              <w:spacing w:before="0" w:after="283"/>
              <w:jc w:val="left"/>
              <w:rPr/>
            </w:pPr>
            <w:r>
              <w:rPr/>
              <w:t xml:space="preserve">  </w:t>
            </w:r>
          </w:p>
        </w:tc>
      </w:tr>
      <w:tr>
        <w:trPr/>
        <w:tc>
          <w:tcPr>
            <w:tcW w:w="2341" w:type="dxa"/>
            <w:tcBorders/>
            <w:vAlign w:val="center"/>
          </w:tcPr>
          <w:p>
            <w:pPr>
              <w:pStyle w:val="TableContents"/>
              <w:bidi w:val="0"/>
              <w:spacing w:before="0" w:after="0"/>
              <w:jc w:val="left"/>
              <w:rPr/>
            </w:pPr>
            <w:r>
              <w:rPr>
                <w:color w:val="000000"/>
              </w:rPr>
              <w:t>Date: August 14, 2026</w:t>
            </w:r>
            <w:r>
              <w:rPr/>
              <w:t xml:space="preserve"> </w:t>
            </w:r>
          </w:p>
        </w:tc>
        <w:tc>
          <w:tcPr>
            <w:tcW w:w="796" w:type="dxa"/>
            <w:tcBorders/>
            <w:vAlign w:val="center"/>
          </w:tcPr>
          <w:p>
            <w:pPr>
              <w:pStyle w:val="TableContents"/>
              <w:bidi w:val="0"/>
              <w:spacing w:before="0" w:after="0"/>
              <w:jc w:val="left"/>
              <w:rPr/>
            </w:pPr>
            <w:r>
              <w:rPr>
                <w:color w:val="000000"/>
              </w:rPr>
              <w:t> </w:t>
            </w:r>
            <w:r>
              <w:rPr/>
              <w:t xml:space="preserve"> </w:t>
            </w:r>
          </w:p>
        </w:tc>
        <w:tc>
          <w:tcPr>
            <w:tcW w:w="3811" w:type="dxa"/>
            <w:tcBorders>
              <w:bottom w:val="single" w:sz="12" w:space="0" w:color="000000"/>
            </w:tcBorders>
            <w:tcMar>
              <w:bottom w:w="28" w:type="dxa"/>
            </w:tcMar>
            <w:vAlign w:val="center"/>
          </w:tcPr>
          <w:p>
            <w:pPr>
              <w:pStyle w:val="TableContents"/>
              <w:bidi w:val="0"/>
              <w:spacing w:before="0" w:after="0"/>
              <w:jc w:val="left"/>
              <w:rPr/>
            </w:pPr>
            <w:r>
              <w:rPr>
                <w:color w:val="000000"/>
              </w:rPr>
              <w:t>/s/ Joel Lewis</w:t>
            </w:r>
            <w:r>
              <w:rPr/>
              <w:t xml:space="preserve"> </w:t>
            </w:r>
          </w:p>
        </w:tc>
      </w:tr>
      <w:tr>
        <w:trPr/>
        <w:tc>
          <w:tcPr>
            <w:tcW w:w="234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Name:</w:t>
            </w:r>
            <w:r>
              <w:rPr/>
              <w:t xml:space="preserve"> </w:t>
            </w:r>
          </w:p>
        </w:tc>
        <w:tc>
          <w:tcPr>
            <w:tcW w:w="3811" w:type="dxa"/>
            <w:tcBorders/>
            <w:vAlign w:val="center"/>
          </w:tcPr>
          <w:p>
            <w:pPr>
              <w:pStyle w:val="TableContents"/>
              <w:bidi w:val="0"/>
              <w:spacing w:before="0" w:after="0"/>
              <w:jc w:val="left"/>
              <w:rPr/>
            </w:pPr>
            <w:r>
              <w:rPr>
                <w:color w:val="000000"/>
              </w:rPr>
              <w:t>Joel Lewis</w:t>
            </w:r>
            <w:r>
              <w:rPr/>
              <w:t xml:space="preserve"> </w:t>
            </w:r>
          </w:p>
        </w:tc>
      </w:tr>
      <w:tr>
        <w:trPr/>
        <w:tc>
          <w:tcPr>
            <w:tcW w:w="234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Title:</w:t>
            </w:r>
            <w:r>
              <w:rPr/>
              <w:t xml:space="preserve"> </w:t>
            </w:r>
          </w:p>
        </w:tc>
        <w:tc>
          <w:tcPr>
            <w:tcW w:w="3811" w:type="dxa"/>
            <w:tcBorders/>
            <w:vAlign w:val="center"/>
          </w:tcPr>
          <w:p>
            <w:pPr>
              <w:pStyle w:val="TableContents"/>
              <w:bidi w:val="0"/>
              <w:spacing w:before="0" w:after="0"/>
              <w:jc w:val="left"/>
              <w:rPr/>
            </w:pPr>
            <w:r>
              <w:rPr>
                <w:color w:val="000000"/>
              </w:rPr>
              <w:t>Chief Executive Officer and President</w:t>
            </w:r>
            <w:r>
              <w:rPr/>
              <w:t xml:space="preserve"> </w:t>
            </w:r>
          </w:p>
        </w:tc>
      </w:tr>
      <w:tr>
        <w:trPr/>
        <w:tc>
          <w:tcPr>
            <w:tcW w:w="234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 </w:t>
            </w:r>
            <w:r>
              <w:rPr/>
              <w:t xml:space="preserve"> </w:t>
            </w:r>
          </w:p>
        </w:tc>
        <w:tc>
          <w:tcPr>
            <w:tcW w:w="3811" w:type="dxa"/>
            <w:tcBorders/>
            <w:vAlign w:val="center"/>
          </w:tcPr>
          <w:p>
            <w:pPr>
              <w:pStyle w:val="TableContents"/>
              <w:bidi w:val="0"/>
              <w:spacing w:before="0" w:after="0"/>
              <w:jc w:val="left"/>
              <w:rPr/>
            </w:pPr>
            <w:r>
              <w:rPr>
                <w:color w:val="000000"/>
              </w:rPr>
              <w:t>(principal executive officer)</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sz w:val="20"/>
        </w:rPr>
      </w:pPr>
      <w:r>
        <w:rPr>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3" w:name="ef20075252_ex32-2.htm"/>
      <w:bookmarkStart w:id="34" w:name="ksef20075252_ex322"/>
      <w:bookmarkStart w:id="35" w:name="ef20075252_ex32-2.htm"/>
      <w:bookmarkStart w:id="36" w:name="ksef20075252_ex322"/>
      <w:bookmarkEnd w:id="35"/>
      <w:bookmarkEnd w:id="36"/>
      <w:r>
        <w:br w:type="page"/>
      </w:r>
    </w:p>
    <w:p>
      <w:pPr>
        <w:pStyle w:val="TextBody"/>
        <w:bidi w:val="0"/>
        <w:spacing w:before="0" w:after="0"/>
        <w:jc w:val="right"/>
        <w:rPr/>
      </w:pPr>
      <w:r>
        <w:rPr>
          <w:b/>
          <w:sz w:val="20"/>
        </w:rPr>
        <w:t>Exhibit 32.2</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sz w:val="20"/>
        </w:rPr>
        <w:t>CERTIFICATION PURSUANT TO 18 U.S.C. SECTION 1350, AS ADOPTED</w:t>
      </w:r>
      <w:r>
        <w:rPr/>
        <w:t xml:space="preserve"> </w:t>
      </w:r>
    </w:p>
    <w:p>
      <w:pPr>
        <w:pStyle w:val="TextBody"/>
        <w:bidi w:val="0"/>
        <w:spacing w:before="0" w:after="0"/>
        <w:jc w:val="center"/>
        <w:rPr/>
      </w:pPr>
      <w:r>
        <w:rPr>
          <w:b/>
          <w:color w:val="000000"/>
          <w:sz w:val="20"/>
        </w:rPr>
        <w:t>PURSUANT TO SECTION 906 OF THE SARBANES-OXLEY ACT OF 2002</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sz w:val="20"/>
        </w:rPr>
        <w:t>In connection with the Quarterly Report of Galectin Therapeutics Inc. (the “Company”) on Form 10-Q for the period ended June 30, 2026 as filed with the Securities and Exchange Commission on the date hereof (the “Report”), I, Jack W. Callicutt, Chief Financial Officer of the Company, certify, pursuant to 18 U.S.C. § 1350, as adopted pursuant to § 906 of the Sarbanes-Oxley Act of 2002, that, to my knowledge:</w:t>
      </w:r>
      <w:r>
        <w:rPr/>
        <w:t xml:space="preserve"> </w:t>
      </w:r>
    </w:p>
    <w:p>
      <w:pPr>
        <w:pStyle w:val="TextBody"/>
        <w:bidi w:val="0"/>
        <w:spacing w:before="0" w:after="0"/>
        <w:jc w:val="left"/>
        <w:rPr/>
      </w:pPr>
      <w:r>
        <w:rPr/>
        <w:t xml:space="preserve">  </w:t>
      </w:r>
    </w:p>
    <w:p>
      <w:pPr>
        <w:pStyle w:val="TextBody"/>
        <w:bidi w:val="0"/>
        <w:spacing w:before="0" w:after="0"/>
        <w:ind w:left="0" w:right="0" w:hanging="495"/>
        <w:jc w:val="left"/>
        <w:rPr/>
      </w:pPr>
      <w:r>
        <w:rPr>
          <w:sz w:val="20"/>
        </w:rPr>
        <w:t>The Report fully complies with the requirements of Section 13(a) or 15(d) of the Securities Exchange Act of 1934; and</w:t>
      </w:r>
      <w:r>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4325"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495"/>
        <w:jc w:val="left"/>
        <w:rPr/>
      </w:pPr>
      <w:r>
        <w:rPr>
          <w:sz w:val="20"/>
        </w:rPr>
        <w:t>The information contained in the Report fairly presents, in all material respects, the financial condition and results of operations of the Company.</w:t>
      </w:r>
      <w:r>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14325"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extBody"/>
                              <w:bidi w:val="0"/>
                              <w:spacing w:before="0" w:after="283"/>
                              <w:jc w:val="left"/>
                              <w:rPr/>
                            </w:pPr>
                            <w:r>
                              <w:rPr>
                                <w:sz w:val="20"/>
                              </w:rPr>
                              <w:t>(2)</w:t>
                            </w:r>
                            <w:r>
                              <w:rPr/>
                              <w:t xml:space="preserve"> </w:t>
                            </w:r>
                          </w:p>
                        </w:txbxContent>
                      </wps:txbx>
                      <wps:bodyPr anchor="t" lIns="0" tIns="0" rIns="0" bIns="0">
                        <a:noAutofit/>
                      </wps:bodyPr>
                    </wps:wsp>
                  </a:graphicData>
                </a:graphic>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(2)</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6408" w:type="dxa"/>
        <w:jc w:val="left"/>
        <w:tblInd w:w="0" w:type="dxa"/>
        <w:tblLayout w:type="fixed"/>
        <w:tblCellMar>
          <w:top w:w="0" w:type="dxa"/>
          <w:left w:w="0" w:type="dxa"/>
          <w:bottom w:w="0" w:type="dxa"/>
          <w:right w:w="0" w:type="dxa"/>
        </w:tblCellMar>
      </w:tblPr>
      <w:tblGrid>
        <w:gridCol w:w="2011"/>
        <w:gridCol w:w="691"/>
        <w:gridCol w:w="3706"/>
      </w:tblGrid>
      <w:tr>
        <w:trPr/>
        <w:tc>
          <w:tcPr>
            <w:tcW w:w="2011" w:type="dxa"/>
            <w:tcBorders/>
            <w:vAlign w:val="center"/>
          </w:tcPr>
          <w:p>
            <w:pPr>
              <w:pStyle w:val="TableContents"/>
              <w:bidi w:val="0"/>
              <w:spacing w:before="0" w:after="283"/>
              <w:jc w:val="left"/>
              <w:rPr/>
            </w:pPr>
            <w:r>
              <w:rPr/>
              <w:t xml:space="preserve">  </w:t>
            </w:r>
          </w:p>
        </w:tc>
        <w:tc>
          <w:tcPr>
            <w:tcW w:w="691" w:type="dxa"/>
            <w:tcBorders/>
            <w:vAlign w:val="center"/>
          </w:tcPr>
          <w:p>
            <w:pPr>
              <w:pStyle w:val="TableContents"/>
              <w:bidi w:val="0"/>
              <w:spacing w:before="0" w:after="283"/>
              <w:jc w:val="left"/>
              <w:rPr/>
            </w:pPr>
            <w:r>
              <w:rPr/>
              <w:t xml:space="preserve">  </w:t>
            </w:r>
          </w:p>
        </w:tc>
        <w:tc>
          <w:tcPr>
            <w:tcW w:w="3706" w:type="dxa"/>
            <w:tcBorders/>
            <w:vAlign w:val="center"/>
          </w:tcPr>
          <w:p>
            <w:pPr>
              <w:pStyle w:val="TableContents"/>
              <w:bidi w:val="0"/>
              <w:spacing w:before="0" w:after="283"/>
              <w:jc w:val="left"/>
              <w:rPr/>
            </w:pPr>
            <w:r>
              <w:rPr/>
              <w:t xml:space="preserve">  </w:t>
            </w:r>
          </w:p>
        </w:tc>
      </w:tr>
      <w:tr>
        <w:trPr/>
        <w:tc>
          <w:tcPr>
            <w:tcW w:w="2011" w:type="dxa"/>
            <w:tcBorders/>
            <w:vAlign w:val="center"/>
          </w:tcPr>
          <w:p>
            <w:pPr>
              <w:pStyle w:val="TableContents"/>
              <w:bidi w:val="0"/>
              <w:spacing w:before="0" w:after="0"/>
              <w:jc w:val="left"/>
              <w:rPr/>
            </w:pPr>
            <w:r>
              <w:rPr>
                <w:color w:val="000000"/>
                <w:sz w:val="20"/>
              </w:rPr>
              <w:t>Date: August 14, 2026</w:t>
            </w:r>
            <w:r>
              <w:rPr/>
              <w:t xml:space="preserve"> </w:t>
            </w:r>
          </w:p>
        </w:tc>
        <w:tc>
          <w:tcPr>
            <w:tcW w:w="691" w:type="dxa"/>
            <w:tcBorders/>
            <w:vAlign w:val="center"/>
          </w:tcPr>
          <w:p>
            <w:pPr>
              <w:pStyle w:val="TableContents"/>
              <w:bidi w:val="0"/>
              <w:spacing w:before="0" w:after="0"/>
              <w:jc w:val="left"/>
              <w:rPr/>
            </w:pPr>
            <w:r>
              <w:rPr>
                <w:color w:val="000000"/>
              </w:rPr>
              <w:t> </w:t>
            </w:r>
            <w:r>
              <w:rPr/>
              <w:t xml:space="preserve"> </w:t>
            </w:r>
          </w:p>
        </w:tc>
        <w:tc>
          <w:tcPr>
            <w:tcW w:w="3706" w:type="dxa"/>
            <w:tcBorders>
              <w:bottom w:val="single" w:sz="12" w:space="0" w:color="000000"/>
            </w:tcBorders>
            <w:tcMar>
              <w:bottom w:w="28" w:type="dxa"/>
            </w:tcMar>
            <w:vAlign w:val="center"/>
          </w:tcPr>
          <w:p>
            <w:pPr>
              <w:pStyle w:val="TableContents"/>
              <w:bidi w:val="0"/>
              <w:spacing w:before="0" w:after="0"/>
              <w:jc w:val="left"/>
              <w:rPr/>
            </w:pPr>
            <w:r>
              <w:rPr>
                <w:color w:val="000000"/>
                <w:sz w:val="20"/>
              </w:rPr>
              <w:t>/s/ Jack W. Callicutt</w:t>
            </w:r>
            <w:r>
              <w:rPr/>
              <w:t xml:space="preserve"> </w:t>
            </w:r>
          </w:p>
        </w:tc>
      </w:tr>
      <w:tr>
        <w:trPr/>
        <w:tc>
          <w:tcPr>
            <w:tcW w:w="2011"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sz w:val="20"/>
              </w:rPr>
              <w:t>Name:</w:t>
            </w:r>
            <w:r>
              <w:rPr/>
              <w:t xml:space="preserve"> </w:t>
            </w:r>
          </w:p>
        </w:tc>
        <w:tc>
          <w:tcPr>
            <w:tcW w:w="3706" w:type="dxa"/>
            <w:tcBorders/>
            <w:vAlign w:val="center"/>
          </w:tcPr>
          <w:p>
            <w:pPr>
              <w:pStyle w:val="TableContents"/>
              <w:bidi w:val="0"/>
              <w:spacing w:before="0" w:after="0"/>
              <w:jc w:val="left"/>
              <w:rPr/>
            </w:pPr>
            <w:r>
              <w:rPr>
                <w:color w:val="000000"/>
                <w:sz w:val="20"/>
              </w:rPr>
              <w:t>Jack W. Callicutt</w:t>
            </w:r>
            <w:r>
              <w:rPr/>
              <w:t xml:space="preserve"> </w:t>
            </w:r>
          </w:p>
        </w:tc>
      </w:tr>
      <w:tr>
        <w:trPr/>
        <w:tc>
          <w:tcPr>
            <w:tcW w:w="2011"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sz w:val="20"/>
              </w:rPr>
              <w:t>Title:</w:t>
            </w:r>
            <w:r>
              <w:rPr/>
              <w:t xml:space="preserve"> </w:t>
            </w:r>
          </w:p>
        </w:tc>
        <w:tc>
          <w:tcPr>
            <w:tcW w:w="3706" w:type="dxa"/>
            <w:tcBorders/>
            <w:vAlign w:val="center"/>
          </w:tcPr>
          <w:p>
            <w:pPr>
              <w:pStyle w:val="TableContents"/>
              <w:bidi w:val="0"/>
              <w:spacing w:before="0" w:after="0"/>
              <w:jc w:val="left"/>
              <w:rPr/>
            </w:pPr>
            <w:r>
              <w:rPr>
                <w:color w:val="000000"/>
                <w:sz w:val="20"/>
              </w:rPr>
              <w:t>Chief Financial Officer</w:t>
            </w:r>
            <w:r>
              <w:rPr/>
              <w:t xml:space="preserve"> </w:t>
            </w:r>
          </w:p>
        </w:tc>
      </w:tr>
      <w:tr>
        <w:trPr/>
        <w:tc>
          <w:tcPr>
            <w:tcW w:w="2011"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rPr>
              <w:t> </w:t>
            </w:r>
            <w:r>
              <w:rPr/>
              <w:t xml:space="preserve"> </w:t>
            </w:r>
          </w:p>
        </w:tc>
        <w:tc>
          <w:tcPr>
            <w:tcW w:w="3706" w:type="dxa"/>
            <w:tcBorders/>
            <w:vAlign w:val="center"/>
          </w:tcPr>
          <w:p>
            <w:pPr>
              <w:pStyle w:val="TableContents"/>
              <w:bidi w:val="0"/>
              <w:spacing w:before="0" w:after="0"/>
              <w:jc w:val="left"/>
              <w:rPr/>
            </w:pPr>
            <w:r>
              <w:rPr>
                <w:color w:val="000000"/>
                <w:sz w:val="20"/>
              </w:rPr>
              <w:t>(principal financial and accounting officer)</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pPr>
      <w:r>
        <w:rPr>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20410</Words>
  <Characters>109556</Characters>
  <CharactersWithSpaces>133000</CharactersWithSpaces>
  <Paragraphs>5648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