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73025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14a-101)</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560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16"/>
        </w:trPr>
        <w:tc>
          <w:tcPr>
            <w:tcW w:w="2480" w:type="dxa"/>
            <w:vAlign w:val="bottom"/>
          </w:tcPr>
          <w:p>
            <w:pPr>
              <w:spacing w:after="0"/>
              <w:rPr>
                <w:sz w:val="18"/>
                <w:szCs w:val="18"/>
                <w:color w:val="auto"/>
              </w:rPr>
            </w:pPr>
          </w:p>
        </w:tc>
        <w:tc>
          <w:tcPr>
            <w:tcW w:w="560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34"/>
        </w:trPr>
        <w:tc>
          <w:tcPr>
            <w:tcW w:w="2480" w:type="dxa"/>
            <w:vAlign w:val="bottom"/>
          </w:tcPr>
          <w:p>
            <w:pPr>
              <w:spacing w:after="0"/>
              <w:rPr>
                <w:sz w:val="20"/>
                <w:szCs w:val="20"/>
                <w:color w:val="auto"/>
              </w:rPr>
            </w:pPr>
          </w:p>
        </w:tc>
        <w:tc>
          <w:tcPr>
            <w:tcW w:w="3240" w:type="dxa"/>
            <w:vAlign w:val="bottom"/>
            <w:gridSpan w:val="2"/>
          </w:tcPr>
          <w:p>
            <w:pPr>
              <w:ind w:left="1340"/>
              <w:spacing w:after="0"/>
              <w:rPr>
                <w:sz w:val="20"/>
                <w:szCs w:val="20"/>
                <w:color w:val="auto"/>
              </w:rPr>
            </w:pPr>
            <w:r>
              <w:rPr>
                <w:rFonts w:ascii="Arial" w:cs="Arial" w:eastAsia="Arial" w:hAnsi="Arial"/>
                <w:sz w:val="18"/>
                <w:szCs w:val="18"/>
                <w:b w:val="1"/>
                <w:bCs w:val="1"/>
                <w:color w:val="auto"/>
              </w:rPr>
              <w:t>(Amendment No.</w:t>
            </w:r>
          </w:p>
        </w:tc>
        <w:tc>
          <w:tcPr>
            <w:tcW w:w="2360" w:type="dxa"/>
            <w:vAlign w:val="bottom"/>
          </w:tcPr>
          <w:p>
            <w:pPr>
              <w:jc w:val="right"/>
              <w:ind w:right="2070"/>
              <w:spacing w:after="0"/>
              <w:rPr>
                <w:sz w:val="20"/>
                <w:szCs w:val="20"/>
                <w:color w:val="auto"/>
              </w:rPr>
            </w:pPr>
            <w:r>
              <w:rPr>
                <w:rFonts w:ascii="Arial" w:cs="Arial" w:eastAsia="Arial" w:hAnsi="Arial"/>
                <w:sz w:val="18"/>
                <w:szCs w:val="18"/>
                <w:b w:val="1"/>
                <w:bCs w:val="1"/>
                <w:color w:val="auto"/>
              </w:rPr>
              <w:t>)</w:t>
            </w:r>
          </w:p>
        </w:tc>
      </w:tr>
      <w:tr>
        <w:trPr>
          <w:trHeight w:val="148"/>
        </w:trPr>
        <w:tc>
          <w:tcPr>
            <w:tcW w:w="2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2360" w:type="dxa"/>
            <w:vAlign w:val="bottom"/>
          </w:tcPr>
          <w:p>
            <w:pPr>
              <w:spacing w:after="0"/>
              <w:rPr>
                <w:sz w:val="12"/>
                <w:szCs w:val="12"/>
                <w:color w:val="auto"/>
              </w:rPr>
            </w:pPr>
          </w:p>
        </w:tc>
      </w:tr>
      <w:tr>
        <w:trPr>
          <w:trHeight w:val="405"/>
        </w:trPr>
        <w:tc>
          <w:tcPr>
            <w:tcW w:w="248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1520" w:type="dxa"/>
            <w:vAlign w:val="bottom"/>
          </w:tcPr>
          <w:p>
            <w:pPr>
              <w:spacing w:after="0"/>
              <w:rPr>
                <w:sz w:val="24"/>
                <w:szCs w:val="24"/>
                <w:color w:val="auto"/>
              </w:rPr>
            </w:pPr>
          </w:p>
        </w:tc>
        <w:tc>
          <w:tcPr>
            <w:tcW w:w="408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58"/>
        </w:trPr>
        <w:tc>
          <w:tcPr>
            <w:tcW w:w="248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161"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1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w:t>
      </w:r>
    </w:p>
    <w:p>
      <w:pPr>
        <w:spacing w:after="0" w:line="46"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on which the filing fee is calculated and state how it was determined):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9"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563245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220345</wp:posOffset>
            </wp:positionV>
            <wp:extent cx="5666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-173355</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-610235</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-1047750</wp:posOffset>
            </wp:positionV>
            <wp:extent cx="5666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-2367915</wp:posOffset>
            </wp:positionV>
            <wp:extent cx="5666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-2804795</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-3242310</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-3816350</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-4253865</wp:posOffset>
            </wp:positionV>
            <wp:extent cx="5666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374650</wp:posOffset>
            </wp:positionV>
            <wp:extent cx="6172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426085</wp:posOffset>
            </wp:positionV>
            <wp:extent cx="617220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660"/>
          </w:cols>
          <w:pgMar w:left="1080" w:top="225" w:right="1159" w:bottom="754"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164592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October 12, 2021</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300" w:right="379" w:firstLine="36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You are cordially invited to attend the 2021 annual meeting of stockholders (the “2021 Annual Meeting”) of Galectin Therapeutics Inc. The meeting will be held on Friday, December 3, 2021 at 11:00 a.m., Eastern Standard Time. Due to the potential travel and other impacts of the coronavirus outbreak (COVID-19), Galectin Therapeutics is conducting the 2021 Annual Meeting via an online-only format. Stockholders will be able to listen, vote, and submit questions from their home or any remote location with internet connectivity. The 2021 Annual Meeting has been designed to provide the same rights to participate as you would have at an in-person meeting. Information on how to participate in this year’s virtual meeting can be found on page </w:t>
      </w:r>
      <w:hyperlink w:anchor="page53">
        <w:r>
          <w:rPr>
            <w:rFonts w:ascii="Arial" w:cs="Arial" w:eastAsia="Arial" w:hAnsi="Arial"/>
            <w:sz w:val="17"/>
            <w:szCs w:val="17"/>
            <w:u w:val="single" w:color="auto"/>
            <w:color w:val="0000EE"/>
          </w:rPr>
          <w:t>47</w:t>
        </w:r>
      </w:hyperlink>
      <w:r>
        <w:rPr>
          <w:rFonts w:ascii="Arial" w:cs="Arial" w:eastAsia="Arial" w:hAnsi="Arial"/>
          <w:sz w:val="17"/>
          <w:szCs w:val="17"/>
          <w:color w:val="auto"/>
        </w:rPr>
        <w: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will be held for the following purposes:</w:t>
      </w:r>
    </w:p>
    <w:p>
      <w:pPr>
        <w:spacing w:after="0" w:line="117" w:lineRule="exact"/>
        <w:rPr>
          <w:sz w:val="20"/>
          <w:szCs w:val="20"/>
          <w:color w:val="auto"/>
        </w:rPr>
      </w:pPr>
    </w:p>
    <w:p>
      <w:pPr>
        <w:ind w:left="1000" w:right="4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the eleven (11) nominees for director named in the accompanying proxy statement to hold office until the 2022 annual meeting of our stockholders.</w:t>
      </w:r>
    </w:p>
    <w:p>
      <w:pPr>
        <w:spacing w:after="0" w:line="62" w:lineRule="exact"/>
        <w:rPr>
          <w:rFonts w:ascii="Arial" w:cs="Arial" w:eastAsia="Arial" w:hAnsi="Arial"/>
          <w:sz w:val="18"/>
          <w:szCs w:val="18"/>
          <w:color w:val="auto"/>
        </w:rPr>
      </w:pPr>
    </w:p>
    <w:p>
      <w:pPr>
        <w:ind w:left="1000" w:right="61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ratify the selection by the Audit Committee of the Board of Directors of Cherry Bekaert LLP as our independent registered public accounting firm for the fiscal year ending December 31, 2021.</w:t>
      </w:r>
    </w:p>
    <w:p>
      <w:pPr>
        <w:spacing w:after="0" w:line="38" w:lineRule="exact"/>
        <w:rPr>
          <w:rFonts w:ascii="Arial" w:cs="Arial" w:eastAsia="Arial" w:hAnsi="Arial"/>
          <w:sz w:val="17"/>
          <w:szCs w:val="17"/>
          <w:color w:val="auto"/>
        </w:rPr>
      </w:pPr>
    </w:p>
    <w:p>
      <w:pPr>
        <w:ind w:left="1000" w:right="53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adopt and approve an amendment to our Restated Articles of Incorporation increasing the number of authorized common voting shares (“common stock”) from 100,000,000 to 150,000,000.</w:t>
      </w:r>
    </w:p>
    <w:p>
      <w:pPr>
        <w:spacing w:after="0" w:line="38" w:lineRule="exact"/>
        <w:rPr>
          <w:rFonts w:ascii="Arial" w:cs="Arial" w:eastAsia="Arial" w:hAnsi="Arial"/>
          <w:sz w:val="17"/>
          <w:szCs w:val="17"/>
          <w:color w:val="auto"/>
        </w:rPr>
      </w:pPr>
    </w:p>
    <w:p>
      <w:pPr>
        <w:ind w:left="1000" w:right="11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our 2019 Omnibus Equity Incentive Plan to reserve an additional 3,000,000 shares for issuance under the plan.</w:t>
      </w:r>
    </w:p>
    <w:p>
      <w:pPr>
        <w:spacing w:after="0" w:line="62" w:lineRule="exact"/>
        <w:rPr>
          <w:rFonts w:ascii="Arial" w:cs="Arial" w:eastAsia="Arial" w:hAnsi="Arial"/>
          <w:sz w:val="18"/>
          <w:szCs w:val="18"/>
          <w:color w:val="auto"/>
        </w:rPr>
      </w:pPr>
    </w:p>
    <w:p>
      <w:pPr>
        <w:ind w:left="1000" w:right="319" w:hanging="348"/>
        <w:spacing w:after="0" w:line="279"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authorize and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63" w:lineRule="exact"/>
        <w:rPr>
          <w:rFonts w:ascii="Arial" w:cs="Arial" w:eastAsia="Arial" w:hAnsi="Arial"/>
          <w:sz w:val="17"/>
          <w:szCs w:val="17"/>
          <w:color w:val="auto"/>
        </w:rPr>
      </w:pPr>
    </w:p>
    <w:p>
      <w:pPr>
        <w:ind w:left="1000" w:right="7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authorize the adjournment of the annual meeting if necessary or appropriate, including to solicit additional proxies if there are not sufficient votes at the time of the annual meeting or adjournment or postponement thereof to approve any of the foregoing proposals.</w:t>
      </w:r>
    </w:p>
    <w:p>
      <w:pPr>
        <w:spacing w:after="0" w:line="75"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of the 2021 Annual Meeting.</w:t>
      </w:r>
    </w:p>
    <w:p>
      <w:pPr>
        <w:spacing w:after="0" w:line="62"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Only holders of the Company’s Common Stock or Series A 12% Convertible Preferred Stock of record as of October 7, 2021 are entitled to notice of and to vote at the 2021 Annual Meeting. These items of business are more fully described in the proxy statement accompanying this letter.</w:t>
      </w:r>
    </w:p>
    <w:p>
      <w:pPr>
        <w:spacing w:after="0" w:line="76"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The Company is pleased to save costs and help protect the environment by using the “Notice and Access” method of delivery for its proxy materials. Instead of receiving paper copies of our proxy materials, including the Company’s Annual Report on Form 10-K for the year ended December 31, 2020 (the “Annual Report”), in the mail, stockholders will receive a Notice Regarding the Availability of Proxy Materials, which provides an internet website address where stockholders can access electronic copies of the proxy materials.</w:t>
      </w:r>
    </w:p>
    <w:p>
      <w:pPr>
        <w:spacing w:after="0" w:line="68" w:lineRule="exact"/>
        <w:rPr>
          <w:sz w:val="20"/>
          <w:szCs w:val="20"/>
          <w:color w:val="auto"/>
        </w:rPr>
      </w:pPr>
    </w:p>
    <w:p>
      <w:pPr>
        <w:ind w:left="300" w:right="419" w:firstLine="36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Your vote is very important. Regardless of whether you plan to attend the 2021 Annual Meeting, please promptly vote your shares. You may vote your shares over the internet. If you received a paper copy of a proxy or voting instruction card by mail, you may submit your proxy or voting instruction card for the 2021 Annual Meeting by completing, signing, dating and returning your proxy or voting instruction card in the pre-addressed envelope provided. For specific instructions on how to vote your shares, please refer to the section entitled Questions and Answers About the Annual Meeting and Voting Rights on page </w:t>
      </w:r>
      <w:hyperlink w:anchor="page9">
        <w:r>
          <w:rPr>
            <w:rFonts w:ascii="Arial" w:cs="Arial" w:eastAsia="Arial" w:hAnsi="Arial"/>
            <w:sz w:val="16"/>
            <w:szCs w:val="16"/>
            <w:u w:val="single" w:color="auto"/>
            <w:color w:val="0000EE"/>
          </w:rPr>
          <w:t>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41" w:lineRule="exact"/>
        <w:rPr>
          <w:sz w:val="20"/>
          <w:szCs w:val="20"/>
          <w:color w:val="auto"/>
        </w:rPr>
      </w:pPr>
    </w:p>
    <w:p>
      <w:pPr>
        <w:ind w:left="300" w:right="439" w:firstLine="360"/>
        <w:spacing w:after="0" w:line="308" w:lineRule="auto"/>
        <w:rPr>
          <w:sz w:val="20"/>
          <w:szCs w:val="20"/>
          <w:color w:val="auto"/>
        </w:rPr>
      </w:pPr>
      <w:r>
        <w:rPr>
          <w:rFonts w:ascii="Arial" w:cs="Arial" w:eastAsia="Arial" w:hAnsi="Arial"/>
          <w:sz w:val="17"/>
          <w:szCs w:val="17"/>
          <w:color w:val="auto"/>
        </w:rPr>
        <w:t>If you have any questions or need assistance voting your shares, please contact Kingsdale Advisors, our proxy solicitor, by calling 1-800-775-1986 or by emailing contactus@kingsdaleadvisors.com.</w:t>
      </w:r>
    </w:p>
    <w:p>
      <w:pPr>
        <w:spacing w:after="0" w:line="1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288925</wp:posOffset>
            </wp:positionV>
            <wp:extent cx="1097280" cy="419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9728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Joel Lewis</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Norcross, Georgia 30071</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THE 2021 ANNUAL MEETING OF STOCKHOLDERS</w:t>
      </w:r>
    </w:p>
    <w:p>
      <w:pPr>
        <w:sectPr>
          <w:pgSz w:w="11900" w:h="16838" w:orient="portrait"/>
          <w:cols w:equalWidth="0" w:num="1">
            <w:col w:w="9019"/>
          </w:cols>
          <w:pgMar w:left="1440" w:top="265" w:right="1440" w:bottom="1440" w:gutter="0" w:footer="0" w:header="0"/>
        </w:sectPr>
      </w:pPr>
    </w:p>
    <w:p>
      <w:pPr>
        <w:spacing w:after="0" w:line="19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11:00 a.m. Eastern Standard Time on Friday, December 3, 2021; Online access begins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10:45 a.m. on December 3, 2021.</w:t>
      </w:r>
    </w:p>
    <w:p>
      <w:pPr>
        <w:spacing w:after="0" w:line="200" w:lineRule="exact"/>
        <w:rPr>
          <w:sz w:val="20"/>
          <w:szCs w:val="20"/>
          <w:color w:val="auto"/>
        </w:rPr>
      </w:pPr>
    </w:p>
    <w:p>
      <w:pPr>
        <w:sectPr>
          <w:pgSz w:w="11900" w:h="16838" w:orient="portrait"/>
          <w:cols w:equalWidth="0" w:num="2">
            <w:col w:w="1280" w:space="720"/>
            <w:col w:w="7019"/>
          </w:cols>
          <w:pgMar w:left="1440" w:top="265" w:right="1440" w:bottom="1440" w:gutter="0" w:footer="0" w:header="0"/>
          <w:type w:val="continuous"/>
        </w:sect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619"/>
        <w:spacing w:after="0" w:line="308" w:lineRule="auto"/>
        <w:rPr>
          <w:sz w:val="20"/>
          <w:szCs w:val="20"/>
          <w:color w:val="auto"/>
        </w:rPr>
      </w:pPr>
      <w:r>
        <w:rPr>
          <w:rFonts w:ascii="Arial" w:cs="Arial" w:eastAsia="Arial" w:hAnsi="Arial"/>
          <w:sz w:val="17"/>
          <w:szCs w:val="17"/>
          <w:color w:val="auto"/>
        </w:rPr>
        <w:t>The Annual Meeting will be held virtually via the internet, at www.virtualshareholdermeeting.com/GALT2021.</w:t>
      </w:r>
    </w:p>
    <w:p>
      <w:pPr>
        <w:spacing w:after="0" w:line="200" w:lineRule="exact"/>
        <w:rPr>
          <w:sz w:val="20"/>
          <w:szCs w:val="20"/>
          <w:color w:val="auto"/>
        </w:rPr>
      </w:pPr>
    </w:p>
    <w:p>
      <w:pPr>
        <w:sectPr>
          <w:pgSz w:w="11900" w:h="16838" w:orient="portrait"/>
          <w:cols w:equalWidth="0" w:num="2">
            <w:col w:w="1280" w:space="720"/>
            <w:col w:w="7019"/>
          </w:cols>
          <w:pgMar w:left="1440" w:top="265" w:right="1440" w:bottom="1440" w:gutter="0" w:footer="0" w:header="0"/>
          <w:type w:val="continuous"/>
        </w:sectPr>
      </w:pPr>
    </w:p>
    <w:p>
      <w:pPr>
        <w:spacing w:after="0" w:line="158"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Items of Business: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719" w:hanging="399"/>
        <w:spacing w:after="0" w:line="342" w:lineRule="auto"/>
        <w:rPr>
          <w:sz w:val="20"/>
          <w:szCs w:val="20"/>
          <w:color w:val="auto"/>
        </w:rPr>
      </w:pPr>
      <w:r>
        <w:rPr>
          <w:rFonts w:ascii="Arial" w:cs="Arial" w:eastAsia="Arial" w:hAnsi="Arial"/>
          <w:sz w:val="16"/>
          <w:szCs w:val="16"/>
          <w:color w:val="auto"/>
        </w:rPr>
        <w:t>1.</w:t>
      </w:r>
      <w:r>
        <w:rPr>
          <w:sz w:val="20"/>
          <w:szCs w:val="20"/>
          <w:color w:val="auto"/>
        </w:rPr>
        <w:t xml:space="preserve"> </w:t>
      </w:r>
      <w:r>
        <w:rPr>
          <w:rFonts w:ascii="Arial" w:cs="Arial" w:eastAsia="Arial" w:hAnsi="Arial"/>
          <w:sz w:val="16"/>
          <w:szCs w:val="16"/>
          <w:color w:val="auto"/>
        </w:rPr>
        <w:t>To elect the eleven (11) nominees for director named in the proxy statement accompanying this Notice to serve until our 2022 annual meeting of stockholders.</w:t>
      </w:r>
    </w:p>
    <w:p>
      <w:pPr>
        <w:spacing w:after="0" w:line="200" w:lineRule="exact"/>
        <w:rPr>
          <w:sz w:val="20"/>
          <w:szCs w:val="20"/>
          <w:color w:val="auto"/>
        </w:rPr>
      </w:pPr>
    </w:p>
    <w:p>
      <w:pPr>
        <w:sectPr>
          <w:pgSz w:w="11900" w:h="16838" w:orient="portrait"/>
          <w:cols w:equalWidth="0" w:num="2">
            <w:col w:w="1680" w:space="720"/>
            <w:col w:w="6619"/>
          </w:cols>
          <w:pgMar w:left="1440" w:top="265" w:right="1440" w:bottom="1440" w:gutter="0" w:footer="0" w:header="0"/>
          <w:type w:val="continuous"/>
        </w:sectPr>
      </w:pPr>
    </w:p>
    <w:p>
      <w:pPr>
        <w:spacing w:after="0" w:line="140" w:lineRule="exact"/>
        <w:rPr>
          <w:sz w:val="20"/>
          <w:szCs w:val="20"/>
          <w:color w:val="auto"/>
        </w:rPr>
      </w:pPr>
    </w:p>
    <w:p>
      <w:pPr>
        <w:ind w:left="2400" w:right="539" w:hanging="394"/>
        <w:spacing w:after="0" w:line="263" w:lineRule="auto"/>
        <w:tabs>
          <w:tab w:leader="none" w:pos="2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2021.</w:t>
      </w:r>
    </w:p>
    <w:p>
      <w:pPr>
        <w:spacing w:after="0" w:line="399" w:lineRule="exact"/>
        <w:rPr>
          <w:rFonts w:ascii="Arial" w:cs="Arial" w:eastAsia="Arial" w:hAnsi="Arial"/>
          <w:sz w:val="18"/>
          <w:szCs w:val="18"/>
          <w:color w:val="auto"/>
        </w:rPr>
      </w:pPr>
    </w:p>
    <w:p>
      <w:pPr>
        <w:ind w:left="2400" w:right="579" w:hanging="394"/>
        <w:spacing w:after="0" w:line="263" w:lineRule="auto"/>
        <w:tabs>
          <w:tab w:leader="none" w:pos="2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100,000,000 to 150,000,000.</w:t>
      </w:r>
    </w:p>
    <w:p>
      <w:pPr>
        <w:spacing w:after="0" w:line="399" w:lineRule="exact"/>
        <w:rPr>
          <w:rFonts w:ascii="Arial" w:cs="Arial" w:eastAsia="Arial" w:hAnsi="Arial"/>
          <w:sz w:val="18"/>
          <w:szCs w:val="18"/>
          <w:color w:val="auto"/>
        </w:rPr>
      </w:pPr>
    </w:p>
    <w:p>
      <w:pPr>
        <w:ind w:left="2400" w:right="559" w:hanging="394"/>
        <w:spacing w:after="0" w:line="277" w:lineRule="auto"/>
        <w:tabs>
          <w:tab w:leader="none" w:pos="2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our 2019 Omnibus Equity Incentive Plan to reserve an additional 3,000,000 shares for issuance under the plan.</w:t>
      </w:r>
    </w:p>
    <w:p>
      <w:pPr>
        <w:spacing w:after="0" w:line="386" w:lineRule="exact"/>
        <w:rPr>
          <w:rFonts w:ascii="Arial" w:cs="Arial" w:eastAsia="Arial" w:hAnsi="Arial"/>
          <w:sz w:val="18"/>
          <w:szCs w:val="18"/>
          <w:color w:val="auto"/>
        </w:rPr>
      </w:pPr>
    </w:p>
    <w:p>
      <w:pPr>
        <w:ind w:left="2400" w:right="459" w:hanging="394"/>
        <w:spacing w:after="0" w:line="296" w:lineRule="auto"/>
        <w:tabs>
          <w:tab w:leader="none" w:pos="2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authorize and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377" w:lineRule="exact"/>
        <w:rPr>
          <w:rFonts w:ascii="Arial" w:cs="Arial" w:eastAsia="Arial" w:hAnsi="Arial"/>
          <w:sz w:val="16"/>
          <w:szCs w:val="16"/>
          <w:color w:val="auto"/>
        </w:rPr>
      </w:pPr>
    </w:p>
    <w:p>
      <w:pPr>
        <w:ind w:left="2400" w:right="419" w:hanging="394"/>
        <w:spacing w:after="0" w:line="259" w:lineRule="auto"/>
        <w:tabs>
          <w:tab w:leader="none" w:pos="2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authorize the adjournment of the annual meeting if necessary or appropriate, including to solicit additional proxies if there are not sufficient votes at the time of the annual meeting or adjournment or postponement thereof to approve any of the foregoing proposals.</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2400" w:right="859" w:hanging="394"/>
        <w:spacing w:after="0" w:line="277" w:lineRule="auto"/>
        <w:tabs>
          <w:tab w:leader="none" w:pos="2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of the 2021 Annual Meeting.</w:t>
      </w:r>
    </w:p>
    <w:p>
      <w:pPr>
        <w:spacing w:after="0" w:line="382" w:lineRule="exact"/>
        <w:rPr>
          <w:sz w:val="20"/>
          <w:szCs w:val="20"/>
          <w:color w:val="auto"/>
        </w:rPr>
      </w:pPr>
    </w:p>
    <w:p>
      <w:pPr>
        <w:ind w:left="2000" w:right="339" w:hanging="1713"/>
        <w:spacing w:after="0" w:line="308" w:lineRule="auto"/>
        <w:tabs>
          <w:tab w:leader="none" w:pos="1980" w:val="left"/>
        </w:tabs>
        <w:rPr>
          <w:sz w:val="20"/>
          <w:szCs w:val="20"/>
          <w:color w:val="auto"/>
        </w:rPr>
      </w:pPr>
      <w:r>
        <w:rPr>
          <w:rFonts w:ascii="Arial" w:cs="Arial" w:eastAsia="Arial" w:hAnsi="Arial"/>
          <w:sz w:val="18"/>
          <w:szCs w:val="18"/>
          <w:b w:val="1"/>
          <w:bCs w:val="1"/>
          <w:color w:val="auto"/>
        </w:rPr>
        <w:t>Who Can Vote:</w:t>
      </w:r>
      <w:r>
        <w:rPr>
          <w:sz w:val="20"/>
          <w:szCs w:val="20"/>
          <w:color w:val="auto"/>
        </w:rPr>
        <w:tab/>
      </w:r>
      <w:r>
        <w:rPr>
          <w:rFonts w:ascii="Arial" w:cs="Arial" w:eastAsia="Arial" w:hAnsi="Arial"/>
          <w:sz w:val="17"/>
          <w:szCs w:val="17"/>
          <w:color w:val="auto"/>
        </w:rPr>
        <w:t>You can vote if you were a stockholder of record of our Common Stock or our Series A 12% Convertible Preferred Stock, as of the close of business on October 7, 2021.</w:t>
      </w:r>
    </w:p>
    <w:p>
      <w:pPr>
        <w:spacing w:after="0" w:line="362" w:lineRule="exact"/>
        <w:rPr>
          <w:sz w:val="20"/>
          <w:szCs w:val="20"/>
          <w:color w:val="auto"/>
        </w:rPr>
      </w:pPr>
    </w:p>
    <w:p>
      <w:pPr>
        <w:ind w:left="2000" w:right="579" w:hanging="1713"/>
        <w:spacing w:after="0" w:line="311" w:lineRule="auto"/>
        <w:tabs>
          <w:tab w:leader="none" w:pos="1980" w:val="left"/>
        </w:tabs>
        <w:rPr>
          <w:sz w:val="20"/>
          <w:szCs w:val="20"/>
          <w:color w:val="auto"/>
        </w:rPr>
      </w:pPr>
      <w:r>
        <w:rPr>
          <w:rFonts w:ascii="Arial" w:cs="Arial" w:eastAsia="Arial" w:hAnsi="Arial"/>
          <w:sz w:val="18"/>
          <w:szCs w:val="18"/>
          <w:b w:val="1"/>
          <w:bCs w:val="1"/>
          <w:color w:val="auto"/>
        </w:rPr>
        <w:t>Proxy Materials:</w:t>
      </w:r>
      <w:r>
        <w:rPr>
          <w:sz w:val="20"/>
          <w:szCs w:val="20"/>
          <w:color w:val="auto"/>
        </w:rPr>
        <w:tab/>
      </w:r>
      <w:r>
        <w:rPr>
          <w:rFonts w:ascii="Arial" w:cs="Arial" w:eastAsia="Arial" w:hAnsi="Arial"/>
          <w:sz w:val="16"/>
          <w:szCs w:val="16"/>
          <w:color w:val="auto"/>
        </w:rPr>
        <w:t xml:space="preserve">You may access our Annual Report and this Notice and proxy statement at </w:t>
      </w: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and on our website at</w:t>
      </w:r>
      <w:r>
        <w:rPr>
          <w:rFonts w:ascii="Arial" w:cs="Arial" w:eastAsia="Arial" w:hAnsi="Arial"/>
          <w:sz w:val="16"/>
          <w:szCs w:val="16"/>
          <w:i w:val="1"/>
          <w:iCs w:val="1"/>
          <w:color w:val="auto"/>
        </w:rPr>
        <w:t xml:space="preserve"> www.galectintherapeutics.com. </w:t>
      </w:r>
      <w:r>
        <w:rPr>
          <w:rFonts w:ascii="Arial" w:cs="Arial" w:eastAsia="Arial" w:hAnsi="Arial"/>
          <w:sz w:val="16"/>
          <w:szCs w:val="16"/>
          <w:color w:val="auto"/>
        </w:rPr>
        <w:t>Instructions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how to obtain a paper copies of the proxy materials are on page 0 of this notice.</w:t>
      </w:r>
    </w:p>
    <w:p>
      <w:pPr>
        <w:spacing w:after="0" w:line="365" w:lineRule="exact"/>
        <w:rPr>
          <w:sz w:val="20"/>
          <w:szCs w:val="20"/>
          <w:color w:val="auto"/>
        </w:rPr>
      </w:pPr>
    </w:p>
    <w:p>
      <w:pPr>
        <w:ind w:left="2000" w:right="679" w:hanging="1713"/>
        <w:spacing w:after="0" w:line="277" w:lineRule="auto"/>
        <w:tabs>
          <w:tab w:leader="none" w:pos="1980" w:val="left"/>
        </w:tabs>
        <w:rPr>
          <w:sz w:val="20"/>
          <w:szCs w:val="20"/>
          <w:color w:val="auto"/>
        </w:rPr>
      </w:pPr>
      <w:r>
        <w:rPr>
          <w:rFonts w:ascii="Arial" w:cs="Arial" w:eastAsia="Arial" w:hAnsi="Arial"/>
          <w:sz w:val="18"/>
          <w:szCs w:val="18"/>
          <w:b w:val="1"/>
          <w:bCs w:val="1"/>
          <w:color w:val="auto"/>
        </w:rPr>
        <w:t>Date of Mailing:</w:t>
      </w:r>
      <w:r>
        <w:rPr>
          <w:sz w:val="20"/>
          <w:szCs w:val="20"/>
          <w:color w:val="auto"/>
        </w:rPr>
        <w:tab/>
      </w:r>
      <w:r>
        <w:rPr>
          <w:rFonts w:ascii="Arial" w:cs="Arial" w:eastAsia="Arial" w:hAnsi="Arial"/>
          <w:sz w:val="18"/>
          <w:szCs w:val="18"/>
          <w:color w:val="auto"/>
        </w:rPr>
        <w:t>This Notice, the proxy statement and the form of proxy are first being made available to stockholders on or about October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128270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439"/>
        <w:spacing w:after="0" w:line="266" w:lineRule="auto"/>
        <w:rPr>
          <w:sz w:val="20"/>
          <w:szCs w:val="20"/>
          <w:color w:val="auto"/>
        </w:rPr>
      </w:pPr>
      <w:r>
        <w:rPr>
          <w:rFonts w:ascii="Arial" w:cs="Arial" w:eastAsia="Arial" w:hAnsi="Arial"/>
          <w:sz w:val="18"/>
          <w:szCs w:val="18"/>
          <w:b w:val="1"/>
          <w:bCs w:val="1"/>
          <w:color w:val="auto"/>
        </w:rPr>
        <w:t>WHETHER OR NOT YOU EXPECT TO ATTEND THE ANNUAL MEETING, PLEASE SUBMIT PROMPTLY VOTE YOUR SHARES BY FOLLOWING THE INSTRUCTIONS ON THE NOTICE CARD OR PROXY CARD.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 the Annual Meeting to be Held December 3, 2021.</w:t>
      </w:r>
    </w:p>
    <w:p>
      <w:pPr>
        <w:spacing w:after="0" w:line="99" w:lineRule="exact"/>
        <w:rPr>
          <w:sz w:val="20"/>
          <w:szCs w:val="20"/>
          <w:color w:val="auto"/>
        </w:rPr>
      </w:pPr>
    </w:p>
    <w:p>
      <w:pPr>
        <w:ind w:left="300" w:right="439" w:firstLine="360"/>
        <w:spacing w:after="0" w:line="282" w:lineRule="auto"/>
        <w:rPr>
          <w:sz w:val="20"/>
          <w:szCs w:val="20"/>
          <w:color w:val="auto"/>
        </w:rPr>
      </w:pPr>
      <w:r>
        <w:rPr>
          <w:rFonts w:ascii="Arial" w:cs="Arial" w:eastAsia="Arial" w:hAnsi="Arial"/>
          <w:sz w:val="18"/>
          <w:szCs w:val="18"/>
          <w:b w:val="1"/>
          <w:bCs w:val="1"/>
          <w:color w:val="auto"/>
        </w:rPr>
        <w:t>The Letter to Stockholders, Notice of Meeting, Proxy Statement, and Annual Report on Form 10-K, are available at: www.proxyvote.com</w:t>
      </w:r>
    </w:p>
    <w:p>
      <w:pPr>
        <w:spacing w:after="0" w:line="1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83185</wp:posOffset>
            </wp:positionV>
            <wp:extent cx="1156970" cy="368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69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Jack W. Callicutt</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6980" w:type="dxa"/>
            <w:vAlign w:val="bottom"/>
            <w:tcBorders>
              <w:bottom w:val="single" w:sz="8" w:color="0000EE"/>
            </w:tcBorders>
            <w:gridSpan w:val="22"/>
            <w:shd w:val="clear" w:color="auto" w:fill="CCEEFF"/>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PROXY STATEMENT FOR 2021 ANNUAL MEETING OF STOCKHOLDERS To Be Held on</w:t>
              </w:r>
            </w:hyperlink>
          </w:p>
        </w:tc>
        <w:tc>
          <w:tcPr>
            <w:tcW w:w="1140" w:type="dxa"/>
            <w:vAlign w:val="bottom"/>
            <w:tcBorders>
              <w:bottom w:val="single" w:sz="8" w:color="CCEEFF"/>
            </w:tcBorders>
            <w:gridSpan w:val="9"/>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940" w:type="dxa"/>
            <w:vAlign w:val="bottom"/>
            <w:gridSpan w:val="30"/>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December 3, 2021</w:t>
              </w:r>
            </w:hyperlink>
          </w:p>
        </w:tc>
        <w:tc>
          <w:tcPr>
            <w:tcW w:w="300" w:type="dxa"/>
            <w:vAlign w:val="bottom"/>
            <w:tcBorders>
              <w:right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3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QUESTIONS AND ANSWERS ABOUT THE ANNUAL MEETING AND VOTING</w:t>
              </w:r>
            </w:hyperlink>
          </w:p>
        </w:tc>
        <w:tc>
          <w:tcPr>
            <w:tcW w:w="300" w:type="dxa"/>
            <w:vAlign w:val="bottom"/>
            <w:gridSpan w:val="3"/>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31"/>
            <w:shd w:val="clear" w:color="auto" w:fill="CCEEFF"/>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SECURITY OWNERSHIP OF CERTAIN BENEFICIAL OWNERS AND MANAGEMENT</w:t>
              </w:r>
            </w:hyperlink>
          </w:p>
        </w:tc>
        <w:tc>
          <w:tcPr>
            <w:tcW w:w="30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8</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3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SECTION 16(a) BENEFICIAL OWNERSHIP REPORTING COMPLIANCE</w:t>
              </w:r>
            </w:hyperlink>
          </w:p>
        </w:tc>
        <w:tc>
          <w:tcPr>
            <w:tcW w:w="300" w:type="dxa"/>
            <w:vAlign w:val="bottom"/>
            <w:gridSpan w:val="3"/>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10</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31"/>
            <w:shd w:val="clear" w:color="auto" w:fill="CCEEFF"/>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PROPOSAL NO. 1 ELECTION OF DIRECTORS</w:t>
              </w:r>
            </w:hyperlink>
          </w:p>
        </w:tc>
        <w:tc>
          <w:tcPr>
            <w:tcW w:w="30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3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EXECUTIVE OFFICERS</w:t>
              </w:r>
            </w:hyperlink>
          </w:p>
        </w:tc>
        <w:tc>
          <w:tcPr>
            <w:tcW w:w="300" w:type="dxa"/>
            <w:vAlign w:val="bottom"/>
            <w:gridSpan w:val="3"/>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31"/>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CORPORATE GOVERNANCE</w:t>
              </w:r>
            </w:hyperlink>
          </w:p>
        </w:tc>
        <w:tc>
          <w:tcPr>
            <w:tcW w:w="30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3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DIRECTOR COMPENSATION</w:t>
              </w:r>
            </w:hyperlink>
          </w:p>
        </w:tc>
        <w:tc>
          <w:tcPr>
            <w:tcW w:w="300" w:type="dxa"/>
            <w:vAlign w:val="bottom"/>
            <w:gridSpan w:val="3"/>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22</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31"/>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30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25</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3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SUMMARY COMPENSATION TABLE</w:t>
              </w:r>
            </w:hyperlink>
          </w:p>
        </w:tc>
        <w:tc>
          <w:tcPr>
            <w:tcW w:w="300" w:type="dxa"/>
            <w:vAlign w:val="bottom"/>
            <w:gridSpan w:val="3"/>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31"/>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OUTSTANDING EQUITY AWARDS AT FISCAL YEAR-END 2020</w:t>
              </w:r>
            </w:hyperlink>
          </w:p>
        </w:tc>
        <w:tc>
          <w:tcPr>
            <w:tcW w:w="30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3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PROPOSAL NO. 2 RATIFICATION OF APPOINTMENT OF INDEPENDENT AUDITORS</w:t>
              </w:r>
            </w:hyperlink>
          </w:p>
        </w:tc>
        <w:tc>
          <w:tcPr>
            <w:tcW w:w="300" w:type="dxa"/>
            <w:vAlign w:val="bottom"/>
            <w:gridSpan w:val="3"/>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31"/>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FEES PAID TO CHERRY BEKAERT LLP</w:t>
              </w:r>
            </w:hyperlink>
          </w:p>
        </w:tc>
        <w:tc>
          <w:tcPr>
            <w:tcW w:w="30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768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PROPOSAL NO. 3 TO ADOPT AND APPROVE AN AMENDMENT TO OUR RESTATED ARTICLES</w:t>
              </w:r>
            </w:hyperlink>
          </w:p>
        </w:tc>
        <w:tc>
          <w:tcPr>
            <w:tcW w:w="4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OF INCORPORATION INCREASING THE NUMBER OF AUTHORIZED COMMON STOCK</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FROM 100,000,000 TO 150,000,000</w:t>
              </w:r>
            </w:hyperlink>
          </w:p>
        </w:tc>
        <w:tc>
          <w:tcPr>
            <w:tcW w:w="900" w:type="dxa"/>
            <w:vAlign w:val="bottom"/>
            <w:gridSpan w:val="7"/>
          </w:tcPr>
          <w:p>
            <w:pPr>
              <w:spacing w:after="0"/>
              <w:rPr>
                <w:sz w:val="17"/>
                <w:szCs w:val="17"/>
                <w:color w:val="auto"/>
              </w:rPr>
            </w:pPr>
          </w:p>
        </w:tc>
        <w:tc>
          <w:tcPr>
            <w:tcW w:w="300" w:type="dxa"/>
            <w:vAlign w:val="bottom"/>
            <w:gridSpan w:val="3"/>
          </w:tcPr>
          <w:p>
            <w:pPr>
              <w:jc w:val="right"/>
              <w:ind w:righ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37</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31"/>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PROPOSAL NO. 4 TO APPROVE AN AMENDMENT TO OUR 2019 OMNIBUS EQUITY INCENTIVE</w:t>
              </w:r>
            </w:hyperlink>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580" w:type="dxa"/>
            <w:vAlign w:val="bottom"/>
            <w:tcBorders>
              <w:top w:val="single" w:sz="8" w:color="0000EE"/>
            </w:tcBorders>
            <w:gridSpan w:val="29"/>
            <w:shd w:val="clear" w:color="auto" w:fill="CCEEFF"/>
          </w:tcPr>
          <w:p>
            <w:pPr>
              <w:spacing w:after="0" w:line="196"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PLAN TO RESERVE AN ADDITIONAL 3,000,000 SHARES FOR ISSUANCE UNDER THE PLAN</w:t>
              </w:r>
            </w:hyperlink>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38</w:t>
              </w:r>
            </w:hyperlink>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732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PROPOSAL NO. 5 TO AUTHORIZE AND APPROVE, FOR PURPOSES OF COMPLYING WITH</w:t>
              </w:r>
            </w:hyperlink>
          </w:p>
        </w:tc>
        <w:tc>
          <w:tcPr>
            <w:tcW w:w="800" w:type="dxa"/>
            <w:vAlign w:val="bottom"/>
            <w:gridSpan w:val="6"/>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NASDAQ LISTING RULE 5635, THE ISSUANCE OF UP TO 7,645,268 SHARES OF OUR</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COMMON STOCK UPON CONVERSION, EXCHANGE OR OTHERWISE OF PRINCIPAL AND</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ACCRUED INTEREST TO RICHARD E. UIHLEIN, OUR CHAIRMAN OF THE BOARD OF</w:t>
              </w:r>
            </w:hyperlink>
          </w:p>
        </w:tc>
        <w:tc>
          <w:tcPr>
            <w:tcW w:w="320" w:type="dxa"/>
            <w:vAlign w:val="bottom"/>
            <w:tcBorders>
              <w:top w:val="single" w:sz="8" w:color="0000EE"/>
            </w:tcBorders>
            <w:gridSpan w:val="3"/>
          </w:tcPr>
          <w:p>
            <w:pPr>
              <w:spacing w:after="0"/>
              <w:rPr>
                <w:sz w:val="17"/>
                <w:szCs w:val="17"/>
                <w:color w:val="auto"/>
              </w:rPr>
            </w:pPr>
          </w:p>
        </w:tc>
        <w:tc>
          <w:tcPr>
            <w:tcW w:w="64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DIRECTORS, PURSUANT TO THE TERMS OF CERTAIN USECURED CONVERTIBLE NOTES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 xml:space="preserve">AGGREGATING </w:t>
              </w:r>
              <w:r>
                <w:rPr>
                  <w:rFonts w:ascii="Arial" w:cs="Arial" w:eastAsia="Arial" w:hAnsi="Arial"/>
                  <w:sz w:val="18"/>
                  <w:szCs w:val="18"/>
                  <w:u w:val="single" w:color="auto"/>
                  <w:color w:val="0000EE"/>
                </w:rPr>
                <w:t>$</w:t>
              </w:r>
              <w:r>
                <w:rPr>
                  <w:rFonts w:ascii="Arial" w:cs="Arial" w:eastAsia="Arial" w:hAnsi="Arial"/>
                  <w:sz w:val="18"/>
                  <w:szCs w:val="18"/>
                  <w:color w:val="0000EE"/>
                </w:rPr>
                <w:t>30,000,000 AND THE RELATED ACCRUED INTEREST</w:t>
              </w:r>
            </w:hyperlink>
          </w:p>
        </w:tc>
        <w:tc>
          <w:tcPr>
            <w:tcW w:w="620" w:type="dxa"/>
            <w:vAlign w:val="bottom"/>
            <w:gridSpan w:val="4"/>
          </w:tcPr>
          <w:p>
            <w:pPr>
              <w:spacing w:after="0"/>
              <w:rPr>
                <w:sz w:val="17"/>
                <w:szCs w:val="17"/>
                <w:color w:val="auto"/>
              </w:rPr>
            </w:pPr>
          </w:p>
        </w:tc>
        <w:tc>
          <w:tcPr>
            <w:tcW w:w="300" w:type="dxa"/>
            <w:vAlign w:val="bottom"/>
            <w:gridSpan w:val="3"/>
          </w:tcPr>
          <w:p>
            <w:pPr>
              <w:jc w:val="right"/>
              <w:ind w:righ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42</w:t>
              </w:r>
            </w:hyperlink>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31"/>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PROPOSAL NO. 6 ADJOURNMENT OF THE 2021 ANNUAL MEETING</w:t>
              </w:r>
            </w:hyperlink>
          </w:p>
        </w:tc>
        <w:tc>
          <w:tcPr>
            <w:tcW w:w="30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44</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3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PROPOSALS OF STOCKHOLDERS</w:t>
              </w:r>
            </w:hyperlink>
          </w:p>
        </w:tc>
        <w:tc>
          <w:tcPr>
            <w:tcW w:w="30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45</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31"/>
            <w:shd w:val="clear" w:color="auto" w:fill="CCEEFF"/>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ANNUAL REPORT</w:t>
              </w:r>
            </w:hyperlink>
          </w:p>
        </w:tc>
        <w:tc>
          <w:tcPr>
            <w:tcW w:w="30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3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HOW TO ATTEND THE 2021 ANNUAL MEETING</w:t>
              </w:r>
            </w:hyperlink>
          </w:p>
        </w:tc>
        <w:tc>
          <w:tcPr>
            <w:tcW w:w="30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47</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31"/>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Appendix A</w:t>
              </w:r>
            </w:hyperlink>
          </w:p>
        </w:tc>
        <w:tc>
          <w:tcPr>
            <w:tcW w:w="300" w:type="dxa"/>
            <w:vAlign w:val="bottom"/>
            <w:tcBorders>
              <w:right w:val="single" w:sz="8" w:color="CCEEFF"/>
            </w:tcBorders>
            <w:gridSpan w:val="3"/>
            <w:shd w:val="clear" w:color="auto" w:fill="CCEEFF"/>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A-1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3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Appendix B</w:t>
              </w:r>
            </w:hyperlink>
          </w:p>
        </w:tc>
        <w:tc>
          <w:tcPr>
            <w:tcW w:w="1600" w:type="dxa"/>
            <w:vAlign w:val="bottom"/>
            <w:gridSpan w:val="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B-1</w:t>
              </w:r>
            </w:hyperlink>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680" w:type="dxa"/>
            <w:vAlign w:val="bottom"/>
            <w:tcBorders>
              <w:top w:val="single" w:sz="8" w:color="0000EE"/>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-5897245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Norcross, Georgia 30071</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December 3, 2021</w:t>
      </w:r>
    </w:p>
    <w:p>
      <w:pPr>
        <w:spacing w:after="0" w:line="103" w:lineRule="exact"/>
        <w:rPr>
          <w:sz w:val="20"/>
          <w:szCs w:val="20"/>
          <w:color w:val="auto"/>
        </w:rPr>
      </w:pPr>
    </w:p>
    <w:p>
      <w:pPr>
        <w:ind w:left="300" w:right="339" w:firstLine="36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This proxy statement contains information about the 2021 annual meeting of stockholders (“2021 Annual Meeting”) of Galectin Therapeutics Inc. (referred to in this proxy statement as “Galectin”, “Galectin Therapeutics”, “the Company”, “we”, “our” or “us”). The 2021 Annual Meeting will be held virtually over the internet on Friday, December 3, 2021, beginning at 11:00 a.m. Eastern Standard Time, at www.virtualshareholdermeeting.com/GALT2021. Online access begins at 10:45 a.m. on the date of the 2021 Annual Meeting. Due to the potential travel and other impacts of the coronavirus outbreak (COVID-19), the Company is conducting an online-only format for the 2021 annual meeting. Stockholders will be able to listen, vote, and submit questions from their home or any remote location with internet connectivity. The 2021 Annual Meeting has been designed to provide the same rights to participate as you would have at an in-person meeting. Information on how to participate in this year’s virtual meeting can be found on page </w:t>
      </w:r>
      <w:hyperlink w:anchor="page53">
        <w:r>
          <w:rPr>
            <w:rFonts w:ascii="Arial" w:cs="Arial" w:eastAsia="Arial" w:hAnsi="Arial"/>
            <w:sz w:val="17"/>
            <w:szCs w:val="17"/>
            <w:u w:val="single" w:color="auto"/>
            <w:color w:val="0000EE"/>
          </w:rPr>
          <w:t>47</w:t>
        </w:r>
      </w:hyperlink>
      <w:r>
        <w:rPr>
          <w:rFonts w:ascii="Arial" w:cs="Arial" w:eastAsia="Arial" w:hAnsi="Arial"/>
          <w:sz w:val="17"/>
          <w:szCs w:val="17"/>
          <w:color w:val="auto"/>
        </w:rPr>
        <w:t>.</w:t>
      </w:r>
    </w:p>
    <w:p>
      <w:pPr>
        <w:spacing w:after="0" w:line="77" w:lineRule="exact"/>
        <w:rPr>
          <w:sz w:val="20"/>
          <w:szCs w:val="20"/>
          <w:color w:val="auto"/>
        </w:rPr>
      </w:pPr>
    </w:p>
    <w:p>
      <w:pPr>
        <w:ind w:left="300" w:right="539" w:firstLine="360"/>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2021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79"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These proxy materials, together with our Annual Report to stockholders on Form 10-K for our 2020 fiscal year, are first being made available to stockholders on or about October 12, 2021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80" w:lineRule="exact"/>
        <w:rPr>
          <w:sz w:val="20"/>
          <w:szCs w:val="20"/>
          <w:color w:val="auto"/>
        </w:rPr>
      </w:pPr>
    </w:p>
    <w:p>
      <w:pPr>
        <w:jc w:val="both"/>
        <w:ind w:left="300" w:right="479" w:firstLine="360"/>
        <w:spacing w:after="0" w:line="286" w:lineRule="auto"/>
        <w:rPr>
          <w:sz w:val="20"/>
          <w:szCs w:val="20"/>
          <w:color w:val="auto"/>
        </w:rPr>
      </w:pPr>
      <w:r>
        <w:rPr>
          <w:rFonts w:ascii="Arial" w:cs="Arial" w:eastAsia="Arial" w:hAnsi="Arial"/>
          <w:sz w:val="17"/>
          <w:szCs w:val="17"/>
          <w:color w:val="auto"/>
        </w:rPr>
        <w:t>If you have questions about the proposals to be voted on at the 2021 Annual Meeting or this proxy statement, would like additional copies of this proxy statement/prospectus, or need to obtain proxy cards or other information related to the proxy solicitation, please contact Kingsdale Advisors, our proxy solicitor at: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Kingsdale Advisors</w:t>
      </w:r>
    </w:p>
    <w:p>
      <w:pPr>
        <w:jc w:val="center"/>
        <w:ind w:right="19"/>
        <w:spacing w:after="0" w:line="186" w:lineRule="auto"/>
        <w:rPr>
          <w:sz w:val="20"/>
          <w:szCs w:val="20"/>
          <w:color w:val="auto"/>
        </w:rPr>
      </w:pPr>
      <w:r>
        <w:rPr>
          <w:rFonts w:ascii="Arial" w:cs="Arial" w:eastAsia="Arial" w:hAnsi="Arial"/>
          <w:sz w:val="17"/>
          <w:szCs w:val="17"/>
          <w:color w:val="auto"/>
        </w:rPr>
        <w:t>745 Fifth Avenue, 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jc w:val="center"/>
        <w:ind w:right="19"/>
        <w:spacing w:after="0"/>
        <w:rPr>
          <w:sz w:val="20"/>
          <w:szCs w:val="20"/>
          <w:color w:val="auto"/>
        </w:rPr>
      </w:pPr>
      <w:r>
        <w:rPr>
          <w:rFonts w:ascii="Arial" w:cs="Arial" w:eastAsia="Arial" w:hAnsi="Arial"/>
          <w:sz w:val="18"/>
          <w:szCs w:val="18"/>
          <w:color w:val="auto"/>
        </w:rPr>
        <w:t>New York, NY 10151</w:t>
      </w:r>
    </w:p>
    <w:p>
      <w:pPr>
        <w:spacing w:after="0" w:line="7" w:lineRule="exact"/>
        <w:rPr>
          <w:sz w:val="20"/>
          <w:szCs w:val="20"/>
          <w:color w:val="auto"/>
        </w:rPr>
      </w:pPr>
    </w:p>
    <w:p>
      <w:pPr>
        <w:ind w:left="960"/>
        <w:spacing w:after="0"/>
        <w:tabs>
          <w:tab w:leader="none" w:pos="4780" w:val="left"/>
        </w:tabs>
        <w:rPr>
          <w:sz w:val="20"/>
          <w:szCs w:val="20"/>
          <w:color w:val="auto"/>
        </w:rPr>
      </w:pPr>
      <w:r>
        <w:rPr>
          <w:rFonts w:ascii="Arial" w:cs="Arial" w:eastAsia="Arial" w:hAnsi="Arial"/>
          <w:sz w:val="18"/>
          <w:szCs w:val="18"/>
          <w:color w:val="auto"/>
        </w:rPr>
        <w:t>Banks and Brokerage Firms Call: 416-867-2272</w:t>
      </w:r>
      <w:r>
        <w:rPr>
          <w:sz w:val="20"/>
          <w:szCs w:val="20"/>
          <w:color w:val="auto"/>
        </w:rPr>
        <w:tab/>
      </w:r>
      <w:r>
        <w:rPr>
          <w:rFonts w:ascii="Arial" w:cs="Arial" w:eastAsia="Arial" w:hAnsi="Arial"/>
          <w:sz w:val="16"/>
          <w:szCs w:val="16"/>
          <w:color w:val="auto"/>
        </w:rPr>
        <w:t>Shareholders Call Toll Free: 1-800-775-1986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contactus@kingsdaleadvisors.com</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Instructions on How to Attend the 2021 Annual Meeting</w:t>
      </w:r>
    </w:p>
    <w:p>
      <w:pPr>
        <w:spacing w:after="0" w:line="12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This year our annual meeting will be a virtual online-only meeting. There will be no physical meeting location. The meeting will only be conducted via live webcast. To participate in the 2021 Annual Meeting, visit www.virtualshareholdermeeting.com/GALT2021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2021. The meeting will begin promptly at 11:00 a.m. Eastern Standard Time on December 3, 2021.</w:t>
      </w:r>
    </w:p>
    <w:p>
      <w:pPr>
        <w:spacing w:after="0" w:line="56"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80" w:lineRule="exact"/>
        <w:rPr>
          <w:sz w:val="20"/>
          <w:szCs w:val="20"/>
          <w:color w:val="auto"/>
        </w:rPr>
      </w:pPr>
    </w:p>
    <w:p>
      <w:pPr>
        <w:ind w:left="300" w:right="479" w:firstLine="360"/>
        <w:spacing w:after="0" w:line="279" w:lineRule="auto"/>
        <w:rPr>
          <w:sz w:val="20"/>
          <w:szCs w:val="20"/>
          <w:color w:val="auto"/>
        </w:rPr>
      </w:pPr>
      <w:r>
        <w:rPr>
          <w:rFonts w:ascii="Arial" w:cs="Arial" w:eastAsia="Arial" w:hAnsi="Arial"/>
          <w:sz w:val="17"/>
          <w:szCs w:val="17"/>
          <w:color w:val="auto"/>
        </w:rPr>
        <w:t>If you want to submit question during the meeting, log into the virtual meeting platform at www.virtualshareholdermeeting.com/GALT2021, type your question into the “Ask a Question” field, and click “Submit.” Questions pertinent to meeting matters will be answered during the meeting, subject to time constraints. Questions regarding personal matters, including those related to employment, product or service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issues, or suggestions for product innovations, are not pertinent to meeting matters and therefore will not be answered. The 2021 Annual Meeting has been designed to provide the same rights to participate as you would have at an in-person meeting. If you encounter any difficulties accessing the 2021 Annual Meeting during the check-in or meeting time, please call the technical support number that will be posted on the Virtual Shareholder Meeting log in page at www.virtualshareholdermeeting.com/GALT2021.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is the annual meeting held in a virtual, online-only format this year?</w:t>
      </w:r>
    </w:p>
    <w:p>
      <w:pPr>
        <w:spacing w:after="0" w:line="12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We are holding our 2021 annual meeting in a virtual, online-only format this year due to the potential travel and other impacts of the coronavirus outbreak (COVID-19). We believe that the virtual meeting format will facilitate stockholder attendance and participation at the annual meeting during the COVID-19 pandemic by enabling stockholders to participate remotely from any location.</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2021 Annual Meeting will be held for the following purposes:</w:t>
      </w:r>
    </w:p>
    <w:p>
      <w:pPr>
        <w:spacing w:after="0" w:line="117" w:lineRule="exact"/>
        <w:rPr>
          <w:sz w:val="20"/>
          <w:szCs w:val="20"/>
          <w:color w:val="auto"/>
        </w:rPr>
      </w:pPr>
    </w:p>
    <w:p>
      <w:pPr>
        <w:ind w:left="1000" w:right="11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eleven nominees named in this proxy statement for director to hold office until the 2022 annual meeting of our stockholders.</w:t>
      </w:r>
    </w:p>
    <w:p>
      <w:pPr>
        <w:spacing w:after="0" w:line="62" w:lineRule="exact"/>
        <w:rPr>
          <w:rFonts w:ascii="Arial" w:cs="Arial" w:eastAsia="Arial" w:hAnsi="Arial"/>
          <w:sz w:val="18"/>
          <w:szCs w:val="18"/>
          <w:color w:val="auto"/>
        </w:rPr>
      </w:pPr>
    </w:p>
    <w:p>
      <w:pPr>
        <w:ind w:left="1000" w:right="619" w:hanging="348"/>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selection by the Audit Committee of the Board of Directors of Cherry Bekaert LLP as our independent registered public accounting firm for the fiscal year ending December 31, 2022.</w:t>
      </w:r>
    </w:p>
    <w:p>
      <w:pPr>
        <w:spacing w:after="0" w:line="38" w:lineRule="exact"/>
        <w:rPr>
          <w:rFonts w:ascii="Arial" w:cs="Arial" w:eastAsia="Arial" w:hAnsi="Arial"/>
          <w:sz w:val="17"/>
          <w:szCs w:val="17"/>
          <w:color w:val="auto"/>
        </w:rPr>
      </w:pPr>
    </w:p>
    <w:p>
      <w:pPr>
        <w:ind w:left="1000" w:right="539" w:hanging="348"/>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adopt and approve an amendment to our Restated Articles of Incorporation increasing the number of authorized common voting shares (“common stock”) from 100,000,000 to 150,000,000.</w:t>
      </w:r>
    </w:p>
    <w:p>
      <w:pPr>
        <w:spacing w:after="0" w:line="38" w:lineRule="exact"/>
        <w:rPr>
          <w:rFonts w:ascii="Arial" w:cs="Arial" w:eastAsia="Arial" w:hAnsi="Arial"/>
          <w:sz w:val="17"/>
          <w:szCs w:val="17"/>
          <w:color w:val="auto"/>
        </w:rPr>
      </w:pPr>
    </w:p>
    <w:p>
      <w:pPr>
        <w:ind w:left="1000" w:right="4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2019 Omnibus Equity Incentive Plan to reserve an additional 3,000,000 shares for issuance under the plan.</w:t>
      </w:r>
    </w:p>
    <w:p>
      <w:pPr>
        <w:spacing w:after="0" w:line="62" w:lineRule="exact"/>
        <w:rPr>
          <w:rFonts w:ascii="Arial" w:cs="Arial" w:eastAsia="Arial" w:hAnsi="Arial"/>
          <w:sz w:val="18"/>
          <w:szCs w:val="18"/>
          <w:color w:val="auto"/>
        </w:rPr>
      </w:pPr>
    </w:p>
    <w:p>
      <w:pPr>
        <w:ind w:left="1000" w:right="319" w:hanging="348"/>
        <w:spacing w:after="0" w:line="279"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authorize and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63" w:lineRule="exact"/>
        <w:rPr>
          <w:rFonts w:ascii="Arial" w:cs="Arial" w:eastAsia="Arial" w:hAnsi="Arial"/>
          <w:sz w:val="17"/>
          <w:szCs w:val="17"/>
          <w:color w:val="auto"/>
        </w:rPr>
      </w:pPr>
    </w:p>
    <w:p>
      <w:pPr>
        <w:ind w:left="1000" w:right="71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authorize the adjournment of the annual meeting if necessary or appropriate, including to solicit additional proxies if there are not sufficient votes at the time of the annual meeting or adjournment or postponement thereof to approve any of the foregoing proposals.</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of the 2021 Annual Meeting.</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vote if you were a stockholder of Galectin Therapeutics as of the close of business on the record date,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October 7, 2021. Shares outstanding on the record date are the following:</w:t>
      </w:r>
    </w:p>
    <w:p>
      <w:pPr>
        <w:spacing w:after="0" w:line="103" w:lineRule="exact"/>
        <w:rPr>
          <w:sz w:val="20"/>
          <w:szCs w:val="20"/>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59,289,952 shares of common stock, par value $0.001 per share (“Common Stock”)</w:t>
      </w:r>
    </w:p>
    <w:p>
      <w:pPr>
        <w:spacing w:after="0" w:line="117" w:lineRule="exact"/>
        <w:rPr>
          <w:rFonts w:ascii="Arial" w:cs="Arial" w:eastAsia="Arial" w:hAnsi="Arial"/>
          <w:sz w:val="18"/>
          <w:szCs w:val="18"/>
          <w:color w:val="auto"/>
        </w:rPr>
      </w:pPr>
    </w:p>
    <w:p>
      <w:pPr>
        <w:ind w:left="1000" w:right="15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1,302,500 shares of Series A 12% Convertible Preferred Stock, par value $0.01 per share (“Series A Preferred Stock”).</w:t>
      </w:r>
    </w:p>
    <w:p>
      <w:pPr>
        <w:spacing w:after="0" w:line="62" w:lineRule="exact"/>
        <w:rPr>
          <w:sz w:val="20"/>
          <w:szCs w:val="20"/>
          <w:color w:val="auto"/>
        </w:rPr>
      </w:pPr>
    </w:p>
    <w:p>
      <w:pPr>
        <w:jc w:val="both"/>
        <w:ind w:left="300" w:right="419" w:firstLine="360"/>
        <w:spacing w:after="0" w:line="279" w:lineRule="auto"/>
        <w:rPr>
          <w:sz w:val="20"/>
          <w:szCs w:val="20"/>
          <w:color w:val="auto"/>
        </w:rPr>
      </w:pPr>
      <w:r>
        <w:rPr>
          <w:rFonts w:ascii="Arial" w:cs="Arial" w:eastAsia="Arial" w:hAnsi="Arial"/>
          <w:sz w:val="17"/>
          <w:szCs w:val="17"/>
          <w:color w:val="auto"/>
        </w:rPr>
        <w:t>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w:t>
      </w:r>
    </w:p>
    <w:p>
      <w:pPr>
        <w:spacing w:after="0" w:line="79"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16,545,339 shares of Common Stock or the common equivalent of voting Preferred Stock, representing approximately 28% of the total outstanding voting shares at the record date. We expect all of these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proposals as described in this proxy statement.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300" w:right="839" w:firstLine="360"/>
        <w:spacing w:after="0" w:line="277"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58" w:lineRule="exact"/>
        <w:rPr>
          <w:sz w:val="20"/>
          <w:szCs w:val="20"/>
          <w:color w:val="auto"/>
        </w:rPr>
      </w:pPr>
    </w:p>
    <w:p>
      <w:pPr>
        <w:ind w:left="1000" w:right="359" w:hanging="348"/>
        <w:spacing w:after="0" w:line="273"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You may vote by mail</w:t>
      </w:r>
      <w:r>
        <w:rPr>
          <w:rFonts w:ascii="Arial" w:cs="Arial" w:eastAsia="Arial" w:hAnsi="Arial"/>
          <w:sz w:val="17"/>
          <w:szCs w:val="17"/>
          <w:color w:val="auto"/>
        </w:rPr>
        <w:t>. You may vote by completing and signing the proxy card enclosed with this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(or by requesting a paper 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63" w:lineRule="exact"/>
        <w:rPr>
          <w:rFonts w:ascii="Arial" w:cs="Arial" w:eastAsia="Arial" w:hAnsi="Arial"/>
          <w:sz w:val="17"/>
          <w:szCs w:val="17"/>
          <w:color w:val="auto"/>
        </w:rPr>
      </w:pPr>
    </w:p>
    <w:p>
      <w:pPr>
        <w:ind w:left="1000" w:right="879" w:hanging="348"/>
        <w:spacing w:after="0" w:line="25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You may vote by Internet prior to the 2021 Annual Meeting</w:t>
      </w:r>
      <w:r>
        <w:rPr>
          <w:rFonts w:ascii="Arial" w:cs="Arial" w:eastAsia="Arial" w:hAnsi="Arial"/>
          <w:sz w:val="18"/>
          <w:szCs w:val="18"/>
          <w:color w:val="auto"/>
        </w:rPr>
        <w:t>. You may vote over the Internet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instructed on the proxy card enclosed with this proxy statement and accessing </w:t>
      </w:r>
      <w:r>
        <w:rPr>
          <w:rFonts w:ascii="Arial" w:cs="Arial" w:eastAsia="Arial" w:hAnsi="Arial"/>
          <w:sz w:val="18"/>
          <w:szCs w:val="18"/>
          <w:i w:val="1"/>
          <w:iCs w:val="1"/>
          <w:color w:val="auto"/>
        </w:rPr>
        <w:t>www.proxyvote.com</w:t>
      </w:r>
      <w:r>
        <w:rPr>
          <w:rFonts w:ascii="Arial" w:cs="Arial" w:eastAsia="Arial" w:hAnsi="Arial"/>
          <w:sz w:val="18"/>
          <w:szCs w:val="18"/>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79" w:lineRule="exact"/>
        <w:rPr>
          <w:rFonts w:ascii="Arial" w:cs="Arial" w:eastAsia="Arial" w:hAnsi="Arial"/>
          <w:sz w:val="18"/>
          <w:szCs w:val="18"/>
          <w:color w:val="auto"/>
        </w:rPr>
      </w:pPr>
    </w:p>
    <w:p>
      <w:pPr>
        <w:ind w:left="1000" w:right="559" w:hanging="348"/>
        <w:spacing w:after="0" w:line="25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You may vote during the 2021 Annual Meeting</w:t>
      </w:r>
      <w:r>
        <w:rPr>
          <w:rFonts w:ascii="Arial" w:cs="Arial" w:eastAsia="Arial" w:hAnsi="Arial"/>
          <w:sz w:val="18"/>
          <w:szCs w:val="18"/>
          <w:color w:val="auto"/>
        </w:rPr>
        <w:t>. If you attend the 2021 Annual Meeting virtually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visiting </w:t>
      </w:r>
      <w:r>
        <w:rPr>
          <w:rFonts w:ascii="Arial" w:cs="Arial" w:eastAsia="Arial" w:hAnsi="Arial"/>
          <w:sz w:val="18"/>
          <w:szCs w:val="18"/>
          <w:u w:val="single" w:color="auto"/>
          <w:color w:val="auto"/>
        </w:rPr>
        <w:t>www.virtualshareholdermeeting.com/GALT2021</w:t>
      </w:r>
      <w:r>
        <w:rPr>
          <w:rFonts w:ascii="Arial" w:cs="Arial" w:eastAsia="Arial" w:hAnsi="Arial"/>
          <w:sz w:val="18"/>
          <w:szCs w:val="18"/>
          <w:color w:val="auto"/>
        </w:rPr>
        <w:t xml:space="preserve"> at 11:00 a.m. Eastern Standard Time on December 3, 2021, you may vote during the 2021 Annual Meeting. You will need the 16-digit control number included on your notice of Internet availability of the proxy materials, on your proxy card or on the instructions that accompanied your proxy materials.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recommends that you vote:</w:t>
      </w:r>
    </w:p>
    <w:p>
      <w:pPr>
        <w:spacing w:after="0" w:line="113" w:lineRule="exact"/>
        <w:rPr>
          <w:sz w:val="20"/>
          <w:szCs w:val="20"/>
          <w:color w:val="auto"/>
        </w:rPr>
      </w:pPr>
    </w:p>
    <w:p>
      <w:pPr>
        <w:ind w:left="660" w:right="399"/>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eleven nominees to serve as directors on the Board of Directors until our 2022</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w:t>
      </w:r>
    </w:p>
    <w:p>
      <w:pPr>
        <w:spacing w:after="0" w:line="54" w:lineRule="exact"/>
        <w:rPr>
          <w:sz w:val="20"/>
          <w:szCs w:val="20"/>
          <w:color w:val="auto"/>
        </w:rPr>
      </w:pPr>
    </w:p>
    <w:p>
      <w:pPr>
        <w:ind w:left="660" w:right="519"/>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Cherry Bekaert LLP, as our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2021 fiscal year.</w:t>
      </w:r>
    </w:p>
    <w:p>
      <w:pPr>
        <w:spacing w:after="0" w:line="54" w:lineRule="exact"/>
        <w:rPr>
          <w:sz w:val="20"/>
          <w:szCs w:val="20"/>
          <w:color w:val="auto"/>
        </w:rPr>
      </w:pPr>
    </w:p>
    <w:p>
      <w:pPr>
        <w:ind w:left="660" w:right="479"/>
        <w:spacing w:after="0" w:line="312" w:lineRule="auto"/>
        <w:rPr>
          <w:sz w:val="20"/>
          <w:szCs w:val="20"/>
          <w:color w:val="auto"/>
        </w:rPr>
      </w:pPr>
      <w:r>
        <w:rPr>
          <w:rFonts w:ascii="Arial" w:cs="Arial" w:eastAsia="Arial" w:hAnsi="Arial"/>
          <w:sz w:val="17"/>
          <w:szCs w:val="17"/>
          <w:b w:val="1"/>
          <w:bCs w:val="1"/>
          <w:color w:val="auto"/>
        </w:rPr>
        <w:t>FOR</w:t>
      </w:r>
      <w:r>
        <w:rPr>
          <w:rFonts w:ascii="Arial" w:cs="Arial" w:eastAsia="Arial" w:hAnsi="Arial"/>
          <w:sz w:val="17"/>
          <w:szCs w:val="17"/>
          <w:color w:val="auto"/>
        </w:rPr>
        <w:t>, adopting and approving an amendment to our Restated Articles of Incorporation increasing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authorized common voting shares (“common stock”) from 100,000,000 to 150,000,000.</w:t>
      </w:r>
    </w:p>
    <w:p>
      <w:pPr>
        <w:spacing w:after="0" w:line="32" w:lineRule="exact"/>
        <w:rPr>
          <w:sz w:val="20"/>
          <w:szCs w:val="20"/>
          <w:color w:val="auto"/>
        </w:rPr>
      </w:pPr>
    </w:p>
    <w:p>
      <w:pPr>
        <w:ind w:left="660" w:right="439"/>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approving an amendment to our 2019 Omnibus Equity Incentive Plan to reserve an additional 3,000,000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for issuance under the plan.</w:t>
      </w:r>
    </w:p>
    <w:p>
      <w:pPr>
        <w:spacing w:after="0" w:line="54" w:lineRule="exact"/>
        <w:rPr>
          <w:sz w:val="20"/>
          <w:szCs w:val="20"/>
          <w:color w:val="auto"/>
        </w:rPr>
      </w:pPr>
    </w:p>
    <w:p>
      <w:pPr>
        <w:ind w:left="660" w:right="839"/>
        <w:spacing w:after="0" w:line="303"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approving, for purposes of complying with Nasdaq Listing Rule 5635, the issuance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43" w:lineRule="exact"/>
        <w:rPr>
          <w:sz w:val="20"/>
          <w:szCs w:val="20"/>
          <w:color w:val="auto"/>
        </w:rPr>
      </w:pPr>
    </w:p>
    <w:p>
      <w:pPr>
        <w:ind w:left="660" w:right="899"/>
        <w:spacing w:after="0" w:line="266"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authorizing the adjournment of the annual meeting if necessary or appropriate, including to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proxies if there are not sufficient votes at the time of the annual meeting or adjournment or postponement thereof to approve any of the foregoing proposals.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Is my vote important?</w:t>
      </w:r>
    </w:p>
    <w:p>
      <w:pPr>
        <w:spacing w:after="0" w:line="12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left="660" w:right="559"/>
        <w:spacing w:after="0" w:line="314" w:lineRule="auto"/>
        <w:rPr>
          <w:sz w:val="20"/>
          <w:szCs w:val="20"/>
          <w:color w:val="auto"/>
        </w:rPr>
      </w:pPr>
      <w:r>
        <w:rPr>
          <w:rFonts w:ascii="Arial" w:cs="Arial" w:eastAsia="Arial" w:hAnsi="Arial"/>
          <w:sz w:val="16"/>
          <w:szCs w:val="16"/>
          <w:color w:val="auto"/>
        </w:rPr>
        <w:t>Any proxy card returned without directions given will be voted (1) “</w:t>
      </w:r>
      <w:r>
        <w:rPr>
          <w:rFonts w:ascii="Arial" w:cs="Arial" w:eastAsia="Arial" w:hAnsi="Arial"/>
          <w:sz w:val="16"/>
          <w:szCs w:val="16"/>
          <w:b w:val="1"/>
          <w:bCs w:val="1"/>
          <w:color w:val="auto"/>
        </w:rPr>
        <w:t>FOR</w:t>
      </w:r>
      <w:r>
        <w:rPr>
          <w:rFonts w:ascii="Arial" w:cs="Arial" w:eastAsia="Arial" w:hAnsi="Arial"/>
          <w:sz w:val="16"/>
          <w:szCs w:val="16"/>
          <w:color w:val="auto"/>
        </w:rPr>
        <w:t>” the election of the nominees presented in this proxy statement to the Board of Directors, (2)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Cherry Bekaert LLP as our independent registered public accounting firm to audit the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right="359"/>
        <w:spacing w:after="0" w:line="269" w:lineRule="auto"/>
        <w:rPr>
          <w:sz w:val="20"/>
          <w:szCs w:val="20"/>
          <w:color w:val="auto"/>
        </w:rPr>
      </w:pPr>
      <w:r>
        <w:rPr>
          <w:rFonts w:ascii="Arial" w:cs="Arial" w:eastAsia="Arial" w:hAnsi="Arial"/>
          <w:sz w:val="17"/>
          <w:szCs w:val="17"/>
          <w:color w:val="auto"/>
        </w:rPr>
        <w:t>for our 2021 fiscal year, (3) “</w:t>
      </w:r>
      <w:r>
        <w:rPr>
          <w:rFonts w:ascii="Arial" w:cs="Arial" w:eastAsia="Arial" w:hAnsi="Arial"/>
          <w:sz w:val="17"/>
          <w:szCs w:val="17"/>
          <w:b w:val="1"/>
          <w:bCs w:val="1"/>
          <w:color w:val="auto"/>
        </w:rPr>
        <w:t>FOR”</w:t>
      </w:r>
      <w:r>
        <w:rPr>
          <w:rFonts w:ascii="Arial" w:cs="Arial" w:eastAsia="Arial" w:hAnsi="Arial"/>
          <w:sz w:val="17"/>
          <w:szCs w:val="17"/>
          <w:color w:val="auto"/>
        </w:rPr>
        <w:t>, adopting and approving an amendment to our Restated Articles of Incorporation increasing the number of authorized common voting shares (“common stock”) from 100,000,000 to 150,000,000, (4)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approving an amendment to our 2019 Omnibus Equity Incentive Plan to reserve an additional 3,000,000 shares for issuance under the plan, (5)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approving,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 (6) “</w:t>
      </w:r>
      <w:r>
        <w:rPr>
          <w:rFonts w:ascii="Arial" w:cs="Arial" w:eastAsia="Arial" w:hAnsi="Arial"/>
          <w:sz w:val="17"/>
          <w:szCs w:val="17"/>
          <w:b w:val="1"/>
          <w:bCs w:val="1"/>
          <w:color w:val="auto"/>
        </w:rPr>
        <w:t>FOR”</w:t>
      </w:r>
      <w:r>
        <w:rPr>
          <w:rFonts w:ascii="Arial" w:cs="Arial" w:eastAsia="Arial" w:hAnsi="Arial"/>
          <w:sz w:val="17"/>
          <w:szCs w:val="17"/>
          <w:color w:val="auto"/>
        </w:rPr>
        <w:t xml:space="preserve"> authorizing the adjournment of the annual meeting if necessary or appropriate, including to solicit additional proxies if there are not sufficient votes at the time of the annual meeting or adjournment or postponement thereof to approve any of the foregoing proposals, and (7) as to any other business that may come before the 2020 Annual Meeting, in accordance with the judgment of the person or persons named in the proxy.</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Your shares may be voted if they are held in the name of a brokerage firm, even if you do not provide the brokerage firm with voting instructions. Brokerage firms have the authority to vote shares for which their customers do not provide voting instructions on certain “routine” matters.</w:t>
      </w:r>
    </w:p>
    <w:p>
      <w:pPr>
        <w:spacing w:after="0" w:line="76"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The proposals relating to the election of directors, an amendment to our Omnibus Equity Incentive Plan, and approval of shares of common stock upon conversion, exchange or otherwise to Richard E. Uihlein are not considered “routine” under applicable rules. When a proposal is not a routine matter and the brokerage firm has not received voting instructions from the beneficial owner of the shares with respect to that proposal, the brokerage firm cannot vote the shares on these proposal. This is called a “broker non-vote.”</w:t>
      </w:r>
    </w:p>
    <w:p>
      <w:pPr>
        <w:spacing w:after="0" w:line="68" w:lineRule="exact"/>
        <w:rPr>
          <w:sz w:val="20"/>
          <w:szCs w:val="20"/>
          <w:color w:val="auto"/>
        </w:rPr>
      </w:pPr>
    </w:p>
    <w:p>
      <w:pPr>
        <w:ind w:left="300" w:right="459" w:firstLine="360"/>
        <w:spacing w:after="0" w:line="291" w:lineRule="auto"/>
        <w:rPr>
          <w:sz w:val="20"/>
          <w:szCs w:val="20"/>
          <w:color w:val="auto"/>
        </w:rPr>
      </w:pPr>
      <w:r>
        <w:rPr>
          <w:rFonts w:ascii="Arial" w:cs="Arial" w:eastAsia="Arial" w:hAnsi="Arial"/>
          <w:sz w:val="16"/>
          <w:szCs w:val="16"/>
          <w:color w:val="auto"/>
        </w:rPr>
        <w:t>The proposals to ratify the selection of Cherry Bekaert LLP as our independent auditor for fiscal year 2021, amend our Restated Articles of Incorporation and adjourn the 2021 Annual Meeting are considered routine matters for which brokerage firms may (or may not) vote shares for which they have not received voting instructions. In recent years, several large brokerage firms, such as Charles Schwab and TD Ameritrade have announced that they have eliminated discretionary voting for even “routine” matters. Therefore, if you hold your shares through such brokerage firms, then your shares might not be voted, even for “routine” matters if you do not give voting instruction to your broker. Therefore, we urge every shareholder to vote their shares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Yes. You can change your vote and revoke your proxy at any time before the polls close at the meeting by doing any one of the following things:</w:t>
      </w:r>
    </w:p>
    <w:p>
      <w:pPr>
        <w:spacing w:after="0" w:line="62"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17"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giving our Corporate Secretary, Jack W. Callicutt, written notice to that effect. He may be contacted at 4960 Peachtree Industrial Blvd., Suite 240, Norcross, GA 30071; telephone: 678-620-3186; e-mail: callicutt@galectintherapeutics.com;</w:t>
      </w:r>
    </w:p>
    <w:p>
      <w:pPr>
        <w:spacing w:after="0" w:line="75" w:lineRule="exact"/>
        <w:rPr>
          <w:rFonts w:ascii="Arial" w:cs="Arial" w:eastAsia="Arial" w:hAnsi="Arial"/>
          <w:sz w:val="18"/>
          <w:szCs w:val="18"/>
          <w:color w:val="auto"/>
        </w:rPr>
      </w:pPr>
    </w:p>
    <w:p>
      <w:pPr>
        <w:ind w:left="1000" w:right="73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again prior to the time at which the Internet voting facilities close by following the procedures applicable to that method of voting, as directed on the enclosed proxy card;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2021 Annual Meeting virtually via the Internet and voting during the meeting.</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access the proxy materials over the internet?</w:t>
      </w:r>
    </w:p>
    <w:p>
      <w:pPr>
        <w:spacing w:after="0" w:line="121"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You may view and also download our proxy materials, including the 2020 Annual Report, our Form 10-K for the year ended December 31, 2020, and the Notice by accessing www.proxyvote.com and on our website at www.galectintherapeutics.com</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pays for the solicitation of Proxies?</w:t>
      </w:r>
    </w:p>
    <w:p>
      <w:pPr>
        <w:spacing w:after="0" w:line="121"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The solicitation of proxies in the enclosed form is made on behalf of the Board of Directors. We have engaged Kingsdale Advisors to assist in the solicitation of proxies for the 2021 Annual Meeting. We have agreed to pay Kingsdale Advisors a fee of up to $9,000, plus disbursements. We will reimburse Kingsdale Advisors for reasonable out-of-pocket expenses and will indemnify Kingsdale Advisors and its affiliates against certain claims,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liabilities, losses, damages and expenses.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A quorum of stockholders is necessary to hold a valid meeting. A quorum will be present if at least one-third of the outstanding shares entitled to vote are represented by stockholders present at the meeting or by proxy. On the record date, there were 59,507,036 shares of Common Stock outstanding or deemed outstanding based on voting rights of Series A Preferred Stock on an as-converted basis. Thus, 19,835,679 shares must be represented by stockholders present at the meeting or by proxy to have a quorum.</w:t>
      </w:r>
    </w:p>
    <w:p>
      <w:pPr>
        <w:spacing w:after="0" w:line="68"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121" w:lineRule="exact"/>
        <w:rPr>
          <w:sz w:val="20"/>
          <w:szCs w:val="20"/>
          <w:color w:val="auto"/>
        </w:rPr>
      </w:pPr>
    </w:p>
    <w:p>
      <w:pPr>
        <w:ind w:left="300" w:right="499" w:firstLine="360"/>
        <w:spacing w:after="0" w:line="301" w:lineRule="auto"/>
        <w:rPr>
          <w:sz w:val="20"/>
          <w:szCs w:val="20"/>
          <w:color w:val="auto"/>
        </w:rPr>
      </w:pPr>
      <w:r>
        <w:rPr>
          <w:rFonts w:ascii="Arial" w:cs="Arial" w:eastAsia="Arial" w:hAnsi="Arial"/>
          <w:sz w:val="16"/>
          <w:szCs w:val="16"/>
          <w:b w:val="1"/>
          <w:bCs w:val="1"/>
          <w:i w:val="1"/>
          <w:iCs w:val="1"/>
          <w:color w:val="auto"/>
        </w:rPr>
        <w:t xml:space="preserve">Election of Directors. </w:t>
      </w:r>
      <w:r>
        <w:rPr>
          <w:rFonts w:ascii="Arial" w:cs="Arial" w:eastAsia="Arial" w:hAnsi="Arial"/>
          <w:sz w:val="16"/>
          <w:szCs w:val="16"/>
          <w:color w:val="auto"/>
        </w:rPr>
        <w:t>Directors are elected by a plurality of the votes cast by the holders of shares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in the election. There are eleven nominees and eleven positions to be filled; this means that the eleven individuals receiving the most votes will be elected. Abstentions and broker non-votes will not be relevant to the outcome, but abstentions and votes “withheld” are counted for the purpose of establishing a quorum.</w:t>
      </w:r>
    </w:p>
    <w:p>
      <w:pPr>
        <w:spacing w:after="0" w:line="49"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b w:val="1"/>
          <w:bCs w:val="1"/>
          <w:i w:val="1"/>
          <w:iCs w:val="1"/>
          <w:color w:val="auto"/>
        </w:rPr>
        <w:t xml:space="preserve">Ratification of independent registered public accounting firm. </w:t>
      </w:r>
      <w:r>
        <w:rPr>
          <w:rFonts w:ascii="Arial" w:cs="Arial" w:eastAsia="Arial" w:hAnsi="Arial"/>
          <w:sz w:val="16"/>
          <w:szCs w:val="16"/>
          <w:color w:val="auto"/>
        </w:rPr>
        <w:t>The votes cast “for” must exceed the votes cast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“against” in order to ratify the selection of Cherry Bekaert LLP, as our independent registered public accounting firm. Abstentions will be counted for the purpose of establishing a quorum but will not be relevant to the outcome.</w:t>
      </w:r>
    </w:p>
    <w:p>
      <w:pPr>
        <w:spacing w:after="0" w:line="41"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b w:val="1"/>
          <w:bCs w:val="1"/>
          <w:i w:val="1"/>
          <w:iCs w:val="1"/>
          <w:color w:val="auto"/>
        </w:rPr>
        <w:t xml:space="preserve">Amendment to our Restated Articles of Incorporation. </w:t>
      </w:r>
      <w:r>
        <w:rPr>
          <w:rFonts w:ascii="Arial" w:cs="Arial" w:eastAsia="Arial" w:hAnsi="Arial"/>
          <w:sz w:val="17"/>
          <w:szCs w:val="17"/>
          <w:color w:val="auto"/>
        </w:rPr>
        <w:t>Approval of the amendment to our Restated Articles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Incorporation, requires a majority of all votes entitled to be cast on the matter. Accordingly, abstentions and broker non-votes will have the same effect as a vote “against” on this proposal.</w:t>
      </w:r>
    </w:p>
    <w:p>
      <w:pPr>
        <w:spacing w:after="0" w:line="57" w:lineRule="exact"/>
        <w:rPr>
          <w:sz w:val="20"/>
          <w:szCs w:val="20"/>
          <w:color w:val="auto"/>
        </w:rPr>
      </w:pPr>
    </w:p>
    <w:p>
      <w:pPr>
        <w:ind w:left="300" w:right="459" w:firstLine="360"/>
        <w:spacing w:after="0" w:line="259" w:lineRule="auto"/>
        <w:rPr>
          <w:sz w:val="20"/>
          <w:szCs w:val="20"/>
          <w:color w:val="auto"/>
        </w:rPr>
      </w:pPr>
      <w:r>
        <w:rPr>
          <w:rFonts w:ascii="Arial" w:cs="Arial" w:eastAsia="Arial" w:hAnsi="Arial"/>
          <w:sz w:val="18"/>
          <w:szCs w:val="18"/>
          <w:b w:val="1"/>
          <w:bCs w:val="1"/>
          <w:i w:val="1"/>
          <w:iCs w:val="1"/>
          <w:color w:val="auto"/>
        </w:rPr>
        <w:t xml:space="preserve">Amendment to our 2019 Omnibus Equity Incentive Plan. </w:t>
      </w:r>
      <w:r>
        <w:rPr>
          <w:rFonts w:ascii="Arial" w:cs="Arial" w:eastAsia="Arial" w:hAnsi="Arial"/>
          <w:sz w:val="18"/>
          <w:szCs w:val="18"/>
          <w:color w:val="auto"/>
        </w:rPr>
        <w:t>The votes cast “for” must exceed the votes 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in order to approve the amendment to our 2019 Omnibus Equity Incentive Plan to reserve an additional 3,000,000 shares for issuance under the plan. Abstentions will be counted for the purpose of establishing a quorum but will not be relevant to the outcome.</w:t>
      </w:r>
    </w:p>
    <w:p>
      <w:pPr>
        <w:spacing w:after="0" w:line="79"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b w:val="1"/>
          <w:bCs w:val="1"/>
          <w:i w:val="1"/>
          <w:iCs w:val="1"/>
          <w:color w:val="auto"/>
        </w:rPr>
        <w:t xml:space="preserve">Approval of the Issuance of Shares to Richard E. Uihlein. </w:t>
      </w:r>
      <w:r>
        <w:rPr>
          <w:rFonts w:ascii="Arial" w:cs="Arial" w:eastAsia="Arial" w:hAnsi="Arial"/>
          <w:sz w:val="17"/>
          <w:szCs w:val="17"/>
          <w:color w:val="auto"/>
        </w:rPr>
        <w:t>The votes cast “for” must exceed the votes 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“against” in order to order to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 Abstentions will be counted for the purpose of establishing a quorum but will not be relevant to the outcome.</w:t>
      </w:r>
    </w:p>
    <w:p>
      <w:pPr>
        <w:spacing w:after="0" w:line="70" w:lineRule="exact"/>
        <w:rPr>
          <w:sz w:val="20"/>
          <w:szCs w:val="20"/>
          <w:color w:val="auto"/>
        </w:rPr>
      </w:pPr>
    </w:p>
    <w:p>
      <w:pPr>
        <w:ind w:left="300" w:right="599" w:firstLine="360"/>
        <w:spacing w:after="0" w:line="275" w:lineRule="auto"/>
        <w:rPr>
          <w:sz w:val="20"/>
          <w:szCs w:val="20"/>
          <w:color w:val="auto"/>
        </w:rPr>
      </w:pPr>
      <w:r>
        <w:rPr>
          <w:rFonts w:ascii="Arial" w:cs="Arial" w:eastAsia="Arial" w:hAnsi="Arial"/>
          <w:sz w:val="17"/>
          <w:szCs w:val="17"/>
          <w:b w:val="1"/>
          <w:bCs w:val="1"/>
          <w:i w:val="1"/>
          <w:iCs w:val="1"/>
          <w:color w:val="auto"/>
        </w:rPr>
        <w:t xml:space="preserve">Approval of the adjournment of the 2021 Annual Meeting. </w:t>
      </w:r>
      <w:r>
        <w:rPr>
          <w:rFonts w:ascii="Arial" w:cs="Arial" w:eastAsia="Arial" w:hAnsi="Arial"/>
          <w:sz w:val="17"/>
          <w:szCs w:val="17"/>
          <w:color w:val="auto"/>
        </w:rPr>
        <w:t>The votes cast “for” must exceed the votes 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“against” in order to approve adjournment of the 2021 Annual Meeting if necessary or appropriate, including to solicit additional proxies if there are not sufficient votes at the time of the annual meeting or adjournment or postponement thereof to approve any of the foregoing proposals. Abstentions will be counted for the purpose of establishing a quorum but will not be relevant to the outcome.</w:t>
      </w:r>
    </w:p>
    <w:p>
      <w:pPr>
        <w:spacing w:after="0" w:line="68"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The proposals relating to the election of directors, an amendment to our Omnibus Equity Incentive Plan, and approval of shares of common stock upon conversion, exchange or otherwise to Richard E. Uihlein are not considered “routine” under applicable rules. When a proposal is not a routine matter and the brokerage firm has not received voting instructions from the beneficial owner of the shares with respect to that proposal, the brokerage firm cannot vote the shares on these proposal. This is called a “broker non-vote.”</w:t>
      </w:r>
    </w:p>
    <w:p>
      <w:pPr>
        <w:spacing w:after="0" w:line="68"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7"/>
          <w:szCs w:val="17"/>
          <w:color w:val="auto"/>
        </w:rPr>
        <w:t>If your shares are held in street name and you do not provide voting instructions to your broker, bank or other nominee, your broker is entitled to vote your shares with respect to the proposals to ratify the selection of Cherry Bekaert LLP as our independent auditor for fiscal year 2021, amend our Restated Articles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301" w:lineRule="auto"/>
        <w:rPr>
          <w:sz w:val="20"/>
          <w:szCs w:val="20"/>
          <w:color w:val="auto"/>
        </w:rPr>
      </w:pPr>
      <w:r>
        <w:rPr>
          <w:rFonts w:ascii="Arial" w:cs="Arial" w:eastAsia="Arial" w:hAnsi="Arial"/>
          <w:sz w:val="16"/>
          <w:szCs w:val="16"/>
          <w:color w:val="auto"/>
        </w:rPr>
        <w:t>Incorporation and adjourn the 2021 Annual Meeting because these proposals are considered routine matters for which brokerage firms may (or may not) vote shares for which they have not received voting instructions. In recent years, several large brokerage firms, such as Charles Schwab and TD Ameritrade have announced that they have eliminated discretionary voting for even “routine” matters. Therefore, we urge every shareholder to vote their shares.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“householding”?</w:t>
      </w:r>
    </w:p>
    <w:p>
      <w:pPr>
        <w:spacing w:after="0" w:line="121"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70"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12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June 14, 2022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2022 nor earlier than August 5, 2022, in order to be considered timely.</w:t>
      </w:r>
    </w:p>
    <w:p>
      <w:pPr>
        <w:spacing w:after="0" w:line="70"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Notwithstanding the foregoing, if the date of the 2022 annual meeting of stockholders is scheduled to take place on a date that is more than 30 calendar days from the one year anniversary of the 2021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0" w:lineRule="exact"/>
        <w:rPr>
          <w:sz w:val="20"/>
          <w:szCs w:val="20"/>
          <w:color w:val="auto"/>
        </w:rPr>
      </w:pPr>
    </w:p>
    <w:p>
      <w:pPr>
        <w:ind w:left="300" w:right="719" w:firstLine="360"/>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21" w:lineRule="exact"/>
        <w:rPr>
          <w:sz w:val="20"/>
          <w:szCs w:val="20"/>
          <w:color w:val="auto"/>
        </w:rPr>
      </w:pPr>
    </w:p>
    <w:p>
      <w:pPr>
        <w:ind w:left="300" w:right="459" w:firstLine="360"/>
        <w:spacing w:after="0" w:line="257" w:lineRule="auto"/>
        <w:rPr>
          <w:sz w:val="20"/>
          <w:szCs w:val="20"/>
          <w:color w:val="auto"/>
        </w:rPr>
      </w:pPr>
      <w:r>
        <w:rPr>
          <w:rFonts w:ascii="Arial" w:cs="Arial" w:eastAsia="Arial" w:hAnsi="Arial"/>
          <w:sz w:val="18"/>
          <w:szCs w:val="18"/>
          <w:color w:val="auto"/>
        </w:rPr>
        <w:t>We will report the voting results on Form 8-K within four business days after the end of our 2021 Annual Meeting of stockholders. If final voting results are not available to us in time to file a current report on Form 8-K within four business days after the 2021 Annual Meeting, we intend to file a current report on Form 8-K to publish preliminary results and, within four business days after the final results are known to us, file an additional current report on Form 8-K to publish the final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The following table sets forth, as of September 1, 2021,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2021 Annual Meeting.</w:t>
      </w:r>
    </w:p>
    <w:p>
      <w:pPr>
        <w:spacing w:after="0" w:line="70" w:lineRule="exact"/>
        <w:rPr>
          <w:sz w:val="20"/>
          <w:szCs w:val="20"/>
          <w:color w:val="auto"/>
        </w:rPr>
      </w:pPr>
    </w:p>
    <w:p>
      <w:pPr>
        <w:ind w:left="300" w:right="439" w:firstLine="360"/>
        <w:spacing w:after="0" w:line="289" w:lineRule="auto"/>
        <w:rPr>
          <w:sz w:val="20"/>
          <w:szCs w:val="20"/>
          <w:color w:val="auto"/>
        </w:rPr>
      </w:pPr>
      <w:r>
        <w:rPr>
          <w:rFonts w:ascii="Arial" w:cs="Arial" w:eastAsia="Arial" w:hAnsi="Arial"/>
          <w:sz w:val="16"/>
          <w:szCs w:val="16"/>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September 1, 2021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Shares of</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Shares of</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Series A</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Percent of</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Preferred</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vMerge w:val="continue"/>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Stock</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Series A</w:t>
            </w:r>
          </w:p>
        </w:tc>
        <w:tc>
          <w:tcPr>
            <w:tcW w:w="0" w:type="dxa"/>
            <w:vAlign w:val="bottom"/>
          </w:tcPr>
          <w:p>
            <w:pPr>
              <w:spacing w:after="0"/>
              <w:rPr>
                <w:sz w:val="1"/>
                <w:szCs w:val="1"/>
                <w:color w:val="auto"/>
              </w:rPr>
            </w:pPr>
          </w:p>
        </w:tc>
      </w:tr>
      <w:tr>
        <w:trPr>
          <w:trHeight w:val="145"/>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3"/>
                <w:szCs w:val="23"/>
                <w:b w:val="1"/>
                <w:bCs w:val="1"/>
                <w:color w:val="auto"/>
                <w:vertAlign w:val="superscript"/>
              </w:rPr>
              <w:t>(1)</w:t>
            </w:r>
          </w:p>
        </w:tc>
        <w:tc>
          <w:tcPr>
            <w:tcW w:w="300" w:type="dxa"/>
            <w:vAlign w:val="bottom"/>
          </w:tcPr>
          <w:p>
            <w:pPr>
              <w:spacing w:after="0"/>
              <w:rPr>
                <w:sz w:val="12"/>
                <w:szCs w:val="12"/>
                <w:color w:val="auto"/>
              </w:rPr>
            </w:pPr>
          </w:p>
        </w:tc>
        <w:tc>
          <w:tcPr>
            <w:tcW w:w="13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Common</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242"/>
        </w:trPr>
        <w:tc>
          <w:tcPr>
            <w:tcW w:w="40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center"/>
              <w:ind w:right="300"/>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940" w:type="dxa"/>
            <w:vAlign w:val="bottom"/>
            <w:gridSpan w:val="2"/>
          </w:tcPr>
          <w:p>
            <w:pPr>
              <w:jc w:val="right"/>
              <w:ind w:right="380"/>
              <w:spacing w:after="0" w:line="242" w:lineRule="exact"/>
              <w:rPr>
                <w:sz w:val="20"/>
                <w:szCs w:val="20"/>
                <w:color w:val="auto"/>
              </w:rPr>
            </w:pPr>
            <w:r>
              <w:rPr>
                <w:rFonts w:ascii="Arial" w:cs="Arial" w:eastAsia="Arial" w:hAnsi="Arial"/>
                <w:sz w:val="14"/>
                <w:szCs w:val="14"/>
                <w:b w:val="1"/>
                <w:bCs w:val="1"/>
                <w:color w:val="auto"/>
                <w:w w:val="94"/>
              </w:rPr>
              <w:t>Stock</w:t>
            </w:r>
            <w:r>
              <w:rPr>
                <w:rFonts w:ascii="Arial" w:cs="Arial" w:eastAsia="Arial" w:hAnsi="Arial"/>
                <w:sz w:val="23"/>
                <w:szCs w:val="23"/>
                <w:b w:val="1"/>
                <w:bCs w:val="1"/>
                <w:color w:val="auto"/>
                <w:w w:val="94"/>
                <w:vertAlign w:val="superscript"/>
              </w:rPr>
              <w:t>(3)</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Owned</w:t>
            </w:r>
          </w:p>
        </w:tc>
        <w:tc>
          <w:tcPr>
            <w:tcW w:w="640" w:type="dxa"/>
            <w:vAlign w:val="bottom"/>
          </w:tcPr>
          <w:p>
            <w:pPr>
              <w:jc w:val="center"/>
              <w:spacing w:after="0" w:line="242" w:lineRule="exact"/>
              <w:rPr>
                <w:sz w:val="20"/>
                <w:szCs w:val="20"/>
                <w:color w:val="auto"/>
              </w:rPr>
            </w:pPr>
            <w:r>
              <w:rPr>
                <w:rFonts w:ascii="Arial" w:cs="Arial" w:eastAsia="Arial" w:hAnsi="Arial"/>
                <w:sz w:val="14"/>
                <w:szCs w:val="14"/>
                <w:b w:val="1"/>
                <w:bCs w:val="1"/>
                <w:color w:val="auto"/>
                <w:w w:val="84"/>
              </w:rPr>
              <w:t>Stock</w:t>
            </w:r>
            <w:r>
              <w:rPr>
                <w:rFonts w:ascii="Arial" w:cs="Arial" w:eastAsia="Arial" w:hAnsi="Arial"/>
                <w:sz w:val="23"/>
                <w:szCs w:val="23"/>
                <w:b w:val="1"/>
                <w:bCs w:val="1"/>
                <w:color w:val="auto"/>
                <w:w w:val="84"/>
                <w:vertAlign w:val="superscript"/>
              </w:rPr>
              <w:t>(4)</w:t>
            </w:r>
          </w:p>
        </w:tc>
        <w:tc>
          <w:tcPr>
            <w:tcW w:w="0" w:type="dxa"/>
            <w:vAlign w:val="bottom"/>
          </w:tcPr>
          <w:p>
            <w:pPr>
              <w:spacing w:after="0"/>
              <w:rPr>
                <w:sz w:val="1"/>
                <w:szCs w:val="1"/>
                <w:color w:val="auto"/>
              </w:rPr>
            </w:pPr>
          </w:p>
        </w:tc>
      </w:tr>
      <w:tr>
        <w:trPr>
          <w:trHeight w:val="311"/>
        </w:trPr>
        <w:tc>
          <w:tcPr>
            <w:tcW w:w="4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spacing w:after="0"/>
              <w:rPr>
                <w:sz w:val="24"/>
                <w:szCs w:val="24"/>
                <w:color w:val="auto"/>
              </w:rPr>
            </w:pP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spacing w:after="0"/>
              <w:rPr>
                <w:sz w:val="24"/>
                <w:szCs w:val="24"/>
                <w:color w:val="auto"/>
              </w:rPr>
            </w:pPr>
          </w:p>
        </w:tc>
        <w:tc>
          <w:tcPr>
            <w:tcW w:w="320" w:type="dxa"/>
            <w:vAlign w:val="bottom"/>
            <w:tcBorders>
              <w:top w:val="single" w:sz="8" w:color="CCEEFF"/>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James C. Czirr</w:t>
            </w:r>
          </w:p>
        </w:tc>
        <w:tc>
          <w:tcPr>
            <w:tcW w:w="1380" w:type="dxa"/>
            <w:vAlign w:val="bottom"/>
            <w:gridSpan w:val="2"/>
          </w:tcPr>
          <w:p>
            <w:pPr>
              <w:jc w:val="right"/>
              <w:ind w:right="1"/>
              <w:spacing w:after="0" w:line="324" w:lineRule="exact"/>
              <w:rPr>
                <w:sz w:val="20"/>
                <w:szCs w:val="20"/>
                <w:color w:val="auto"/>
              </w:rPr>
            </w:pPr>
            <w:r>
              <w:rPr>
                <w:rFonts w:ascii="Arial" w:cs="Arial" w:eastAsia="Arial" w:hAnsi="Arial"/>
                <w:sz w:val="18"/>
                <w:szCs w:val="18"/>
                <w:color w:val="auto"/>
              </w:rPr>
              <w:t>13,013,596</w:t>
            </w:r>
            <w:r>
              <w:rPr>
                <w:rFonts w:ascii="Arial" w:cs="Arial" w:eastAsia="Arial" w:hAnsi="Arial"/>
                <w:sz w:val="29"/>
                <w:szCs w:val="29"/>
                <w:color w:val="auto"/>
                <w:vertAlign w:val="superscript"/>
              </w:rPr>
              <w:t>(5)</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24"/>
                <w:szCs w:val="24"/>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w w:val="98"/>
              </w:rPr>
              <w:t>100,000</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24"/>
        </w:trPr>
        <w:tc>
          <w:tcPr>
            <w:tcW w:w="40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10X Fund, L.P.</w:t>
            </w:r>
            <w:r>
              <w:rPr>
                <w:rFonts w:ascii="Arial" w:cs="Arial" w:eastAsia="Arial" w:hAnsi="Arial"/>
                <w:sz w:val="29"/>
                <w:szCs w:val="29"/>
                <w:color w:val="auto"/>
                <w:vertAlign w:val="superscript"/>
              </w:rPr>
              <w:t>(9)</w:t>
            </w:r>
          </w:p>
        </w:tc>
        <w:tc>
          <w:tcPr>
            <w:tcW w:w="1380" w:type="dxa"/>
            <w:vAlign w:val="bottom"/>
            <w:gridSpan w:val="2"/>
            <w:shd w:val="clear" w:color="auto" w:fill="CCEEFF"/>
          </w:tcPr>
          <w:p>
            <w:pPr>
              <w:jc w:val="right"/>
              <w:ind w:right="21"/>
              <w:spacing w:after="0" w:line="324" w:lineRule="exact"/>
              <w:rPr>
                <w:sz w:val="20"/>
                <w:szCs w:val="20"/>
                <w:color w:val="auto"/>
              </w:rPr>
            </w:pPr>
            <w:r>
              <w:rPr>
                <w:rFonts w:ascii="Arial" w:cs="Arial" w:eastAsia="Arial" w:hAnsi="Arial"/>
                <w:sz w:val="18"/>
                <w:szCs w:val="18"/>
                <w:color w:val="auto"/>
              </w:rPr>
              <w:t>11,971,188</w:t>
            </w:r>
            <w:r>
              <w:rPr>
                <w:rFonts w:ascii="Arial" w:cs="Arial" w:eastAsia="Arial" w:hAnsi="Arial"/>
                <w:sz w:val="29"/>
                <w:szCs w:val="29"/>
                <w:color w:val="auto"/>
                <w:vertAlign w:val="superscript"/>
              </w:rPr>
              <w:t>(6)</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020" w:type="dxa"/>
            <w:vAlign w:val="bottom"/>
          </w:tcPr>
          <w:p>
            <w:pPr>
              <w:spacing w:after="0" w:line="324" w:lineRule="exact"/>
              <w:rPr>
                <w:sz w:val="20"/>
                <w:szCs w:val="20"/>
                <w:color w:val="auto"/>
              </w:rPr>
            </w:pPr>
            <w:r>
              <w:rPr>
                <w:rFonts w:ascii="Arial" w:cs="Arial" w:eastAsia="Arial" w:hAnsi="Arial"/>
                <w:sz w:val="18"/>
                <w:szCs w:val="18"/>
                <w:color w:val="auto"/>
              </w:rPr>
              <w:t>David Smith</w:t>
            </w:r>
            <w:r>
              <w:rPr>
                <w:rFonts w:ascii="Arial" w:cs="Arial" w:eastAsia="Arial" w:hAnsi="Arial"/>
                <w:sz w:val="29"/>
                <w:szCs w:val="29"/>
                <w:color w:val="auto"/>
                <w:vertAlign w:val="superscript"/>
              </w:rPr>
              <w:t>(8)</w:t>
            </w:r>
          </w:p>
        </w:tc>
        <w:tc>
          <w:tcPr>
            <w:tcW w:w="30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w w:val="98"/>
              </w:rPr>
              <w:t>175,000</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24"/>
        </w:trPr>
        <w:tc>
          <w:tcPr>
            <w:tcW w:w="40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Early Equities LLC</w:t>
            </w:r>
            <w:r>
              <w:rPr>
                <w:rFonts w:ascii="Arial" w:cs="Arial" w:eastAsia="Arial" w:hAnsi="Arial"/>
                <w:sz w:val="29"/>
                <w:szCs w:val="29"/>
                <w:color w:val="auto"/>
                <w:vertAlign w:val="superscript"/>
              </w:rPr>
              <w:t>(10)</w:t>
            </w:r>
          </w:p>
        </w:tc>
        <w:tc>
          <w:tcPr>
            <w:tcW w:w="3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0"/>
              </w:rPr>
              <w:t>100,000</w:t>
            </w:r>
            <w:r>
              <w:rPr>
                <w:rFonts w:ascii="Arial" w:cs="Arial" w:eastAsia="Arial" w:hAnsi="Arial"/>
                <w:sz w:val="29"/>
                <w:szCs w:val="29"/>
                <w:color w:val="auto"/>
                <w:w w:val="90"/>
                <w:vertAlign w:val="superscript"/>
              </w:rPr>
              <w:t>(8)</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24"/>
        </w:trPr>
        <w:tc>
          <w:tcPr>
            <w:tcW w:w="4020" w:type="dxa"/>
            <w:vAlign w:val="bottom"/>
          </w:tcPr>
          <w:p>
            <w:pPr>
              <w:spacing w:after="0" w:line="324" w:lineRule="exact"/>
              <w:rPr>
                <w:sz w:val="20"/>
                <w:szCs w:val="20"/>
                <w:color w:val="auto"/>
              </w:rPr>
            </w:pPr>
            <w:r>
              <w:rPr>
                <w:rFonts w:ascii="Arial" w:cs="Arial" w:eastAsia="Arial" w:hAnsi="Arial"/>
                <w:sz w:val="18"/>
                <w:szCs w:val="18"/>
                <w:color w:val="auto"/>
              </w:rPr>
              <w:t>Richard E. Uihlein</w:t>
            </w:r>
            <w:r>
              <w:rPr>
                <w:rFonts w:ascii="Arial" w:cs="Arial" w:eastAsia="Arial" w:hAnsi="Arial"/>
                <w:sz w:val="29"/>
                <w:szCs w:val="29"/>
                <w:color w:val="auto"/>
                <w:vertAlign w:val="superscript"/>
              </w:rPr>
              <w:t>(12)</w:t>
            </w:r>
          </w:p>
        </w:tc>
        <w:tc>
          <w:tcPr>
            <w:tcW w:w="138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11,228,949</w:t>
            </w:r>
            <w:r>
              <w:rPr>
                <w:rFonts w:ascii="Arial" w:cs="Arial" w:eastAsia="Arial" w:hAnsi="Arial"/>
                <w:sz w:val="29"/>
                <w:szCs w:val="29"/>
                <w:color w:val="auto"/>
                <w:vertAlign w:val="superscript"/>
              </w:rPr>
              <w:t>(13)</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Directors, New Director Nominee and Other Named</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Executive Officers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Gilbert F. Amelio, Ph.D.</w:t>
            </w:r>
          </w:p>
        </w:tc>
        <w:tc>
          <w:tcPr>
            <w:tcW w:w="1380" w:type="dxa"/>
            <w:vAlign w:val="bottom"/>
            <w:gridSpan w:val="2"/>
          </w:tcPr>
          <w:p>
            <w:pPr>
              <w:jc w:val="right"/>
              <w:ind w:right="201"/>
              <w:spacing w:after="0"/>
              <w:rPr>
                <w:sz w:val="20"/>
                <w:szCs w:val="20"/>
                <w:color w:val="auto"/>
              </w:rPr>
            </w:pPr>
            <w:r>
              <w:rPr>
                <w:rFonts w:ascii="Arial" w:cs="Arial" w:eastAsia="Arial" w:hAnsi="Arial"/>
                <w:sz w:val="18"/>
                <w:szCs w:val="18"/>
                <w:color w:val="auto"/>
              </w:rPr>
              <w:t>135,614</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380" w:type="dxa"/>
            <w:vAlign w:val="bottom"/>
            <w:gridSpan w:val="2"/>
            <w:shd w:val="clear" w:color="auto" w:fill="CCEEFF"/>
          </w:tcPr>
          <w:p>
            <w:pPr>
              <w:jc w:val="right"/>
              <w:ind w:right="1"/>
              <w:spacing w:after="0" w:line="324" w:lineRule="exact"/>
              <w:rPr>
                <w:sz w:val="20"/>
                <w:szCs w:val="20"/>
                <w:color w:val="auto"/>
              </w:rPr>
            </w:pPr>
            <w:r>
              <w:rPr>
                <w:rFonts w:ascii="Arial" w:cs="Arial" w:eastAsia="Arial" w:hAnsi="Arial"/>
                <w:sz w:val="18"/>
                <w:szCs w:val="18"/>
                <w:color w:val="auto"/>
              </w:rPr>
              <w:t>13,013,596</w:t>
            </w:r>
            <w:r>
              <w:rPr>
                <w:rFonts w:ascii="Arial" w:cs="Arial" w:eastAsia="Arial" w:hAnsi="Arial"/>
                <w:sz w:val="29"/>
                <w:szCs w:val="29"/>
                <w:color w:val="auto"/>
                <w:vertAlign w:val="superscript"/>
              </w:rPr>
              <w:t>(5)</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100,000</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Kary Eldred</w:t>
            </w:r>
          </w:p>
        </w:tc>
        <w:tc>
          <w:tcPr>
            <w:tcW w:w="138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911,575</w:t>
            </w:r>
            <w:r>
              <w:rPr>
                <w:rFonts w:ascii="Arial" w:cs="Arial" w:eastAsia="Arial" w:hAnsi="Arial"/>
                <w:sz w:val="29"/>
                <w:szCs w:val="29"/>
                <w:color w:val="auto"/>
                <w:vertAlign w:val="superscript"/>
              </w:rPr>
              <w:t>(14)</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Kevin Freeman</w:t>
            </w:r>
          </w:p>
        </w:tc>
        <w:tc>
          <w:tcPr>
            <w:tcW w:w="1380" w:type="dxa"/>
            <w:vAlign w:val="bottom"/>
            <w:gridSpan w:val="2"/>
            <w:shd w:val="clear" w:color="auto" w:fill="CCEEFF"/>
          </w:tcPr>
          <w:p>
            <w:pPr>
              <w:jc w:val="right"/>
              <w:spacing w:after="0" w:line="324" w:lineRule="exact"/>
              <w:rPr>
                <w:sz w:val="20"/>
                <w:szCs w:val="20"/>
                <w:color w:val="auto"/>
              </w:rPr>
            </w:pPr>
            <w:r>
              <w:rPr>
                <w:rFonts w:ascii="Arial" w:cs="Arial" w:eastAsia="Arial" w:hAnsi="Arial"/>
                <w:sz w:val="18"/>
                <w:szCs w:val="18"/>
                <w:color w:val="auto"/>
              </w:rPr>
              <w:t>891,910</w:t>
            </w:r>
            <w:r>
              <w:rPr>
                <w:rFonts w:ascii="Arial" w:cs="Arial" w:eastAsia="Arial" w:hAnsi="Arial"/>
                <w:sz w:val="29"/>
                <w:szCs w:val="29"/>
                <w:color w:val="auto"/>
                <w:vertAlign w:val="superscript"/>
              </w:rPr>
              <w:t>(11)</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Joel Lewis</w:t>
            </w:r>
          </w:p>
        </w:tc>
        <w:tc>
          <w:tcPr>
            <w:tcW w:w="1380" w:type="dxa"/>
            <w:vAlign w:val="bottom"/>
            <w:gridSpan w:val="2"/>
          </w:tcPr>
          <w:p>
            <w:pPr>
              <w:jc w:val="right"/>
              <w:ind w:right="201"/>
              <w:spacing w:after="0"/>
              <w:rPr>
                <w:sz w:val="20"/>
                <w:szCs w:val="20"/>
                <w:color w:val="auto"/>
              </w:rPr>
            </w:pPr>
            <w:r>
              <w:rPr>
                <w:rFonts w:ascii="Arial" w:cs="Arial" w:eastAsia="Arial" w:hAnsi="Arial"/>
                <w:sz w:val="18"/>
                <w:szCs w:val="18"/>
                <w:color w:val="auto"/>
              </w:rPr>
              <w:t>513,346</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1380" w:type="dxa"/>
            <w:vAlign w:val="bottom"/>
            <w:tcBorders>
              <w:bottom w:val="single" w:sz="8" w:color="CCEEFF"/>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260,990</w:t>
            </w:r>
          </w:p>
        </w:tc>
        <w:tc>
          <w:tcPr>
            <w:tcW w:w="2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3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Marc Rubin, M.D.</w:t>
            </w: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118,146</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Elissa J. Schwartz, Ph.D.</w:t>
            </w:r>
          </w:p>
        </w:tc>
        <w:tc>
          <w:tcPr>
            <w:tcW w:w="3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Harold H. Shlevin, Ph.D.</w:t>
            </w:r>
          </w:p>
        </w:tc>
        <w:tc>
          <w:tcPr>
            <w:tcW w:w="1380" w:type="dxa"/>
            <w:vAlign w:val="bottom"/>
            <w:gridSpan w:val="2"/>
          </w:tcPr>
          <w:p>
            <w:pPr>
              <w:jc w:val="right"/>
              <w:ind w:right="201"/>
              <w:spacing w:after="0"/>
              <w:rPr>
                <w:sz w:val="20"/>
                <w:szCs w:val="20"/>
                <w:color w:val="auto"/>
              </w:rPr>
            </w:pPr>
            <w:r>
              <w:rPr>
                <w:rFonts w:ascii="Arial" w:cs="Arial" w:eastAsia="Arial" w:hAnsi="Arial"/>
                <w:sz w:val="18"/>
                <w:szCs w:val="18"/>
                <w:color w:val="auto"/>
              </w:rPr>
              <w:t>384,206</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Richard E. Uihlein</w:t>
            </w:r>
          </w:p>
        </w:tc>
        <w:tc>
          <w:tcPr>
            <w:tcW w:w="1380" w:type="dxa"/>
            <w:vAlign w:val="bottom"/>
            <w:gridSpan w:val="2"/>
            <w:shd w:val="clear" w:color="auto" w:fill="CCEEFF"/>
          </w:tcPr>
          <w:p>
            <w:pPr>
              <w:jc w:val="right"/>
              <w:spacing w:after="0" w:line="324" w:lineRule="exact"/>
              <w:rPr>
                <w:sz w:val="20"/>
                <w:szCs w:val="20"/>
                <w:color w:val="auto"/>
              </w:rPr>
            </w:pPr>
            <w:r>
              <w:rPr>
                <w:rFonts w:ascii="Arial" w:cs="Arial" w:eastAsia="Arial" w:hAnsi="Arial"/>
                <w:sz w:val="18"/>
                <w:szCs w:val="18"/>
                <w:color w:val="auto"/>
              </w:rPr>
              <w:t>11,228,949</w:t>
            </w:r>
            <w:r>
              <w:rPr>
                <w:rFonts w:ascii="Arial" w:cs="Arial" w:eastAsia="Arial" w:hAnsi="Arial"/>
                <w:sz w:val="29"/>
                <w:szCs w:val="29"/>
                <w:color w:val="auto"/>
                <w:vertAlign w:val="superscript"/>
              </w:rPr>
              <w:t>(13)</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Richard A. Zordani</w:t>
            </w: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15,353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Pol F. Boudes, M.D.</w:t>
            </w:r>
          </w:p>
        </w:tc>
        <w:tc>
          <w:tcPr>
            <w:tcW w:w="138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72,500</w:t>
            </w:r>
          </w:p>
        </w:tc>
        <w:tc>
          <w:tcPr>
            <w:tcW w:w="2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Jack W. Callicutt</w:t>
            </w:r>
          </w:p>
        </w:tc>
        <w:tc>
          <w:tcPr>
            <w:tcW w:w="1380" w:type="dxa"/>
            <w:vAlign w:val="bottom"/>
            <w:gridSpan w:val="2"/>
          </w:tcPr>
          <w:p>
            <w:pPr>
              <w:jc w:val="right"/>
              <w:ind w:right="201"/>
              <w:spacing w:after="0"/>
              <w:rPr>
                <w:sz w:val="20"/>
                <w:szCs w:val="20"/>
                <w:color w:val="auto"/>
              </w:rPr>
            </w:pPr>
            <w:r>
              <w:rPr>
                <w:rFonts w:ascii="Arial" w:cs="Arial" w:eastAsia="Arial" w:hAnsi="Arial"/>
                <w:sz w:val="18"/>
                <w:szCs w:val="18"/>
                <w:color w:val="auto"/>
              </w:rPr>
              <w:t>318,905</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w:t>
            </w:r>
          </w:p>
        </w:tc>
        <w:tc>
          <w:tcPr>
            <w:tcW w:w="13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27,865,090</w:t>
            </w:r>
            <w:r>
              <w:rPr>
                <w:rFonts w:ascii="Arial" w:cs="Arial" w:eastAsia="Arial" w:hAnsi="Arial"/>
                <w:sz w:val="29"/>
                <w:szCs w:val="29"/>
                <w:color w:val="auto"/>
                <w:vertAlign w:val="superscript"/>
              </w:rPr>
              <w:t>(7)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(13 persons)</w:t>
            </w:r>
          </w:p>
        </w:tc>
        <w:tc>
          <w:tcPr>
            <w:tcW w:w="1380" w:type="dxa"/>
            <w:vAlign w:val="bottom"/>
            <w:gridSpan w:val="2"/>
            <w:vMerge w:val="continue"/>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150,000</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-4611370</wp:posOffset>
            </wp:positionV>
            <wp:extent cx="2057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-4611370</wp:posOffset>
            </wp:positionV>
            <wp:extent cx="188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-4611370</wp:posOffset>
            </wp:positionV>
            <wp:extent cx="1885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-4611370</wp:posOffset>
            </wp:positionV>
            <wp:extent cx="188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ind w:left="640" w:right="439" w:hanging="348"/>
        <w:spacing w:after="0" w:line="253"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Except as otherwise indicated, the address for each named person is c/o Galectin Therapeutics Inc., 4960 Peachtree Industrial Blvd., Suite 240, Norcross, GA 30071.</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479" w:hanging="348"/>
        <w:spacing w:after="0" w:line="253"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the following number of shares of our Common Stock issuable upon exercise of outstanding stock options granted to our named executive officers and directors that are exercisable within 60 days after September 1, 2021.</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Directors, Nominees and Named Executive Officers</w:t>
            </w:r>
          </w:p>
        </w:tc>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Options Exercisable Within 60 Days</w:t>
            </w:r>
          </w:p>
        </w:tc>
      </w:tr>
      <w:tr>
        <w:trPr>
          <w:trHeight w:val="53"/>
        </w:trPr>
        <w:tc>
          <w:tcPr>
            <w:tcW w:w="5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Gilbert F. Amelio, Ph.D.</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840" w:type="dxa"/>
            <w:vAlign w:val="bottom"/>
            <w:tcBorders>
              <w:bottom w:val="single" w:sz="8" w:color="CCEEFF"/>
            </w:tcBorders>
            <w:shd w:val="clear" w:color="auto" w:fill="CCEEFF"/>
          </w:tcPr>
          <w:p>
            <w:pPr>
              <w:spacing w:after="0"/>
              <w:rPr>
                <w:sz w:val="21"/>
                <w:szCs w:val="21"/>
                <w:color w:val="auto"/>
              </w:rPr>
            </w:pPr>
          </w:p>
        </w:tc>
      </w:tr>
      <w:tr>
        <w:trPr>
          <w:trHeight w:val="218"/>
        </w:trPr>
        <w:tc>
          <w:tcPr>
            <w:tcW w:w="5500" w:type="dxa"/>
            <w:vAlign w:val="bottom"/>
            <w:gridSpan w:val="2"/>
          </w:tcPr>
          <w:p>
            <w:pPr>
              <w:spacing w:after="0"/>
              <w:rPr>
                <w:sz w:val="20"/>
                <w:szCs w:val="20"/>
                <w:color w:val="auto"/>
              </w:rPr>
            </w:pPr>
            <w:r>
              <w:rPr>
                <w:rFonts w:ascii="Arial" w:cs="Arial" w:eastAsia="Arial" w:hAnsi="Arial"/>
                <w:sz w:val="14"/>
                <w:szCs w:val="14"/>
                <w:color w:val="auto"/>
              </w:rPr>
              <w:t>James C. Czirr</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255,125</w:t>
            </w:r>
          </w:p>
        </w:tc>
        <w:tc>
          <w:tcPr>
            <w:tcW w:w="840" w:type="dxa"/>
            <w:vAlign w:val="bottom"/>
          </w:tcPr>
          <w:p>
            <w:pPr>
              <w:spacing w:after="0"/>
              <w:rPr>
                <w:sz w:val="18"/>
                <w:szCs w:val="18"/>
                <w:color w:val="auto"/>
              </w:rPr>
            </w:pPr>
          </w:p>
        </w:tc>
      </w:tr>
      <w:tr>
        <w:trPr>
          <w:trHeight w:val="39"/>
        </w:trPr>
        <w:tc>
          <w:tcPr>
            <w:tcW w:w="5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37"/>
        </w:trPr>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Kary Eldred</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101,875</w:t>
            </w:r>
          </w:p>
        </w:tc>
        <w:tc>
          <w:tcPr>
            <w:tcW w:w="840" w:type="dxa"/>
            <w:vAlign w:val="bottom"/>
            <w:tcBorders>
              <w:bottom w:val="single" w:sz="8" w:color="CCEEFF"/>
            </w:tcBorders>
            <w:shd w:val="clear" w:color="auto" w:fill="CCEEFF"/>
          </w:tcPr>
          <w:p>
            <w:pPr>
              <w:spacing w:after="0"/>
              <w:rPr>
                <w:sz w:val="20"/>
                <w:szCs w:val="20"/>
                <w:color w:val="auto"/>
              </w:rPr>
            </w:pPr>
          </w:p>
        </w:tc>
      </w:tr>
      <w:tr>
        <w:trPr>
          <w:trHeight w:val="217"/>
        </w:trPr>
        <w:tc>
          <w:tcPr>
            <w:tcW w:w="5500" w:type="dxa"/>
            <w:vAlign w:val="bottom"/>
            <w:gridSpan w:val="2"/>
          </w:tcPr>
          <w:p>
            <w:pPr>
              <w:spacing w:after="0"/>
              <w:rPr>
                <w:sz w:val="20"/>
                <w:szCs w:val="20"/>
                <w:color w:val="auto"/>
              </w:rPr>
            </w:pPr>
            <w:r>
              <w:rPr>
                <w:rFonts w:ascii="Arial" w:cs="Arial" w:eastAsia="Arial" w:hAnsi="Arial"/>
                <w:sz w:val="14"/>
                <w:szCs w:val="14"/>
                <w:color w:val="auto"/>
              </w:rPr>
              <w:t>Kevin Freeman</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179,839</w:t>
            </w:r>
          </w:p>
        </w:tc>
        <w:tc>
          <w:tcPr>
            <w:tcW w:w="840" w:type="dxa"/>
            <w:vAlign w:val="bottom"/>
          </w:tcPr>
          <w:p>
            <w:pPr>
              <w:spacing w:after="0"/>
              <w:rPr>
                <w:sz w:val="18"/>
                <w:szCs w:val="18"/>
                <w:color w:val="auto"/>
              </w:rPr>
            </w:pPr>
          </w:p>
        </w:tc>
      </w:tr>
      <w:tr>
        <w:trPr>
          <w:trHeight w:val="39"/>
        </w:trPr>
        <w:tc>
          <w:tcPr>
            <w:tcW w:w="5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36"/>
        </w:trPr>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Joel Lewis</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230,082</w:t>
            </w:r>
          </w:p>
        </w:tc>
        <w:tc>
          <w:tcPr>
            <w:tcW w:w="840" w:type="dxa"/>
            <w:vAlign w:val="bottom"/>
            <w:tcBorders>
              <w:bottom w:val="single" w:sz="8" w:color="CCEEFF"/>
            </w:tcBorders>
            <w:shd w:val="clear" w:color="auto" w:fill="CCEEFF"/>
          </w:tcPr>
          <w:p>
            <w:pPr>
              <w:spacing w:after="0"/>
              <w:rPr>
                <w:sz w:val="20"/>
                <w:szCs w:val="20"/>
                <w:color w:val="auto"/>
              </w:rPr>
            </w:pPr>
          </w:p>
        </w:tc>
      </w:tr>
      <w:tr>
        <w:trPr>
          <w:trHeight w:val="218"/>
        </w:trPr>
        <w:tc>
          <w:tcPr>
            <w:tcW w:w="5500" w:type="dxa"/>
            <w:vAlign w:val="bottom"/>
            <w:gridSpan w:val="2"/>
          </w:tcPr>
          <w:p>
            <w:pPr>
              <w:spacing w:after="0"/>
              <w:rPr>
                <w:sz w:val="20"/>
                <w:szCs w:val="20"/>
                <w:color w:val="auto"/>
              </w:rPr>
            </w:pPr>
            <w:r>
              <w:rPr>
                <w:rFonts w:ascii="Arial" w:cs="Arial" w:eastAsia="Arial" w:hAnsi="Arial"/>
                <w:sz w:val="14"/>
                <w:szCs w:val="14"/>
                <w:color w:val="auto"/>
              </w:rPr>
              <w:t>Gilbert S. Omenn, M.D., Ph.D.</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178,750</w:t>
            </w:r>
          </w:p>
        </w:tc>
        <w:tc>
          <w:tcPr>
            <w:tcW w:w="840" w:type="dxa"/>
            <w:vAlign w:val="bottom"/>
          </w:tcPr>
          <w:p>
            <w:pPr>
              <w:spacing w:after="0"/>
              <w:rPr>
                <w:sz w:val="18"/>
                <w:szCs w:val="18"/>
                <w:color w:val="auto"/>
              </w:rPr>
            </w:pPr>
          </w:p>
        </w:tc>
      </w:tr>
      <w:tr>
        <w:trPr>
          <w:trHeight w:val="39"/>
        </w:trPr>
        <w:tc>
          <w:tcPr>
            <w:tcW w:w="5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37"/>
        </w:trPr>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Marc Rubin, M.D.</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104,565</w:t>
            </w:r>
          </w:p>
        </w:tc>
        <w:tc>
          <w:tcPr>
            <w:tcW w:w="840" w:type="dxa"/>
            <w:vAlign w:val="bottom"/>
            <w:tcBorders>
              <w:bottom w:val="single" w:sz="8" w:color="CCEEFF"/>
            </w:tcBorders>
            <w:shd w:val="clear" w:color="auto" w:fill="CCEEFF"/>
          </w:tcPr>
          <w:p>
            <w:pPr>
              <w:spacing w:after="0"/>
              <w:rPr>
                <w:sz w:val="20"/>
                <w:szCs w:val="20"/>
                <w:color w:val="auto"/>
              </w:rPr>
            </w:pPr>
          </w:p>
        </w:tc>
      </w:tr>
      <w:tr>
        <w:trPr>
          <w:trHeight w:val="218"/>
        </w:trPr>
        <w:tc>
          <w:tcPr>
            <w:tcW w:w="5500" w:type="dxa"/>
            <w:vAlign w:val="bottom"/>
            <w:gridSpan w:val="2"/>
          </w:tcPr>
          <w:p>
            <w:pPr>
              <w:spacing w:after="0"/>
              <w:rPr>
                <w:sz w:val="20"/>
                <w:szCs w:val="20"/>
                <w:color w:val="auto"/>
              </w:rPr>
            </w:pPr>
            <w:r>
              <w:rPr>
                <w:rFonts w:ascii="Arial" w:cs="Arial" w:eastAsia="Arial" w:hAnsi="Arial"/>
                <w:sz w:val="14"/>
                <w:szCs w:val="14"/>
                <w:color w:val="auto"/>
              </w:rPr>
              <w:t>Harold Shlevin, Ph.D.</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375,500</w:t>
            </w:r>
          </w:p>
        </w:tc>
        <w:tc>
          <w:tcPr>
            <w:tcW w:w="840" w:type="dxa"/>
            <w:vAlign w:val="bottom"/>
          </w:tcPr>
          <w:p>
            <w:pPr>
              <w:spacing w:after="0"/>
              <w:rPr>
                <w:sz w:val="18"/>
                <w:szCs w:val="18"/>
                <w:color w:val="auto"/>
              </w:rPr>
            </w:pPr>
          </w:p>
        </w:tc>
      </w:tr>
      <w:tr>
        <w:trPr>
          <w:trHeight w:val="39"/>
        </w:trPr>
        <w:tc>
          <w:tcPr>
            <w:tcW w:w="5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37"/>
        </w:trPr>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Richard E. Uihlein</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66,362</w:t>
            </w:r>
          </w:p>
        </w:tc>
        <w:tc>
          <w:tcPr>
            <w:tcW w:w="840" w:type="dxa"/>
            <w:vAlign w:val="bottom"/>
            <w:tcBorders>
              <w:bottom w:val="single" w:sz="8" w:color="CCEEFF"/>
            </w:tcBorders>
            <w:shd w:val="clear" w:color="auto" w:fill="CCEEFF"/>
          </w:tcPr>
          <w:p>
            <w:pPr>
              <w:spacing w:after="0"/>
              <w:rPr>
                <w:sz w:val="20"/>
                <w:szCs w:val="20"/>
                <w:color w:val="auto"/>
              </w:rPr>
            </w:pPr>
          </w:p>
        </w:tc>
      </w:tr>
      <w:tr>
        <w:trPr>
          <w:trHeight w:val="217"/>
        </w:trPr>
        <w:tc>
          <w:tcPr>
            <w:tcW w:w="5500" w:type="dxa"/>
            <w:vAlign w:val="bottom"/>
            <w:gridSpan w:val="2"/>
          </w:tcPr>
          <w:p>
            <w:pPr>
              <w:spacing w:after="0"/>
              <w:rPr>
                <w:sz w:val="20"/>
                <w:szCs w:val="20"/>
                <w:color w:val="auto"/>
              </w:rPr>
            </w:pPr>
            <w:r>
              <w:rPr>
                <w:rFonts w:ascii="Arial" w:cs="Arial" w:eastAsia="Arial" w:hAnsi="Arial"/>
                <w:sz w:val="14"/>
                <w:szCs w:val="14"/>
                <w:color w:val="auto"/>
              </w:rPr>
              <w:t>Pol F. Boudes, M.D.</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72,500</w:t>
            </w:r>
          </w:p>
        </w:tc>
        <w:tc>
          <w:tcPr>
            <w:tcW w:w="840" w:type="dxa"/>
            <w:vAlign w:val="bottom"/>
          </w:tcPr>
          <w:p>
            <w:pPr>
              <w:spacing w:after="0"/>
              <w:rPr>
                <w:sz w:val="18"/>
                <w:szCs w:val="18"/>
                <w:color w:val="auto"/>
              </w:rPr>
            </w:pPr>
          </w:p>
        </w:tc>
      </w:tr>
      <w:tr>
        <w:trPr>
          <w:trHeight w:val="39"/>
        </w:trPr>
        <w:tc>
          <w:tcPr>
            <w:tcW w:w="5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Jack Callicutt</w:t>
            </w: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314,706</w:t>
            </w:r>
          </w:p>
        </w:tc>
        <w:tc>
          <w:tcPr>
            <w:tcW w:w="840" w:type="dxa"/>
            <w:vAlign w:val="bottom"/>
            <w:tcBorders>
              <w:bottom w:val="single" w:sz="8" w:color="CCEEFF"/>
            </w:tcBorders>
            <w:shd w:val="clear" w:color="auto" w:fill="CCEEFF"/>
          </w:tcPr>
          <w:p>
            <w:pPr>
              <w:spacing w:after="0"/>
              <w:rPr>
                <w:sz w:val="21"/>
                <w:szCs w:val="21"/>
                <w:color w:val="auto"/>
              </w:rPr>
            </w:pPr>
          </w:p>
        </w:tc>
      </w:tr>
      <w:tr>
        <w:trPr>
          <w:trHeight w:val="231"/>
        </w:trPr>
        <w:tc>
          <w:tcPr>
            <w:tcW w:w="550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1,954,304</w:t>
            </w: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-1963420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54" w:lineRule="exact"/>
        <w:rPr>
          <w:sz w:val="20"/>
          <w:szCs w:val="20"/>
          <w:color w:val="auto"/>
        </w:rPr>
      </w:pPr>
    </w:p>
    <w:p>
      <w:pPr>
        <w:ind w:left="640" w:right="359" w:hanging="348"/>
        <w:spacing w:after="0" w:line="23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each named person and group included in this table, percentage ownership of our Common Stock is calculated by dividing the number of shares of our Common Stock beneficially owned by such person or group by the sum of (i) 59,289,952 shares of our Common Stock outstanding as of September 1, 2021 and (ii) the number of shares of our Common Stock that such person has the right to acquire within 60 days after September 1, 2021.</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1,302,500 shares of Series A preferred stock outstanding as of September 1, 2021.</w:t>
      </w:r>
    </w:p>
    <w:p>
      <w:pPr>
        <w:spacing w:after="0" w:line="41" w:lineRule="exact"/>
        <w:rPr>
          <w:rFonts w:ascii="Arial" w:cs="Arial" w:eastAsia="Arial" w:hAnsi="Arial"/>
          <w:sz w:val="14"/>
          <w:szCs w:val="14"/>
          <w:color w:val="auto"/>
        </w:rPr>
      </w:pPr>
    </w:p>
    <w:p>
      <w:pPr>
        <w:ind w:left="640" w:right="439" w:hanging="348"/>
        <w:spacing w:after="0" w:line="243" w:lineRule="auto"/>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(i) 6,238,935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770,616 shares of Common Stock owned by Mr. Czirr, 255,125 shares issuable upon the exercise of vested stock options owned by</w:t>
      </w:r>
    </w:p>
    <w:p>
      <w:pPr>
        <w:ind w:left="640"/>
        <w:spacing w:after="0"/>
        <w:rPr>
          <w:rFonts w:ascii="Arial" w:cs="Arial" w:eastAsia="Arial" w:hAnsi="Arial"/>
          <w:sz w:val="13"/>
          <w:szCs w:val="13"/>
          <w:color w:val="auto"/>
        </w:rPr>
      </w:pPr>
      <w:r>
        <w:rPr>
          <w:rFonts w:ascii="Arial" w:cs="Arial" w:eastAsia="Arial" w:hAnsi="Arial"/>
          <w:sz w:val="14"/>
          <w:szCs w:val="14"/>
          <w:color w:val="auto"/>
        </w:rPr>
        <w:t>Mr. Czirr, and 16,667 shares of our Common Stock issuable upon conversion of Series A preferred stock owned by Mr. Czirr</w:t>
      </w:r>
    </w:p>
    <w:p>
      <w:pPr>
        <w:spacing w:after="0" w:line="29" w:lineRule="exact"/>
        <w:rPr>
          <w:rFonts w:ascii="Arial" w:cs="Arial" w:eastAsia="Arial" w:hAnsi="Arial"/>
          <w:sz w:val="13"/>
          <w:szCs w:val="13"/>
          <w:color w:val="auto"/>
        </w:rPr>
      </w:pPr>
    </w:p>
    <w:p>
      <w:pPr>
        <w:ind w:left="640" w:hanging="348"/>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(i) 6,238,935 common shares, and (ii) 5,732,253 common shares issuable upon exercise of warrants.</w:t>
      </w:r>
    </w:p>
    <w:p>
      <w:pPr>
        <w:spacing w:after="0" w:line="41" w:lineRule="exact"/>
        <w:rPr>
          <w:rFonts w:ascii="Arial" w:cs="Arial" w:eastAsia="Arial" w:hAnsi="Arial"/>
          <w:sz w:val="14"/>
          <w:szCs w:val="14"/>
          <w:color w:val="auto"/>
        </w:rPr>
      </w:pPr>
    </w:p>
    <w:p>
      <w:pPr>
        <w:ind w:left="640" w:right="399" w:hanging="348"/>
        <w:spacing w:after="0" w:line="238"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(i) 5,732,253 common shares issuable upon exercise of warrants and (ii) 6,238,935 common shares owned by 10X Fund, as to which Mr. Czirr has voting and investment control but are counted one time for purposes of this total. For additional information about the beneficial ownership of our capital stock by Mr. Czirr, see note 5.</w:t>
      </w:r>
    </w:p>
    <w:p>
      <w:pPr>
        <w:spacing w:after="0" w:line="20" w:lineRule="exact"/>
        <w:rPr>
          <w:rFonts w:ascii="Arial" w:cs="Arial" w:eastAsia="Arial" w:hAnsi="Arial"/>
          <w:sz w:val="14"/>
          <w:szCs w:val="14"/>
          <w:color w:val="auto"/>
        </w:rPr>
      </w:pPr>
    </w:p>
    <w:p>
      <w:pPr>
        <w:ind w:left="640" w:right="93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Smith is the manager of Early Equities LLC, a Connecticut limited liability company, and may be deemed to have voting and investment control over, but disclaims beneficial ownership of, the shares of Series A preferred stock.</w:t>
      </w:r>
    </w:p>
    <w:p>
      <w:pPr>
        <w:spacing w:after="0" w:line="11" w:lineRule="exact"/>
        <w:rPr>
          <w:rFonts w:ascii="Arial" w:cs="Arial" w:eastAsia="Arial" w:hAnsi="Arial"/>
          <w:sz w:val="14"/>
          <w:szCs w:val="14"/>
          <w:color w:val="auto"/>
        </w:rPr>
      </w:pPr>
    </w:p>
    <w:p>
      <w:pPr>
        <w:ind w:left="640" w:right="45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Contact: c/o 10X Capital Management, LLC at Davis Gillett Mottern &amp; Sims LLC attn: Bob Mottern 545 Dutch Valley Road, N.E., Suite A, Atlanta, GA 30309.</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Contact: c/o David Smith 34 Shorehaven Road E., Norwalk, CT 06855.</w:t>
      </w:r>
    </w:p>
    <w:p>
      <w:pPr>
        <w:spacing w:after="0" w:line="41" w:lineRule="exact"/>
        <w:rPr>
          <w:rFonts w:ascii="Arial" w:cs="Arial" w:eastAsia="Arial" w:hAnsi="Arial"/>
          <w:sz w:val="14"/>
          <w:szCs w:val="14"/>
          <w:color w:val="auto"/>
        </w:rPr>
      </w:pPr>
    </w:p>
    <w:p>
      <w:pPr>
        <w:ind w:left="640" w:right="639" w:hanging="348"/>
        <w:spacing w:after="0" w:line="23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567,170 shares of the Company’s Common Stock and warrants for the purchase of 75,432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Contact: c/o Uline Corporation, 12575 Uline Drive, Pleasant Prairie, WI 53158</w:t>
      </w:r>
    </w:p>
    <w:p>
      <w:pPr>
        <w:spacing w:after="0" w:line="41" w:lineRule="exact"/>
        <w:rPr>
          <w:rFonts w:ascii="Arial" w:cs="Arial" w:eastAsia="Arial" w:hAnsi="Arial"/>
          <w:sz w:val="14"/>
          <w:szCs w:val="14"/>
          <w:color w:val="auto"/>
        </w:rPr>
      </w:pPr>
    </w:p>
    <w:p>
      <w:pPr>
        <w:ind w:left="640" w:right="599" w:hanging="348"/>
        <w:spacing w:after="0" w:line="238"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(i) 7,942,869 shares of common stock, (ii) 3,136,384 common shares issuable upon the exercise of Common Stock purchase warrants, (iii) 83,334 common shares issuable upon conversion of Series C preferred non-voting stock, and (iv) 66,362 common shares issuable upon the exercise of common stock options.</w:t>
      </w:r>
    </w:p>
    <w:p>
      <w:pPr>
        <w:spacing w:after="0" w:line="20" w:lineRule="exact"/>
        <w:rPr>
          <w:rFonts w:ascii="Arial" w:cs="Arial" w:eastAsia="Arial" w:hAnsi="Arial"/>
          <w:sz w:val="14"/>
          <w:szCs w:val="14"/>
          <w:color w:val="auto"/>
        </w:rPr>
      </w:pPr>
    </w:p>
    <w:p>
      <w:pPr>
        <w:ind w:left="640" w:right="459" w:hanging="348"/>
        <w:spacing w:after="0" w:line="23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44,915 shares of Common Stock and 16,869 Common Stock purchase warrants personally owned by Mr. Eldred, 431,527 shares of Common Stock and 311,964 Common Stock purchase warrants owned by two private foundations over which Mr. Eldred shares management control, and 4,425 shares of Common Stock held in a trust or for a minor child; however, Mr. Eldred disclaims beneficial ownership of the shares and warrants owned by such private foundations or trusts.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2020, except for an Initial Statement of Beneficial Ownership on Form 3 for each of Richard A. Zordani and Elissa J. Schwartz relating to their appointment to the Board of Directors on August 31, 2020. Each of these Form 3s have subsequently been filed with the SEC.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03"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The Nominating and Corporate Governance Committee of our Board of Directors, or “Board”, has nominated eleven members currently serving on our Board, identified below, to be re-elected at the 2021 Annual Meeting to serve until the 2022 annual meeting of stockholders and until their respective successors are elected and qualified. James C. Czirr is being nominated by 10X Fund L.P., pursuant to contractual rights set forth in certain warrants to purchase Common Stock that 10X Fund L.P. holds. Each of the director nominees has agreed to serve on the Board, if elected.</w:t>
      </w:r>
    </w:p>
    <w:p>
      <w:pPr>
        <w:spacing w:after="0" w:line="84"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Set forth below is information regarding the nominees, as of December 3, 2021, including their ages, positions with Galectin Therapeutics, recent employment and other directorships.</w:t>
      </w:r>
    </w:p>
    <w:p>
      <w:pPr>
        <w:spacing w:after="0" w:line="62" w:lineRule="exact"/>
        <w:rPr>
          <w:sz w:val="20"/>
          <w:szCs w:val="20"/>
          <w:color w:val="auto"/>
        </w:rPr>
      </w:pPr>
    </w:p>
    <w:p>
      <w:pPr>
        <w:jc w:val="center"/>
        <w:ind w:left="300" w:right="319"/>
        <w:spacing w:after="0" w:line="277" w:lineRule="auto"/>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62"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persons who have been nominated for election at the 2021 Annual Meeting to serve on our Board of Directors are named in the table below. Proxies cannot be voted for a greater number of persons than the number of nominees named.</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Nominees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53"/>
        </w:trPr>
        <w:tc>
          <w:tcPr>
            <w:tcW w:w="69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331"/>
        </w:trPr>
        <w:tc>
          <w:tcPr>
            <w:tcW w:w="710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Gilbert F. Amelio, Ph.D.</w:t>
            </w:r>
            <w:r>
              <w:rPr>
                <w:rFonts w:ascii="Arial" w:cs="Arial" w:eastAsia="Arial" w:hAnsi="Arial"/>
                <w:sz w:val="29"/>
                <w:szCs w:val="29"/>
                <w:color w:val="auto"/>
                <w:vertAlign w:val="superscript"/>
              </w:rPr>
              <w:t>(2)(3)</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r>
      <w:tr>
        <w:trPr>
          <w:trHeight w:val="270"/>
        </w:trPr>
        <w:tc>
          <w:tcPr>
            <w:tcW w:w="71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2009</w:t>
            </w: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24"/>
        </w:trPr>
        <w:tc>
          <w:tcPr>
            <w:tcW w:w="71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Kary Eldred</w:t>
            </w:r>
            <w:r>
              <w:rPr>
                <w:rFonts w:ascii="Arial" w:cs="Arial" w:eastAsia="Arial" w:hAnsi="Arial"/>
                <w:sz w:val="29"/>
                <w:szCs w:val="29"/>
                <w:color w:val="auto"/>
                <w:vertAlign w:val="superscript"/>
              </w:rPr>
              <w:t>(1)</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2018</w:t>
            </w:r>
          </w:p>
        </w:tc>
      </w:tr>
      <w:tr>
        <w:trPr>
          <w:trHeight w:val="324"/>
        </w:trPr>
        <w:tc>
          <w:tcPr>
            <w:tcW w:w="7100" w:type="dxa"/>
            <w:vAlign w:val="bottom"/>
            <w:gridSpan w:val="2"/>
          </w:tcPr>
          <w:p>
            <w:pPr>
              <w:spacing w:after="0" w:line="324" w:lineRule="exact"/>
              <w:rPr>
                <w:sz w:val="20"/>
                <w:szCs w:val="20"/>
                <w:color w:val="auto"/>
              </w:rPr>
            </w:pPr>
            <w:r>
              <w:rPr>
                <w:rFonts w:ascii="Arial" w:cs="Arial" w:eastAsia="Arial" w:hAnsi="Arial"/>
                <w:sz w:val="18"/>
                <w:szCs w:val="18"/>
                <w:color w:val="auto"/>
              </w:rPr>
              <w:t>Kevin D. Freeman</w:t>
            </w:r>
            <w:r>
              <w:rPr>
                <w:rFonts w:ascii="Arial" w:cs="Arial" w:eastAsia="Arial" w:hAnsi="Arial"/>
                <w:sz w:val="29"/>
                <w:szCs w:val="29"/>
                <w:color w:val="auto"/>
                <w:vertAlign w:val="superscript"/>
              </w:rPr>
              <w:t>(1)(2)(3)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304"/>
        </w:trPr>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r>
      <w:tr>
        <w:trPr>
          <w:trHeight w:val="324"/>
        </w:trPr>
        <w:tc>
          <w:tcPr>
            <w:tcW w:w="7100" w:type="dxa"/>
            <w:vAlign w:val="bottom"/>
            <w:gridSpan w:val="2"/>
          </w:tcPr>
          <w:p>
            <w:pPr>
              <w:spacing w:after="0" w:line="324" w:lineRule="exact"/>
              <w:rPr>
                <w:sz w:val="20"/>
                <w:szCs w:val="20"/>
                <w:color w:val="auto"/>
              </w:rPr>
            </w:pPr>
            <w:r>
              <w:rPr>
                <w:rFonts w:ascii="Arial" w:cs="Arial" w:eastAsia="Arial" w:hAnsi="Arial"/>
                <w:sz w:val="18"/>
                <w:szCs w:val="18"/>
                <w:color w:val="auto"/>
              </w:rPr>
              <w:t>Gilbert S. Omenn, M.D., Ph.D.</w:t>
            </w:r>
            <w:r>
              <w:rPr>
                <w:rFonts w:ascii="Arial" w:cs="Arial" w:eastAsia="Arial" w:hAnsi="Arial"/>
                <w:sz w:val="29"/>
                <w:szCs w:val="29"/>
                <w:color w:val="auto"/>
                <w:vertAlign w:val="superscript"/>
              </w:rPr>
              <w:t>(2)</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2014</w:t>
            </w:r>
          </w:p>
        </w:tc>
      </w:tr>
      <w:tr>
        <w:trPr>
          <w:trHeight w:val="324"/>
        </w:trPr>
        <w:tc>
          <w:tcPr>
            <w:tcW w:w="71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Marc Rubin, M.D.</w:t>
            </w:r>
            <w:r>
              <w:rPr>
                <w:rFonts w:ascii="Arial" w:cs="Arial" w:eastAsia="Arial" w:hAnsi="Arial"/>
                <w:sz w:val="29"/>
                <w:szCs w:val="29"/>
                <w:color w:val="auto"/>
                <w:vertAlign w:val="superscript"/>
              </w:rPr>
              <w:t>(3)</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r>
      <w:tr>
        <w:trPr>
          <w:trHeight w:val="270"/>
        </w:trPr>
        <w:tc>
          <w:tcPr>
            <w:tcW w:w="7100" w:type="dxa"/>
            <w:vAlign w:val="bottom"/>
            <w:gridSpan w:val="2"/>
          </w:tcPr>
          <w:p>
            <w:pPr>
              <w:spacing w:after="0"/>
              <w:rPr>
                <w:sz w:val="20"/>
                <w:szCs w:val="20"/>
                <w:color w:val="auto"/>
              </w:rPr>
            </w:pPr>
            <w:r>
              <w:rPr>
                <w:rFonts w:ascii="Arial" w:cs="Arial" w:eastAsia="Arial" w:hAnsi="Arial"/>
                <w:sz w:val="18"/>
                <w:szCs w:val="18"/>
                <w:color w:val="auto"/>
              </w:rPr>
              <w:t>Elissa J. Schwartz,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2020</w:t>
            </w: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4"/>
        </w:trPr>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2019</w:t>
            </w:r>
          </w:p>
        </w:tc>
      </w:tr>
      <w:tr>
        <w:trPr>
          <w:trHeight w:val="270"/>
        </w:trPr>
        <w:tc>
          <w:tcPr>
            <w:tcW w:w="7100" w:type="dxa"/>
            <w:vAlign w:val="bottom"/>
            <w:gridSpan w:val="2"/>
          </w:tcPr>
          <w:p>
            <w:pPr>
              <w:spacing w:after="0"/>
              <w:rPr>
                <w:sz w:val="20"/>
                <w:szCs w:val="20"/>
                <w:color w:val="auto"/>
              </w:rPr>
            </w:pPr>
            <w:r>
              <w:rPr>
                <w:rFonts w:ascii="Arial" w:cs="Arial" w:eastAsia="Arial" w:hAnsi="Arial"/>
                <w:sz w:val="18"/>
                <w:szCs w:val="18"/>
                <w:color w:val="auto"/>
              </w:rPr>
              <w:t>Richard E. Uihlein, Chairman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2017</w:t>
            </w: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24"/>
        </w:trPr>
        <w:tc>
          <w:tcPr>
            <w:tcW w:w="71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Richard A. Zordani</w:t>
            </w:r>
            <w:r>
              <w:rPr>
                <w:rFonts w:ascii="Arial" w:cs="Arial" w:eastAsia="Arial" w:hAnsi="Arial"/>
                <w:sz w:val="29"/>
                <w:szCs w:val="29"/>
                <w:color w:val="auto"/>
                <w:vertAlign w:val="superscript"/>
              </w:rPr>
              <w:t>(1)</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-2279650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-2279650</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4"/>
          <w:szCs w:val="14"/>
          <w:color w:val="auto"/>
        </w:rPr>
        <w:t>(1)</w:t>
        <w:tab/>
        <w:t>Member of audit committee</w:t>
      </w:r>
    </w:p>
    <w:p>
      <w:pPr>
        <w:spacing w:after="0" w:line="4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4"/>
          <w:szCs w:val="14"/>
          <w:color w:val="auto"/>
        </w:rPr>
        <w:t>(2)</w:t>
        <w:tab/>
        <w:t>Member of compensation committee</w:t>
      </w:r>
    </w:p>
    <w:p>
      <w:pPr>
        <w:spacing w:after="0" w:line="4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4"/>
          <w:szCs w:val="14"/>
          <w:color w:val="auto"/>
        </w:rPr>
        <w:t>(3)</w:t>
        <w:tab/>
        <w:t>Member of nominating and governance committee</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Gilbert F. Amelio, Ph.D</w:t>
      </w:r>
      <w:r>
        <w:rPr>
          <w:rFonts w:ascii="Arial" w:cs="Arial" w:eastAsia="Arial" w:hAnsi="Arial"/>
          <w:sz w:val="17"/>
          <w:szCs w:val="17"/>
          <w:color w:val="auto"/>
        </w:rPr>
        <w:t>., a director since February 2009, began his career at Bell Labs in Murray Hill, New</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Jersey. Since January 1, 2012, Dr. Amelio has provided consulting and advisory services through GFA, LLC, a</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California limited liability company. He was a Senior Partner of Sienna Ventures (a privately held venture capital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firm in Sausalito, California) from April 2001 until the fund closed per plan on December 31, 2011. Dr. Amelio was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Chairman and Chief Executive Officer of Jazz Technologies, Inc. (now a wholly owned subsidiary of Tower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Semiconductor Ltd., an independent specialty wafer foundry) from August 2005 until his retirement 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September 2008 (when he was named Chairman Emeritus). Dr. Amelio was Chairman and Chief Executive Officer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of Beneventure Capital, LLC (a full-service venture capital firm in San Francisco, California) from 1999 to 2005</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 was Principal of Aircraft Ventures, LLC (a consulting firm in Newport Beach, California) from April 1997 to</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December 2004. Dr. Amelio was elected a Director of AT&amp;T in February 2001 and had previously served as an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Advisory Director of AT&amp;T (then known as SBC Communications Inc.) from April 1997 to February 2001. 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served as a Director of Pacific Telesis Group from 1995 until the company was acquired by AT&amp;T in 1997. Prior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1997, he served as Chairman, President and CEO of National Semiconductor (1991-1996) and Apple Computer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(1996-1997). We believe Dr. Amelio’s qualifications to sit on our Board of Directors include his executive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leadership and management experience, as well as his extensive experience with global companies, his financial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expertise and his years of experience providing strategic advisory services to organizations.</w:t>
      </w:r>
    </w:p>
    <w:p>
      <w:pPr>
        <w:sectPr>
          <w:pgSz w:w="11900" w:h="16838" w:orient="portrait"/>
          <w:cols w:equalWidth="0" w:num="1">
            <w:col w:w="9019"/>
          </w:cols>
          <w:pgMar w:left="1440" w:top="265"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James C. Czirr</w:t>
      </w:r>
      <w:r>
        <w:rPr>
          <w:rFonts w:ascii="Arial" w:cs="Arial" w:eastAsia="Arial" w:hAnsi="Arial"/>
          <w:sz w:val="17"/>
          <w:szCs w:val="17"/>
          <w:color w:val="auto"/>
        </w:rPr>
        <w:t>, is being nominated by 10X Fund L.P., pursuant to contractual rights set forth in certain</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warrants to purchase Common Stock that 10X Fund L.P. holds. Mr. Czirr has served as a director since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2009, served as Chairman of the Board from February 2009 until January 2016 and Executive Chairman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from February 2010 until January 2016, is a co-founder of 10X Fund, L.P. and is a managing member of 10X</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Capital Management LLC, the general partner of 10X Fund, L.P. Mr. Czirr was a co-founder of Galectin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Therapeutics in July 2000. Mr. Czirr was instrumental in the early-stage development of Safe Science Inc., a</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developer of anti-cancer drugs; served from 2005 to 2008 as Chief Executive Officer of Minerva Biotechnologies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Corporation, a developer of nano particle bio chips to determine the cause of solid tumors; and was a consultant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Metalline Mining Company Inc., now known as Silver Bull Resources, Inc., (AMEX: SVBL), a mineral exploration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company seeking to become a low cost producer of zinc. Mr. Czirr received a B.B.A. degree from the University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Michigan. We believe that Mr. Czirr is best situated to sit on our Board because he is the director who was a co-</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founder of the Company and is familiar with our business and industry.</w:t>
      </w:r>
    </w:p>
    <w:p>
      <w:pPr>
        <w:spacing w:after="0" w:line="103"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i w:val="1"/>
          <w:iCs w:val="1"/>
          <w:color w:val="auto"/>
        </w:rPr>
        <w:t xml:space="preserve">Kary Eldred, </w:t>
      </w:r>
      <w:r>
        <w:rPr>
          <w:rFonts w:ascii="Arial" w:cs="Arial" w:eastAsia="Arial" w:hAnsi="Arial"/>
          <w:sz w:val="17"/>
          <w:szCs w:val="17"/>
          <w:color w:val="auto"/>
        </w:rPr>
        <w:t>is a director since 2018 and Chief Investment Officer for the Living Stones Foundation since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2015 and has been an active 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71" w:lineRule="exact"/>
        <w:rPr>
          <w:sz w:val="20"/>
          <w:szCs w:val="20"/>
          <w:color w:val="auto"/>
        </w:rPr>
      </w:pPr>
    </w:p>
    <w:p>
      <w:pPr>
        <w:ind w:left="300" w:right="399" w:firstLine="360"/>
        <w:spacing w:after="0" w:line="284" w:lineRule="auto"/>
        <w:rPr>
          <w:sz w:val="20"/>
          <w:szCs w:val="20"/>
          <w:color w:val="auto"/>
        </w:rPr>
      </w:pPr>
      <w:r>
        <w:rPr>
          <w:rFonts w:ascii="Arial" w:cs="Arial" w:eastAsia="Arial" w:hAnsi="Arial"/>
          <w:sz w:val="16"/>
          <w:szCs w:val="16"/>
          <w:i w:val="1"/>
          <w:iCs w:val="1"/>
          <w:color w:val="auto"/>
        </w:rPr>
        <w:t xml:space="preserve">Kevin D. Freeman, </w:t>
      </w:r>
      <w:r>
        <w:rPr>
          <w:rFonts w:ascii="Arial" w:cs="Arial" w:eastAsia="Arial" w:hAnsi="Arial"/>
          <w:sz w:val="16"/>
          <w:szCs w:val="16"/>
          <w:color w:val="auto"/>
        </w:rPr>
        <w:t>a director since May 2011, holds the Chartered Financial Analyst designation and is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Cross 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w:t>
      </w:r>
    </w:p>
    <w:p>
      <w:pPr>
        <w:spacing w:after="0" w:line="4" w:lineRule="exact"/>
        <w:rPr>
          <w:sz w:val="20"/>
          <w:szCs w:val="20"/>
          <w:color w:val="auto"/>
        </w:rPr>
      </w:pPr>
    </w:p>
    <w:p>
      <w:pPr>
        <w:ind w:left="300" w:right="379"/>
        <w:spacing w:after="0" w:line="260" w:lineRule="auto"/>
        <w:rPr>
          <w:sz w:val="20"/>
          <w:szCs w:val="20"/>
          <w:color w:val="auto"/>
        </w:rPr>
      </w:pPr>
      <w:r>
        <w:rPr>
          <w:rFonts w:ascii="Arial" w:cs="Arial" w:eastAsia="Arial" w:hAnsi="Arial"/>
          <w:sz w:val="18"/>
          <w:szCs w:val="18"/>
          <w:color w:val="auto"/>
        </w:rPr>
        <w:t>Mr. Freeman’s qualifications to sit on our Board of Directors includes his extensive financial expertise and his years of experience providing financial advisory services.</w:t>
      </w:r>
    </w:p>
    <w:p>
      <w:pPr>
        <w:spacing w:after="0" w:line="77"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i w:val="1"/>
          <w:iCs w:val="1"/>
          <w:color w:val="auto"/>
        </w:rPr>
        <w:t>Joel Lewis</w:t>
      </w:r>
      <w:r>
        <w:rPr>
          <w:rFonts w:ascii="Arial" w:cs="Arial" w:eastAsia="Arial" w:hAnsi="Arial"/>
          <w:sz w:val="16"/>
          <w:szCs w:val="16"/>
          <w:color w:val="auto"/>
        </w:rPr>
        <w:t>, a director since 2017, became our President and Chief Executive Officer on September 2, 2020.</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he was the Managing 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60"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i w:val="1"/>
          <w:iCs w:val="1"/>
          <w:color w:val="auto"/>
        </w:rPr>
        <w:t>Gilbert S. Omenn, M.D., Ph.D.</w:t>
      </w:r>
      <w:r>
        <w:rPr>
          <w:rFonts w:ascii="Arial" w:cs="Arial" w:eastAsia="Arial" w:hAnsi="Arial"/>
          <w:sz w:val="16"/>
          <w:szCs w:val="16"/>
          <w:color w:val="auto"/>
        </w:rPr>
        <w:t>, a director since September 2014, served on the board of directors of Amgen</w:t>
      </w:r>
      <w:r>
        <w:rPr>
          <w:rFonts w:ascii="Arial" w:cs="Arial" w:eastAsia="Arial" w:hAnsi="Arial"/>
          <w:sz w:val="16"/>
          <w:szCs w:val="16"/>
          <w:i w:val="1"/>
          <w:iCs w:val="1"/>
          <w:color w:val="auto"/>
        </w:rPr>
        <w:t xml:space="preserve"> </w:t>
      </w:r>
      <w:r>
        <w:rPr>
          <w:rFonts w:ascii="Arial" w:cs="Arial" w:eastAsia="Arial" w:hAnsi="Arial"/>
          <w:sz w:val="16"/>
          <w:szCs w:val="16"/>
          <w:color w:val="auto"/>
        </w:rPr>
        <w:t>Inc. for 27 years and of Rohm &amp; 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73" w:lineRule="auto"/>
        <w:rPr>
          <w:sz w:val="20"/>
          <w:szCs w:val="20"/>
          <w:color w:val="auto"/>
        </w:rPr>
      </w:pPr>
      <w:r>
        <w:rPr>
          <w:rFonts w:ascii="Arial" w:cs="Arial" w:eastAsia="Arial" w:hAnsi="Arial"/>
          <w:sz w:val="17"/>
          <w:szCs w:val="17"/>
          <w:color w:val="auto"/>
        </w:rPr>
        <w:t>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70"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and Chairman of the Board from January 2016 through May</w:t>
      </w:r>
      <w:r>
        <w:rPr>
          <w:rFonts w:ascii="Arial" w:cs="Arial" w:eastAsia="Arial" w:hAnsi="Arial"/>
          <w:sz w:val="16"/>
          <w:szCs w:val="16"/>
          <w:i w:val="1"/>
          <w:iCs w:val="1"/>
          <w:color w:val="auto"/>
        </w:rPr>
        <w:t xml:space="preserve"> </w:t>
      </w:r>
      <w:r>
        <w:rPr>
          <w:rFonts w:ascii="Arial" w:cs="Arial" w:eastAsia="Arial" w:hAnsi="Arial"/>
          <w:sz w:val="16"/>
          <w:szCs w:val="16"/>
          <w:color w:val="auto"/>
        </w:rPr>
        <w:t>2018, is Executive Chairman of the 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68" w:lineRule="exact"/>
        <w:rPr>
          <w:sz w:val="20"/>
          <w:szCs w:val="20"/>
          <w:color w:val="auto"/>
        </w:rPr>
      </w:pPr>
    </w:p>
    <w:p>
      <w:pPr>
        <w:ind w:left="300" w:right="379" w:firstLine="360"/>
        <w:spacing w:after="0" w:line="268" w:lineRule="auto"/>
        <w:rPr>
          <w:sz w:val="20"/>
          <w:szCs w:val="20"/>
          <w:color w:val="auto"/>
        </w:rPr>
      </w:pPr>
      <w:r>
        <w:rPr>
          <w:rFonts w:ascii="Arial" w:cs="Arial" w:eastAsia="Arial" w:hAnsi="Arial"/>
          <w:sz w:val="17"/>
          <w:szCs w:val="17"/>
          <w:i w:val="1"/>
          <w:iCs w:val="1"/>
          <w:color w:val="auto"/>
        </w:rPr>
        <w:t xml:space="preserve">Elissa J. Schwartz, Ph.D., </w:t>
      </w:r>
      <w:r>
        <w:rPr>
          <w:rFonts w:ascii="Arial" w:cs="Arial" w:eastAsia="Arial" w:hAnsi="Arial"/>
          <w:sz w:val="17"/>
          <w:szCs w:val="17"/>
          <w:color w:val="auto"/>
        </w:rPr>
        <w:t>a director appointed by the board in September 2020, is a disease modeler who is</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a professor of biological 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 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78"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i w:val="1"/>
          <w:iCs w:val="1"/>
          <w:color w:val="auto"/>
        </w:rPr>
        <w:t>Harold Shlevin, Ph.D.</w:t>
      </w:r>
      <w:r>
        <w:rPr>
          <w:rFonts w:ascii="Arial" w:cs="Arial" w:eastAsia="Arial" w:hAnsi="Arial"/>
          <w:sz w:val="16"/>
          <w:szCs w:val="16"/>
          <w:color w:val="auto"/>
        </w:rPr>
        <w:t>, retired from being our President and Chief Executive Officer on September 2, 2020, a</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he had held since June 14, 2018; and serves as a consultant to the Company.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as Correvio Pharma Corp. (NASDAQ: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79"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i w:val="1"/>
          <w:iCs w:val="1"/>
          <w:color w:val="auto"/>
        </w:rPr>
        <w:t>Richard E. Uihlein</w:t>
      </w:r>
      <w:r>
        <w:rPr>
          <w:rFonts w:ascii="Arial" w:cs="Arial" w:eastAsia="Arial" w:hAnsi="Arial"/>
          <w:sz w:val="18"/>
          <w:szCs w:val="18"/>
          <w:color w:val="auto"/>
        </w:rPr>
        <w:t>, a director since 2017 and Chairman since May 2018, co-founded Uline, Inc. (a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 of shipping, packaging and 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84"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i w:val="1"/>
          <w:iCs w:val="1"/>
          <w:color w:val="auto"/>
        </w:rPr>
        <w:t xml:space="preserve">Richard A. Zordani, </w:t>
      </w:r>
      <w:r>
        <w:rPr>
          <w:rFonts w:ascii="Arial" w:cs="Arial" w:eastAsia="Arial" w:hAnsi="Arial"/>
          <w:sz w:val="17"/>
          <w:szCs w:val="17"/>
          <w:color w:val="auto"/>
        </w:rPr>
        <w:t>a director appointed by the board in September 2020, has been the Director of Shareholder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at Uline, Inc. (a 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Joel Lewis, </w:t>
      </w:r>
      <w:r>
        <w:rPr>
          <w:rFonts w:ascii="Arial" w:cs="Arial" w:eastAsia="Arial" w:hAnsi="Arial"/>
          <w:sz w:val="18"/>
          <w:szCs w:val="18"/>
          <w:color w:val="auto"/>
        </w:rPr>
        <w:t>see above under Nominees.</w:t>
      </w:r>
    </w:p>
    <w:p>
      <w:pPr>
        <w:spacing w:after="0" w:line="117"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i w:val="1"/>
          <w:iCs w:val="1"/>
          <w:color w:val="auto"/>
        </w:rPr>
        <w:t>Jack W. Callicutt</w:t>
      </w:r>
      <w:r>
        <w:rPr>
          <w:rFonts w:ascii="Arial" w:cs="Arial" w:eastAsia="Arial" w:hAnsi="Arial"/>
          <w:sz w:val="17"/>
          <w:szCs w:val="17"/>
          <w:color w:val="auto"/>
        </w:rPr>
        <w:t>, age 54, became our Chief Financial Officer on July 1, 2013. From August 2012 through June</w:t>
      </w:r>
      <w:r>
        <w:rPr>
          <w:rFonts w:ascii="Arial" w:cs="Arial" w:eastAsia="Arial" w:hAnsi="Arial"/>
          <w:sz w:val="17"/>
          <w:szCs w:val="17"/>
          <w:i w:val="1"/>
          <w:iCs w:val="1"/>
          <w:color w:val="auto"/>
        </w:rPr>
        <w:t xml:space="preserve"> </w:t>
      </w:r>
      <w:r>
        <w:rPr>
          <w:rFonts w:ascii="Arial" w:cs="Arial" w:eastAsia="Arial" w:hAnsi="Arial"/>
          <w:sz w:val="17"/>
          <w:szCs w:val="17"/>
          <w:color w:val="auto"/>
        </w:rPr>
        <w:t>2012, Mr. Callicutt was the Chief 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77"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i w:val="1"/>
          <w:iCs w:val="1"/>
          <w:color w:val="auto"/>
        </w:rPr>
        <w:t>Pol F. Boudes, M.D.</w:t>
      </w:r>
      <w:r>
        <w:rPr>
          <w:rFonts w:ascii="Arial" w:cs="Arial" w:eastAsia="Arial" w:hAnsi="Arial"/>
          <w:sz w:val="16"/>
          <w:szCs w:val="16"/>
          <w:color w:val="auto"/>
        </w:rPr>
        <w:t>, age 64, became the Company’s Chief Medical Officer on March 2, 2020. Prior to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Dr. Boudes served as the Chief Medical Officer of CymaBay Therapeutics from March 2014 through October 2019, where he worked on CymaBay’s proprietary NASH compound and was instrumental in inventing and launching programs in rare liver diseases. Prior to his time at CymaBay, Dr. Boudes served as the Chief Medical Officer of Amicus Therapeutics, a company focusing on rare lysosomal storage disorders. Following this experience, Dr. Boudes became a Board member of Protalix BioTherapeutics, a company developing plant cell expressed recombinant proteins with improved therapeutic profiles, notably for lysosomal disorders. Before his time working as a Chief Medical Officer, Dr. Boudes held positions of increased responsibilities in clinical development at Bayer HealthCare Pharmaceuticals, Wyeth Research, Hoffman-La Roche and Pasteur Merieux.</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GOVERNANCE</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Medical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300" w:right="399" w:firstLine="360"/>
        <w:spacing w:after="0" w:line="289" w:lineRule="auto"/>
        <w:rPr>
          <w:sz w:val="20"/>
          <w:szCs w:val="20"/>
          <w:color w:val="auto"/>
        </w:rPr>
      </w:pPr>
      <w:r>
        <w:rPr>
          <w:rFonts w:ascii="Arial" w:cs="Arial" w:eastAsia="Arial" w:hAnsi="Arial"/>
          <w:sz w:val="16"/>
          <w:szCs w:val="16"/>
          <w:color w:val="auto"/>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Arial" w:cs="Arial" w:eastAsia="Arial" w:hAnsi="Arial"/>
          <w:sz w:val="16"/>
          <w:szCs w:val="16"/>
          <w:u w:val="single" w:color="auto"/>
          <w:color w:val="auto"/>
        </w:rPr>
        <w:t>www.galectintherapeutics.com</w:t>
      </w:r>
      <w:r>
        <w:rPr>
          <w:rFonts w:ascii="Arial" w:cs="Arial" w:eastAsia="Arial" w:hAnsi="Arial"/>
          <w:sz w:val="16"/>
          <w:szCs w:val="16"/>
          <w:color w:val="auto"/>
        </w:rPr>
        <w: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The Compensation Committee met 4 times in 2020. Dr. Gilbert S. Omenn (chair), Gilbert F. Amelio, Ph.D. and Kevin F. Freeman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Compensation Committee is responsible for administration of grants and awards to directors, officers, employees, consultants and advisors under our equity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The Audit Committee met 5 times in 2020. 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The Nominating and Corporate Governance Committee met 3 times in 2020. Gilbert F. Amelio, Ph.D. (chair), Marc Rubin and Kevin Freeman are the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left="300" w:right="379" w:firstLine="360"/>
        <w:spacing w:after="0" w:line="283"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the Company, either directly or indirectly. Based upon this review, our board has determined that all of our directors other than Mr. Lewis and Dr. Shlevin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and Amelio and</w:t>
      </w:r>
    </w:p>
    <w:p>
      <w:pPr>
        <w:spacing w:after="0" w:line="4" w:lineRule="exact"/>
        <w:rPr>
          <w:sz w:val="20"/>
          <w:szCs w:val="20"/>
          <w:color w:val="auto"/>
        </w:rPr>
      </w:pPr>
    </w:p>
    <w:p>
      <w:pPr>
        <w:ind w:left="300" w:right="399"/>
        <w:spacing w:after="0" w:line="260" w:lineRule="auto"/>
        <w:rPr>
          <w:sz w:val="20"/>
          <w:szCs w:val="20"/>
          <w:color w:val="auto"/>
        </w:rPr>
      </w:pPr>
      <w:r>
        <w:rPr>
          <w:rFonts w:ascii="Arial" w:cs="Arial" w:eastAsia="Arial" w:hAnsi="Arial"/>
          <w:sz w:val="18"/>
          <w:szCs w:val="18"/>
          <w:color w:val="auto"/>
        </w:rPr>
        <w:t>Mr. Freeman satisfy the independence standards for such committee established by Rule 10C-1 under the Exchange Act, the SEC and the NASDAQ Marketplace Rules, as applicable.</w:t>
      </w:r>
    </w:p>
    <w:p>
      <w:pPr>
        <w:spacing w:after="0" w:line="7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121"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79"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left="300" w:right="459" w:firstLine="360"/>
        <w:spacing w:after="0" w:line="259" w:lineRule="auto"/>
        <w:rPr>
          <w:sz w:val="20"/>
          <w:szCs w:val="20"/>
          <w:color w:val="auto"/>
        </w:rPr>
      </w:pPr>
      <w:r>
        <w:rPr>
          <w:rFonts w:ascii="Arial" w:cs="Arial" w:eastAsia="Arial" w:hAnsi="Arial"/>
          <w:sz w:val="18"/>
          <w:szCs w:val="18"/>
          <w:color w:val="auto"/>
        </w:rPr>
        <w:t>Except as set forth below, since the beginning of fiscal year 2020,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79"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2020.</w:t>
      </w:r>
    </w:p>
    <w:p>
      <w:pPr>
        <w:spacing w:after="0" w:line="79"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On April 16, 2021, the Company and Richard E. Uihlein entered into a debt financing arrangement whereby Mr. Uihlein loaned ten million dollars to Company. In consideration for the loan, the Company issued a convertible promissory note (the “April 2021 Note”) in the principal amount of ten million dollars. The April 2021 Note has maturity date of April 16, 2025 and is convertible into the Company’s common stock at a conversion price equal to $5.00 per share at the option of the noteholder, which was 228% of the closing price of our stock on April 16, 2021. The April 2021 Note bears interest on at the rate of two percent (2%) per annum, compounded annually, and accrues additional interest at a rate of two and one-half percent (2.5%) per quarter (the “Additional Interest”) beginning on the date of issuance of the April 2021 Note and ending on the maturity date, provided however, that such Additional Interest is payable if and only if the noteholder elects to convert the entire balance of the April 2021 Note into the Company’s common stock.</w:t>
      </w:r>
    </w:p>
    <w:p>
      <w:pPr>
        <w:spacing w:after="0" w:line="77" w:lineRule="exact"/>
        <w:rPr>
          <w:sz w:val="20"/>
          <w:szCs w:val="20"/>
          <w:color w:val="auto"/>
        </w:rPr>
      </w:pPr>
    </w:p>
    <w:p>
      <w:pPr>
        <w:ind w:left="300" w:right="379" w:firstLine="360"/>
        <w:spacing w:after="0" w:line="290" w:lineRule="auto"/>
        <w:rPr>
          <w:sz w:val="20"/>
          <w:szCs w:val="20"/>
          <w:color w:val="auto"/>
        </w:rPr>
      </w:pPr>
      <w:r>
        <w:rPr>
          <w:rFonts w:ascii="Arial" w:cs="Arial" w:eastAsia="Arial" w:hAnsi="Arial"/>
          <w:sz w:val="16"/>
          <w:szCs w:val="16"/>
          <w:color w:val="auto"/>
        </w:rPr>
        <w:t>On September 17, 2021, the Company and Richard E. Uihlein entered into an additional debt financing arrangement for $20 million whereby Mr. Uihlein loaned ten million dollars to Company upon signing the agreement with an additional ten million dollar loan to close in December 2021. In consideration for the initial loan, the Company issued a convertible promissory note (the “September 2021 Note”) in the principal amount of ten million dollars. The September 2021 Note has maturity date of September 17, 2025 and is convertible into the Company’s common stock at a conversion price equal to $8.64 per share at the option of the noteholder, which is 228% of the closing price of our stock on September 16, 2021. The September 2021 Note bears interest on at the rate of two percent (2%) per annum, compounded annually, and accrues additional interest at a rate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93" w:lineRule="auto"/>
        <w:rPr>
          <w:sz w:val="20"/>
          <w:szCs w:val="20"/>
          <w:color w:val="auto"/>
        </w:rPr>
      </w:pPr>
      <w:r>
        <w:rPr>
          <w:rFonts w:ascii="Arial" w:cs="Arial" w:eastAsia="Arial" w:hAnsi="Arial"/>
          <w:sz w:val="16"/>
          <w:szCs w:val="16"/>
          <w:color w:val="auto"/>
        </w:rPr>
        <w:t>two and one-half percent (2.5%) per quarter (the “Additional Interest”) beginning on the date of issuance of the September 2021 Note and ending on the maturity date, provided however, that such Additional Interest is payable if and only if the noteholder elects to convert the entire balance of the September 2021 Note into the Company’s common stock. The second additional note for $10 million is expected to close on December 17, 2021. The terms of the second additional note will be the same as for the September 2021 Note, and the conversion price will be the greater of 228% of the closing price of our common stock the day prior to closing or $5.00, whichever is greater.</w:t>
      </w:r>
    </w:p>
    <w:p>
      <w:pPr>
        <w:spacing w:after="0" w:line="56"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 Company had a $10 million line of credit (“Line of Credit”) arrangement with Richard E. Uihlein that was entered into in December 2017. The Line of Credit was most recently extended in January 2019 to make one or more borrowings available until December 31, 2021, with repayment due on December 31, 2022. There have been no borrowings under the Line of Credit, and it will be terminated in connection with the December 17, 2021 additional debt financing described above.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The Nominating and Corporate Governance, or Nominating Committee, is responsible for, among other things, selection of candidates for the annual slate of directors other than nominees, if any, nominated by parties that have a contractual right to nominate persons for election. For the 2021 Annual Meeting, 10X Fund L.P., pursuant to its contractual right under warrants that it holds, nominated James C. Czirr, who has been a director since February 2009. Mr. Czirr’s nomination has been accepted by each of the Nominating Committee and the Board.</w:t>
      </w:r>
    </w:p>
    <w:p>
      <w:pPr>
        <w:spacing w:after="0" w:line="53"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70"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2021 Annual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 Attendance</w:t>
      </w:r>
    </w:p>
    <w:p>
      <w:pPr>
        <w:spacing w:after="0" w:line="121"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During 2020, there were 9 meetings of the Board. Each currently serving director attended at least 75% of the total meetings of the Board and committees of the Board of which the director was a member, during the 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84"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We do not have a formal policy requiring members of the Board to attend the annual meeting, although all directors are strongly encouraged to attend. At the 2020 annual meeting of stockholders, which was held virtually online, all of the then current board members were present.</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70" w:lineRule="exact"/>
        <w:rPr>
          <w:sz w:val="20"/>
          <w:szCs w:val="20"/>
          <w:color w:val="auto"/>
        </w:rPr>
      </w:pPr>
    </w:p>
    <w:p>
      <w:pPr>
        <w:ind w:left="300" w:right="559" w:firstLine="360"/>
        <w:spacing w:after="0" w:line="308" w:lineRule="auto"/>
        <w:rPr>
          <w:sz w:val="20"/>
          <w:szCs w:val="20"/>
          <w:color w:val="auto"/>
        </w:rPr>
      </w:pPr>
      <w:r>
        <w:rPr>
          <w:rFonts w:ascii="Arial" w:cs="Arial" w:eastAsia="Arial" w:hAnsi="Arial"/>
          <w:sz w:val="17"/>
          <w:szCs w:val="17"/>
          <w:color w:val="auto"/>
        </w:rPr>
        <w:t>We believe that any risks arising from our policies and programs are not reasonably likely to have a material adverse effect on the Company. Our programs reflect sound risk management practices including:</w:t>
      </w:r>
    </w:p>
    <w:p>
      <w:pPr>
        <w:spacing w:after="0" w:line="38" w:lineRule="exact"/>
        <w:rPr>
          <w:sz w:val="20"/>
          <w:szCs w:val="20"/>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multiple compensation vehicles that provide a balance of long- and short-term incentives with fixed and variable components;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incentive awards that generally vest over several years, so while the potential compensation payable for equity incentive awards is tied directly to appreciation of our stock price, taking excessive risk for a short-term gain is discouraged because it would not maximize the value of equity incentive awards over the long-term.</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Criteria and Diversity</w:t>
      </w:r>
    </w:p>
    <w:p>
      <w:pPr>
        <w:spacing w:after="0" w:line="12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(other than the candidate nominated by 10X Fund L.P.),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Arial" w:cs="Arial" w:eastAsia="Arial" w:hAnsi="Arial"/>
          <w:sz w:val="17"/>
          <w:szCs w:val="17"/>
          <w:i w:val="1"/>
          <w:iCs w:val="1"/>
          <w:color w:val="auto"/>
        </w:rPr>
        <w:t xml:space="preserve">Communication With Audit Committees </w:t>
      </w:r>
      <w:r>
        <w:rPr>
          <w:rFonts w:ascii="Arial" w:cs="Arial" w:eastAsia="Arial" w:hAnsi="Arial"/>
          <w:sz w:val="17"/>
          <w:szCs w:val="17"/>
          <w:color w:val="auto"/>
        </w:rPr>
        <w:t>(as amended), which includes, among other items, matters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77"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Based upon the review and discussions referred to above, the Audit Committee recommended to our Board of Directors that the audited financial statements of Galectin Therapeutics for the 2020 fiscal year be included in the Annual Report filed on Form 10-K for the year ended December 31, 2020.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Audit Committee of the Board of Directors of Galectin Therapeutic Inc.</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Richard A. Zordani, Chair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Kary Eldred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2020.</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40" w:type="dxa"/>
            <w:vAlign w:val="bottom"/>
          </w:tcPr>
          <w:p>
            <w:pPr>
              <w:spacing w:after="0"/>
              <w:rPr>
                <w:sz w:val="14"/>
                <w:szCs w:val="14"/>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9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or Paid in</w:t>
            </w:r>
          </w:p>
        </w:tc>
        <w:tc>
          <w:tcPr>
            <w:tcW w:w="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6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2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Cash ($)</w:t>
            </w:r>
          </w:p>
        </w:tc>
        <w:tc>
          <w:tcPr>
            <w:tcW w:w="1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(4)</w:t>
            </w:r>
          </w:p>
        </w:tc>
        <w:tc>
          <w:tcPr>
            <w:tcW w:w="1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(2)</w:t>
            </w:r>
          </w:p>
        </w:tc>
        <w:tc>
          <w:tcPr>
            <w:tcW w:w="1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(3)</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1"/>
        </w:trPr>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47,000</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87,997</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134,997</w:t>
            </w:r>
          </w:p>
        </w:tc>
        <w:tc>
          <w:tcPr>
            <w:tcW w:w="0" w:type="dxa"/>
            <w:vAlign w:val="bottom"/>
          </w:tcPr>
          <w:p>
            <w:pPr>
              <w:spacing w:after="0"/>
              <w:rPr>
                <w:sz w:val="1"/>
                <w:szCs w:val="1"/>
                <w:color w:val="auto"/>
              </w:rPr>
            </w:pPr>
          </w:p>
        </w:tc>
      </w:tr>
      <w:tr>
        <w:trPr>
          <w:trHeight w:val="270"/>
        </w:trPr>
        <w:tc>
          <w:tcPr>
            <w:tcW w:w="34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38,500</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65,998</w:t>
            </w:r>
          </w:p>
        </w:tc>
        <w:tc>
          <w:tcPr>
            <w:tcW w:w="140" w:type="dxa"/>
            <w:vAlign w:val="bottom"/>
          </w:tcPr>
          <w:p>
            <w:pPr>
              <w:spacing w:after="0"/>
              <w:rPr>
                <w:sz w:val="23"/>
                <w:szCs w:val="2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104,498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48,500</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98,997</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147,497</w:t>
            </w:r>
          </w:p>
        </w:tc>
        <w:tc>
          <w:tcPr>
            <w:tcW w:w="0" w:type="dxa"/>
            <w:vAlign w:val="bottom"/>
          </w:tcPr>
          <w:p>
            <w:pPr>
              <w:spacing w:after="0"/>
              <w:rPr>
                <w:sz w:val="1"/>
                <w:szCs w:val="1"/>
                <w:color w:val="auto"/>
              </w:rPr>
            </w:pPr>
          </w:p>
        </w:tc>
      </w:tr>
      <w:tr>
        <w:trPr>
          <w:trHeight w:val="270"/>
        </w:trPr>
        <w:tc>
          <w:tcPr>
            <w:tcW w:w="340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42,500</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65,998</w:t>
            </w:r>
          </w:p>
        </w:tc>
        <w:tc>
          <w:tcPr>
            <w:tcW w:w="140" w:type="dxa"/>
            <w:vAlign w:val="bottom"/>
          </w:tcPr>
          <w:p>
            <w:pPr>
              <w:spacing w:after="0"/>
              <w:rPr>
                <w:sz w:val="23"/>
                <w:szCs w:val="2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108,498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58,500</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87,997</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146,497</w:t>
            </w:r>
          </w:p>
        </w:tc>
        <w:tc>
          <w:tcPr>
            <w:tcW w:w="0" w:type="dxa"/>
            <w:vAlign w:val="bottom"/>
          </w:tcPr>
          <w:p>
            <w:pPr>
              <w:spacing w:after="0"/>
              <w:rPr>
                <w:sz w:val="1"/>
                <w:szCs w:val="1"/>
                <w:color w:val="auto"/>
              </w:rPr>
            </w:pPr>
          </w:p>
        </w:tc>
      </w:tr>
      <w:tr>
        <w:trPr>
          <w:trHeight w:val="270"/>
        </w:trPr>
        <w:tc>
          <w:tcPr>
            <w:tcW w:w="340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45,000</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87,997</w:t>
            </w:r>
          </w:p>
        </w:tc>
        <w:tc>
          <w:tcPr>
            <w:tcW w:w="140" w:type="dxa"/>
            <w:vAlign w:val="bottom"/>
          </w:tcPr>
          <w:p>
            <w:pPr>
              <w:spacing w:after="0"/>
              <w:rPr>
                <w:sz w:val="23"/>
                <w:szCs w:val="2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132,997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38,500</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104,498</w:t>
            </w:r>
          </w:p>
        </w:tc>
        <w:tc>
          <w:tcPr>
            <w:tcW w:w="0" w:type="dxa"/>
            <w:vAlign w:val="bottom"/>
          </w:tcPr>
          <w:p>
            <w:pPr>
              <w:spacing w:after="0"/>
              <w:rPr>
                <w:sz w:val="1"/>
                <w:szCs w:val="1"/>
                <w:color w:val="auto"/>
              </w:rPr>
            </w:pPr>
          </w:p>
        </w:tc>
      </w:tr>
      <w:tr>
        <w:trPr>
          <w:trHeight w:val="324"/>
        </w:trPr>
        <w:tc>
          <w:tcPr>
            <w:tcW w:w="3400" w:type="dxa"/>
            <w:vAlign w:val="bottom"/>
            <w:gridSpan w:val="2"/>
          </w:tcPr>
          <w:p>
            <w:pPr>
              <w:spacing w:after="0" w:line="324" w:lineRule="exact"/>
              <w:rPr>
                <w:sz w:val="20"/>
                <w:szCs w:val="20"/>
                <w:color w:val="auto"/>
              </w:rPr>
            </w:pPr>
            <w:r>
              <w:rPr>
                <w:rFonts w:ascii="Arial" w:cs="Arial" w:eastAsia="Arial" w:hAnsi="Arial"/>
                <w:sz w:val="18"/>
                <w:szCs w:val="18"/>
                <w:color w:val="auto"/>
              </w:rPr>
              <w:t>Elissa J. Schwartz, Ph.D.</w:t>
            </w:r>
            <w:r>
              <w:rPr>
                <w:rFonts w:ascii="Arial" w:cs="Arial" w:eastAsia="Arial" w:hAnsi="Arial"/>
                <w:sz w:val="29"/>
                <w:szCs w:val="29"/>
                <w:color w:val="auto"/>
                <w:vertAlign w:val="superscript"/>
              </w:rPr>
              <w:t>(1)</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11,569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11,569</w:t>
            </w:r>
          </w:p>
        </w:tc>
        <w:tc>
          <w:tcPr>
            <w:tcW w:w="0" w:type="dxa"/>
            <w:vAlign w:val="bottom"/>
          </w:tcPr>
          <w:p>
            <w:pPr>
              <w:spacing w:after="0"/>
              <w:rPr>
                <w:sz w:val="1"/>
                <w:szCs w:val="1"/>
                <w:color w:val="auto"/>
              </w:rPr>
            </w:pPr>
          </w:p>
        </w:tc>
      </w:tr>
      <w:tr>
        <w:trPr>
          <w:trHeight w:val="324"/>
        </w:trPr>
        <w:tc>
          <w:tcPr>
            <w:tcW w:w="34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Harold H. Shlevin, Ph.D.</w:t>
            </w:r>
            <w:r>
              <w:rPr>
                <w:rFonts w:ascii="Arial" w:cs="Arial" w:eastAsia="Arial" w:hAnsi="Arial"/>
                <w:sz w:val="29"/>
                <w:szCs w:val="29"/>
                <w:color w:val="auto"/>
                <w:vertAlign w:val="superscript"/>
              </w:rPr>
              <w:t>(1)</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11,569</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0" w:type="dxa"/>
            <w:vAlign w:val="bottom"/>
          </w:tcPr>
          <w:p>
            <w:pPr>
              <w:spacing w:after="0"/>
              <w:rPr>
                <w:sz w:val="1"/>
                <w:szCs w:val="1"/>
                <w:color w:val="auto"/>
              </w:rPr>
            </w:pPr>
          </w:p>
        </w:tc>
      </w:tr>
      <w:tr>
        <w:trPr>
          <w:trHeight w:val="270"/>
        </w:trPr>
        <w:tc>
          <w:tcPr>
            <w:tcW w:w="3400" w:type="dxa"/>
            <w:vAlign w:val="bottom"/>
            <w:gridSpan w:val="2"/>
          </w:tcPr>
          <w:p>
            <w:pPr>
              <w:spacing w:after="0"/>
              <w:rPr>
                <w:sz w:val="20"/>
                <w:szCs w:val="20"/>
                <w:color w:val="auto"/>
              </w:rPr>
            </w:pPr>
            <w:r>
              <w:rPr>
                <w:rFonts w:ascii="Arial" w:cs="Arial" w:eastAsia="Arial" w:hAnsi="Arial"/>
                <w:sz w:val="18"/>
                <w:szCs w:val="18"/>
                <w:color w:val="auto"/>
              </w:rPr>
              <w:t>Richard Uihlein</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35,000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98,997</w:t>
            </w:r>
          </w:p>
        </w:tc>
        <w:tc>
          <w:tcPr>
            <w:tcW w:w="140" w:type="dxa"/>
            <w:vAlign w:val="bottom"/>
          </w:tcPr>
          <w:p>
            <w:pPr>
              <w:spacing w:after="0"/>
              <w:rPr>
                <w:sz w:val="23"/>
                <w:szCs w:val="2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133,997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4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Richard A. Zordani</w:t>
            </w:r>
            <w:r>
              <w:rPr>
                <w:rFonts w:ascii="Arial" w:cs="Arial" w:eastAsia="Arial" w:hAnsi="Arial"/>
                <w:sz w:val="29"/>
                <w:szCs w:val="29"/>
                <w:color w:val="auto"/>
                <w:vertAlign w:val="superscript"/>
              </w:rPr>
              <w:t>(1)</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16,528</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-2279650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-2279650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-2279650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-2279650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-2279650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-2279650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4" w:lineRule="exact"/>
        <w:rPr>
          <w:sz w:val="20"/>
          <w:szCs w:val="20"/>
          <w:color w:val="auto"/>
        </w:rPr>
      </w:pPr>
    </w:p>
    <w:p>
      <w:pPr>
        <w:ind w:left="640" w:right="479" w:hanging="348"/>
        <w:spacing w:after="0" w:line="238"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Dr. Schwartz and Mr. Zordani were appointed to the board effective August 31, 2020. Dr. Shlevin retired as our Chief Executive Officer and president effective September 2, 2020 but retained his position on our board. Dr. Shlevin’s board compensation is for the period after his retirement from employment through the end of the year.</w:t>
      </w:r>
    </w:p>
    <w:p>
      <w:pPr>
        <w:spacing w:after="0" w:line="20" w:lineRule="exact"/>
        <w:rPr>
          <w:rFonts w:ascii="Arial" w:cs="Arial" w:eastAsia="Arial" w:hAnsi="Arial"/>
          <w:sz w:val="14"/>
          <w:szCs w:val="14"/>
          <w:color w:val="auto"/>
        </w:rPr>
      </w:pPr>
    </w:p>
    <w:p>
      <w:pPr>
        <w:ind w:left="640" w:right="319" w:hanging="348"/>
        <w:spacing w:after="0" w:line="233"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grant date fair value of option awards based upon the Black Scholes valuation model made in 2020. Options were granted on January 9, 2020 and will vested in full on December 31, 2020. For a description of the assumptions used to determine these amounts, see Note 7 to the Notes to the Consolidated Financial Statements herein our Annual Report on Form 10-K for the fiscal year ended December 31, 2020.</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travel expense reimbursements.</w:t>
      </w:r>
    </w:p>
    <w:p>
      <w:pPr>
        <w:spacing w:after="0" w:line="41" w:lineRule="exact"/>
        <w:rPr>
          <w:rFonts w:ascii="Arial" w:cs="Arial" w:eastAsia="Arial" w:hAnsi="Arial"/>
          <w:sz w:val="14"/>
          <w:szCs w:val="14"/>
          <w:color w:val="auto"/>
        </w:rPr>
      </w:pPr>
    </w:p>
    <w:p>
      <w:pPr>
        <w:ind w:left="640" w:right="519" w:hanging="348"/>
        <w:spacing w:after="0" w:line="253"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Lewis and Mr. Uihlein elected to receive restricted stock in lieu of cash retainer for their service. The restricted shares vest in full on January 9, 2021.</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 Option</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8"/>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900" w:type="dxa"/>
            <w:vAlign w:val="bottom"/>
            <w:gridSpan w:val="2"/>
            <w:vMerge w:val="continue"/>
          </w:tcPr>
          <w:p>
            <w:pPr>
              <w:spacing w:after="0"/>
              <w:rPr>
                <w:sz w:val="16"/>
                <w:szCs w:val="16"/>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53"/>
        </w:trPr>
        <w:tc>
          <w:tcPr>
            <w:tcW w:w="67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0"/>
        </w:trPr>
        <w:tc>
          <w:tcPr>
            <w:tcW w:w="69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755,125</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11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101,875</w:t>
            </w:r>
          </w:p>
        </w:tc>
        <w:tc>
          <w:tcPr>
            <w:tcW w:w="0" w:type="dxa"/>
            <w:vAlign w:val="bottom"/>
          </w:tcPr>
          <w:p>
            <w:pPr>
              <w:spacing w:after="0"/>
              <w:rPr>
                <w:sz w:val="1"/>
                <w:szCs w:val="1"/>
                <w:color w:val="auto"/>
              </w:rPr>
            </w:pPr>
          </w:p>
        </w:tc>
      </w:tr>
      <w:tr>
        <w:trPr>
          <w:trHeight w:val="270"/>
        </w:trPr>
        <w:tc>
          <w:tcPr>
            <w:tcW w:w="690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179,839</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9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Joel Lewis</w:t>
            </w:r>
            <w:r>
              <w:rPr>
                <w:rFonts w:ascii="Arial" w:cs="Arial" w:eastAsia="Arial" w:hAnsi="Arial"/>
                <w:sz w:val="29"/>
                <w:szCs w:val="29"/>
                <w:color w:val="auto"/>
                <w:vertAlign w:val="superscript"/>
              </w:rPr>
              <w:t>(1)</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379,250</w:t>
            </w:r>
          </w:p>
        </w:tc>
        <w:tc>
          <w:tcPr>
            <w:tcW w:w="0" w:type="dxa"/>
            <w:vAlign w:val="bottom"/>
          </w:tcPr>
          <w:p>
            <w:pPr>
              <w:spacing w:after="0"/>
              <w:rPr>
                <w:sz w:val="1"/>
                <w:szCs w:val="1"/>
                <w:color w:val="auto"/>
              </w:rPr>
            </w:pPr>
          </w:p>
        </w:tc>
      </w:tr>
      <w:tr>
        <w:trPr>
          <w:trHeight w:val="270"/>
        </w:trPr>
        <w:tc>
          <w:tcPr>
            <w:tcW w:w="690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178,750</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1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104,565</w:t>
            </w:r>
          </w:p>
        </w:tc>
        <w:tc>
          <w:tcPr>
            <w:tcW w:w="0" w:type="dxa"/>
            <w:vAlign w:val="bottom"/>
          </w:tcPr>
          <w:p>
            <w:pPr>
              <w:spacing w:after="0"/>
              <w:rPr>
                <w:sz w:val="1"/>
                <w:szCs w:val="1"/>
                <w:color w:val="auto"/>
              </w:rPr>
            </w:pPr>
          </w:p>
        </w:tc>
      </w:tr>
      <w:tr>
        <w:trPr>
          <w:trHeight w:val="270"/>
        </w:trPr>
        <w:tc>
          <w:tcPr>
            <w:tcW w:w="6900" w:type="dxa"/>
            <w:vAlign w:val="bottom"/>
            <w:gridSpan w:val="2"/>
          </w:tcPr>
          <w:p>
            <w:pPr>
              <w:spacing w:after="0"/>
              <w:rPr>
                <w:sz w:val="20"/>
                <w:szCs w:val="20"/>
                <w:color w:val="auto"/>
              </w:rPr>
            </w:pPr>
            <w:r>
              <w:rPr>
                <w:rFonts w:ascii="Arial" w:cs="Arial" w:eastAsia="Arial" w:hAnsi="Arial"/>
                <w:sz w:val="18"/>
                <w:szCs w:val="18"/>
                <w:color w:val="auto"/>
              </w:rPr>
              <w:t>Richard Uihlein</w:t>
            </w:r>
          </w:p>
        </w:tc>
        <w:tc>
          <w:tcPr>
            <w:tcW w:w="1160" w:type="dxa"/>
            <w:vAlign w:val="bottom"/>
          </w:tcPr>
          <w:p>
            <w:pPr>
              <w:ind w:left="440"/>
              <w:spacing w:after="0"/>
              <w:rPr>
                <w:sz w:val="20"/>
                <w:szCs w:val="20"/>
                <w:color w:val="auto"/>
              </w:rPr>
            </w:pPr>
            <w:r>
              <w:rPr>
                <w:rFonts w:ascii="Arial" w:cs="Arial" w:eastAsia="Arial" w:hAnsi="Arial"/>
                <w:sz w:val="18"/>
                <w:szCs w:val="18"/>
                <w:color w:val="auto"/>
              </w:rPr>
              <w:t>66,362</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1,436,154</w:t>
            </w:r>
          </w:p>
        </w:tc>
        <w:tc>
          <w:tcPr>
            <w:tcW w:w="0" w:type="dxa"/>
            <w:vAlign w:val="bottom"/>
          </w:tcPr>
          <w:p>
            <w:pPr>
              <w:spacing w:after="0"/>
              <w:rPr>
                <w:sz w:val="1"/>
                <w:szCs w:val="1"/>
                <w:color w:val="auto"/>
              </w:rPr>
            </w:pPr>
          </w:p>
        </w:tc>
      </w:tr>
      <w:tr>
        <w:trPr>
          <w:trHeight w:val="54"/>
        </w:trPr>
        <w:tc>
          <w:tcPr>
            <w:tcW w:w="67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-1868170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120015</wp:posOffset>
            </wp:positionV>
            <wp:extent cx="8229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8" w:lineRule="exact"/>
        <w:rPr>
          <w:sz w:val="20"/>
          <w:szCs w:val="20"/>
          <w:color w:val="auto"/>
        </w:rPr>
      </w:pPr>
    </w:p>
    <w:p>
      <w:pPr>
        <w:ind w:left="1000" w:right="579" w:hanging="348"/>
        <w:spacing w:after="0" w:line="253" w:lineRule="auto"/>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Lewis became our Chief Executive Officer and president effective September 2, 2020 and was granted 250,000 stock options which is included here.</w:t>
      </w:r>
    </w:p>
    <w:p>
      <w:pPr>
        <w:spacing w:after="0" w:line="11" w:lineRule="exact"/>
        <w:rPr>
          <w:rFonts w:ascii="Arial" w:cs="Arial" w:eastAsia="Arial" w:hAnsi="Arial"/>
          <w:sz w:val="14"/>
          <w:szCs w:val="14"/>
          <w:color w:val="auto"/>
        </w:rPr>
      </w:pPr>
    </w:p>
    <w:p>
      <w:pPr>
        <w:ind w:left="1020" w:right="319"/>
        <w:spacing w:after="0" w:line="265" w:lineRule="auto"/>
        <w:rPr>
          <w:rFonts w:ascii="Arial" w:cs="Arial" w:eastAsia="Arial" w:hAnsi="Arial"/>
          <w:sz w:val="14"/>
          <w:szCs w:val="14"/>
          <w:color w:val="auto"/>
        </w:rPr>
      </w:pPr>
      <w:r>
        <w:rPr>
          <w:rFonts w:ascii="Arial" w:cs="Arial" w:eastAsia="Arial" w:hAnsi="Arial"/>
          <w:sz w:val="14"/>
          <w:szCs w:val="14"/>
          <w:color w:val="auto"/>
        </w:rPr>
        <w:t>For a more detailed description of the assumptions used for purposes of determining grant date fair value, see Note 7 to the Consolidated Financial Statements and “Management’s Discussion and Analysis of Financial Condition and Results of Operations — Critical Accounting Policies and Estimates — Stock-Based Compensation” included herein the Form 10-K for the 2020 fiscal year. We also reimburse our directors for reasonable travel and other related expenses.</w:t>
      </w:r>
    </w:p>
    <w:p>
      <w:pPr>
        <w:spacing w:after="0" w:line="63"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Pursuant to the Company’s cash compensation program for directors,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w:t>
      </w:r>
    </w:p>
    <w:p>
      <w:pPr>
        <w:sectPr>
          <w:pgSz w:w="11900" w:h="16838" w:orient="portrait"/>
          <w:cols w:equalWidth="0" w:num="1">
            <w:col w:w="9019"/>
          </w:cols>
          <w:pgMar w:left="1440" w:top="265"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39"/>
        <w:spacing w:after="0" w:line="296" w:lineRule="auto"/>
        <w:rPr>
          <w:sz w:val="20"/>
          <w:szCs w:val="20"/>
          <w:color w:val="auto"/>
        </w:rPr>
      </w:pPr>
      <w:r>
        <w:rPr>
          <w:rFonts w:ascii="Arial" w:cs="Arial" w:eastAsia="Arial" w:hAnsi="Arial"/>
          <w:sz w:val="16"/>
          <w:szCs w:val="16"/>
          <w:color w:val="auto"/>
        </w:rPr>
        <w:t>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 Additionally, in December 2016, the Board approved cash retainers of $3,500 to be paid to each member of the Board’s investor relation/public relations committee.</w:t>
      </w:r>
    </w:p>
    <w:p>
      <w:pPr>
        <w:spacing w:after="0" w:line="53" w:lineRule="exact"/>
        <w:rPr>
          <w:sz w:val="20"/>
          <w:szCs w:val="20"/>
          <w:color w:val="auto"/>
        </w:rPr>
      </w:pPr>
    </w:p>
    <w:p>
      <w:pPr>
        <w:ind w:left="300" w:right="499" w:firstLine="360"/>
        <w:spacing w:after="0" w:line="301" w:lineRule="auto"/>
        <w:rPr>
          <w:sz w:val="20"/>
          <w:szCs w:val="20"/>
          <w:color w:val="auto"/>
        </w:rPr>
      </w:pPr>
      <w:r>
        <w:rPr>
          <w:rFonts w:ascii="Arial" w:cs="Arial" w:eastAsia="Arial" w:hAnsi="Arial"/>
          <w:sz w:val="16"/>
          <w:szCs w:val="16"/>
          <w:color w:val="auto"/>
        </w:rPr>
        <w:t>On January 9, 2020, stock option grants were made to non-employee directors which vest 100% on December 31, 2020. The Chairman and Vice-Chairman were each granted 45,000 stock options, the chairs of the Nominating and Corporate Governance Committee, the Audit Committee and the Compensation Committee were each granted 40,000 stock options and remaining non-employee directors were each granted 30,000 stock options.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The following table provides information as of December 31, 2020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2020.</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Number of Securities</w:t>
            </w:r>
          </w:p>
        </w:tc>
        <w:tc>
          <w:tcPr>
            <w:tcW w:w="1260" w:type="dxa"/>
            <w:vAlign w:val="bottom"/>
            <w:gridSpan w:val="4"/>
            <w:vMerge w:val="continue"/>
          </w:tcPr>
          <w:p>
            <w:pPr>
              <w:spacing w:after="0"/>
              <w:rPr>
                <w:sz w:val="12"/>
                <w:szCs w:val="12"/>
                <w:color w:val="auto"/>
              </w:rPr>
            </w:pPr>
          </w:p>
        </w:tc>
        <w:tc>
          <w:tcPr>
            <w:tcW w:w="14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2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2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4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00" w:type="dxa"/>
            <w:vAlign w:val="bottom"/>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4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86"/>
        </w:trPr>
        <w:tc>
          <w:tcPr>
            <w:tcW w:w="4100" w:type="dxa"/>
            <w:vAlign w:val="bottom"/>
            <w:gridSpan w:val="2"/>
            <w:vMerge w:val="continue"/>
          </w:tcPr>
          <w:p>
            <w:pPr>
              <w:spacing w:after="0"/>
              <w:rPr>
                <w:sz w:val="16"/>
                <w:szCs w:val="16"/>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outstanding options</w:t>
            </w:r>
          </w:p>
        </w:tc>
        <w:tc>
          <w:tcPr>
            <w:tcW w:w="12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53"/>
        </w:trPr>
        <w:tc>
          <w:tcPr>
            <w:tcW w:w="38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3,487,575</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$3.90</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2,872,307</w:t>
            </w: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100" w:type="dxa"/>
            <w:vAlign w:val="bottom"/>
            <w:gridSpan w:val="2"/>
          </w:tcPr>
          <w:p>
            <w:pPr>
              <w:spacing w:after="0"/>
              <w:rPr>
                <w:sz w:val="20"/>
                <w:szCs w:val="20"/>
                <w:color w:val="auto"/>
              </w:rPr>
            </w:pPr>
            <w:r>
              <w:rPr>
                <w:rFonts w:ascii="Arial" w:cs="Arial" w:eastAsia="Arial" w:hAnsi="Arial"/>
                <w:sz w:val="18"/>
                <w:szCs w:val="18"/>
                <w:color w:val="auto"/>
                <w:w w:val="98"/>
              </w:rPr>
              <w:t>Equity compensation plans not approved by security</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10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holders</w:t>
            </w:r>
            <w:r>
              <w:rPr>
                <w:rFonts w:ascii="Arial" w:cs="Arial" w:eastAsia="Arial" w:hAnsi="Arial"/>
                <w:sz w:val="26"/>
                <w:szCs w:val="26"/>
                <w:color w:val="auto"/>
                <w:vertAlign w:val="superscript"/>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7.02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3,987,575</w:t>
            </w: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$4.29</w:t>
            </w: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2,872,307</w:t>
            </w:r>
          </w:p>
        </w:tc>
        <w:tc>
          <w:tcPr>
            <w:tcW w:w="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8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-925195</wp:posOffset>
            </wp:positionV>
            <wp:extent cx="154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-925195</wp:posOffset>
            </wp:positionV>
            <wp:extent cx="1543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-925195</wp:posOffset>
            </wp:positionV>
            <wp:extent cx="1543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19" w:hanging="348"/>
        <w:spacing w:after="0" w:line="238"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PHILOSOPHY DISCUSSION</w:t>
      </w:r>
    </w:p>
    <w:p>
      <w:pPr>
        <w:spacing w:after="0" w:line="121" w:lineRule="exact"/>
        <w:rPr>
          <w:sz w:val="20"/>
          <w:szCs w:val="20"/>
          <w:color w:val="auto"/>
        </w:rPr>
      </w:pPr>
    </w:p>
    <w:p>
      <w:pPr>
        <w:ind w:left="300" w:right="499" w:firstLine="360"/>
        <w:spacing w:after="0" w:line="272" w:lineRule="auto"/>
        <w:rPr>
          <w:sz w:val="20"/>
          <w:szCs w:val="20"/>
          <w:color w:val="auto"/>
        </w:rPr>
      </w:pPr>
      <w:r>
        <w:rPr>
          <w:rFonts w:ascii="Arial" w:cs="Arial" w:eastAsia="Arial" w:hAnsi="Arial"/>
          <w:sz w:val="17"/>
          <w:szCs w:val="17"/>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2020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20" w:type="dxa"/>
            <w:vAlign w:val="bottom"/>
          </w:tcPr>
          <w:p>
            <w:pPr>
              <w:ind w:left="2660"/>
              <w:spacing w:after="0"/>
              <w:rPr>
                <w:sz w:val="20"/>
                <w:szCs w:val="20"/>
                <w:color w:val="auto"/>
              </w:rPr>
            </w:pPr>
            <w:r>
              <w:rPr>
                <w:rFonts w:ascii="Arial" w:cs="Arial" w:eastAsia="Arial" w:hAnsi="Arial"/>
                <w:sz w:val="14"/>
                <w:szCs w:val="14"/>
                <w:b w:val="1"/>
                <w:bCs w:val="1"/>
                <w:color w:val="auto"/>
              </w:rPr>
              <w:t>Title</w:t>
            </w:r>
          </w:p>
        </w:tc>
      </w:tr>
      <w:tr>
        <w:trPr>
          <w:trHeight w:val="53"/>
        </w:trPr>
        <w:tc>
          <w:tcPr>
            <w:tcW w:w="2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277"/>
        </w:trPr>
        <w:tc>
          <w:tcPr>
            <w:tcW w:w="28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5620" w:type="dxa"/>
            <w:vAlign w:val="bottom"/>
          </w:tcPr>
          <w:p>
            <w:pPr>
              <w:spacing w:after="0"/>
              <w:rPr>
                <w:sz w:val="20"/>
                <w:szCs w:val="20"/>
                <w:color w:val="auto"/>
              </w:rPr>
            </w:pPr>
            <w:r>
              <w:rPr>
                <w:rFonts w:ascii="Arial" w:cs="Arial" w:eastAsia="Arial" w:hAnsi="Arial"/>
                <w:sz w:val="18"/>
                <w:szCs w:val="18"/>
                <w:color w:val="auto"/>
              </w:rPr>
              <w:t>Chief Executive Officer and President, until September 2, 2020</w:t>
            </w:r>
          </w:p>
        </w:tc>
      </w:tr>
      <w:tr>
        <w:trPr>
          <w:trHeight w:val="324"/>
        </w:trPr>
        <w:tc>
          <w:tcPr>
            <w:tcW w:w="2800" w:type="dxa"/>
            <w:vAlign w:val="bottom"/>
            <w:gridSpan w:val="2"/>
          </w:tcPr>
          <w:p>
            <w:pPr>
              <w:spacing w:after="0"/>
              <w:rPr>
                <w:sz w:val="20"/>
                <w:szCs w:val="20"/>
                <w:color w:val="auto"/>
              </w:rPr>
            </w:pPr>
            <w:r>
              <w:rPr>
                <w:rFonts w:ascii="Arial" w:cs="Arial" w:eastAsia="Arial" w:hAnsi="Arial"/>
                <w:sz w:val="18"/>
                <w:szCs w:val="18"/>
                <w:color w:val="auto"/>
              </w:rPr>
              <w:t>Joel Lewis</w:t>
            </w:r>
          </w:p>
        </w:tc>
        <w:tc>
          <w:tcPr>
            <w:tcW w:w="5620" w:type="dxa"/>
            <w:vAlign w:val="bottom"/>
          </w:tcPr>
          <w:p>
            <w:pPr>
              <w:spacing w:after="0"/>
              <w:rPr>
                <w:sz w:val="20"/>
                <w:szCs w:val="20"/>
                <w:color w:val="auto"/>
              </w:rPr>
            </w:pPr>
            <w:r>
              <w:rPr>
                <w:rFonts w:ascii="Arial" w:cs="Arial" w:eastAsia="Arial" w:hAnsi="Arial"/>
                <w:sz w:val="18"/>
                <w:szCs w:val="18"/>
                <w:color w:val="auto"/>
              </w:rPr>
              <w:t>Chief Executive Officer and President, from September 2, 2020</w:t>
            </w:r>
          </w:p>
        </w:tc>
      </w:tr>
      <w:tr>
        <w:trPr>
          <w:trHeight w:val="324"/>
        </w:trPr>
        <w:tc>
          <w:tcPr>
            <w:tcW w:w="280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562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324"/>
        </w:trPr>
        <w:tc>
          <w:tcPr>
            <w:tcW w:w="28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76"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17" w:lineRule="exact"/>
        <w:rPr>
          <w:rFonts w:ascii="Arial" w:cs="Arial" w:eastAsia="Arial" w:hAnsi="Arial"/>
          <w:sz w:val="18"/>
          <w:szCs w:val="18"/>
          <w:color w:val="auto"/>
        </w:rPr>
      </w:pPr>
    </w:p>
    <w:p>
      <w:pPr>
        <w:ind w:left="1000" w:right="105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align executives’ interests with the interests of stockholders by including long-term equity incentives.</w:t>
      </w:r>
    </w:p>
    <w:p>
      <w:pPr>
        <w:spacing w:after="0" w:line="129"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49"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At our last “Say-on-Pay vote” held at our 2019 annual meeting of stockholders approximately 86% of our outstanding common stock voting on the matter voted in favor of the compensation of our NEOs, as disclosed in the proxy materials for the 2019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2022 annual meeting of stockholders.</w:t>
      </w:r>
    </w:p>
    <w:p>
      <w:pPr>
        <w:spacing w:after="0" w:line="87"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1" w:lineRule="exact"/>
        <w:rPr>
          <w:sz w:val="20"/>
          <w:szCs w:val="20"/>
          <w:color w:val="auto"/>
        </w:rPr>
      </w:pPr>
    </w:p>
    <w:p>
      <w:pPr>
        <w:ind w:left="300" w:right="679"/>
        <w:spacing w:after="0" w:line="226" w:lineRule="auto"/>
        <w:rPr>
          <w:sz w:val="20"/>
          <w:szCs w:val="20"/>
          <w:color w:val="auto"/>
        </w:rPr>
      </w:pPr>
      <w:r>
        <w:rPr>
          <w:rFonts w:ascii="Arial" w:cs="Arial" w:eastAsia="Arial" w:hAnsi="Arial"/>
          <w:sz w:val="16"/>
          <w:szCs w:val="16"/>
          <w:color w:val="auto"/>
        </w:rPr>
        <w:t>closer to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total compensation of our competitor companies. These findings continued to inform the Compensation Committee’s decisions on compensation in subsequent years, including 2020.</w:t>
      </w:r>
    </w:p>
    <w:p>
      <w:pPr>
        <w:spacing w:after="0" w:line="95" w:lineRule="exact"/>
        <w:rPr>
          <w:sz w:val="20"/>
          <w:szCs w:val="20"/>
          <w:color w:val="auto"/>
        </w:rPr>
      </w:pPr>
    </w:p>
    <w:p>
      <w:pPr>
        <w:ind w:left="300" w:right="319" w:firstLine="360"/>
        <w:spacing w:after="0" w:line="256" w:lineRule="auto"/>
        <w:rPr>
          <w:sz w:val="20"/>
          <w:szCs w:val="20"/>
          <w:color w:val="auto"/>
        </w:rPr>
      </w:pPr>
      <w:r>
        <w:rPr>
          <w:rFonts w:ascii="Arial" w:cs="Arial" w:eastAsia="Arial" w:hAnsi="Arial"/>
          <w:sz w:val="16"/>
          <w:szCs w:val="16"/>
          <w:color w:val="auto"/>
        </w:rPr>
        <w:t>The Compensation Committee may use a compensation consultant in the future and to take into account publicly-available data relating to the compensation practices and policies of other companies within and outside our industry. The Compensation Committee intends to benchmark its executive compensation program to target at least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Elements of Executive Compensation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17"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and retention bonuses;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9"/>
              </w:rPr>
              <w:t>2020 Base Salary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2019 Base Salary</w:t>
            </w:r>
          </w:p>
        </w:tc>
      </w:tr>
      <w:tr>
        <w:trPr>
          <w:trHeight w:val="53"/>
        </w:trPr>
        <w:tc>
          <w:tcPr>
            <w:tcW w:w="6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331"/>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$500,000(3)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700"/>
              <w:spacing w:after="0" w:line="331" w:lineRule="exact"/>
              <w:rPr>
                <w:sz w:val="20"/>
                <w:szCs w:val="20"/>
                <w:color w:val="auto"/>
              </w:rPr>
            </w:pPr>
            <w:r>
              <w:rPr>
                <w:rFonts w:ascii="Arial" w:cs="Arial" w:eastAsia="Arial" w:hAnsi="Arial"/>
                <w:sz w:val="35"/>
                <w:szCs w:val="35"/>
                <w:color w:val="auto"/>
                <w:w w:val="86"/>
                <w:vertAlign w:val="subscript"/>
              </w:rPr>
              <w:t>—</w:t>
            </w:r>
            <w:r>
              <w:rPr>
                <w:rFonts w:ascii="Arial" w:cs="Arial" w:eastAsia="Arial" w:hAnsi="Arial"/>
                <w:sz w:val="15"/>
                <w:szCs w:val="15"/>
                <w:color w:val="auto"/>
                <w:w w:val="86"/>
              </w:rPr>
              <w:t>(1)</w:t>
            </w:r>
          </w:p>
        </w:tc>
      </w:tr>
      <w:tr>
        <w:trPr>
          <w:trHeight w:val="324"/>
        </w:trPr>
        <w:tc>
          <w:tcPr>
            <w:tcW w:w="618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440,500</w:t>
            </w:r>
          </w:p>
        </w:tc>
        <w:tc>
          <w:tcPr>
            <w:tcW w:w="100" w:type="dxa"/>
            <w:vAlign w:val="bottom"/>
          </w:tcPr>
          <w:p>
            <w:pPr>
              <w:spacing w:after="0"/>
              <w:rPr>
                <w:sz w:val="24"/>
                <w:szCs w:val="24"/>
                <w:color w:val="auto"/>
              </w:rPr>
            </w:pPr>
          </w:p>
        </w:tc>
        <w:tc>
          <w:tcPr>
            <w:tcW w:w="1080" w:type="dxa"/>
            <w:vAlign w:val="bottom"/>
          </w:tcPr>
          <w:p>
            <w:pPr>
              <w:ind w:left="700"/>
              <w:spacing w:after="0" w:line="324" w:lineRule="exact"/>
              <w:rPr>
                <w:sz w:val="20"/>
                <w:szCs w:val="20"/>
                <w:color w:val="auto"/>
              </w:rPr>
            </w:pPr>
            <w:r>
              <w:rPr>
                <w:rFonts w:ascii="Arial" w:cs="Arial" w:eastAsia="Arial" w:hAnsi="Arial"/>
                <w:sz w:val="35"/>
                <w:szCs w:val="35"/>
                <w:color w:val="auto"/>
                <w:w w:val="86"/>
                <w:vertAlign w:val="subscript"/>
              </w:rPr>
              <w:t>—</w:t>
            </w:r>
            <w:r>
              <w:rPr>
                <w:rFonts w:ascii="Arial" w:cs="Arial" w:eastAsia="Arial" w:hAnsi="Arial"/>
                <w:sz w:val="15"/>
                <w:szCs w:val="15"/>
                <w:color w:val="auto"/>
                <w:w w:val="86"/>
              </w:rPr>
              <w:t>(2)</w:t>
            </w:r>
          </w:p>
        </w:tc>
      </w:tr>
      <w:tr>
        <w:trPr>
          <w:trHeight w:val="27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302,100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$285,000</w:t>
            </w:r>
          </w:p>
        </w:tc>
      </w:tr>
      <w:tr>
        <w:trPr>
          <w:trHeight w:val="54"/>
        </w:trPr>
        <w:tc>
          <w:tcPr>
            <w:tcW w:w="60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-633730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-633730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Lewis became our President and Chief Executive Officer on September 2,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Dr. Boudes became our Chief Medical Officer on March 3, 2020.</w:t>
      </w:r>
    </w:p>
    <w:p>
      <w:pPr>
        <w:spacing w:after="0" w:line="41" w:lineRule="exact"/>
        <w:rPr>
          <w:rFonts w:ascii="Arial" w:cs="Arial" w:eastAsia="Arial" w:hAnsi="Arial"/>
          <w:sz w:val="14"/>
          <w:szCs w:val="14"/>
          <w:color w:val="auto"/>
        </w:rPr>
      </w:pPr>
    </w:p>
    <w:p>
      <w:pPr>
        <w:jc w:val="both"/>
        <w:ind w:left="640" w:right="399" w:hanging="348"/>
        <w:spacing w:after="0" w:line="290" w:lineRule="auto"/>
        <w:tabs>
          <w:tab w:leader="none" w:pos="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17" w:lineRule="exact"/>
        <w:rPr>
          <w:sz w:val="20"/>
          <w:szCs w:val="20"/>
          <w:color w:val="auto"/>
        </w:rPr>
      </w:pPr>
    </w:p>
    <w:p>
      <w:pPr>
        <w:ind w:left="300" w:right="359" w:firstLine="360"/>
        <w:spacing w:after="0" w:line="342" w:lineRule="auto"/>
        <w:rPr>
          <w:sz w:val="20"/>
          <w:szCs w:val="20"/>
          <w:color w:val="auto"/>
        </w:rPr>
      </w:pPr>
      <w:r>
        <w:rPr>
          <w:rFonts w:ascii="Arial" w:cs="Arial" w:eastAsia="Arial" w:hAnsi="Arial"/>
          <w:sz w:val="16"/>
          <w:szCs w:val="16"/>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6" w:lineRule="exact"/>
        <w:rPr>
          <w:sz w:val="20"/>
          <w:szCs w:val="20"/>
          <w:color w:val="auto"/>
        </w:rPr>
      </w:pPr>
    </w:p>
    <w:p>
      <w:pPr>
        <w:ind w:left="300" w:right="359" w:firstLine="360"/>
        <w:spacing w:after="0" w:line="288" w:lineRule="auto"/>
        <w:rPr>
          <w:sz w:val="20"/>
          <w:szCs w:val="20"/>
          <w:color w:val="auto"/>
        </w:rPr>
      </w:pPr>
      <w:r>
        <w:rPr>
          <w:rFonts w:ascii="Arial" w:cs="Arial" w:eastAsia="Arial" w:hAnsi="Arial"/>
          <w:sz w:val="16"/>
          <w:szCs w:val="16"/>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2020 performance bonuses were paid in March 2021.</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Performance Bonus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Awarded Amount</w:t>
            </w:r>
          </w:p>
        </w:tc>
        <w:tc>
          <w:tcPr>
            <w:tcW w:w="0" w:type="dxa"/>
            <w:vAlign w:val="bottom"/>
          </w:tcPr>
          <w:p>
            <w:pPr>
              <w:spacing w:after="0"/>
              <w:rPr>
                <w:sz w:val="1"/>
                <w:szCs w:val="1"/>
                <w:color w:val="auto"/>
              </w:rPr>
            </w:pPr>
          </w:p>
        </w:tc>
      </w:tr>
      <w:tr>
        <w:trPr>
          <w:trHeight w:val="186"/>
        </w:trPr>
        <w:tc>
          <w:tcPr>
            <w:tcW w:w="5740" w:type="dxa"/>
            <w:vAlign w:val="bottom"/>
            <w:gridSpan w:val="2"/>
            <w:vMerge w:val="continue"/>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As % of Base Salary</w:t>
            </w:r>
          </w:p>
        </w:tc>
        <w:tc>
          <w:tcPr>
            <w:tcW w:w="0" w:type="dxa"/>
            <w:vAlign w:val="bottom"/>
          </w:tcPr>
          <w:p>
            <w:pPr>
              <w:spacing w:after="0"/>
              <w:rPr>
                <w:sz w:val="1"/>
                <w:szCs w:val="1"/>
                <w:color w:val="auto"/>
              </w:rPr>
            </w:pPr>
          </w:p>
        </w:tc>
      </w:tr>
      <w:tr>
        <w:trPr>
          <w:trHeight w:val="53"/>
        </w:trPr>
        <w:tc>
          <w:tcPr>
            <w:tcW w:w="56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240" w:type="dxa"/>
            <w:vAlign w:val="bottom"/>
            <w:shd w:val="clear" w:color="auto" w:fill="CCEEFF"/>
          </w:tcPr>
          <w:p>
            <w:pPr>
              <w:ind w:left="280"/>
              <w:spacing w:after="0" w:line="331" w:lineRule="exact"/>
              <w:rPr>
                <w:sz w:val="20"/>
                <w:szCs w:val="20"/>
                <w:color w:val="auto"/>
              </w:rPr>
            </w:pPr>
            <w:r>
              <w:rPr>
                <w:rFonts w:ascii="Arial" w:cs="Arial" w:eastAsia="Arial" w:hAnsi="Arial"/>
                <w:sz w:val="18"/>
                <w:szCs w:val="18"/>
                <w:color w:val="auto"/>
              </w:rPr>
              <w:t>$ 75,000</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ind w:left="560"/>
              <w:spacing w:after="0" w:line="331" w:lineRule="exact"/>
              <w:rPr>
                <w:sz w:val="20"/>
                <w:szCs w:val="20"/>
                <w:color w:val="auto"/>
              </w:rPr>
            </w:pPr>
            <w:r>
              <w:rPr>
                <w:rFonts w:ascii="Arial" w:cs="Arial" w:eastAsia="Arial" w:hAnsi="Arial"/>
                <w:sz w:val="18"/>
                <w:szCs w:val="18"/>
                <w:color w:val="auto"/>
              </w:rPr>
              <w:t>45%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1240" w:type="dxa"/>
            <w:vAlign w:val="bottom"/>
          </w:tcPr>
          <w:p>
            <w:pPr>
              <w:ind w:left="280"/>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24"/>
                <w:szCs w:val="24"/>
                <w:color w:val="auto"/>
              </w:rPr>
            </w:pPr>
          </w:p>
        </w:tc>
        <w:tc>
          <w:tcPr>
            <w:tcW w:w="1320" w:type="dxa"/>
            <w:vAlign w:val="bottom"/>
          </w:tcPr>
          <w:p>
            <w:pPr>
              <w:ind w:left="560"/>
              <w:spacing w:after="0" w:line="324" w:lineRule="exact"/>
              <w:rPr>
                <w:sz w:val="20"/>
                <w:szCs w:val="20"/>
                <w:color w:val="auto"/>
              </w:rPr>
            </w:pPr>
            <w:r>
              <w:rPr>
                <w:rFonts w:ascii="Arial" w:cs="Arial" w:eastAsia="Arial" w:hAnsi="Arial"/>
                <w:sz w:val="18"/>
                <w:szCs w:val="18"/>
                <w:color w:val="auto"/>
              </w:rPr>
              <w:t>30%</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$ 85,000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4"/>
        </w:trPr>
        <w:tc>
          <w:tcPr>
            <w:tcW w:w="5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-633730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-633730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Lewis joined the Company on September 2, 2020 and his bonus was prorated for his employment duration in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Dr. Boudes the Company on March 2, 2020 and his bonus was prorated for his employment duration in 2020.</w:t>
      </w:r>
    </w:p>
    <w:p>
      <w:pPr>
        <w:spacing w:after="0" w:line="41" w:lineRule="exact"/>
        <w:rPr>
          <w:rFonts w:ascii="Arial" w:cs="Arial" w:eastAsia="Arial" w:hAnsi="Arial"/>
          <w:sz w:val="14"/>
          <w:szCs w:val="14"/>
          <w:color w:val="auto"/>
        </w:rPr>
      </w:pPr>
    </w:p>
    <w:p>
      <w:pPr>
        <w:ind w:left="640" w:right="479" w:hanging="348"/>
        <w:spacing w:after="0" w:line="290"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Pursuant to Mr. Lewis’s Employment Agreement and Deferred Stock Unit Agreement, 20% of Mr. Lewis’ bonus will be paid in cash and 80% will be paid in the form of deferred-stock units in accordance with the terms and subject to the provisions of the DSU Agreement</w:t>
      </w:r>
    </w:p>
    <w:p>
      <w:pPr>
        <w:spacing w:after="0" w:line="48"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In 2018, the Board approved potential cash incentive bonuses (the “Transaction Bonuses”). The potential Transaction Bonuses are payable in connection with a Transaction (as defined below). A “Transaction” is (i) any licensing, development, partnership, or similar arrangements relating to any of the Company’s drug candidates (a “Partnership Transaction”) or (ii) the acquisition of the Company or any of its material assets (an “Acquisition Transaction”). The amounts payable pursuant to the Transaction Bonuses will be equal to 10% of the recipient’s base salary for each $50 million payable to the Company or the Company’s shareholders, as applicable, pursuant to the Transaction to the extent paid in cash or marketable securities, up to a maximum payment of 300% of base salary. If Transaction is a Partnership Transaction and payments to the Company are deferred or otherwise made over time, the amount of the Transaction Bonuses will be based on the Board’s reasonable estimate of the value of the Transaction. To be entitled to receive a Transaction Bonus, if the Transaction is an Acquisition Transaction, an individual must be employed by the Company on the date the Transaction is consummated, or, if the Transaction is a Partnership Transaction, an individual must be employed by the Company on the date that the definitive transaction agreement(s) are executed. No Transaction Bonuses were earned in 2020.</w:t>
      </w:r>
    </w:p>
    <w:p>
      <w:pPr>
        <w:spacing w:after="0" w:line="66"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Additionally in 2018, the Board also approved retention bonuses payable to certain employees of the Company, including Dr. Shlevin and Mr. Callicutt, equal to 25% of such employee’s base salary (the “Retention Bonuses”) if such employees remained employed by the Company on each of June 30, 2019, December 31, 2019, June 30, 2020 and December 31, 2020 and based upon the annualized salary level in effect on such date. Mr. Lewis and Dr. Boudes joined the Company as employees and officers in 2020 and thus were not part of the retention bonus plan.</w:t>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Retention Bonus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Awarded Amount</w:t>
            </w:r>
          </w:p>
        </w:tc>
        <w:tc>
          <w:tcPr>
            <w:tcW w:w="0" w:type="dxa"/>
            <w:vAlign w:val="bottom"/>
          </w:tcPr>
          <w:p>
            <w:pPr>
              <w:spacing w:after="0"/>
              <w:rPr>
                <w:sz w:val="1"/>
                <w:szCs w:val="1"/>
                <w:color w:val="auto"/>
              </w:rPr>
            </w:pPr>
          </w:p>
        </w:tc>
      </w:tr>
      <w:tr>
        <w:trPr>
          <w:trHeight w:val="186"/>
        </w:trPr>
        <w:tc>
          <w:tcPr>
            <w:tcW w:w="5860" w:type="dxa"/>
            <w:vAlign w:val="bottom"/>
            <w:gridSpan w:val="2"/>
            <w:vMerge w:val="continue"/>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As % of Base Salary</w:t>
            </w:r>
          </w:p>
        </w:tc>
        <w:tc>
          <w:tcPr>
            <w:tcW w:w="0" w:type="dxa"/>
            <w:vAlign w:val="bottom"/>
          </w:tcPr>
          <w:p>
            <w:pPr>
              <w:spacing w:after="0"/>
              <w:rPr>
                <w:sz w:val="1"/>
                <w:szCs w:val="1"/>
                <w:color w:val="auto"/>
              </w:rPr>
            </w:pPr>
          </w:p>
        </w:tc>
      </w:tr>
      <w:tr>
        <w:trPr>
          <w:trHeight w:val="53"/>
        </w:trPr>
        <w:tc>
          <w:tcPr>
            <w:tcW w:w="56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$125,000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ind w:left="560"/>
              <w:spacing w:after="0" w:line="331" w:lineRule="exact"/>
              <w:rPr>
                <w:sz w:val="20"/>
                <w:szCs w:val="20"/>
                <w:color w:val="auto"/>
              </w:rPr>
            </w:pPr>
            <w:r>
              <w:rPr>
                <w:rFonts w:ascii="Arial" w:cs="Arial" w:eastAsia="Arial" w:hAnsi="Arial"/>
                <w:sz w:val="35"/>
                <w:szCs w:val="35"/>
                <w:color w:val="auto"/>
                <w:vertAlign w:val="subscript"/>
              </w:rPr>
              <w:t>25%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0"/>
        </w:trPr>
        <w:tc>
          <w:tcPr>
            <w:tcW w:w="586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$151,050</w:t>
            </w:r>
          </w:p>
        </w:tc>
        <w:tc>
          <w:tcPr>
            <w:tcW w:w="200" w:type="dxa"/>
            <w:vAlign w:val="bottom"/>
          </w:tcPr>
          <w:p>
            <w:pPr>
              <w:spacing w:after="0"/>
              <w:rPr>
                <w:sz w:val="23"/>
                <w:szCs w:val="23"/>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-393700</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-393700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2" w:lineRule="exact"/>
        <w:rPr>
          <w:sz w:val="20"/>
          <w:szCs w:val="20"/>
          <w:color w:val="auto"/>
        </w:rPr>
      </w:pPr>
    </w:p>
    <w:p>
      <w:pPr>
        <w:ind w:left="640" w:right="459" w:hanging="348"/>
        <w:spacing w:after="0" w:line="25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Dr. Shlevin retired as our President and Chief Executive Officer effective September 2, 2020 and thus did not receive a retention bonus at December 31,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49" w:lineRule="exact"/>
        <w:rPr>
          <w:sz w:val="20"/>
          <w:szCs w:val="20"/>
          <w:color w:val="auto"/>
        </w:rPr>
      </w:pPr>
    </w:p>
    <w:p>
      <w:pPr>
        <w:ind w:left="300" w:right="479" w:firstLine="360"/>
        <w:spacing w:after="0" w:line="301" w:lineRule="auto"/>
        <w:rPr>
          <w:sz w:val="20"/>
          <w:szCs w:val="20"/>
          <w:color w:val="auto"/>
        </w:rPr>
      </w:pPr>
      <w:r>
        <w:rPr>
          <w:rFonts w:ascii="Arial" w:cs="Arial" w:eastAsia="Arial" w:hAnsi="Arial"/>
          <w:sz w:val="16"/>
          <w:szCs w:val="16"/>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49" w:lineRule="exact"/>
        <w:rPr>
          <w:sz w:val="20"/>
          <w:szCs w:val="20"/>
          <w:color w:val="auto"/>
        </w:rPr>
      </w:pPr>
    </w:p>
    <w:p>
      <w:pPr>
        <w:ind w:left="300" w:right="759" w:firstLine="360"/>
        <w:spacing w:after="0" w:line="286" w:lineRule="auto"/>
        <w:rPr>
          <w:sz w:val="20"/>
          <w:szCs w:val="20"/>
          <w:color w:val="auto"/>
        </w:rPr>
      </w:pPr>
      <w:r>
        <w:rPr>
          <w:rFonts w:ascii="Arial" w:cs="Arial" w:eastAsia="Arial" w:hAnsi="Arial"/>
          <w:sz w:val="17"/>
          <w:szCs w:val="17"/>
          <w:color w:val="auto"/>
        </w:rPr>
        <w:t>On January 9, 2020, the NEOs were awarded the options noted below based on 2019 performance. Of the options, 25% vest on each of June 30, 2020, December 31, 2020, June 30, 2021 and December 31, 2021. The exercise price of the options is set at the closing price of our stock as of the grant date.</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Grant Date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86"/>
        </w:trPr>
        <w:tc>
          <w:tcPr>
            <w:tcW w:w="53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Underlying Options</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1/9/2020</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70,000</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$2.86</w:t>
            </w:r>
          </w:p>
        </w:tc>
        <w:tc>
          <w:tcPr>
            <w:tcW w:w="0" w:type="dxa"/>
            <w:vAlign w:val="bottom"/>
          </w:tcPr>
          <w:p>
            <w:pPr>
              <w:spacing w:after="0"/>
              <w:rPr>
                <w:sz w:val="1"/>
                <w:szCs w:val="1"/>
                <w:color w:val="auto"/>
              </w:rPr>
            </w:pPr>
          </w:p>
        </w:tc>
      </w:tr>
      <w:tr>
        <w:trPr>
          <w:trHeight w:val="270"/>
        </w:trPr>
        <w:tc>
          <w:tcPr>
            <w:tcW w:w="532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1/9/2020</w:t>
            </w:r>
          </w:p>
        </w:tc>
        <w:tc>
          <w:tcPr>
            <w:tcW w:w="8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-393700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-393700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-393700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Joel Lewis, Chief Executive Officer (effective September 2,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appointment of Mr. Lewis, the Company and Mr. Lewis entered into an employment</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agreement, dated August 31, 2020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a Deferred Stock Unit Agreement, dated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August 31, 2020 (the “</w:t>
      </w:r>
      <w:r>
        <w:rPr>
          <w:rFonts w:ascii="Arial" w:cs="Arial" w:eastAsia="Arial" w:hAnsi="Arial"/>
          <w:sz w:val="17"/>
          <w:szCs w:val="17"/>
          <w:u w:val="single" w:color="auto"/>
          <w:color w:val="auto"/>
        </w:rPr>
        <w:t>DSU Agreement</w:t>
      </w:r>
      <w:r>
        <w:rPr>
          <w:rFonts w:ascii="Arial" w:cs="Arial" w:eastAsia="Arial" w:hAnsi="Arial"/>
          <w:sz w:val="17"/>
          <w:szCs w:val="17"/>
          <w:color w:val="auto"/>
        </w:rPr>
        <w:t>”). The Employment Agreement has an initial term of two years and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automatically renews for additional one-year terms thereafter, unless either Mr. Lewis or the Company elects not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renew. Mr. Lewis will serve as Chief Executive Officer of the Company effective as of September 2, 2020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Start Date</w:t>
      </w:r>
      <w:r>
        <w:rPr>
          <w:rFonts w:ascii="Arial" w:cs="Arial" w:eastAsia="Arial" w:hAnsi="Arial"/>
          <w:sz w:val="16"/>
          <w:szCs w:val="16"/>
          <w:color w:val="auto"/>
        </w:rPr>
        <w:t>”), and will be paid an annual base salary of $500,000. Under the terms of the Employment Agreement,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20% of his base salary will be paid in cash, and 80% will be paid in the form of deferred-stock-units (“</w:t>
      </w:r>
      <w:r>
        <w:rPr>
          <w:rFonts w:ascii="Arial" w:cs="Arial" w:eastAsia="Arial" w:hAnsi="Arial"/>
          <w:sz w:val="17"/>
          <w:szCs w:val="17"/>
          <w:u w:val="single" w:color="auto"/>
          <w:color w:val="auto"/>
        </w:rPr>
        <w:t>DSUs</w:t>
      </w:r>
      <w:r>
        <w:rPr>
          <w:rFonts w:ascii="Arial" w:cs="Arial" w:eastAsia="Arial" w:hAnsi="Arial"/>
          <w:sz w:val="17"/>
          <w:szCs w:val="17"/>
          <w:color w:val="auto"/>
        </w:rPr>
        <w:t>”) in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accordance with the terms and subject to the provisions set forth in the DSU Agreement. In addition, Mr. Lewis is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entitled to participate in the Company’s performance bonus plan with a potential of up to 50% of his annual base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salary, which will also be paid 20% in cash and 80% in DSU’s. Further, Mr. Lewis received on the date of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agreement an initial grant of options to purchase 250,000 shares of the Company’s common stock, par value $0.001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per share, which options shall vest one-twelfth on a quarterly basis for twelve consecutive quarters, such that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options shall be fully vested twelve quarters following the date of grant (the “</w:t>
      </w:r>
      <w:r>
        <w:rPr>
          <w:rFonts w:ascii="Arial" w:cs="Arial" w:eastAsia="Arial" w:hAnsi="Arial"/>
          <w:sz w:val="16"/>
          <w:szCs w:val="16"/>
          <w:u w:val="single" w:color="auto"/>
          <w:color w:val="auto"/>
        </w:rPr>
        <w:t>Award</w:t>
      </w:r>
      <w:r>
        <w:rPr>
          <w:rFonts w:ascii="Arial" w:cs="Arial" w:eastAsia="Arial" w:hAnsi="Arial"/>
          <w:sz w:val="16"/>
          <w:szCs w:val="16"/>
          <w:color w:val="auto"/>
        </w:rPr>
        <w:t>”). The options under the Award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shall be issued pursuant to the Company’s 2019 Omnibus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Pursuant to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Employment Agreement, Mr. Lewis is also eligible to receive healthcare benefits as may be provided from time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time by the Company to its employees generally, to participate in the Company’s 401(k) plan and to receive paid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time off annually in accordance with the Company’s policies in effect from time to time. Finally, pursuant to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Employment Agreement, the Company will be required to furnish a lump sum cash payment to Mr. Lewis upon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termination of Mr. Lewis without “Cause” or upon Mr. Lewis’ resignation for “Good Reason” as such terms are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defined in the Employment Agreement or in the event the Company gives notice of non-renewal on or before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September 30, 2023. The Employment Agreement includes customary intellectual property, assignment, and other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representations by Mr. Lewis.</w:t>
      </w:r>
    </w:p>
    <w:p>
      <w:pPr>
        <w:spacing w:after="0" w:line="103"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Pursuant to the DSU Agreement, 80% of Mr. Lewis’ base salary under the Employment Agreement shall be payable in DSUs, which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Harold H. Shlevin, Ph.D., Chief Executive Officer (until September 2, 2020)</w:t>
      </w:r>
    </w:p>
    <w:p>
      <w:pPr>
        <w:spacing w:after="0" w:line="117"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Dr. Shlevin retired as Chief Executive Officer effective September 2, 2020. Prior to his retirement his employment was pursuant to an employment agreement dated December 11, 2014 as amended June 8, 2018. Under his employment agreement as amended Dr. Shlevin received a base salary of $500,000 with a target bonus opportunity equal to 50% of his base salary.</w:t>
      </w:r>
    </w:p>
    <w:p>
      <w:pPr>
        <w:spacing w:after="0" w:line="79"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In connection with his retirement, Dr. Shlevin entered into a Retirement Agreement with the Company dated August 31, 2020 (the “Retirement Agreement”) and a Consulting Agreement with the Company dated August 31, 2020 (the “Consulting Agreement”). The Retirement Agreement provides that Dr. Shlevin shall receive his base compensation through the separation date of September 2, 2020 plus a cash bonus for 2020 of $210,000 in lieu of any other bonuses. He shall be eligible to receive his portion of the “pharma deal achievement bonus” as established by the Board of Directors of the Company on May 22, 2018 in the event a transaction qualifying under such program were to occur during the term of the Consulting Agreement. In addition, Dr. Shlevin’s previously issued stock option awards under the Plan shall continue to vest so long as Dr. Shlevin provides consulting services to the Company under the Consulting Agreement. The Consulting Agreement has an initial term of one year (and was later extended through December 31, 2021), and for his services Dr. Shlevin shall receive payment of $432 per hour, but not less than $8,640 per month. The Consulting Agreement also includes certain intellectual property, assignment, and non-compete obligations by Dr. Shlevin.</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Pol F. Boudes, M.D., Chief Medical Officer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19, 2020, the Company entered into an Employment Agreement with Dr. Boudes (the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which governs the terms of Dr. Boudes’ employment in his position as the Company’s Chief Medical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Officer. Dr. Boudes will serve as the Chief Medical Officer of the Company during an initial term that commences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March 2, 2020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expires on February 28, 2021 (the “</w:t>
      </w:r>
      <w:r>
        <w:rPr>
          <w:rFonts w:ascii="Arial" w:cs="Arial" w:eastAsia="Arial" w:hAnsi="Arial"/>
          <w:sz w:val="17"/>
          <w:szCs w:val="17"/>
          <w:u w:val="single" w:color="auto"/>
          <w:color w:val="auto"/>
        </w:rPr>
        <w:t>Initial Term</w:t>
      </w:r>
      <w:r>
        <w:rPr>
          <w:rFonts w:ascii="Arial" w:cs="Arial" w:eastAsia="Arial" w:hAnsi="Arial"/>
          <w:sz w:val="17"/>
          <w:szCs w:val="17"/>
          <w:color w:val="auto"/>
        </w:rPr>
        <w:t>”). Following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Initial Term, the term of the Agreement automatically renews for successive twelve (12) month terms unless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either party provides the other party with notice of non-renewal at least sixty (60) days prior to the expiration of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then-current term. Under the Agreement, the Company has agreed to pay Dr. Boudes a base salary of $444,500 per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year (the “</w:t>
      </w:r>
      <w:r>
        <w:rPr>
          <w:rFonts w:ascii="Arial" w:cs="Arial" w:eastAsia="Arial" w:hAnsi="Arial"/>
          <w:sz w:val="16"/>
          <w:szCs w:val="16"/>
          <w:u w:val="single" w:color="auto"/>
          <w:color w:val="auto"/>
        </w:rPr>
        <w:t>Base Salary</w:t>
      </w:r>
      <w:r>
        <w:rPr>
          <w:rFonts w:ascii="Arial" w:cs="Arial" w:eastAsia="Arial" w:hAnsi="Arial"/>
          <w:sz w:val="16"/>
          <w:szCs w:val="16"/>
          <w:color w:val="auto"/>
        </w:rPr>
        <w:t>”). Provided that certain performance objectives are met, Dr. Boudes will also be entitled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receive an annual performance bonus equal to thirty percent (30%) of the Base Salary (the “</w:t>
      </w:r>
      <w:r>
        <w:rPr>
          <w:rFonts w:ascii="Arial" w:cs="Arial" w:eastAsia="Arial" w:hAnsi="Arial"/>
          <w:sz w:val="16"/>
          <w:szCs w:val="16"/>
          <w:u w:val="single" w:color="auto"/>
          <w:color w:val="auto"/>
        </w:rPr>
        <w:t>Performance Bonus</w:t>
      </w:r>
      <w:r>
        <w:rPr>
          <w:rFonts w:ascii="Arial" w:cs="Arial" w:eastAsia="Arial" w:hAnsi="Arial"/>
          <w:sz w:val="16"/>
          <w:szCs w:val="16"/>
          <w:color w:val="auto"/>
        </w:rPr>
        <w: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Subject to certain restrictions described in the Agreement, Dr. Boudes will receive a $100,000 signing bonus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pursuant to the Agreement. Dr. Boudes will also be granted options to purchase 300,000 shares (the “</w:t>
      </w:r>
      <w:r>
        <w:rPr>
          <w:rFonts w:ascii="Arial" w:cs="Arial" w:eastAsia="Arial" w:hAnsi="Arial"/>
          <w:sz w:val="16"/>
          <w:szCs w:val="16"/>
          <w:u w:val="single" w:color="auto"/>
          <w:color w:val="auto"/>
        </w:rPr>
        <w:t>Options</w:t>
      </w:r>
      <w:r>
        <w:rPr>
          <w:rFonts w:ascii="Arial" w:cs="Arial" w:eastAsia="Arial" w:hAnsi="Arial"/>
          <w:sz w:val="16"/>
          <w:szCs w:val="16"/>
          <w:color w:val="auto"/>
        </w:rPr>
        <w:t>”)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Company’s common stock pursuant to the Company’s 2019 Omnibus Equity Incentive Plan. The Options vest as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follows: twenty percent (20%) of the Options shall vest upon one (1) year of employment, twenty percent (20%)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Options shall vest upon two (2) years of employment, twenty percent (20%) of the Options shall vest upon three</w:t>
      </w:r>
    </w:p>
    <w:p>
      <w:pPr>
        <w:spacing w:after="0" w:line="32" w:lineRule="exact"/>
        <w:rPr>
          <w:sz w:val="20"/>
          <w:szCs w:val="20"/>
          <w:color w:val="auto"/>
        </w:rPr>
      </w:pPr>
    </w:p>
    <w:p>
      <w:pPr>
        <w:ind w:left="300" w:right="679" w:hanging="8"/>
        <w:spacing w:after="0" w:line="260" w:lineRule="auto"/>
        <w:tabs>
          <w:tab w:leader="none" w:pos="5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years of employment, and the remaining forty percent (40%) of the Options shall vest upon four (4) years of employment.</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64" w:lineRule="exact"/>
        <w:rPr>
          <w:sz w:val="20"/>
          <w:szCs w:val="20"/>
          <w:color w:val="auto"/>
        </w:rPr>
      </w:pPr>
    </w:p>
    <w:p>
      <w:pPr>
        <w:jc w:val="both"/>
        <w:ind w:left="300" w:right="339" w:firstLine="360"/>
        <w:spacing w:after="0" w:line="301" w:lineRule="auto"/>
        <w:rPr>
          <w:sz w:val="20"/>
          <w:szCs w:val="20"/>
          <w:color w:val="auto"/>
        </w:rPr>
      </w:pPr>
      <w:r>
        <w:rPr>
          <w:rFonts w:ascii="Arial" w:cs="Arial" w:eastAsia="Arial" w:hAnsi="Arial"/>
          <w:sz w:val="16"/>
          <w:szCs w:val="16"/>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79"/>
        <w:spacing w:after="0" w:line="277" w:lineRule="auto"/>
        <w:rPr>
          <w:sz w:val="20"/>
          <w:szCs w:val="20"/>
          <w:color w:val="auto"/>
        </w:rPr>
      </w:pPr>
      <w:r>
        <w:rPr>
          <w:rFonts w:ascii="Arial" w:cs="Arial" w:eastAsia="Arial" w:hAnsi="Arial"/>
          <w:sz w:val="18"/>
          <w:szCs w:val="18"/>
          <w:color w:val="auto"/>
        </w:rPr>
        <w:t>severance if Mr. Callicutt’s employment was terminated by the Company “without cause,” or by Mr. Callicutt for “good reason” after the date that was 24 months after the Commencement Date.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compensation paid to our NEOs for the fiscal years ended December 31,</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2020 and 2019.</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Salary</w:t>
            </w: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Bonus</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Year</w:t>
            </w:r>
          </w:p>
        </w:tc>
        <w:tc>
          <w:tcPr>
            <w:tcW w:w="26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1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2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6"/>
              <w:spacing w:after="0" w:line="263" w:lineRule="exact"/>
              <w:rPr>
                <w:sz w:val="20"/>
                <w:szCs w:val="20"/>
                <w:color w:val="auto"/>
              </w:rPr>
            </w:pPr>
            <w:r>
              <w:rPr>
                <w:rFonts w:ascii="Arial" w:cs="Arial" w:eastAsia="Arial" w:hAnsi="Arial"/>
                <w:sz w:val="18"/>
                <w:szCs w:val="18"/>
                <w:color w:val="auto"/>
                <w:w w:val="78"/>
              </w:rPr>
              <w:t>2020</w:t>
            </w:r>
            <w:r>
              <w:rPr>
                <w:rFonts w:ascii="Arial" w:cs="Arial" w:eastAsia="Arial" w:hAnsi="Arial"/>
                <w:sz w:val="29"/>
                <w:szCs w:val="29"/>
                <w:color w:val="auto"/>
                <w:w w:val="78"/>
                <w:vertAlign w:val="superscript"/>
              </w:rPr>
              <w:t>(2)</w:t>
            </w: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375,583</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335,000</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154,266</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ind w:left="180"/>
              <w:spacing w:after="0" w:line="263" w:lineRule="exact"/>
              <w:rPr>
                <w:sz w:val="20"/>
                <w:szCs w:val="20"/>
                <w:color w:val="auto"/>
              </w:rPr>
            </w:pPr>
            <w:r>
              <w:rPr>
                <w:rFonts w:ascii="Arial" w:cs="Arial" w:eastAsia="Arial" w:hAnsi="Arial"/>
                <w:sz w:val="18"/>
                <w:szCs w:val="18"/>
                <w:color w:val="auto"/>
                <w:w w:val="94"/>
              </w:rPr>
              <w:t>54,487</w:t>
            </w:r>
            <w:r>
              <w:rPr>
                <w:rFonts w:ascii="Arial" w:cs="Arial" w:eastAsia="Arial" w:hAnsi="Arial"/>
                <w:sz w:val="29"/>
                <w:szCs w:val="29"/>
                <w:color w:val="auto"/>
                <w:w w:val="94"/>
                <w:vertAlign w:val="superscript"/>
              </w:rPr>
              <w:t>(4)</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919,336</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Executive Officer &amp; President</w:t>
            </w:r>
          </w:p>
        </w:tc>
        <w:tc>
          <w:tcPr>
            <w:tcW w:w="100" w:type="dxa"/>
            <w:vAlign w:val="bottom"/>
            <w:shd w:val="clear" w:color="auto" w:fill="CCEEFF"/>
          </w:tcPr>
          <w:p>
            <w:pPr>
              <w:spacing w:after="0"/>
              <w:rPr>
                <w:sz w:val="20"/>
                <w:szCs w:val="20"/>
                <w:color w:val="auto"/>
              </w:rPr>
            </w:pPr>
          </w:p>
        </w:tc>
        <w:tc>
          <w:tcPr>
            <w:tcW w:w="6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78"/>
              </w:rPr>
              <w:t>2019</w:t>
            </w:r>
            <w:r>
              <w:rPr>
                <w:rFonts w:ascii="Arial" w:cs="Arial" w:eastAsia="Arial" w:hAnsi="Arial"/>
                <w:sz w:val="29"/>
                <w:szCs w:val="29"/>
                <w:color w:val="auto"/>
                <w:w w:val="78"/>
                <w:vertAlign w:val="superscript"/>
              </w:rPr>
              <w:t>(3)</w:t>
            </w:r>
          </w:p>
        </w:tc>
        <w:tc>
          <w:tcPr>
            <w:tcW w:w="26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500,000</w:t>
            </w:r>
          </w:p>
        </w:tc>
        <w:tc>
          <w:tcPr>
            <w:tcW w:w="18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465,625</w:t>
            </w:r>
          </w:p>
        </w:tc>
        <w:tc>
          <w:tcPr>
            <w:tcW w:w="18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268,196</w:t>
            </w:r>
          </w:p>
        </w:tc>
        <w:tc>
          <w:tcPr>
            <w:tcW w:w="2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w w:val="94"/>
              </w:rPr>
              <w:t>72,686</w:t>
            </w:r>
            <w:r>
              <w:rPr>
                <w:rFonts w:ascii="Arial" w:cs="Arial" w:eastAsia="Arial" w:hAnsi="Arial"/>
                <w:sz w:val="29"/>
                <w:szCs w:val="29"/>
                <w:color w:val="auto"/>
                <w:w w:val="94"/>
                <w:vertAlign w:val="superscript"/>
              </w:rPr>
              <w:t>(5)</w:t>
            </w:r>
          </w:p>
        </w:tc>
        <w:tc>
          <w:tcPr>
            <w:tcW w:w="18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1,306,507</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220" w:type="dxa"/>
            <w:vAlign w:val="bottom"/>
            <w:gridSpan w:val="2"/>
          </w:tcPr>
          <w:p>
            <w:pPr>
              <w:spacing w:after="0"/>
              <w:rPr>
                <w:sz w:val="20"/>
                <w:szCs w:val="20"/>
                <w:color w:val="auto"/>
              </w:rPr>
            </w:pPr>
            <w:r>
              <w:rPr>
                <w:rFonts w:ascii="Arial" w:cs="Arial" w:eastAsia="Arial" w:hAnsi="Arial"/>
                <w:sz w:val="18"/>
                <w:szCs w:val="18"/>
                <w:color w:val="auto"/>
              </w:rPr>
              <w:t>Joel Lewis, Chief Executive Officer &amp;</w:t>
            </w:r>
          </w:p>
        </w:tc>
        <w:tc>
          <w:tcPr>
            <w:tcW w:w="720" w:type="dxa"/>
            <w:vAlign w:val="bottom"/>
            <w:gridSpan w:val="2"/>
            <w:vMerge w:val="restart"/>
          </w:tcPr>
          <w:p>
            <w:pPr>
              <w:jc w:val="right"/>
              <w:spacing w:after="0"/>
              <w:rPr>
                <w:sz w:val="20"/>
                <w:szCs w:val="20"/>
                <w:color w:val="auto"/>
              </w:rPr>
            </w:pPr>
            <w:r>
              <w:rPr>
                <w:rFonts w:ascii="Arial" w:cs="Arial" w:eastAsia="Arial" w:hAnsi="Arial"/>
                <w:sz w:val="35"/>
                <w:szCs w:val="35"/>
                <w:color w:val="auto"/>
                <w:w w:val="86"/>
                <w:vertAlign w:val="subscript"/>
              </w:rPr>
              <w:t>2020</w:t>
            </w:r>
            <w:r>
              <w:rPr>
                <w:rFonts w:ascii="Arial" w:cs="Arial" w:eastAsia="Arial" w:hAnsi="Arial"/>
                <w:sz w:val="15"/>
                <w:szCs w:val="15"/>
                <w:color w:val="auto"/>
                <w:w w:val="86"/>
              </w:rPr>
              <w:t>(10)</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restart"/>
          </w:tcPr>
          <w:p>
            <w:pPr>
              <w:ind w:left="180"/>
              <w:spacing w:after="0"/>
              <w:rPr>
                <w:sz w:val="20"/>
                <w:szCs w:val="20"/>
                <w:color w:val="auto"/>
              </w:rPr>
            </w:pPr>
            <w:r>
              <w:rPr>
                <w:rFonts w:ascii="Arial" w:cs="Arial" w:eastAsia="Arial" w:hAnsi="Arial"/>
                <w:sz w:val="18"/>
                <w:szCs w:val="18"/>
                <w:color w:val="auto"/>
                <w:w w:val="82"/>
              </w:rPr>
              <w:t>27,660</w:t>
            </w:r>
            <w:r>
              <w:rPr>
                <w:rFonts w:ascii="Arial" w:cs="Arial" w:eastAsia="Arial" w:hAnsi="Arial"/>
                <w:sz w:val="29"/>
                <w:szCs w:val="29"/>
                <w:color w:val="auto"/>
                <w:w w:val="82"/>
                <w:vertAlign w:val="superscript"/>
              </w:rPr>
              <w:t>(11)</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President</w:t>
            </w:r>
          </w:p>
        </w:tc>
        <w:tc>
          <w:tcPr>
            <w:tcW w:w="7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164,773</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486,125</w:t>
            </w:r>
          </w:p>
        </w:tc>
        <w:tc>
          <w:tcPr>
            <w:tcW w:w="2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753,558</w:t>
            </w:r>
          </w:p>
        </w:tc>
        <w:tc>
          <w:tcPr>
            <w:tcW w:w="0" w:type="dxa"/>
            <w:vAlign w:val="bottom"/>
          </w:tcPr>
          <w:p>
            <w:pPr>
              <w:spacing w:after="0"/>
              <w:rPr>
                <w:sz w:val="1"/>
                <w:szCs w:val="1"/>
                <w:color w:val="auto"/>
              </w:rPr>
            </w:pPr>
          </w:p>
        </w:tc>
      </w:tr>
      <w:tr>
        <w:trPr>
          <w:trHeight w:val="25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 F. Boudes, M.D., Chief Medical</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35"/>
                <w:szCs w:val="35"/>
                <w:color w:val="auto"/>
                <w:w w:val="86"/>
                <w:vertAlign w:val="subscript"/>
              </w:rPr>
              <w:t>2020</w:t>
            </w:r>
            <w:r>
              <w:rPr>
                <w:rFonts w:ascii="Arial" w:cs="Arial" w:eastAsia="Arial" w:hAnsi="Arial"/>
                <w:sz w:val="15"/>
                <w:szCs w:val="15"/>
                <w:color w:val="auto"/>
                <w:w w:val="86"/>
              </w:rPr>
              <w:t>(12)</w:t>
            </w: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w w:val="82"/>
              </w:rPr>
              <w:t>85,938</w:t>
            </w:r>
            <w:r>
              <w:rPr>
                <w:rFonts w:ascii="Arial" w:cs="Arial" w:eastAsia="Arial" w:hAnsi="Arial"/>
                <w:sz w:val="29"/>
                <w:szCs w:val="29"/>
                <w:color w:val="auto"/>
                <w:w w:val="82"/>
                <w:vertAlign w:val="superscript"/>
              </w:rPr>
              <w:t>(13)</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w:t>
            </w:r>
          </w:p>
        </w:tc>
        <w:tc>
          <w:tcPr>
            <w:tcW w:w="720" w:type="dxa"/>
            <w:vAlign w:val="bottom"/>
            <w:gridSpan w:val="2"/>
            <w:vMerge w:val="continue"/>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367,083</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210,000</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419,460</w:t>
            </w:r>
          </w:p>
        </w:tc>
        <w:tc>
          <w:tcPr>
            <w:tcW w:w="200" w:type="dxa"/>
            <w:vAlign w:val="bottom"/>
            <w:shd w:val="clear" w:color="auto" w:fill="CCEEFF"/>
          </w:tcPr>
          <w:p>
            <w:pPr>
              <w:spacing w:after="0"/>
              <w:rPr>
                <w:sz w:val="24"/>
                <w:szCs w:val="24"/>
                <w:color w:val="auto"/>
              </w:rPr>
            </w:pPr>
          </w:p>
        </w:tc>
        <w:tc>
          <w:tcPr>
            <w:tcW w:w="940" w:type="dxa"/>
            <w:vAlign w:val="bottom"/>
            <w:vMerge w:val="continue"/>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1,082,481</w:t>
            </w:r>
          </w:p>
        </w:tc>
        <w:tc>
          <w:tcPr>
            <w:tcW w:w="0" w:type="dxa"/>
            <w:vAlign w:val="bottom"/>
          </w:tcPr>
          <w:p>
            <w:pPr>
              <w:spacing w:after="0"/>
              <w:rPr>
                <w:sz w:val="1"/>
                <w:szCs w:val="1"/>
                <w:color w:val="auto"/>
              </w:rPr>
            </w:pPr>
          </w:p>
        </w:tc>
      </w:tr>
      <w:tr>
        <w:trPr>
          <w:trHeight w:val="256"/>
        </w:trPr>
        <w:tc>
          <w:tcPr>
            <w:tcW w:w="322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720" w:type="dxa"/>
            <w:vAlign w:val="bottom"/>
            <w:gridSpan w:val="2"/>
          </w:tcPr>
          <w:p>
            <w:pPr>
              <w:jc w:val="right"/>
              <w:ind w:right="16"/>
              <w:spacing w:after="0" w:line="255" w:lineRule="exact"/>
              <w:rPr>
                <w:sz w:val="20"/>
                <w:szCs w:val="20"/>
                <w:color w:val="auto"/>
              </w:rPr>
            </w:pPr>
            <w:r>
              <w:rPr>
                <w:rFonts w:ascii="Arial" w:cs="Arial" w:eastAsia="Arial" w:hAnsi="Arial"/>
                <w:sz w:val="18"/>
                <w:szCs w:val="18"/>
                <w:color w:val="auto"/>
                <w:w w:val="94"/>
              </w:rPr>
              <w:t>2020</w:t>
            </w:r>
            <w:r>
              <w:rPr>
                <w:rFonts w:ascii="Arial" w:cs="Arial" w:eastAsia="Arial" w:hAnsi="Arial"/>
                <w:sz w:val="29"/>
                <w:szCs w:val="29"/>
                <w:color w:val="auto"/>
                <w:w w:val="94"/>
                <w:vertAlign w:val="superscript"/>
              </w:rPr>
              <w:t>(6)</w:t>
            </w:r>
          </w:p>
        </w:tc>
        <w:tc>
          <w:tcPr>
            <w:tcW w:w="2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300,675</w:t>
            </w:r>
          </w:p>
        </w:tc>
        <w:tc>
          <w:tcPr>
            <w:tcW w:w="18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236,050</w:t>
            </w:r>
          </w:p>
        </w:tc>
        <w:tc>
          <w:tcPr>
            <w:tcW w:w="18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110,190</w:t>
            </w:r>
          </w:p>
        </w:tc>
        <w:tc>
          <w:tcPr>
            <w:tcW w:w="200" w:type="dxa"/>
            <w:vAlign w:val="bottom"/>
          </w:tcPr>
          <w:p>
            <w:pPr>
              <w:spacing w:after="0"/>
              <w:rPr>
                <w:sz w:val="22"/>
                <w:szCs w:val="22"/>
                <w:color w:val="auto"/>
              </w:rPr>
            </w:pPr>
          </w:p>
        </w:tc>
        <w:tc>
          <w:tcPr>
            <w:tcW w:w="940" w:type="dxa"/>
            <w:vAlign w:val="bottom"/>
          </w:tcPr>
          <w:p>
            <w:pPr>
              <w:ind w:left="180"/>
              <w:spacing w:after="0" w:line="255" w:lineRule="exact"/>
              <w:rPr>
                <w:sz w:val="20"/>
                <w:szCs w:val="20"/>
                <w:color w:val="auto"/>
              </w:rPr>
            </w:pPr>
            <w:r>
              <w:rPr>
                <w:rFonts w:ascii="Arial" w:cs="Arial" w:eastAsia="Arial" w:hAnsi="Arial"/>
                <w:sz w:val="18"/>
                <w:szCs w:val="18"/>
                <w:color w:val="auto"/>
                <w:w w:val="94"/>
              </w:rPr>
              <w:t>73,457</w:t>
            </w:r>
            <w:r>
              <w:rPr>
                <w:rFonts w:ascii="Arial" w:cs="Arial" w:eastAsia="Arial" w:hAnsi="Arial"/>
                <w:sz w:val="29"/>
                <w:szCs w:val="29"/>
                <w:color w:val="auto"/>
                <w:w w:val="94"/>
                <w:vertAlign w:val="superscript"/>
              </w:rPr>
              <w:t>(8)</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720,372</w:t>
            </w:r>
          </w:p>
        </w:tc>
        <w:tc>
          <w:tcPr>
            <w:tcW w:w="0" w:type="dxa"/>
            <w:vAlign w:val="bottom"/>
          </w:tcPr>
          <w:p>
            <w:pPr>
              <w:spacing w:after="0"/>
              <w:rPr>
                <w:sz w:val="1"/>
                <w:szCs w:val="1"/>
                <w:color w:val="auto"/>
              </w:rPr>
            </w:pPr>
          </w:p>
        </w:tc>
      </w:tr>
      <w:tr>
        <w:trPr>
          <w:trHeight w:val="230"/>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vMerge w:val="restart"/>
          </w:tcPr>
          <w:p>
            <w:pPr>
              <w:jc w:val="right"/>
              <w:ind w:right="16"/>
              <w:spacing w:after="0"/>
              <w:rPr>
                <w:sz w:val="20"/>
                <w:szCs w:val="20"/>
                <w:color w:val="auto"/>
              </w:rPr>
            </w:pPr>
            <w:r>
              <w:rPr>
                <w:rFonts w:ascii="Arial" w:cs="Arial" w:eastAsia="Arial" w:hAnsi="Arial"/>
                <w:sz w:val="18"/>
                <w:szCs w:val="18"/>
                <w:color w:val="auto"/>
                <w:w w:val="94"/>
              </w:rPr>
              <w:t>2019</w:t>
            </w:r>
            <w:r>
              <w:rPr>
                <w:rFonts w:ascii="Arial" w:cs="Arial" w:eastAsia="Arial" w:hAnsi="Arial"/>
                <w:sz w:val="29"/>
                <w:szCs w:val="29"/>
                <w:color w:val="auto"/>
                <w:w w:val="94"/>
                <w:vertAlign w:val="superscript"/>
              </w:rPr>
              <w:t>(7)</w:t>
            </w:r>
          </w:p>
        </w:tc>
        <w:tc>
          <w:tcPr>
            <w:tcW w:w="260" w:type="dxa"/>
            <w:vAlign w:val="bottom"/>
          </w:tcPr>
          <w:p>
            <w:pPr>
              <w:spacing w:after="0"/>
              <w:rPr>
                <w:sz w:val="20"/>
                <w:szCs w:val="20"/>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9"/>
              </w:rPr>
              <w:t>285,000</w:t>
            </w:r>
          </w:p>
        </w:tc>
        <w:tc>
          <w:tcPr>
            <w:tcW w:w="180" w:type="dxa"/>
            <w:vAlign w:val="bottom"/>
          </w:tcPr>
          <w:p>
            <w:pPr>
              <w:spacing w:after="0"/>
              <w:rPr>
                <w:sz w:val="20"/>
                <w:szCs w:val="20"/>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2"/>
              </w:rPr>
              <w:t>233,451</w:t>
            </w:r>
          </w:p>
        </w:tc>
        <w:tc>
          <w:tcPr>
            <w:tcW w:w="180" w:type="dxa"/>
            <w:vAlign w:val="bottom"/>
          </w:tcPr>
          <w:p>
            <w:pPr>
              <w:spacing w:after="0"/>
              <w:rPr>
                <w:sz w:val="20"/>
                <w:szCs w:val="20"/>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9"/>
              </w:rPr>
              <w:t>191,568</w:t>
            </w:r>
          </w:p>
        </w:tc>
        <w:tc>
          <w:tcPr>
            <w:tcW w:w="200" w:type="dxa"/>
            <w:vAlign w:val="bottom"/>
          </w:tcPr>
          <w:p>
            <w:pPr>
              <w:spacing w:after="0"/>
              <w:rPr>
                <w:sz w:val="20"/>
                <w:szCs w:val="20"/>
                <w:color w:val="auto"/>
              </w:rPr>
            </w:pPr>
          </w:p>
        </w:tc>
        <w:tc>
          <w:tcPr>
            <w:tcW w:w="940" w:type="dxa"/>
            <w:vAlign w:val="bottom"/>
            <w:vMerge w:val="restart"/>
          </w:tcPr>
          <w:p>
            <w:pPr>
              <w:ind w:left="180"/>
              <w:spacing w:after="0"/>
              <w:rPr>
                <w:sz w:val="20"/>
                <w:szCs w:val="20"/>
                <w:color w:val="auto"/>
              </w:rPr>
            </w:pPr>
            <w:r>
              <w:rPr>
                <w:rFonts w:ascii="Arial" w:cs="Arial" w:eastAsia="Arial" w:hAnsi="Arial"/>
                <w:sz w:val="18"/>
                <w:szCs w:val="18"/>
                <w:color w:val="auto"/>
                <w:w w:val="94"/>
              </w:rPr>
              <w:t>68,105</w:t>
            </w:r>
            <w:r>
              <w:rPr>
                <w:rFonts w:ascii="Arial" w:cs="Arial" w:eastAsia="Arial" w:hAnsi="Arial"/>
                <w:sz w:val="29"/>
                <w:szCs w:val="29"/>
                <w:color w:val="auto"/>
                <w:w w:val="94"/>
                <w:vertAlign w:val="superscript"/>
              </w:rPr>
              <w:t>(9)</w:t>
            </w:r>
          </w:p>
        </w:tc>
        <w:tc>
          <w:tcPr>
            <w:tcW w:w="18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778,124</w:t>
            </w:r>
          </w:p>
        </w:tc>
        <w:tc>
          <w:tcPr>
            <w:tcW w:w="0" w:type="dxa"/>
            <w:vAlign w:val="bottom"/>
          </w:tcPr>
          <w:p>
            <w:pPr>
              <w:spacing w:after="0"/>
              <w:rPr>
                <w:sz w:val="1"/>
                <w:szCs w:val="1"/>
                <w:color w:val="auto"/>
              </w:rPr>
            </w:pPr>
          </w:p>
        </w:tc>
      </w:tr>
      <w:tr>
        <w:trPr>
          <w:trHeight w:val="258"/>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-1586230</wp:posOffset>
            </wp:positionV>
            <wp:extent cx="120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-1586230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-1586230</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-1586230</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-1586230</wp:posOffset>
            </wp:positionV>
            <wp:extent cx="1714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-1586230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6" w:lineRule="exact"/>
        <w:rPr>
          <w:sz w:val="20"/>
          <w:szCs w:val="20"/>
          <w:color w:val="auto"/>
        </w:rPr>
      </w:pPr>
    </w:p>
    <w:p>
      <w:pPr>
        <w:ind w:left="640" w:right="419" w:hanging="348"/>
        <w:spacing w:after="0" w:line="255"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option awards made during 2020 and 2019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2020 and 2019.</w:t>
      </w:r>
    </w:p>
    <w:p>
      <w:pPr>
        <w:spacing w:after="0" w:line="12" w:lineRule="exact"/>
        <w:rPr>
          <w:rFonts w:ascii="Arial" w:cs="Arial" w:eastAsia="Arial" w:hAnsi="Arial"/>
          <w:sz w:val="13"/>
          <w:szCs w:val="13"/>
          <w:color w:val="auto"/>
        </w:rPr>
      </w:pPr>
    </w:p>
    <w:p>
      <w:pPr>
        <w:ind w:left="640" w:right="339" w:hanging="348"/>
        <w:spacing w:after="0" w:line="238"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Dr. Shlevin retired from employment as our President and Chief Executive Officer effective September 2, 2020. His salary in 2020 includes the salary earned prior to his retirement. Dr. Shlevin’s bonus amount in 2020 consisted of $125,000 retention bonus in July 2020 and a bonus of $210,000 pursuant to his retirement agreement.</w:t>
      </w:r>
    </w:p>
    <w:p>
      <w:pPr>
        <w:spacing w:after="0" w:line="20" w:lineRule="exact"/>
        <w:rPr>
          <w:rFonts w:ascii="Arial" w:cs="Arial" w:eastAsia="Arial" w:hAnsi="Arial"/>
          <w:sz w:val="14"/>
          <w:szCs w:val="14"/>
          <w:color w:val="auto"/>
        </w:rPr>
      </w:pPr>
    </w:p>
    <w:p>
      <w:pPr>
        <w:ind w:left="640" w:right="1059" w:hanging="348"/>
        <w:spacing w:after="0" w:line="25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Dr. Shlevin’s bonus amount in 2019 consisted of $125,000 retention bonuses paid in July 2019 and January 2020 and $215,625 performance bonus earned in 2019 which was paid in January 2020.</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$48,635 for health and other insurance and $5,852 for 401(k) plan contributions.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$61,486 for health and other insurance and $11,200 for 401(k) plan contributions.</w:t>
      </w:r>
    </w:p>
    <w:p>
      <w:pPr>
        <w:spacing w:after="0" w:line="41" w:lineRule="exact"/>
        <w:rPr>
          <w:rFonts w:ascii="Arial" w:cs="Arial" w:eastAsia="Arial" w:hAnsi="Arial"/>
          <w:sz w:val="14"/>
          <w:szCs w:val="14"/>
          <w:color w:val="auto"/>
        </w:rPr>
      </w:pPr>
    </w:p>
    <w:p>
      <w:pPr>
        <w:ind w:left="640" w:right="359" w:hanging="348"/>
        <w:spacing w:after="0" w:line="25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Callicutt’s bonus amount in 2020 consisted of $75,525 retention bonuses paid in July 2020 and January 2021 and $85,000 performance bonus earned in 2020 which was paid in March 2021.</w:t>
      </w:r>
    </w:p>
    <w:p>
      <w:pPr>
        <w:spacing w:after="0" w:line="11" w:lineRule="exact"/>
        <w:rPr>
          <w:rFonts w:ascii="Arial" w:cs="Arial" w:eastAsia="Arial" w:hAnsi="Arial"/>
          <w:sz w:val="14"/>
          <w:szCs w:val="14"/>
          <w:color w:val="auto"/>
        </w:rPr>
      </w:pPr>
    </w:p>
    <w:p>
      <w:pPr>
        <w:ind w:left="640" w:right="359" w:hanging="348"/>
        <w:spacing w:after="0" w:line="25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Callicutt’s bonus amount in 2019 consisted of $71,250 retention bonuses paid in July 2019 and January 2020 and $90,951 performance bonus earned in 2019 which was paid in January 2020.</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$62,057 for health and other insurance and $11,400 for 401(k) plan contributions.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$56,905 for health and other insurance and $11,200 for 401(k) plan contributions.</w:t>
      </w:r>
    </w:p>
    <w:p>
      <w:pPr>
        <w:spacing w:after="0" w:line="41" w:lineRule="exact"/>
        <w:rPr>
          <w:rFonts w:ascii="Arial" w:cs="Arial" w:eastAsia="Arial" w:hAnsi="Arial"/>
          <w:sz w:val="14"/>
          <w:szCs w:val="14"/>
          <w:color w:val="auto"/>
        </w:rPr>
      </w:pPr>
    </w:p>
    <w:p>
      <w:pPr>
        <w:ind w:left="640" w:right="459" w:hanging="348"/>
        <w:spacing w:after="0" w:line="238"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Lewis became our Chief Executive Officer and President effective September 2, 2020, and his performance bonus was prorated for 2021 and paid in March 2021. Pursuant to his employment agreement, 20% his salary and bonus are paid in cash and 80% are in deferred stock units.</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$25,419 for health and other insurance and $2,341 for 401(k) plan contributions.</w:t>
      </w:r>
    </w:p>
    <w:p>
      <w:pPr>
        <w:spacing w:after="0" w:line="41" w:lineRule="exact"/>
        <w:rPr>
          <w:rFonts w:ascii="Arial" w:cs="Arial" w:eastAsia="Arial" w:hAnsi="Arial"/>
          <w:sz w:val="14"/>
          <w:szCs w:val="14"/>
          <w:color w:val="auto"/>
        </w:rPr>
      </w:pPr>
    </w:p>
    <w:p>
      <w:pPr>
        <w:ind w:left="640" w:right="619" w:hanging="348"/>
        <w:spacing w:after="0" w:line="25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Dr. Boudes became our Chief Medical Officer effective March 2, 2020. He was paid a $100,000 bonus upon joining the Company. His performance bonus of $110,000 was prorated for 2020 and paid in March 2021.</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$74,538 for health and other insurance and $11,400 for 401(k) plan contributions.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2020</w:t>
      </w:r>
    </w:p>
    <w:p>
      <w:pPr>
        <w:spacing w:after="0" w:line="121" w:lineRule="exact"/>
        <w:rPr>
          <w:sz w:val="20"/>
          <w:szCs w:val="20"/>
          <w:color w:val="auto"/>
        </w:rPr>
      </w:pPr>
    </w:p>
    <w:p>
      <w:pPr>
        <w:ind w:left="300" w:right="399" w:firstLine="360"/>
        <w:spacing w:after="0" w:line="311" w:lineRule="auto"/>
        <w:rPr>
          <w:sz w:val="20"/>
          <w:szCs w:val="20"/>
          <w:color w:val="auto"/>
        </w:rPr>
      </w:pPr>
      <w:r>
        <w:rPr>
          <w:rFonts w:ascii="Arial" w:cs="Arial" w:eastAsia="Arial" w:hAnsi="Arial"/>
          <w:sz w:val="16"/>
          <w:szCs w:val="16"/>
          <w:color w:val="auto"/>
        </w:rPr>
        <w:t>The following table sets forth information regarding all outstanding equity awards held by the NEOs at December 31, 2020. The exercise price of the options is set at the closing price of our stock at the date prior to or as of the date of grant. Outstanding options have been approved by our Compensation Committee and our Board.</w:t>
      </w:r>
    </w:p>
    <w:p>
      <w:pPr>
        <w:spacing w:after="0" w:line="11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4"/>
          </w:tcPr>
          <w:p>
            <w:pPr>
              <w:ind w:left="66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Number of or Payout</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Incentive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 Shares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or Units</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 Stock</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Unearned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Not</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Options</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14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14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Joel Lewis</w:t>
            </w: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17" w:lineRule="exact"/>
              <w:rPr>
                <w:sz w:val="20"/>
                <w:szCs w:val="20"/>
                <w:color w:val="auto"/>
              </w:rPr>
            </w:pPr>
            <w:r>
              <w:rPr>
                <w:rFonts w:ascii="Arial" w:cs="Arial" w:eastAsia="Arial" w:hAnsi="Arial"/>
                <w:sz w:val="17"/>
                <w:szCs w:val="17"/>
                <w:color w:val="auto"/>
                <w:w w:val="98"/>
              </w:rPr>
              <w:t>54,250</w:t>
            </w:r>
            <w:r>
              <w:rPr>
                <w:rFonts w:ascii="Arial" w:cs="Arial" w:eastAsia="Arial" w:hAnsi="Arial"/>
                <w:sz w:val="28"/>
                <w:szCs w:val="28"/>
                <w:color w:val="auto"/>
                <w:w w:val="98"/>
                <w:vertAlign w:val="superscript"/>
              </w:rPr>
              <w:t>(1)</w:t>
            </w:r>
          </w:p>
        </w:tc>
        <w:tc>
          <w:tcPr>
            <w:tcW w:w="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12/14/2027</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line="317" w:lineRule="exact"/>
              <w:rPr>
                <w:sz w:val="20"/>
                <w:szCs w:val="20"/>
                <w:color w:val="auto"/>
              </w:rPr>
            </w:pPr>
            <w:r>
              <w:rPr>
                <w:rFonts w:ascii="Arial" w:cs="Arial" w:eastAsia="Arial" w:hAnsi="Arial"/>
                <w:sz w:val="17"/>
                <w:szCs w:val="17"/>
                <w:color w:val="auto"/>
                <w:w w:val="86"/>
              </w:rPr>
              <w:t>20,455</w:t>
            </w:r>
            <w:r>
              <w:rPr>
                <w:rFonts w:ascii="Arial" w:cs="Arial" w:eastAsia="Arial" w:hAnsi="Arial"/>
                <w:sz w:val="28"/>
                <w:szCs w:val="28"/>
                <w:color w:val="auto"/>
                <w:w w:val="86"/>
                <w:vertAlign w:val="superscript"/>
              </w:rPr>
              <w:t>(12)</w:t>
            </w: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45,819</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8"/>
              </w:rPr>
              <w:t>35,000</w:t>
            </w:r>
            <w:r>
              <w:rPr>
                <w:rFonts w:ascii="Arial" w:cs="Arial" w:eastAsia="Arial" w:hAnsi="Arial"/>
                <w:sz w:val="28"/>
                <w:szCs w:val="28"/>
                <w:color w:val="auto"/>
                <w:w w:val="98"/>
                <w:vertAlign w:val="superscript"/>
              </w:rPr>
              <w:t>(2)</w:t>
            </w:r>
          </w:p>
        </w:tc>
        <w:tc>
          <w:tcPr>
            <w:tcW w:w="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01/16/2029</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8"/>
              </w:rPr>
              <w:t>40,000</w:t>
            </w:r>
            <w:r>
              <w:rPr>
                <w:rFonts w:ascii="Arial" w:cs="Arial" w:eastAsia="Arial" w:hAnsi="Arial"/>
                <w:sz w:val="28"/>
                <w:szCs w:val="28"/>
                <w:color w:val="auto"/>
                <w:w w:val="98"/>
                <w:vertAlign w:val="superscript"/>
              </w:rPr>
              <w:t>(3)</w:t>
            </w:r>
          </w:p>
        </w:tc>
        <w:tc>
          <w:tcPr>
            <w:tcW w:w="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01/09/2030</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8"/>
              </w:rPr>
              <w:t>20,833</w:t>
            </w:r>
            <w:r>
              <w:rPr>
                <w:rFonts w:ascii="Arial" w:cs="Arial" w:eastAsia="Arial" w:hAnsi="Arial"/>
                <w:sz w:val="28"/>
                <w:szCs w:val="28"/>
                <w:color w:val="auto"/>
                <w:w w:val="98"/>
                <w:vertAlign w:val="superscript"/>
              </w:rPr>
              <w:t>(4)</w:t>
            </w:r>
          </w:p>
        </w:tc>
        <w:tc>
          <w:tcPr>
            <w:tcW w:w="1000" w:type="dxa"/>
            <w:vAlign w:val="bottom"/>
            <w:gridSpan w:val="2"/>
            <w:shd w:val="clear" w:color="auto" w:fill="CCEEFF"/>
          </w:tcPr>
          <w:p>
            <w:pPr>
              <w:jc w:val="right"/>
              <w:spacing w:after="0" w:line="310" w:lineRule="exact"/>
              <w:rPr>
                <w:sz w:val="20"/>
                <w:szCs w:val="20"/>
                <w:color w:val="auto"/>
              </w:rPr>
            </w:pPr>
            <w:r>
              <w:rPr>
                <w:rFonts w:ascii="Arial" w:cs="Arial" w:eastAsia="Arial" w:hAnsi="Arial"/>
                <w:sz w:val="17"/>
                <w:szCs w:val="17"/>
                <w:color w:val="auto"/>
              </w:rPr>
              <w:t>229,167</w:t>
            </w:r>
            <w:r>
              <w:rPr>
                <w:rFonts w:ascii="Arial" w:cs="Arial" w:eastAsia="Arial" w:hAnsi="Arial"/>
                <w:sz w:val="28"/>
                <w:szCs w:val="28"/>
                <w:color w:val="auto"/>
                <w:vertAlign w:val="superscript"/>
              </w:rPr>
              <w:t>(4)</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08/31/2030</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460" w:type="dxa"/>
            <w:vAlign w:val="bottom"/>
            <w:gridSpan w:val="2"/>
          </w:tcPr>
          <w:p>
            <w:pPr>
              <w:spacing w:after="0"/>
              <w:rPr>
                <w:sz w:val="20"/>
                <w:szCs w:val="20"/>
                <w:color w:val="auto"/>
              </w:rPr>
            </w:pPr>
            <w:r>
              <w:rPr>
                <w:rFonts w:ascii="Arial" w:cs="Arial" w:eastAsia="Arial" w:hAnsi="Arial"/>
                <w:sz w:val="17"/>
                <w:szCs w:val="17"/>
                <w:color w:val="auto"/>
                <w:w w:val="94"/>
              </w:rPr>
              <w:t>Pol F. Boudes, M.D.</w:t>
            </w:r>
          </w:p>
        </w:tc>
        <w:tc>
          <w:tcPr>
            <w:tcW w:w="4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34"/>
                <w:szCs w:val="34"/>
                <w:color w:val="auto"/>
                <w:vertAlign w:val="subscript"/>
              </w:rPr>
              <w:t>—</w:t>
            </w:r>
            <w:r>
              <w:rPr>
                <w:rFonts w:ascii="Arial" w:cs="Arial" w:eastAsia="Arial" w:hAnsi="Arial"/>
                <w:sz w:val="14"/>
                <w:szCs w:val="14"/>
                <w:color w:val="auto"/>
              </w:rPr>
              <w:t>(5)</w:t>
            </w:r>
          </w:p>
        </w:tc>
        <w:tc>
          <w:tcPr>
            <w:tcW w:w="1000" w:type="dxa"/>
            <w:vAlign w:val="bottom"/>
            <w:gridSpan w:val="2"/>
            <w:vMerge w:val="restart"/>
          </w:tcPr>
          <w:p>
            <w:pPr>
              <w:jc w:val="right"/>
              <w:spacing w:after="0"/>
              <w:rPr>
                <w:sz w:val="20"/>
                <w:szCs w:val="20"/>
                <w:color w:val="auto"/>
              </w:rPr>
            </w:pPr>
            <w:r>
              <w:rPr>
                <w:rFonts w:ascii="Arial" w:cs="Arial" w:eastAsia="Arial" w:hAnsi="Arial"/>
                <w:sz w:val="17"/>
                <w:szCs w:val="17"/>
                <w:color w:val="auto"/>
              </w:rPr>
              <w:t>300,000</w:t>
            </w:r>
            <w:r>
              <w:rPr>
                <w:rFonts w:ascii="Arial" w:cs="Arial" w:eastAsia="Arial" w:hAnsi="Arial"/>
                <w:sz w:val="28"/>
                <w:szCs w:val="28"/>
                <w:color w:val="auto"/>
                <w:vertAlign w:val="superscript"/>
              </w:rPr>
              <w:t>(5)</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1.75</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03/12/2030</w:t>
            </w:r>
          </w:p>
        </w:tc>
        <w:tc>
          <w:tcPr>
            <w:tcW w:w="60" w:type="dxa"/>
            <w:vAlign w:val="bottom"/>
          </w:tcPr>
          <w:p>
            <w:pPr>
              <w:spacing w:after="0"/>
              <w:rPr>
                <w:sz w:val="21"/>
                <w:szCs w:val="21"/>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0"/>
        </w:trPr>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1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Jack W. Callicutt</w:t>
            </w: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8"/>
              </w:rPr>
              <w:t>26,000</w:t>
            </w:r>
            <w:r>
              <w:rPr>
                <w:rFonts w:ascii="Arial" w:cs="Arial" w:eastAsia="Arial" w:hAnsi="Arial"/>
                <w:sz w:val="28"/>
                <w:szCs w:val="28"/>
                <w:color w:val="auto"/>
                <w:w w:val="98"/>
                <w:vertAlign w:val="superscript"/>
              </w:rPr>
              <w:t>(6)</w:t>
            </w:r>
          </w:p>
        </w:tc>
        <w:tc>
          <w:tcPr>
            <w:tcW w:w="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01/21/2024</w:t>
            </w:r>
          </w:p>
        </w:tc>
        <w:tc>
          <w:tcPr>
            <w:tcW w:w="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0"/>
        </w:trPr>
        <w:tc>
          <w:tcPr>
            <w:tcW w:w="1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8,706</w:t>
            </w:r>
            <w:r>
              <w:rPr>
                <w:rFonts w:ascii="Arial" w:cs="Arial" w:eastAsia="Arial" w:hAnsi="Arial"/>
                <w:sz w:val="28"/>
                <w:szCs w:val="28"/>
                <w:color w:val="auto"/>
                <w:vertAlign w:val="superscript"/>
              </w:rPr>
              <w:t>(7)</w:t>
            </w:r>
          </w:p>
        </w:tc>
        <w:tc>
          <w:tcPr>
            <w:tcW w:w="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01/20/2026</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8"/>
              </w:rPr>
              <w:t>90,000</w:t>
            </w:r>
            <w:r>
              <w:rPr>
                <w:rFonts w:ascii="Arial" w:cs="Arial" w:eastAsia="Arial" w:hAnsi="Arial"/>
                <w:sz w:val="28"/>
                <w:szCs w:val="28"/>
                <w:color w:val="auto"/>
                <w:w w:val="98"/>
                <w:vertAlign w:val="superscript"/>
              </w:rPr>
              <w:t>(8)</w:t>
            </w:r>
          </w:p>
        </w:tc>
        <w:tc>
          <w:tcPr>
            <w:tcW w:w="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01/15/2028</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8"/>
              </w:rPr>
              <w:t>90,000</w:t>
            </w:r>
            <w:r>
              <w:rPr>
                <w:rFonts w:ascii="Arial" w:cs="Arial" w:eastAsia="Arial" w:hAnsi="Arial"/>
                <w:sz w:val="28"/>
                <w:szCs w:val="28"/>
                <w:color w:val="auto"/>
                <w:w w:val="98"/>
                <w:vertAlign w:val="superscript"/>
              </w:rPr>
              <w:t>(9)</w:t>
            </w:r>
          </w:p>
        </w:tc>
        <w:tc>
          <w:tcPr>
            <w:tcW w:w="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05/22/2028</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6"/>
              </w:rPr>
              <w:t>50,000</w:t>
            </w:r>
            <w:r>
              <w:rPr>
                <w:rFonts w:ascii="Arial" w:cs="Arial" w:eastAsia="Arial" w:hAnsi="Arial"/>
                <w:sz w:val="28"/>
                <w:szCs w:val="28"/>
                <w:color w:val="auto"/>
                <w:w w:val="96"/>
                <w:vertAlign w:val="superscript"/>
              </w:rPr>
              <w:t>(10)</w:t>
            </w:r>
          </w:p>
        </w:tc>
        <w:tc>
          <w:tcPr>
            <w:tcW w:w="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01/16/2029</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6"/>
              </w:rPr>
              <w:t>25,000</w:t>
            </w:r>
            <w:r>
              <w:rPr>
                <w:rFonts w:ascii="Arial" w:cs="Arial" w:eastAsia="Arial" w:hAnsi="Arial"/>
                <w:sz w:val="28"/>
                <w:szCs w:val="28"/>
                <w:color w:val="auto"/>
                <w:w w:val="96"/>
                <w:vertAlign w:val="superscript"/>
              </w:rPr>
              <w:t>(11)</w:t>
            </w:r>
          </w:p>
        </w:tc>
        <w:tc>
          <w:tcPr>
            <w:tcW w:w="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25,000</w:t>
            </w:r>
            <w:r>
              <w:rPr>
                <w:rFonts w:ascii="Arial" w:cs="Arial" w:eastAsia="Arial" w:hAnsi="Arial"/>
                <w:sz w:val="28"/>
                <w:szCs w:val="28"/>
                <w:color w:val="auto"/>
                <w:vertAlign w:val="superscript"/>
              </w:rPr>
              <w:t>(11)</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01/09/2030</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-2313940</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-2313940</wp:posOffset>
            </wp:positionV>
            <wp:extent cx="34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-2313940</wp:posOffset>
            </wp:positionV>
            <wp:extent cx="342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-2313940</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-2313940</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-2313940</wp:posOffset>
            </wp:positionV>
            <wp:extent cx="34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-2313940</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-2313940</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-2313940</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100% of the options vested in full on December 14, 2018.</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100% of the options vested in full on January 16,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100% of the options vested in full on December 31,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One-twelfth of the total options vest quarterly from August 31, 2020, which was the grant date.</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20% of the options vest on each of March 2, 2021, March 2, 2022, and March 2023 and 40% of the options vest on March 2, 2024.</w:t>
      </w:r>
    </w:p>
    <w:p>
      <w:pPr>
        <w:spacing w:after="0" w:line="41" w:lineRule="exact"/>
        <w:rPr>
          <w:rFonts w:ascii="Arial" w:cs="Arial" w:eastAsia="Arial" w:hAnsi="Arial"/>
          <w:sz w:val="14"/>
          <w:szCs w:val="14"/>
          <w:color w:val="auto"/>
        </w:rPr>
      </w:pPr>
    </w:p>
    <w:p>
      <w:pPr>
        <w:ind w:left="640" w:right="73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options vested on January 21, 2014, the grant date with the remainder vested ratably on a monthly basis over a three-year period.</w:t>
      </w:r>
    </w:p>
    <w:p>
      <w:pPr>
        <w:spacing w:after="0" w:line="11" w:lineRule="exact"/>
        <w:rPr>
          <w:rFonts w:ascii="Arial" w:cs="Arial" w:eastAsia="Arial" w:hAnsi="Arial"/>
          <w:sz w:val="14"/>
          <w:szCs w:val="14"/>
          <w:color w:val="auto"/>
        </w:rPr>
      </w:pPr>
    </w:p>
    <w:p>
      <w:pPr>
        <w:ind w:left="640" w:right="73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options vested on January 29, 2015, the grant date with the remainder vested ratably on a monthly basis over a three-year period.</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25% of the options vested on January 15, 2018 (grant date), 25% vested on June 30, 2018, and 50% vested on December 31, 2018.</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options vested on June 30, 2018, 25% vested on September 30, 2018, and 50% vested on December 31, 2018.</w:t>
      </w:r>
    </w:p>
    <w:p>
      <w:pPr>
        <w:spacing w:after="0" w:line="41" w:lineRule="exact"/>
        <w:rPr>
          <w:rFonts w:ascii="Arial" w:cs="Arial" w:eastAsia="Arial" w:hAnsi="Arial"/>
          <w:sz w:val="14"/>
          <w:szCs w:val="14"/>
          <w:color w:val="auto"/>
        </w:rPr>
      </w:pPr>
    </w:p>
    <w:p>
      <w:pPr>
        <w:ind w:left="640" w:right="85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options vested on June 30, 2019, 25% vested on December 31, 2019, 25% vested on June 30, 2020, and 25% vested on December 31, 2020.</w:t>
      </w:r>
    </w:p>
    <w:p>
      <w:pPr>
        <w:spacing w:after="0" w:line="11" w:lineRule="exact"/>
        <w:rPr>
          <w:rFonts w:ascii="Arial" w:cs="Arial" w:eastAsia="Arial" w:hAnsi="Arial"/>
          <w:sz w:val="14"/>
          <w:szCs w:val="14"/>
          <w:color w:val="auto"/>
        </w:rPr>
      </w:pPr>
    </w:p>
    <w:p>
      <w:pPr>
        <w:ind w:left="640" w:right="111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options vested on June 30, 2020, 25% vested on December 31, 2020, 25% vest on June 30, 2021, and 25% vest on December 31, 2021.</w:t>
      </w:r>
    </w:p>
    <w:p>
      <w:pPr>
        <w:spacing w:after="0" w:line="11" w:lineRule="exact"/>
        <w:rPr>
          <w:rFonts w:ascii="Arial" w:cs="Arial" w:eastAsia="Arial" w:hAnsi="Arial"/>
          <w:sz w:val="14"/>
          <w:szCs w:val="14"/>
          <w:color w:val="auto"/>
        </w:rPr>
      </w:pPr>
    </w:p>
    <w:p>
      <w:pPr>
        <w:ind w:left="640" w:right="39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Lewis’ stock awards in the table are from board compensation taken in restricted stock in lieu of cash compensation prior to becoming president and CEO in September 2020.</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2009 Incentive Compensation Plan</w:t>
      </w:r>
    </w:p>
    <w:p>
      <w:pPr>
        <w:spacing w:after="0" w:line="117"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options granted under our 2009 Incentive Compensation Plan, the options will become immediately vested and exercisable upon a change of control. Upon termination of employment for cause, all outstanding options immediately terminate. Options remain</w:t>
      </w:r>
    </w:p>
    <w:p>
      <w:pPr>
        <w:spacing w:after="0" w:line="76"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exercisable for one year following termination due to the executive’s death or disability or retirement, or for twelve months after termination for any other reason other than for cause.</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17" w:lineRule="exact"/>
        <w:rPr>
          <w:sz w:val="20"/>
          <w:szCs w:val="20"/>
          <w:color w:val="auto"/>
        </w:rPr>
      </w:pPr>
    </w:p>
    <w:p>
      <w:pPr>
        <w:ind w:left="1000" w:right="539" w:hanging="348"/>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78" w:lineRule="exact"/>
        <w:rPr>
          <w:rFonts w:ascii="Arial" w:cs="Arial" w:eastAsia="Arial" w:hAnsi="Arial"/>
          <w:sz w:val="18"/>
          <w:szCs w:val="18"/>
          <w:color w:val="auto"/>
        </w:rPr>
      </w:pPr>
    </w:p>
    <w:p>
      <w:pPr>
        <w:ind w:left="1000" w:right="919" w:hanging="34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1000" w:right="419" w:hanging="348"/>
        <w:spacing w:after="0" w:line="287"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63" w:lineRule="exact"/>
        <w:rPr>
          <w:rFonts w:ascii="Arial" w:cs="Arial" w:eastAsia="Arial" w:hAnsi="Arial"/>
          <w:sz w:val="16"/>
          <w:szCs w:val="16"/>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117"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62"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2019 Omnibus Equity Incentive Plan</w:t>
      </w:r>
    </w:p>
    <w:p>
      <w:pPr>
        <w:spacing w:after="0" w:line="117"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Joel Lewis:</w:t>
      </w:r>
    </w:p>
    <w:p>
      <w:pPr>
        <w:spacing w:after="0" w:line="11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Under Mr. Lewis’ Employment Agreement, the Company is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w:t>
      </w:r>
    </w:p>
    <w:p>
      <w:pPr>
        <w:spacing w:after="0" w:line="79"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Pol Boudes:</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Under the Employment Agreement with Dr. Boudes, if (i) Dr. Boudes terminates the Agreement for Good Reason (as defined in the Agreement) or (ii) the Company terminates the Agreement without Cause (as defined in the Agreement), then the Company shall pay to Dr. Boudes: (1) the Base Salary accrued through the date of termination, (2)(A)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64"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If, within the period ending twelve (12) months after the date of a Change of Control, Dr. Boudes’ employment with the Company is (i) terminated without Cause or (ii) terminated for Good Reason by Dr. Boudes, the Company shall pay to Dr. Boudes (A) the Base Salary accrued through the date of termination, to the extent not theretofore paid, (B) reimbursement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Boudes’ unvested Options shall be one hundred percent (100%) vested, but shall otherwise continue to be governed by the terms and conditions of the Plan and the applicable stock option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Jack Callicutt:</w:t>
      </w:r>
    </w:p>
    <w:p>
      <w:pPr>
        <w:spacing w:after="0" w:line="11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(12) months of Mr. Callicutt’s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8" w:lineRule="auto"/>
        <w:rPr>
          <w:sz w:val="20"/>
          <w:szCs w:val="20"/>
          <w:color w:val="auto"/>
        </w:rPr>
      </w:pPr>
      <w:r>
        <w:rPr>
          <w:rFonts w:ascii="Arial" w:cs="Arial" w:eastAsia="Arial" w:hAnsi="Arial"/>
          <w:sz w:val="16"/>
          <w:szCs w:val="16"/>
          <w:color w:val="auto"/>
        </w:rPr>
        <w:t>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03"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2021. We expect that a representative from Cherry Bekaert LLP will be present at the 2021 Annual Meeting, and accordingly, the representative will be given the opportunity to make a statement and respond to any questions.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Approval of this Proposal requires a majority of the votes cast of this Proposal. Accordingly, abstentions and broker non-votes will have no effect on the outcome of this Proposal.</w:t>
      </w:r>
    </w:p>
    <w:p>
      <w:pPr>
        <w:spacing w:after="0" w:line="62"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2021.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PAID TO CHERRY BEKAERT LLP</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Fiscal Year</w:t>
            </w:r>
          </w:p>
        </w:tc>
      </w:tr>
      <w:tr>
        <w:trPr>
          <w:trHeight w:val="186"/>
        </w:trPr>
        <w:tc>
          <w:tcPr>
            <w:tcW w:w="6760" w:type="dxa"/>
            <w:vAlign w:val="bottom"/>
          </w:tcPr>
          <w:p>
            <w:pPr>
              <w:spacing w:after="0"/>
              <w:rPr>
                <w:sz w:val="16"/>
                <w:szCs w:val="16"/>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67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1"/>
        </w:trPr>
        <w:tc>
          <w:tcPr>
            <w:tcW w:w="676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$135,000</w:t>
            </w: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$161,000</w:t>
            </w:r>
          </w:p>
        </w:tc>
        <w:tc>
          <w:tcPr>
            <w:tcW w:w="20" w:type="dxa"/>
            <w:vAlign w:val="bottom"/>
            <w:shd w:val="clear" w:color="auto" w:fill="CCEEFF"/>
          </w:tcPr>
          <w:p>
            <w:pPr>
              <w:spacing w:after="0"/>
              <w:rPr>
                <w:sz w:val="24"/>
                <w:szCs w:val="24"/>
                <w:color w:val="auto"/>
              </w:rPr>
            </w:pPr>
          </w:p>
        </w:tc>
      </w:tr>
      <w:tr>
        <w:trPr>
          <w:trHeight w:val="324"/>
        </w:trPr>
        <w:tc>
          <w:tcPr>
            <w:tcW w:w="6760" w:type="dxa"/>
            <w:vAlign w:val="bottom"/>
          </w:tcPr>
          <w:p>
            <w:pPr>
              <w:spacing w:after="0" w:line="324"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14,323</w:t>
            </w:r>
          </w:p>
        </w:tc>
        <w:tc>
          <w:tcPr>
            <w:tcW w:w="2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20" w:type="dxa"/>
            <w:vAlign w:val="bottom"/>
          </w:tcPr>
          <w:p>
            <w:pPr>
              <w:spacing w:after="0"/>
              <w:rPr>
                <w:sz w:val="24"/>
                <w:szCs w:val="24"/>
                <w:color w:val="auto"/>
              </w:rPr>
            </w:pPr>
          </w:p>
        </w:tc>
      </w:tr>
      <w:tr>
        <w:trPr>
          <w:trHeight w:val="304"/>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All Other Fees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8"/>
        </w:trPr>
        <w:tc>
          <w:tcPr>
            <w:tcW w:w="67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166,323</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199,400</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-1062355</wp:posOffset>
            </wp:positionV>
            <wp:extent cx="1714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-1062355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79" w:hanging="348"/>
        <w:spacing w:after="0" w:line="23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 xml:space="preserve">Audit Fees. </w:t>
      </w:r>
      <w:r>
        <w:rPr>
          <w:rFonts w:ascii="Arial" w:cs="Arial" w:eastAsia="Arial" w:hAnsi="Arial"/>
          <w:sz w:val="14"/>
          <w:szCs w:val="14"/>
          <w:color w:val="auto"/>
        </w:rPr>
        <w:t>These are fees for professional services for the audit of our annual financial statements dated December 31, 2020 and 2019 and</w:t>
      </w:r>
      <w:r>
        <w:rPr>
          <w:rFonts w:ascii="Arial" w:cs="Arial" w:eastAsia="Arial" w:hAnsi="Arial"/>
          <w:sz w:val="14"/>
          <w:szCs w:val="14"/>
          <w:i w:val="1"/>
          <w:iCs w:val="1"/>
          <w:color w:val="auto"/>
        </w:rPr>
        <w:t xml:space="preserve"> </w:t>
      </w:r>
      <w:r>
        <w:rPr>
          <w:rFonts w:ascii="Arial" w:cs="Arial" w:eastAsia="Arial" w:hAnsi="Arial"/>
          <w:sz w:val="14"/>
          <w:szCs w:val="14"/>
          <w:color w:val="auto"/>
        </w:rPr>
        <w:t>the and the effectiveness of internal control over financial reporting for the Company as of December 31, 2019 included in our Annual Reports on Form 10-K for fiscal years then ended, and review of financial statements included in our Quarterly Reports on Form 10-Q for each fiscal quarter during the 2020 and 2019 fiscal years.</w:t>
      </w:r>
    </w:p>
    <w:p>
      <w:pPr>
        <w:spacing w:after="0" w:line="22" w:lineRule="exact"/>
        <w:rPr>
          <w:rFonts w:ascii="Arial" w:cs="Arial" w:eastAsia="Arial" w:hAnsi="Arial"/>
          <w:sz w:val="14"/>
          <w:szCs w:val="14"/>
          <w:color w:val="auto"/>
        </w:rPr>
      </w:pPr>
    </w:p>
    <w:p>
      <w:pPr>
        <w:ind w:left="640" w:right="299" w:hanging="348"/>
        <w:spacing w:after="0" w:line="23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Audit-Related Fees</w:t>
      </w:r>
      <w:r>
        <w:rPr>
          <w:rFonts w:ascii="Arial" w:cs="Arial" w:eastAsia="Arial" w:hAnsi="Arial"/>
          <w:sz w:val="14"/>
          <w:szCs w:val="14"/>
          <w:color w:val="auto"/>
        </w:rPr>
        <w:t>. These are fees for assurance and related services that are reasonably related to the performance of the audit or review of</w:t>
      </w:r>
      <w:r>
        <w:rPr>
          <w:rFonts w:ascii="Arial" w:cs="Arial" w:eastAsia="Arial" w:hAnsi="Arial"/>
          <w:sz w:val="14"/>
          <w:szCs w:val="14"/>
          <w:i w:val="1"/>
          <w:iCs w:val="1"/>
          <w:color w:val="auto"/>
        </w:rPr>
        <w:t xml:space="preserve"> </w:t>
      </w:r>
      <w:r>
        <w:rPr>
          <w:rFonts w:ascii="Arial" w:cs="Arial" w:eastAsia="Arial" w:hAnsi="Arial"/>
          <w:sz w:val="14"/>
          <w:szCs w:val="14"/>
          <w:color w:val="auto"/>
        </w:rPr>
        <w:t>our 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81"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left="300" w:right="479" w:firstLine="360"/>
        <w:spacing w:after="0" w:line="291" w:lineRule="auto"/>
        <w:rPr>
          <w:sz w:val="20"/>
          <w:szCs w:val="20"/>
          <w:color w:val="auto"/>
        </w:rPr>
      </w:pPr>
      <w:r>
        <w:rPr>
          <w:rFonts w:ascii="Arial" w:cs="Arial" w:eastAsia="Arial" w:hAnsi="Arial"/>
          <w:sz w:val="16"/>
          <w:szCs w:val="16"/>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58"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79" w:lineRule="exact"/>
        <w:rPr>
          <w:sz w:val="20"/>
          <w:szCs w:val="20"/>
          <w:color w:val="auto"/>
        </w:rPr>
      </w:pPr>
    </w:p>
    <w:p>
      <w:pPr>
        <w:ind w:left="300" w:right="559" w:firstLine="360"/>
        <w:spacing w:after="0" w:line="342" w:lineRule="auto"/>
        <w:rPr>
          <w:sz w:val="20"/>
          <w:szCs w:val="20"/>
          <w:color w:val="auto"/>
        </w:rPr>
      </w:pPr>
      <w:r>
        <w:rPr>
          <w:rFonts w:ascii="Arial" w:cs="Arial" w:eastAsia="Arial" w:hAnsi="Arial"/>
          <w:sz w:val="16"/>
          <w:szCs w:val="16"/>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ADOPT AND APPROVE AN AMENDMENT TO OUR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ARTICLES OF INCORPORATION INCREASING THE NUMBER OF COMMON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FROM 100,000,000 TO 150,000,000 SHARES</w:t>
      </w:r>
    </w:p>
    <w:p>
      <w:pPr>
        <w:spacing w:after="0" w:line="89"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7"/>
          <w:szCs w:val="17"/>
          <w:color w:val="auto"/>
        </w:rPr>
        <w:t xml:space="preserve">Our Board has approved and has recommended that our stockholders adopt and approve, an amendment to our restated articles of incorporation filed with the Nevada Secretary of State on May 29, 2012, as amended (the “Restated Articles of Incorporation), providing for an increase in the number of our common voting shares, having a par value of $0.001 per share (“common stock”), from 100,000,000 to 150,000,000. A form of Certificate of Amendment reflecting this proposed amendment is included in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to this proxy statement (“Certificate of Amendment”). If adopted and approved by the stockholders, the proposed amendment to our Restated Articles of Incorporation will become effective upon the filing of the Certificate of Amendment with the Secretary of State of the State of Nevada. If the amendment to increase our authorized shares of common stock is approved by stockholders at the 2021 Annual Meeting, we intend to file the Certificate of Amendment as soon as practicable following the 2021 Annual Meeting.</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Purposes of the Proposed Amendment</w:t>
      </w:r>
    </w:p>
    <w:p>
      <w:pPr>
        <w:spacing w:after="0" w:line="108"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7"/>
          <w:szCs w:val="17"/>
          <w:color w:val="auto"/>
        </w:rPr>
        <w:t>As of the date of this proxy and assuming proposals 4 and 5 included are approved, the Company would only have approximately 13 million shares remaining for issuance of the currently authorized shares. While we believe our current cash resources to be sufficient to fund our operations for at least the next twelve months, we believe that we will need the ability to raise cash in one or more equity financings, including potentially issuing shares to any potential strategic partners, to fund our operations thereafter. This proposal to increase the number of shares of common stock available for issuance will give the Company greater flexibility to conduct such a financing. We do not have any present plan, arrangement or understanding to designate and issue any of the shares of common stock that will become available as a result of this proposed amendment to our Restated Articles of Incorporation. Although, at present, our Board has no immediate plans to issue the additional shares of common stock, it desires to have the shares available to provide additional flexibility to use our common stock for business and financial purposes in the future. The additional 50,000,000 authorized shares of common stock would be available for issuance for various purposes, as our Board may deem advisable, such as for future financings, to satisfy the issuance of shares of common stock on the conversion or exercise of our options, warrants or other convertible securities, to provide equity incentive to employees, officers, consultants and directors, to make stock-based acquisitions and for other general corporate purposes.</w:t>
      </w:r>
    </w:p>
    <w:p>
      <w:pPr>
        <w:spacing w:after="0" w:line="72" w:lineRule="exact"/>
        <w:rPr>
          <w:sz w:val="20"/>
          <w:szCs w:val="20"/>
          <w:color w:val="auto"/>
        </w:rPr>
      </w:pPr>
    </w:p>
    <w:p>
      <w:pPr>
        <w:ind w:left="300" w:right="459" w:firstLine="360"/>
        <w:spacing w:after="0" w:line="258" w:lineRule="auto"/>
        <w:rPr>
          <w:sz w:val="20"/>
          <w:szCs w:val="20"/>
          <w:color w:val="auto"/>
        </w:rPr>
      </w:pPr>
      <w:r>
        <w:rPr>
          <w:rFonts w:ascii="Arial" w:cs="Arial" w:eastAsia="Arial" w:hAnsi="Arial"/>
          <w:sz w:val="16"/>
          <w:szCs w:val="16"/>
          <w:color w:val="auto"/>
        </w:rPr>
        <w:t>The newly authorized common stock would be available for issuance without further action by stockholders except as required by law, our Restated Articles of Incorporation or applicable stock exchange requirements. Any such issuance could have the effect of diluting existing stockholders. Our Restated Articles of Incorporation do not include any preemptive or other rights of stockholders to subscribe for any shares of common stock which may in the future be issued by the Company, which means that current stockholders do not have a prior right to purchase any new issue of common stock in order to maintain their proportionate ownership of common stock.</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Rights of Additional Authorized Shares</w:t>
      </w:r>
    </w:p>
    <w:p>
      <w:pPr>
        <w:spacing w:after="0" w:line="108" w:lineRule="exact"/>
        <w:rPr>
          <w:sz w:val="20"/>
          <w:szCs w:val="20"/>
          <w:color w:val="auto"/>
        </w:rPr>
      </w:pPr>
    </w:p>
    <w:p>
      <w:pPr>
        <w:ind w:left="300" w:right="739" w:firstLine="360"/>
        <w:spacing w:after="0" w:line="246" w:lineRule="auto"/>
        <w:rPr>
          <w:sz w:val="20"/>
          <w:szCs w:val="20"/>
          <w:color w:val="auto"/>
        </w:rPr>
      </w:pPr>
      <w:r>
        <w:rPr>
          <w:rFonts w:ascii="Arial" w:cs="Arial" w:eastAsia="Arial" w:hAnsi="Arial"/>
          <w:sz w:val="18"/>
          <w:szCs w:val="18"/>
          <w:color w:val="auto"/>
        </w:rPr>
        <w:t>The additional common stock to be authorized by stockholder approval of this Proposal No. 3 would have rights identical to the currently outstanding shares of our common stock.</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Possible Anti-Takeover Effects of the Proposed Amendment</w:t>
      </w:r>
    </w:p>
    <w:p>
      <w:pPr>
        <w:spacing w:after="0" w:line="108" w:lineRule="exact"/>
        <w:rPr>
          <w:sz w:val="20"/>
          <w:szCs w:val="20"/>
          <w:color w:val="auto"/>
        </w:rPr>
      </w:pPr>
    </w:p>
    <w:p>
      <w:pPr>
        <w:ind w:left="300" w:right="419" w:firstLine="360"/>
        <w:spacing w:after="0" w:line="227" w:lineRule="auto"/>
        <w:rPr>
          <w:sz w:val="20"/>
          <w:szCs w:val="20"/>
          <w:color w:val="auto"/>
        </w:rPr>
      </w:pPr>
      <w:r>
        <w:rPr>
          <w:rFonts w:ascii="Arial" w:cs="Arial" w:eastAsia="Arial" w:hAnsi="Arial"/>
          <w:sz w:val="18"/>
          <w:szCs w:val="18"/>
          <w:color w:val="auto"/>
        </w:rPr>
        <w:t>In addition to the corporate purposes mentioned above, an increase in the number of authorized shares of our common stock may make it more difficult to, or discourage an attempt to, obtain control of the Company by means of a takeover bid that the Board determines is not in the best interest of the Company and its stockholders. The amendment to our Restated Articles of Incorporation to increase the number of authorized shares of common stock is not being proposed in response to any known effort or threat to acquire control of the Company and is not part of a plan by management to thwart such efforts.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08" w:lineRule="exact"/>
        <w:rPr>
          <w:sz w:val="20"/>
          <w:szCs w:val="20"/>
          <w:color w:val="auto"/>
        </w:rPr>
      </w:pPr>
    </w:p>
    <w:p>
      <w:pPr>
        <w:jc w:val="both"/>
        <w:ind w:left="300" w:right="419" w:firstLine="360"/>
        <w:spacing w:after="0" w:line="235" w:lineRule="auto"/>
        <w:rPr>
          <w:sz w:val="20"/>
          <w:szCs w:val="20"/>
          <w:color w:val="auto"/>
        </w:rPr>
      </w:pPr>
      <w:r>
        <w:rPr>
          <w:rFonts w:ascii="Arial" w:cs="Arial" w:eastAsia="Arial" w:hAnsi="Arial"/>
          <w:sz w:val="18"/>
          <w:szCs w:val="18"/>
          <w:color w:val="auto"/>
        </w:rPr>
        <w:t>Approval of the proposed amendment to our Restated Articles of Incorporation requires a majority of all votes entitled to be cast on the matter. Accordingly, abstentions and broker non-votes will have the same effect as a vote “against”.</w:t>
      </w:r>
    </w:p>
    <w:p>
      <w:pPr>
        <w:spacing w:after="0" w:line="63"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b w:val="1"/>
          <w:bCs w:val="1"/>
          <w:i w:val="1"/>
          <w:iCs w:val="1"/>
          <w:color w:val="auto"/>
        </w:rPr>
        <w:t xml:space="preserve">OUR BOARD OF DIRECTORS RECOMMENDS A VOTE “FOR” </w:t>
      </w:r>
      <w:r>
        <w:rPr>
          <w:rFonts w:ascii="Arial" w:cs="Arial" w:eastAsia="Arial" w:hAnsi="Arial"/>
          <w:sz w:val="18"/>
          <w:szCs w:val="18"/>
          <w:b w:val="1"/>
          <w:bCs w:val="1"/>
          <w:color w:val="auto"/>
        </w:rPr>
        <w:t>THE ADOPTION AND APPROVAL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OF AN AMENDMENT TO OUR RESTATED ARTICLES OF INCORPORATION INCREASING THE NUMBER OF COMMON STOCK FROM 100,000,000 TO 150,000,000 SHARES.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ind w:left="1040" w:right="819" w:hanging="289"/>
        <w:spacing w:after="0" w:line="260" w:lineRule="auto"/>
        <w:rPr>
          <w:sz w:val="20"/>
          <w:szCs w:val="20"/>
          <w:color w:val="auto"/>
        </w:rPr>
      </w:pPr>
      <w:r>
        <w:rPr>
          <w:rFonts w:ascii="Arial" w:cs="Arial" w:eastAsia="Arial" w:hAnsi="Arial"/>
          <w:sz w:val="18"/>
          <w:szCs w:val="18"/>
          <w:b w:val="1"/>
          <w:bCs w:val="1"/>
          <w:color w:val="auto"/>
        </w:rPr>
        <w:t>TO APPROVE AN AMENDMENT TO OUR 2019 OMNIBUS EQUITY INCENTIVE PLAN TO RESERVE AN ADDITIONAL 3,000,000 SHARES FOR ISSUANCE UNDER THE PLAN</w:t>
      </w:r>
    </w:p>
    <w:p>
      <w:pPr>
        <w:spacing w:after="0" w:line="77"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On September 17, 2021, upon agreement by the Compensation Committee, the Board approved, subject to stockholder approval, an amendment to our 2019 Omnibus Equity Incentive Plan (the “Plan”) to reserve 3,000,000 additional shares for issuance under the Plan.</w:t>
      </w:r>
    </w:p>
    <w:p>
      <w:pPr>
        <w:spacing w:after="0" w:line="76"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 xml:space="preserve">The Plan, as amended to reflect the additional 3,000,000 shares for issuance under the plan, is attached hereto as </w:t>
      </w:r>
      <w:r>
        <w:rPr>
          <w:rFonts w:ascii="Arial" w:cs="Arial" w:eastAsia="Arial" w:hAnsi="Arial"/>
          <w:sz w:val="18"/>
          <w:szCs w:val="18"/>
          <w:b w:val="1"/>
          <w:bCs w:val="1"/>
          <w:color w:val="auto"/>
        </w:rPr>
        <w:t>Appendix B</w:t>
      </w:r>
      <w:r>
        <w:rPr>
          <w:rFonts w:ascii="Arial" w:cs="Arial" w:eastAsia="Arial" w:hAnsi="Arial"/>
          <w:sz w:val="18"/>
          <w:szCs w:val="18"/>
          <w:color w:val="auto"/>
        </w:rPr>
        <w:t>, and we urge stockholders to review the Plan carefully.</w:t>
      </w:r>
    </w:p>
    <w:p>
      <w:pPr>
        <w:spacing w:after="0" w:line="62"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Under applicable NASDAQ rules, the Company is required to obtain stockholder approval of amendment to the Plan. Stockholder approval of the Plan is also required to comply with the incentive stock options rules under Section 422 of the Code. On September 20, 2021, the closing price of our Common Stock as reported by NASDAQ was $3.66.</w:t>
      </w:r>
    </w:p>
    <w:p>
      <w:pPr>
        <w:spacing w:after="0" w:line="79"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If approved by the Company’s stockholders, the Plan increase would authorize 3,000,000 additional shares for issuance under the Plan. The number of shares under the Plan would increase from 4,000,000 shares to 7,000,000 shares. The material terms of the Plan are as follows: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Objectives of the Plan</w:t>
      </w:r>
    </w:p>
    <w:p>
      <w:pPr>
        <w:spacing w:after="0" w:line="12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 xml:space="preserve">The following is a summary of certain principal features of the Plan, as proposed to be adopted. This summary is qualified in its entirety by reference to the complete text of the Plan. Stockholders are urged to read the actual text of the Plan, as proposed to be amended and restated, in its entirety which is set forth as </w:t>
      </w:r>
      <w:r>
        <w:rPr>
          <w:rFonts w:ascii="Arial" w:cs="Arial" w:eastAsia="Arial" w:hAnsi="Arial"/>
          <w:sz w:val="18"/>
          <w:szCs w:val="18"/>
          <w:b w:val="1"/>
          <w:bCs w:val="1"/>
          <w:color w:val="auto"/>
        </w:rPr>
        <w:t>Appendix B</w:t>
      </w:r>
      <w:r>
        <w:rPr>
          <w:rFonts w:ascii="Arial" w:cs="Arial" w:eastAsia="Arial" w:hAnsi="Arial"/>
          <w:sz w:val="18"/>
          <w:szCs w:val="18"/>
          <w:color w:val="auto"/>
        </w:rPr>
        <w:t xml:space="preserve"> to this proxy statement.</w:t>
      </w:r>
    </w:p>
    <w:p>
      <w:pPr>
        <w:spacing w:after="0" w:line="79" w:lineRule="exact"/>
        <w:rPr>
          <w:sz w:val="20"/>
          <w:szCs w:val="20"/>
          <w:color w:val="auto"/>
        </w:rPr>
      </w:pPr>
    </w:p>
    <w:p>
      <w:pPr>
        <w:ind w:left="300" w:right="499" w:firstLine="360"/>
        <w:spacing w:after="0" w:line="273" w:lineRule="auto"/>
        <w:rPr>
          <w:sz w:val="20"/>
          <w:szCs w:val="20"/>
          <w:color w:val="auto"/>
        </w:rPr>
      </w:pPr>
      <w:r>
        <w:rPr>
          <w:rFonts w:ascii="Arial" w:cs="Arial" w:eastAsia="Arial" w:hAnsi="Arial"/>
          <w:sz w:val="17"/>
          <w:szCs w:val="17"/>
          <w:color w:val="auto"/>
        </w:rPr>
        <w:t>The Plan will be administered by a committee (the “Incentive Plan Committee” or the “Committee”), which will consist of directors of the Company. However, the Board or the Compensation Committee, as applicable, may reserve administrative powers to itself as the Committee or exercise any of the administrative powers of the Committee. Further, the Board of Directors or the Compensation Committee may delegate any or all of its administrative authority to our Chief Executive Officer or to a management committee, except with respect to awards to executive officers who are subject to Section 16 of the Exchange Act.</w:t>
      </w:r>
    </w:p>
    <w:p>
      <w:pPr>
        <w:spacing w:after="0" w:line="70"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The stock delivered to settle awards made under the Plan may be authorized and unissued shares or treasury shares, including shares repurchased by us for purposes of the Plan. If any shares subject to any award granted under the Plan (other than a substitute award) are forfeited or otherwise terminated without delivery of such shares (or if such shares are returned to us due to a forfeiture restriction under such award), the shares subject to such awards will again be available for issuance under the Plan. If any option or other award granted under the Plan is exercised through the tendering of shares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58" w:lineRule="exact"/>
        <w:rPr>
          <w:sz w:val="20"/>
          <w:szCs w:val="20"/>
          <w:color w:val="auto"/>
        </w:rPr>
      </w:pPr>
    </w:p>
    <w:p>
      <w:pPr>
        <w:ind w:left="300" w:right="639" w:firstLine="360"/>
        <w:spacing w:after="0" w:line="342" w:lineRule="auto"/>
        <w:rPr>
          <w:sz w:val="20"/>
          <w:szCs w:val="20"/>
          <w:color w:val="auto"/>
        </w:rPr>
      </w:pPr>
      <w:r>
        <w:rPr>
          <w:rFonts w:ascii="Arial" w:cs="Arial" w:eastAsia="Arial" w:hAnsi="Arial"/>
          <w:sz w:val="16"/>
          <w:szCs w:val="16"/>
          <w:color w:val="auto"/>
        </w:rPr>
        <w:t>If a dividend or other distribution (whether in cash, shares of Common Stock or other property), recapitalization, forward or reverse stock split, subdivision, consolidation or reduction of capital, reorganization,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3" w:lineRule="auto"/>
        <w:rPr>
          <w:sz w:val="20"/>
          <w:szCs w:val="20"/>
          <w:color w:val="auto"/>
        </w:rPr>
      </w:pPr>
      <w:r>
        <w:rPr>
          <w:rFonts w:ascii="Arial" w:cs="Arial" w:eastAsia="Arial" w:hAnsi="Arial"/>
          <w:sz w:val="17"/>
          <w:szCs w:val="17"/>
          <w:color w:val="auto"/>
        </w:rPr>
        <w:t>merger, consolidation, scheme of arrangement, split-up, spin-off or combination involving us or repurchase or exchange of our shares or other securities, or other rights to purchase shares of our securities or other similar transaction or event affects our Common Stock such that the Committee determines that an adjustment is appropriate in order to prevent dilution or enlargement of the benefits (or potential benefits) provided to grantees under the Plan, the committee will make an equitable change or adjustment as it deems appropriate in the number and kind of securities subject to awards and the related exercise price relating to an award.</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permits the granting of any or all of the following types of awards to all grantees:</w:t>
      </w:r>
    </w:p>
    <w:p>
      <w:pPr>
        <w:spacing w:after="0" w:line="117"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options, including incentive stock options, or ISO;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appreciation rights, or SARs;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deferred stock and restricted stock units;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units and performance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bonus shares;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117"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Awards under the Plan may be granted for no consideration other than prior and future services. 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The material terms of each award will be set forth in a written award agreement between the grantee and us.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Options and SARs</w:t>
      </w:r>
    </w:p>
    <w:p>
      <w:pPr>
        <w:spacing w:after="0" w:line="117"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The Committee is authorized to grant SARs and stock options (including ISOs except that an ISO may only be granted to an employee of ours or one of our subsidiary corporations). A stock option allows a grantee to purchase a specified number of shares of our Common Stock at a predetermined price per share (the “exercise price”) during a fixed period measured from the date of grant. An SAR entitles the grantee to receive the excess of the fair market value of a specified number of shares on the date of exercise over a predetermined exercise price per share. The exercise price of an option or an SAR will be determined by the Committee and will be set forth in the award agreement, but the exercise price may not be less than the fair market value of a share of Common Stock on the grant date. The term of each option or SAR is determined by the Committee and set forth in the award agreement, except that the term may not exceed 10 years. Options may be exercised by payment of the purchase price through one or more of the following means: payment in cash (including personal check or wire transfer), by delivering shares of our Common Stock previously owned by the grantee, or with the approval of the Committee, by delivery of shares of our Common Stock acquired upon the exercise of such option or by delivering restricted shares. The Committee may also permit a grantee to pay the exercise price of an option through the sale of shares acquired upon exercise of the option through a broker-dealer to whom the grantee has delivered irrevocable instructions to deliver sales proceeds sufficient to pay the purchase price to us.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The Committee may award restricted shares consisting of shares of our Common Stock that remain subject to a risk of forfeiture and may not be disposed of by grantees until certain restrictions established by the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stockholder, including the right to vote the shares and the right to receive any dividends, except as otherwise provided in the award agreement. Upon termination of the grantee’s affiliation with us during the restriction period (or, if applicable, upon the failure to satisfy the specified performance objectives during the restriction period), the restricted shares will be forfeited as provided in the award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 Units and Deferred Stock</w:t>
      </w:r>
    </w:p>
    <w:p>
      <w:pPr>
        <w:spacing w:after="0" w:line="117"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The Committee may also grant restricted stock unit awards and/or deferred stock awards. A deferred stock award is the grant of a right to receive a specified number of shares of our Common Stock at the end of specified deferral periods or upon the occurrence of a specified event, which satisfies the requirements of Section 409A of the Code. A restricted stock unit award is the grant of a right to receive a specified number of shares of our Common Stock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be lapse without the issuance of the shares underlying such award.</w:t>
      </w:r>
    </w:p>
    <w:p>
      <w:pPr>
        <w:spacing w:after="0" w:line="84"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Restricted stock units and deferred stock awards carry no voting or other rights associated with stock ownership. The award agreement will provide whether grantees may receive dividend equivalents with respect to restricted stock units or deferred stock, and if so, whether such dividend equivalents are distributed when credited or deemed to be reinvested in additional shares of restricted stock units or deferred stock.</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117" w:lineRule="exact"/>
        <w:rPr>
          <w:sz w:val="20"/>
          <w:szCs w:val="20"/>
          <w:color w:val="auto"/>
        </w:rPr>
      </w:pPr>
    </w:p>
    <w:p>
      <w:pPr>
        <w:ind w:left="300" w:right="519" w:firstLine="360"/>
        <w:spacing w:after="0" w:line="296" w:lineRule="auto"/>
        <w:rPr>
          <w:sz w:val="20"/>
          <w:szCs w:val="20"/>
          <w:color w:val="auto"/>
        </w:rPr>
      </w:pPr>
      <w:r>
        <w:rPr>
          <w:rFonts w:ascii="Arial" w:cs="Arial" w:eastAsia="Arial" w:hAnsi="Arial"/>
          <w:sz w:val="16"/>
          <w:szCs w:val="16"/>
          <w:color w:val="auto"/>
        </w:rPr>
        <w:t>The Committee may grant performance units, which entitle a grantee to cash or shares conditioned upon the fulfillment of certain performance conditions and other restrictions as specified by the Committee and reflected in the award agreement. The initial value of a performance unit will be determined by the Committee at the time of grant. The Committee will determine the terms and conditions of such awards, including performance and other restrictions placed on these awards, which will be reflected in the award agreement</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17"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The Committee may grant performance shares, which entitle a grantee to a certain number of shares of common stock, conditioned upon the fulfillment of certain performance conditions and other restrictions as specified by the Committee and reflected in the award agreement. The Committee will determine the terms and conditions of such awards, including performance and other restrictions placed on these awards, which will be reflected in the award agreement.</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Bonus Shares</w:t>
      </w:r>
    </w:p>
    <w:p>
      <w:pPr>
        <w:spacing w:after="0" w:line="117" w:lineRule="exact"/>
        <w:rPr>
          <w:sz w:val="20"/>
          <w:szCs w:val="20"/>
          <w:color w:val="auto"/>
        </w:rPr>
      </w:pPr>
    </w:p>
    <w:p>
      <w:pPr>
        <w:ind w:left="300" w:right="919" w:firstLine="360"/>
        <w:spacing w:after="0" w:line="277" w:lineRule="auto"/>
        <w:rPr>
          <w:sz w:val="20"/>
          <w:szCs w:val="20"/>
          <w:color w:val="auto"/>
        </w:rPr>
      </w:pPr>
      <w:r>
        <w:rPr>
          <w:rFonts w:ascii="Arial" w:cs="Arial" w:eastAsia="Arial" w:hAnsi="Arial"/>
          <w:sz w:val="18"/>
          <w:szCs w:val="18"/>
          <w:color w:val="auto"/>
        </w:rPr>
        <w:t>The Committee may grant fully vested shares of our Common Stock as bonus shares on such terms and conditions as specified in the award agreement.</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Equivalents</w:t>
      </w:r>
    </w:p>
    <w:p>
      <w:pPr>
        <w:spacing w:after="0" w:line="117" w:lineRule="exact"/>
        <w:rPr>
          <w:sz w:val="20"/>
          <w:szCs w:val="20"/>
          <w:color w:val="auto"/>
        </w:rPr>
      </w:pPr>
    </w:p>
    <w:p>
      <w:pPr>
        <w:ind w:left="300" w:right="599" w:firstLine="360"/>
        <w:spacing w:after="0" w:line="275" w:lineRule="auto"/>
        <w:rPr>
          <w:sz w:val="20"/>
          <w:szCs w:val="20"/>
          <w:color w:val="auto"/>
        </w:rPr>
      </w:pPr>
      <w:r>
        <w:rPr>
          <w:rFonts w:ascii="Arial" w:cs="Arial" w:eastAsia="Arial" w:hAnsi="Arial"/>
          <w:sz w:val="17"/>
          <w:szCs w:val="17"/>
          <w:color w:val="auto"/>
        </w:rPr>
        <w:t>The Committee is authorized to grant dividend equivalents which provide a grantee the right to receive payment equal to the dividends paid on a specified number of shares of our common stock. Dividend equivalents may be paid directly to grantees or may be deferred for later delivery under the Plan. If deferred such dividend equivalents may be credited with interest or may be deemed to be invested in shares of our Common Stock or in other property. Dividend equivalents may be granted in conjunction with other awards.</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17"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In order to enable us to respond to material developments in the area of taxes and other legislation and regulations and interpretations thereof, and to trends in executive compensation practices, the Plan authorizes the Committee to grant awards that are valued in whole or in part by reference to or otherwise based on our securities. The Committee determines the terms and conditions of such awards, including consideration paid for awards granted as share purchase rights and whether awards are paid in shares or cash.</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17" w:lineRule="exact"/>
        <w:rPr>
          <w:sz w:val="20"/>
          <w:szCs w:val="20"/>
          <w:color w:val="auto"/>
        </w:rPr>
      </w:pPr>
    </w:p>
    <w:p>
      <w:pPr>
        <w:jc w:val="both"/>
        <w:ind w:left="300" w:right="759" w:firstLine="360"/>
        <w:spacing w:after="0" w:line="311" w:lineRule="auto"/>
        <w:rPr>
          <w:sz w:val="20"/>
          <w:szCs w:val="20"/>
          <w:color w:val="auto"/>
        </w:rPr>
      </w:pPr>
      <w:r>
        <w:rPr>
          <w:rFonts w:ascii="Arial" w:cs="Arial" w:eastAsia="Arial" w:hAnsi="Arial"/>
          <w:sz w:val="16"/>
          <w:szCs w:val="16"/>
          <w:color w:val="auto"/>
        </w:rPr>
        <w:t>The Committee may require satisfaction of pre-established performance goals, consisting of one or more business criteria and a targeted performance level with respect to such criteria, as a condition of awards being granted or becoming exercisable or payable under the Plan, or as a condition to accelerating the timing of such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311" w:lineRule="auto"/>
        <w:rPr>
          <w:sz w:val="20"/>
          <w:szCs w:val="20"/>
          <w:color w:val="auto"/>
        </w:rPr>
      </w:pPr>
      <w:r>
        <w:rPr>
          <w:rFonts w:ascii="Arial" w:cs="Arial" w:eastAsia="Arial" w:hAnsi="Arial"/>
          <w:sz w:val="16"/>
          <w:szCs w:val="16"/>
          <w:color w:val="auto"/>
        </w:rPr>
        <w:t>events. The Committee has the discretion to adjust the determinations of the degree of attainment of the pre-established performance goals. The Committee retains the discretion in all events to adjust such awards downward. Awards may be settled in cash, stock, other awards or other property, in the discretion of the Committee.</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117"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If there is a merger or consolidation of us with or into another corporation or a sale of substantially all of our stock (a “Corporate Transaction”), and the outstanding awards are not assumed by surviving company (or its parent company) or replaced with economically equivalent awards granted by the surviving company (or its parent company), the Committee will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options and SARs within a reasonable period prior to the consummation of the Corporate Transaction and cancel any outstanding options or SARs that remain unexercised upon consummation of the Corporate Transaction, or</w:t>
      </w:r>
    </w:p>
    <w:p>
      <w:pPr>
        <w:spacing w:after="0" w:line="1" w:lineRule="exact"/>
        <w:rPr>
          <w:sz w:val="20"/>
          <w:szCs w:val="20"/>
          <w:color w:val="auto"/>
        </w:rPr>
      </w:pPr>
    </w:p>
    <w:p>
      <w:pPr>
        <w:ind w:left="300" w:right="299" w:hanging="8"/>
        <w:spacing w:after="0" w:line="252" w:lineRule="auto"/>
        <w:tabs>
          <w:tab w:leader="none" w:pos="5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Amendment to and Termination of the Plan</w:t>
      </w:r>
    </w:p>
    <w:p>
      <w:pPr>
        <w:spacing w:after="0" w:line="117"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70"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In addition, subject to the terms of the Plan, no amendment or termination of the Plan may materially and adversely affect the right of a grantee under any award granted under the Plan, without the written consent of the grantee of such award.</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Interests of Directors</w:t>
      </w:r>
    </w:p>
    <w:p>
      <w:pPr>
        <w:spacing w:after="0" w:line="12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In considering the recommendation of the Board with respect to the Plan, stockholders of the Company should be aware that members of the Board may from time to time have interests that present them with conflicts of interest in connection with the proposal to approve the Plan. The Board believes that approval of the Plan will advance the interests of the Company and its stockholders by encouraging employees and directors to make significant contributions to the long-term success of the Company.</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Compensation Plans of the Company</w:t>
      </w:r>
    </w:p>
    <w:p>
      <w:pPr>
        <w:spacing w:after="0" w:line="121" w:lineRule="exact"/>
        <w:rPr>
          <w:sz w:val="20"/>
          <w:szCs w:val="20"/>
          <w:color w:val="auto"/>
        </w:rPr>
      </w:pPr>
    </w:p>
    <w:p>
      <w:pPr>
        <w:ind w:left="300" w:right="399" w:firstLine="360"/>
        <w:spacing w:after="0" w:line="308" w:lineRule="auto"/>
        <w:rPr>
          <w:sz w:val="20"/>
          <w:szCs w:val="20"/>
          <w:color w:val="auto"/>
        </w:rPr>
      </w:pPr>
      <w:r>
        <w:rPr>
          <w:rFonts w:ascii="Arial" w:cs="Arial" w:eastAsia="Arial" w:hAnsi="Arial"/>
          <w:sz w:val="17"/>
          <w:szCs w:val="17"/>
          <w:color w:val="auto"/>
        </w:rPr>
        <w:t>Information about the securities issued, or authorized for future issuance, under our equity compensation plans is set forth in the table under the heading “Equity Compensation Plan Information” above.</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Approval of this Proposal requires a majority of the votes cast of this Proposal. Accordingly, abstentions and broker non-votes will have no effect on the outcome of this Proposal.</w:t>
      </w:r>
    </w:p>
    <w:p>
      <w:pPr>
        <w:spacing w:after="0" w:line="62" w:lineRule="exact"/>
        <w:rPr>
          <w:sz w:val="20"/>
          <w:szCs w:val="20"/>
          <w:color w:val="auto"/>
        </w:rPr>
      </w:pPr>
    </w:p>
    <w:p>
      <w:pPr>
        <w:jc w:val="center"/>
        <w:ind w:left="292" w:right="311"/>
        <w:spacing w:after="0" w:line="263" w:lineRule="auto"/>
        <w:rPr>
          <w:sz w:val="20"/>
          <w:szCs w:val="20"/>
          <w:color w:val="auto"/>
        </w:rPr>
      </w:pPr>
      <w:r>
        <w:rPr>
          <w:rFonts w:ascii="Arial" w:cs="Arial" w:eastAsia="Arial" w:hAnsi="Arial"/>
          <w:sz w:val="18"/>
          <w:szCs w:val="18"/>
          <w:b w:val="1"/>
          <w:bCs w:val="1"/>
          <w:i w:val="1"/>
          <w:iCs w:val="1"/>
          <w:color w:val="auto"/>
        </w:rPr>
        <w:t>OUR BOARD OF DIRECTORS RECOMMENDS A VOTE “FOR” THE APPROVAL OF AN AMENDMENT TO THE 2019 OMNIBUS EQUITY INCENTIVE PLAN TO RESERVE AN ADDITIONAL 3,000,000 SHARES FOR ISSUANCE UNDER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5</w:t>
      </w:r>
    </w:p>
    <w:p>
      <w:pPr>
        <w:spacing w:after="0" w:line="117" w:lineRule="exact"/>
        <w:rPr>
          <w:sz w:val="20"/>
          <w:szCs w:val="20"/>
          <w:color w:val="auto"/>
        </w:rPr>
      </w:pPr>
    </w:p>
    <w:p>
      <w:pPr>
        <w:jc w:val="center"/>
        <w:ind w:left="1760" w:right="80"/>
        <w:spacing w:after="0" w:line="256" w:lineRule="auto"/>
        <w:rPr>
          <w:sz w:val="20"/>
          <w:szCs w:val="20"/>
          <w:color w:val="auto"/>
        </w:rPr>
      </w:pPr>
      <w:r>
        <w:rPr>
          <w:rFonts w:ascii="Arial" w:cs="Arial" w:eastAsia="Arial" w:hAnsi="Arial"/>
          <w:sz w:val="18"/>
          <w:szCs w:val="18"/>
          <w:b w:val="1"/>
          <w:bCs w:val="1"/>
          <w:color w:val="auto"/>
        </w:rPr>
        <w:t>TO AUTHORIZE AND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Background and Description of Proposal</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On April 16, 2021, the Company and Richard E. Uihlein entered into a debt financing arrangement whereby Mr. Uihlein loaned ten million dollars to Company. In consideration for the loan, the Company issued a convertible promissory note (the “April 2021 Note”) in the principal amount of ten million dollars. The April 2021 Note has maturity date of April 16, 2025 and is convertible into the Company’s common stock at a conversion price equal to $5.00 per share at the option of the noteholder, which was 228% of the closing price of our stock on April 16, 2021. The April 2021 Note bears interest on at the rate of two percent (2%) per annum, compounded annually, and accrues additional interest at a rate of two and one-half percent (2.5%) per quarter (the “Additional Interest”) beginning on the date of issuance of the April 2021 Note and ending on the maturity date, provided however, that such Additional Interest is payable if and only if the noteholder elects to convert the entire balance of the April 2021 Note into the Company’s common stock. Upon maturity of the April 2021 Note, the Company would issue 2,964,864 shares of common stock for conversion of principal and interest, if elected.</w:t>
      </w:r>
    </w:p>
    <w:p>
      <w:pPr>
        <w:spacing w:after="0" w:line="64" w:lineRule="exact"/>
        <w:rPr>
          <w:sz w:val="20"/>
          <w:szCs w:val="20"/>
          <w:color w:val="auto"/>
        </w:rPr>
      </w:pPr>
    </w:p>
    <w:p>
      <w:pPr>
        <w:ind w:left="300" w:right="379" w:firstLine="360"/>
        <w:spacing w:after="0" w:line="268" w:lineRule="auto"/>
        <w:rPr>
          <w:sz w:val="20"/>
          <w:szCs w:val="20"/>
          <w:color w:val="auto"/>
        </w:rPr>
      </w:pPr>
      <w:r>
        <w:rPr>
          <w:rFonts w:ascii="Arial" w:cs="Arial" w:eastAsia="Arial" w:hAnsi="Arial"/>
          <w:sz w:val="17"/>
          <w:szCs w:val="17"/>
          <w:color w:val="auto"/>
        </w:rPr>
        <w:t>On September 17, 2021, the Company and Richard E. Uihlein entered into an additional debt financing arrangement for $20 million whereby Mr. Uihlein loaned ten million dollars to Company upon signing the agreement with an additional ten million dollar loan to close in December 2021. In consideration for the initial loan, the Company issued a convertible promissory note (the “September 2021 Note”) in the principal amount of ten million dollars. The September 2021 Note has maturity date of September 17, 2025 and is convertible into the Company’s common stock at a conversion price equal to $8.64 per share at the option of the noteholder, which is 228% of the closing price of our stock on September 16, 2021. The September 2021 Note bears interest on at the rate of two percent (2%) per annum, compounded annually, and accrues additional interest at a rate of two and one-half percent (2.5%) per quarter (the “Additional Interest”) beginning on the date of issuance of the September 2021 Note and ending on the maturity date, provided however, that such Additional Interest is payable if and only if the noteholder elects to convert the entire balance of the September 2021 Note into the Company’s common stock. Upon maturity of the September 17, 2021 Note, the Company would issue 1,715,540 shares of common stock for conversion of principal and interest, if elected.</w:t>
      </w:r>
    </w:p>
    <w:p>
      <w:pPr>
        <w:spacing w:after="0" w:line="78"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second additional note for $10 million is expected to close on December 17, 2021. The terms of the second additional note will be the same as for the September 2021 Note, and the conversion price will be the greater of 228% of the closing price of our common stock the day prior to closing or $5.00, whichever is greater. If the conversion price for the December 17, 2021 note is $5.00, then 2,964,864 shares of common stock would be issued at maturity for principal and accrued interest, if conversion is elected. If the conversion price of the December 17, 2021 is higher than $5.00, then fewer shares would be required to be issued for the principal and accrued interest at maturity, if conversion is elected.</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 and Background for Shareholder Approval</w:t>
      </w:r>
    </w:p>
    <w:p>
      <w:pPr>
        <w:spacing w:after="0" w:line="121" w:lineRule="exact"/>
        <w:rPr>
          <w:sz w:val="20"/>
          <w:szCs w:val="20"/>
          <w:color w:val="auto"/>
        </w:rPr>
      </w:pPr>
    </w:p>
    <w:p>
      <w:pPr>
        <w:ind w:left="300" w:right="599" w:firstLine="360"/>
        <w:spacing w:after="0" w:line="257" w:lineRule="auto"/>
        <w:rPr>
          <w:sz w:val="20"/>
          <w:szCs w:val="20"/>
          <w:color w:val="auto"/>
        </w:rPr>
      </w:pPr>
      <w:r>
        <w:rPr>
          <w:rFonts w:ascii="Arial" w:cs="Arial" w:eastAsia="Arial" w:hAnsi="Arial"/>
          <w:sz w:val="18"/>
          <w:szCs w:val="18"/>
          <w:color w:val="auto"/>
        </w:rPr>
        <w:t>Our Common Stock is listed on the Nasdaq Stock Market and, as such, we are subject to the Nasdaq Stock Market Rules. Nasdaq Listing Rule 5635(b) requires shareholder approval prior to the issuance of common stock when the issuance or potential issuance will result in a change of control of the Company. Subject to certain exceptions, Nasdaq would generally view an issuance as resulting in a change of control if it would result in a shareholder becoming a 20% or greater shareholder.</w:t>
      </w:r>
    </w:p>
    <w:p>
      <w:pPr>
        <w:spacing w:after="0" w:line="80"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If each of the Notes are held until maturity and principal and accrued interest are converted into shares of common stock, the maximum number of shares of common stock of the resulting issuance would be 7,645,268. As of the date of this proxy, there are an aggregate of 59,289,952 of shares of common stock outstanding. On a pro forma basis, based on beneficial ownership information as October 1, 2021, the issuance of such number of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shares of common stock would result in Mr. Uihlein being the beneficial owner of 26.8% of the Company’s common stock, calculated in accordance with Section 13(d) of the Exchange Act.</w:t>
      </w:r>
    </w:p>
    <w:p>
      <w:pPr>
        <w:spacing w:after="0" w:line="62"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Consequently, in order to comply with Nasdaq Listing Rule 5635(b), we are seeking shareholder approval of the issuance of shares of our common stock upon conversion, exchange or otherwise to Richard E. Uihlein, our Chairman of the Board of Directors, pursuant to the terms of the Notes.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Certain of the Company’s Directors, Officers and Employees in the Proposal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Richard E. Uihlein is our Chairman of the Board of Directors and has been the Company’s largest individual</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investor. As an investor, Mr. Uihlein may benefit in that his existing convertible notes in the principal amount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$30,000,000, plus accrued interest, are convertible into shares of common stock at a premium of 228% of the price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 the Company’s common stock on the day before closing each note. This conversion price is currently above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market price of common stock but may be “in-the-money” during the term of the Notes.</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Effects of Approving this Proposal</w:t>
      </w:r>
    </w:p>
    <w:p>
      <w:pPr>
        <w:spacing w:after="0" w:line="121"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If this Proposal is approved, shareholders may be subject to significant dilution. As disclosed above, on a pro forma basis, based on beneficial ownership information as of October 1, 2021, the issuance of such number of shares of common stock would result in Mr. Uihlein being the beneficial owner of 26.8% of the Company’s common stock, calculated in accordance with Section 13(d) of the Exchange Act.</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of Not Approving this Proposal</w:t>
      </w:r>
    </w:p>
    <w:p>
      <w:pPr>
        <w:spacing w:after="0" w:line="121"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We believe that the Note financing transactions with Mr. Uihlein are the best and least costly financing source available to us at this time. Generally, unsecured notes are not available to the Company from other lenders, and lenders would seek to obtain rights to convert a note at a discount to the market price, rather than a premium, to the market price. We believe that the terms are more favorable to the Company than terms that the Company could obtain from other parties. We believe that the benefits of the Note financing transactions exceed the potential dilutive effects. If our shareholders do not approve this Proposal, we will be required under the terms of the Notes to return the aggregate principal and accrued interest (with no penalty) to Mr. Uihlein. If we are forced to do so, we may be limited in our ability to raise sufficient funds on acceptable terms to fund our operations and our clinical trials.</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Approval of this Proposal requires a majority of the votes cast of this Proposal. Accordingly, abstentions and broker non-votes will have no effect on the outcome of this Proposal.</w:t>
      </w:r>
    </w:p>
    <w:p>
      <w:pPr>
        <w:spacing w:after="0" w:line="58" w:lineRule="exact"/>
        <w:rPr>
          <w:sz w:val="20"/>
          <w:szCs w:val="20"/>
          <w:color w:val="auto"/>
        </w:rPr>
      </w:pPr>
    </w:p>
    <w:p>
      <w:pPr>
        <w:jc w:val="center"/>
        <w:ind w:left="300" w:right="319"/>
        <w:spacing w:after="0" w:line="274" w:lineRule="auto"/>
        <w:rPr>
          <w:sz w:val="20"/>
          <w:szCs w:val="20"/>
          <w:color w:val="auto"/>
        </w:rPr>
      </w:pPr>
      <w:r>
        <w:rPr>
          <w:rFonts w:ascii="Arial" w:cs="Arial" w:eastAsia="Arial" w:hAnsi="Arial"/>
          <w:sz w:val="17"/>
          <w:szCs w:val="17"/>
          <w:b w:val="1"/>
          <w:bCs w:val="1"/>
          <w:color w:val="auto"/>
        </w:rPr>
        <w:t>THE BOARD OF DIRECTORS RECOMMENDS A VOTE TO AUTHORIZE AND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ADJOURNMENT OF THE 2021 ANNUAL MEETING</w:t>
      </w:r>
    </w:p>
    <w:p>
      <w:pPr>
        <w:spacing w:after="0" w:line="103" w:lineRule="exact"/>
        <w:rPr>
          <w:sz w:val="20"/>
          <w:szCs w:val="20"/>
          <w:color w:val="auto"/>
        </w:rPr>
      </w:pPr>
    </w:p>
    <w:p>
      <w:pPr>
        <w:ind w:left="300" w:right="559" w:firstLine="360"/>
        <w:spacing w:after="0" w:line="311" w:lineRule="auto"/>
        <w:rPr>
          <w:sz w:val="20"/>
          <w:szCs w:val="20"/>
          <w:color w:val="auto"/>
        </w:rPr>
      </w:pPr>
      <w:r>
        <w:rPr>
          <w:rFonts w:ascii="Arial" w:cs="Arial" w:eastAsia="Arial" w:hAnsi="Arial"/>
          <w:sz w:val="16"/>
          <w:szCs w:val="16"/>
          <w:color w:val="auto"/>
        </w:rPr>
        <w:t>In the event there are not sufficient votes at the time of the 2021 Annual Meeting to adopt Proposal 3 (the amendment to the Company’s Restated Articles of Incorporation), the Board of Directors may propose to adjourn the 2021 Annual Meeting to a later date or dates in order to permit the solicitation of additional proxies.</w:t>
      </w:r>
    </w:p>
    <w:p>
      <w:pPr>
        <w:spacing w:after="0" w:line="4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In order to permit proxies that have been received by the Company at the time of the 2021 Annual Meeting to be voted for an adjournment, if necessary, the Company has submitted the proposal to adjourn the 2021 Annual Meeting to you as a separate matter for your consideration.</w:t>
      </w:r>
    </w:p>
    <w:p>
      <w:pPr>
        <w:spacing w:after="0" w:line="76" w:lineRule="exact"/>
        <w:rPr>
          <w:sz w:val="20"/>
          <w:szCs w:val="20"/>
          <w:color w:val="auto"/>
        </w:rPr>
      </w:pPr>
    </w:p>
    <w:p>
      <w:pPr>
        <w:ind w:left="300" w:right="439" w:firstLine="360"/>
        <w:spacing w:after="0" w:line="253" w:lineRule="auto"/>
        <w:rPr>
          <w:sz w:val="20"/>
          <w:szCs w:val="20"/>
          <w:color w:val="auto"/>
        </w:rPr>
      </w:pPr>
      <w:r>
        <w:rPr>
          <w:rFonts w:ascii="Arial" w:cs="Arial" w:eastAsia="Arial" w:hAnsi="Arial"/>
          <w:sz w:val="18"/>
          <w:szCs w:val="18"/>
          <w:color w:val="auto"/>
        </w:rPr>
        <w:t>In this proposal, the Corporation is asking you to authorize the holder of any proxy solicited by its Board of Directors to vote in favor of adjourning the 2021 Annual Meeting and any later adjournments. If the Corporation’s shareholders approve the proposal to adjourn the 2021 Annual Meeting, the Company could adjourn the 2021 Annual Meeting, and any adjourned session of the 2021 Annual Meeting, to use the additional time to solicit additional proxies in favor of the proposal to amend the Company’s Restated Articles of Incorporation to increase the number of authorized shares of common stock from 100,000,000 to 150,000,000 shares. As a result, even if proxies representing a sufficient number of votes against the proposal have been received, the Company could adjourn the 2021 Annual Meeting without a vote on the proposal and seek to convince shareholders to change their votes to votes in favor of the adoption of the proposed amendment to the Corporation’s Restated Articles of Incorporation.</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Approval of this Proposal requires a majority of the votes cast of this Proposal. Accordingly, abstentions and broker non-votes will have no effect on the outcome of this Proposal.</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TO AUTHORIZE THE APPROVAL OF THE</w:t>
      </w:r>
    </w:p>
    <w:p>
      <w:pPr>
        <w:spacing w:after="0" w:line="27" w:lineRule="exact"/>
        <w:rPr>
          <w:sz w:val="20"/>
          <w:szCs w:val="20"/>
          <w:color w:val="auto"/>
        </w:rPr>
      </w:pPr>
    </w:p>
    <w:p>
      <w:pPr>
        <w:jc w:val="center"/>
        <w:ind w:left="1840"/>
        <w:spacing w:after="0" w:line="253" w:lineRule="auto"/>
        <w:rPr>
          <w:sz w:val="20"/>
          <w:szCs w:val="20"/>
          <w:color w:val="auto"/>
        </w:rPr>
      </w:pPr>
      <w:r>
        <w:rPr>
          <w:rFonts w:ascii="Arial" w:cs="Arial" w:eastAsia="Arial" w:hAnsi="Arial"/>
          <w:sz w:val="18"/>
          <w:szCs w:val="18"/>
          <w:b w:val="1"/>
          <w:bCs w:val="1"/>
          <w:color w:val="auto"/>
        </w:rPr>
        <w:t>ADJOURNMENT OF THE SPECIAL MEETING, IF NECESSARY, TO SOLICIT ADDITIONAL PROXIES, IN THE EVENT THERE ARE NOT SUFFICIENT VOTES AT THE TIME OF THE 2021 ANNUAL MEETING TO ADOPT THE PROPOSED AMENDMENT TO THE COMPANY’S RESTATED ARTICLES OF INCORPORATION.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OF STOCKHOLDERS</w:t>
      </w:r>
    </w:p>
    <w:p>
      <w:pPr>
        <w:spacing w:after="0" w:line="12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June 14, 2022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2022 nor earlier than August 5, 2022, in order to be considered timely.</w:t>
      </w:r>
    </w:p>
    <w:p>
      <w:pPr>
        <w:spacing w:after="0" w:line="58"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Notwithstanding the foregoing, if the date of the 2021 annual meeting of stockholders is scheduled to take place on a date that is more than 30 calendar days from the one year anniversary of the 2020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0" w:lineRule="exact"/>
        <w:rPr>
          <w:sz w:val="20"/>
          <w:szCs w:val="20"/>
          <w:color w:val="auto"/>
        </w:rPr>
      </w:pPr>
    </w:p>
    <w:p>
      <w:pPr>
        <w:ind w:left="300" w:right="719" w:firstLine="360"/>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121" w:lineRule="exact"/>
        <w:rPr>
          <w:sz w:val="20"/>
          <w:szCs w:val="20"/>
          <w:color w:val="auto"/>
        </w:rPr>
      </w:pPr>
    </w:p>
    <w:p>
      <w:pPr>
        <w:ind w:left="300" w:right="619" w:firstLine="360"/>
        <w:spacing w:after="0" w:line="259" w:lineRule="auto"/>
        <w:rPr>
          <w:sz w:val="20"/>
          <w:szCs w:val="20"/>
          <w:color w:val="auto"/>
        </w:rPr>
      </w:pPr>
      <w:r>
        <w:rPr>
          <w:rFonts w:ascii="Arial" w:cs="Arial" w:eastAsia="Arial" w:hAnsi="Arial"/>
          <w:sz w:val="18"/>
          <w:szCs w:val="18"/>
          <w:color w:val="auto"/>
        </w:rPr>
        <w:t>Our Annual Report on Form 10-K, filed with the SEC for the fiscal year ended December 31, 2020, may be obtained by our stockholders without charge, upon written request to our Corporate Secretary. You may also download a copy of our Annual Report on Form 10-K by vising our corporate website at investor.galectintherapeutics.com/financial-information or at www.proxyvote.com.</w:t>
      </w:r>
    </w:p>
    <w:p>
      <w:pPr>
        <w:spacing w:after="0" w:line="79"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70"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13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288925</wp:posOffset>
            </wp:positionV>
            <wp:extent cx="1156970" cy="3683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5697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Jack W. Callicutt</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Corporate Secretary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HOW TO ATTEND THE 2021 ANNUAL MEETING</w:t>
      </w:r>
    </w:p>
    <w:p>
      <w:pPr>
        <w:spacing w:after="0" w:line="12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This year our annual meeting will be a virtual online-only meeting. There will be no physical meeting location. The meeting will only be conducted via live webcast. To participate in the 2021 Annual Meeting, visit www.virtualshareholdermeeting.com/GALT2021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2021. The meeting will begin promptly at 11:00 a.m. Eastern Standard Time on December 3, 2021.</w:t>
      </w:r>
    </w:p>
    <w:p>
      <w:pPr>
        <w:spacing w:after="0" w:line="56"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80"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If you want to submit question during the meeting, log into the virtual meeting platform at www.virtualshareholdermeeting.com/GALT2021,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2021 Annual Meeting has been designed to provide the same rights to participate as you would have at an in-person meeting. If you encounter any difficulties accessing the 2021 Annual Meeting during the check-in or meeting time, please call the technical support number that will be posted on the Virtual Shareholder Meeting log in page at www.virtualshareholdermeeting.com/GALT2021.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1300"/>
        <w:spacing w:after="0"/>
        <w:rPr>
          <w:sz w:val="20"/>
          <w:szCs w:val="20"/>
          <w:color w:val="auto"/>
        </w:rPr>
      </w:pPr>
      <w:r>
        <w:rPr>
          <w:rFonts w:ascii="Arial" w:cs="Arial" w:eastAsia="Arial" w:hAnsi="Arial"/>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137160</wp:posOffset>
            </wp:positionV>
            <wp:extent cx="865505" cy="8915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65505" cy="8915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BARBARA K. CEGAVSKE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202 North Carson Street</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Carson City, Nevada 89701-4201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-122555</wp:posOffset>
            </wp:positionV>
            <wp:extent cx="1885950" cy="265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85950" cy="265430"/>
                    </a:xfrm>
                    <a:prstGeom prst="rect">
                      <a:avLst/>
                    </a:prstGeom>
                    <a:noFill/>
                  </pic:spPr>
                </pic:pic>
              </a:graphicData>
            </a:graphic>
          </wp:anchor>
        </w:drawing>
      </w:r>
    </w:p>
    <w:p>
      <w:pPr>
        <w:ind w:left="4020" w:right="5180" w:hanging="1"/>
        <w:spacing w:after="0" w:line="323" w:lineRule="auto"/>
        <w:tabs>
          <w:tab w:leader="none" w:pos="44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684-5708 Website: www.nvsos.gov</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(PURSUANT TO NRS 78.385 AND 78.390)</w:t>
      </w:r>
    </w:p>
    <w:p>
      <w:pPr>
        <w:spacing w:after="0" w:line="180" w:lineRule="exact"/>
        <w:rPr>
          <w:sz w:val="20"/>
          <w:szCs w:val="20"/>
          <w:color w:val="auto"/>
        </w:rPr>
      </w:pPr>
    </w:p>
    <w:p>
      <w:pPr>
        <w:ind w:left="1300"/>
        <w:spacing w:after="0"/>
        <w:tabs>
          <w:tab w:leader="none" w:pos="6120" w:val="left"/>
        </w:tabs>
        <w:rPr>
          <w:sz w:val="20"/>
          <w:szCs w:val="20"/>
          <w:color w:val="auto"/>
        </w:rPr>
      </w:pPr>
      <w:r>
        <w:rPr>
          <w:rFonts w:ascii="Arial" w:cs="Arial" w:eastAsia="Arial" w:hAnsi="Arial"/>
          <w:sz w:val="18"/>
          <w:szCs w:val="18"/>
          <w:b w:val="1"/>
          <w:bCs w:val="1"/>
          <w:color w:val="auto"/>
        </w:rPr>
        <w:t>USE BLACK INK ONLY • DO NOT HIGHLIGHT</w:t>
      </w:r>
      <w:r>
        <w:rPr>
          <w:sz w:val="20"/>
          <w:szCs w:val="20"/>
          <w:color w:val="auto"/>
        </w:rPr>
        <w:tab/>
      </w:r>
      <w:r>
        <w:rPr>
          <w:rFonts w:ascii="Arial" w:cs="Arial" w:eastAsia="Arial" w:hAnsi="Arial"/>
          <w:sz w:val="17"/>
          <w:szCs w:val="17"/>
          <w:b w:val="1"/>
          <w:bCs w:val="1"/>
          <w:color w:val="auto"/>
        </w:rPr>
        <w:t>ABOVE SPACE IS FOR OFFICE USE ONLY</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Certificate of Amendment to Articles of Incorporation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 Nevada Profit Corporations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Name of corporation:</w:t>
      </w:r>
    </w:p>
    <w:p>
      <w:pPr>
        <w:spacing w:after="0" w:line="15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Galectin Therapeutics, Inc.</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 The articles have been amended as follows: (provide article numbers, if available)</w:t>
      </w:r>
    </w:p>
    <w:p>
      <w:pPr>
        <w:spacing w:after="0" w:line="117" w:lineRule="exact"/>
        <w:rPr>
          <w:sz w:val="20"/>
          <w:szCs w:val="20"/>
          <w:color w:val="auto"/>
        </w:rPr>
      </w:pPr>
    </w:p>
    <w:p>
      <w:pPr>
        <w:ind w:left="1300" w:right="1500"/>
        <w:spacing w:after="0" w:line="257" w:lineRule="auto"/>
        <w:rPr>
          <w:sz w:val="20"/>
          <w:szCs w:val="20"/>
          <w:color w:val="auto"/>
        </w:rPr>
      </w:pPr>
      <w:r>
        <w:rPr>
          <w:rFonts w:ascii="Arial" w:cs="Arial" w:eastAsia="Arial" w:hAnsi="Arial"/>
          <w:sz w:val="18"/>
          <w:szCs w:val="18"/>
          <w:color w:val="auto"/>
        </w:rPr>
        <w:t>This Certificate of Amendment amends the Restated Articles of Incorporation by deleting the first sentence of Article III of the Restated Articles of Incorporation and replacing such sentence in its entirety with the following: “The corporation shall have authority to issue an aggregate of 150,000,000 shares, which shall be common voting shares having a par value of $0.001 per share, and 20,000,000 undesignated shares having a par value of $0.01 per share.”</w:t>
      </w:r>
    </w:p>
    <w:p>
      <w:pPr>
        <w:spacing w:after="0" w:line="80" w:lineRule="exact"/>
        <w:rPr>
          <w:sz w:val="20"/>
          <w:szCs w:val="20"/>
          <w:color w:val="auto"/>
        </w:rPr>
      </w:pPr>
    </w:p>
    <w:p>
      <w:pPr>
        <w:ind w:left="1300" w:right="1380" w:hanging="8"/>
        <w:spacing w:after="0" w:line="259"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amendments is:</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7"/>
                <w:szCs w:val="17"/>
                <w:color w:val="auto"/>
                <w:w w:val="70"/>
              </w:rPr>
              <w:t>4.</w:t>
            </w:r>
          </w:p>
        </w:tc>
        <w:tc>
          <w:tcPr>
            <w:tcW w:w="3340" w:type="dxa"/>
            <w:vAlign w:val="bottom"/>
          </w:tcPr>
          <w:p>
            <w:pPr>
              <w:ind w:left="40"/>
              <w:spacing w:after="0"/>
              <w:rPr>
                <w:sz w:val="20"/>
                <w:szCs w:val="20"/>
                <w:color w:val="auto"/>
              </w:rPr>
            </w:pPr>
            <w:r>
              <w:rPr>
                <w:rFonts w:ascii="Arial" w:cs="Arial" w:eastAsia="Arial" w:hAnsi="Arial"/>
                <w:sz w:val="18"/>
                <w:szCs w:val="18"/>
                <w:color w:val="auto"/>
                <w:w w:val="99"/>
              </w:rPr>
              <w:t>Effective date and time of filing: (optional)</w:t>
            </w:r>
          </w:p>
        </w:tc>
        <w:tc>
          <w:tcPr>
            <w:tcW w:w="780" w:type="dxa"/>
            <w:vAlign w:val="bottom"/>
          </w:tcPr>
          <w:p>
            <w:pPr>
              <w:ind w:left="200"/>
              <w:spacing w:after="0"/>
              <w:rPr>
                <w:sz w:val="20"/>
                <w:szCs w:val="20"/>
                <w:color w:val="auto"/>
              </w:rPr>
            </w:pPr>
            <w:r>
              <w:rPr>
                <w:rFonts w:ascii="Arial" w:cs="Arial" w:eastAsia="Arial" w:hAnsi="Arial"/>
                <w:sz w:val="18"/>
                <w:szCs w:val="18"/>
                <w:color w:val="auto"/>
              </w:rPr>
              <w:t>Date:</w:t>
            </w:r>
          </w:p>
        </w:tc>
        <w:tc>
          <w:tcPr>
            <w:tcW w:w="4000" w:type="dxa"/>
            <w:vAlign w:val="bottom"/>
          </w:tcPr>
          <w:p>
            <w:pPr>
              <w:jc w:val="right"/>
              <w:ind w:right="1610"/>
              <w:spacing w:after="0"/>
              <w:rPr>
                <w:sz w:val="20"/>
                <w:szCs w:val="20"/>
                <w:color w:val="auto"/>
              </w:rPr>
            </w:pPr>
            <w:r>
              <w:rPr>
                <w:rFonts w:ascii="Arial" w:cs="Arial" w:eastAsia="Arial" w:hAnsi="Arial"/>
                <w:sz w:val="18"/>
                <w:szCs w:val="18"/>
                <w:color w:val="auto"/>
              </w:rPr>
              <w:t>Time:</w:t>
            </w:r>
          </w:p>
        </w:tc>
      </w:tr>
      <w:tr>
        <w:trPr>
          <w:trHeight w:val="216"/>
        </w:trPr>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0" w:type="dxa"/>
            <w:vAlign w:val="bottom"/>
          </w:tcPr>
          <w:p>
            <w:pPr>
              <w:jc w:val="right"/>
              <w:spacing w:after="0"/>
              <w:rPr>
                <w:sz w:val="20"/>
                <w:szCs w:val="20"/>
                <w:color w:val="auto"/>
              </w:rPr>
            </w:pPr>
            <w:r>
              <w:rPr>
                <w:rFonts w:ascii="Arial" w:cs="Arial" w:eastAsia="Arial" w:hAnsi="Arial"/>
                <w:sz w:val="18"/>
                <w:szCs w:val="18"/>
                <w:color w:val="auto"/>
                <w:w w:val="94"/>
              </w:rPr>
              <w:t>(must not be later than 90 days after the certificate is</w:t>
            </w:r>
          </w:p>
        </w:tc>
      </w:tr>
      <w:tr>
        <w:trPr>
          <w:trHeight w:val="230"/>
        </w:trPr>
        <w:tc>
          <w:tcPr>
            <w:tcW w:w="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0" w:type="dxa"/>
            <w:vAlign w:val="bottom"/>
          </w:tcPr>
          <w:p>
            <w:pPr>
              <w:jc w:val="right"/>
              <w:ind w:right="1610"/>
              <w:spacing w:after="0"/>
              <w:rPr>
                <w:sz w:val="20"/>
                <w:szCs w:val="20"/>
                <w:color w:val="auto"/>
              </w:rPr>
            </w:pPr>
            <w:r>
              <w:rPr>
                <w:rFonts w:ascii="Arial" w:cs="Arial" w:eastAsia="Arial" w:hAnsi="Arial"/>
                <w:sz w:val="18"/>
                <w:szCs w:val="18"/>
                <w:color w:val="auto"/>
              </w:rPr>
              <w:t>filed)</w:t>
            </w:r>
          </w:p>
        </w:tc>
      </w:tr>
      <w:tr>
        <w:trPr>
          <w:trHeight w:val="378"/>
        </w:trPr>
        <w:tc>
          <w:tcPr>
            <w:tcW w:w="140" w:type="dxa"/>
            <w:vAlign w:val="bottom"/>
          </w:tcPr>
          <w:p>
            <w:pPr>
              <w:jc w:val="right"/>
              <w:spacing w:after="0"/>
              <w:rPr>
                <w:sz w:val="20"/>
                <w:szCs w:val="20"/>
                <w:color w:val="auto"/>
              </w:rPr>
            </w:pPr>
            <w:r>
              <w:rPr>
                <w:rFonts w:ascii="Arial" w:cs="Arial" w:eastAsia="Arial" w:hAnsi="Arial"/>
                <w:sz w:val="17"/>
                <w:szCs w:val="17"/>
                <w:color w:val="auto"/>
                <w:w w:val="70"/>
              </w:rPr>
              <w:t>5.</w:t>
            </w:r>
          </w:p>
        </w:tc>
        <w:tc>
          <w:tcPr>
            <w:tcW w:w="3340" w:type="dxa"/>
            <w:vAlign w:val="bottom"/>
          </w:tcPr>
          <w:p>
            <w:pPr>
              <w:ind w:left="40"/>
              <w:spacing w:after="0"/>
              <w:rPr>
                <w:sz w:val="20"/>
                <w:szCs w:val="20"/>
                <w:color w:val="auto"/>
              </w:rPr>
            </w:pPr>
            <w:r>
              <w:rPr>
                <w:rFonts w:ascii="Arial" w:cs="Arial" w:eastAsia="Arial" w:hAnsi="Arial"/>
                <w:sz w:val="18"/>
                <w:szCs w:val="18"/>
                <w:color w:val="auto"/>
              </w:rPr>
              <w:t>Signature: (required)</w:t>
            </w:r>
          </w:p>
        </w:tc>
        <w:tc>
          <w:tcPr>
            <w:tcW w:w="78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60325</wp:posOffset>
            </wp:positionV>
            <wp:extent cx="26142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203200</wp:posOffset>
            </wp:positionV>
            <wp:extent cx="8229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49" w:lineRule="exact"/>
        <w:rPr>
          <w:sz w:val="20"/>
          <w:szCs w:val="20"/>
          <w:color w:val="auto"/>
        </w:rPr>
      </w:pPr>
    </w:p>
    <w:p>
      <w:pPr>
        <w:ind w:left="1640" w:right="1340" w:hanging="348"/>
        <w:spacing w:after="0" w:line="233" w:lineRule="auto"/>
        <w:tabs>
          <w:tab w:leader="none" w:pos="1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If any proposed amendment would alter or change any preference or any relative or other right given to any class or series of outstanding shares, then the amendment must be approved by the vote, in addition to the alternative vote otherwise required, of the holders of shares representing a majority of the voting power of each class or series affected by the amendment regardless to limitations or restrictions on the voting power threof.</w:t>
      </w:r>
    </w:p>
    <w:p>
      <w:pPr>
        <w:spacing w:after="0" w:line="77" w:lineRule="exact"/>
        <w:rPr>
          <w:sz w:val="20"/>
          <w:szCs w:val="20"/>
          <w:color w:val="auto"/>
        </w:rPr>
      </w:pPr>
    </w:p>
    <w:p>
      <w:pPr>
        <w:ind w:left="1300" w:right="1700"/>
        <w:spacing w:after="0" w:line="282" w:lineRule="auto"/>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w:t>
      </w:r>
      <w:r>
        <w:rPr>
          <w:rFonts w:ascii="Arial" w:cs="Arial" w:eastAsia="Arial" w:hAnsi="Arial"/>
          <w:sz w:val="18"/>
          <w:szCs w:val="18"/>
          <w:b w:val="1"/>
          <w:bCs w:val="1"/>
          <w:color w:val="auto"/>
        </w:rPr>
        <w:t xml:space="preserve"> </w:t>
      </w:r>
      <w:r>
        <w:rPr>
          <w:rFonts w:ascii="Arial" w:cs="Arial" w:eastAsia="Arial" w:hAnsi="Arial"/>
          <w:sz w:val="18"/>
          <w:szCs w:val="18"/>
          <w:color w:val="auto"/>
        </w:rPr>
        <w:t>filing to be rejected.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ind w:left="1300"/>
              <w:spacing w:after="0"/>
              <w:rPr>
                <w:sz w:val="20"/>
                <w:szCs w:val="20"/>
                <w:color w:val="auto"/>
              </w:rPr>
            </w:pPr>
            <w:r>
              <w:rPr>
                <w:rFonts w:ascii="Arial" w:cs="Arial" w:eastAsia="Arial" w:hAnsi="Arial"/>
                <w:sz w:val="18"/>
                <w:szCs w:val="18"/>
                <w:i w:val="1"/>
                <w:iCs w:val="1"/>
                <w:color w:val="auto"/>
                <w:w w:val="92"/>
              </w:rPr>
              <w:t>This form must be accompanied by appropriate fees.</w:t>
            </w:r>
          </w:p>
        </w:tc>
        <w:tc>
          <w:tcPr>
            <w:tcW w:w="5800" w:type="dxa"/>
            <w:vAlign w:val="bottom"/>
          </w:tcPr>
          <w:p>
            <w:pPr>
              <w:jc w:val="right"/>
              <w:ind w:right="1210"/>
              <w:spacing w:after="0"/>
              <w:rPr>
                <w:sz w:val="20"/>
                <w:szCs w:val="20"/>
                <w:color w:val="auto"/>
              </w:rPr>
            </w:pPr>
            <w:r>
              <w:rPr>
                <w:rFonts w:ascii="Arial" w:cs="Arial" w:eastAsia="Arial" w:hAnsi="Arial"/>
                <w:sz w:val="18"/>
                <w:szCs w:val="18"/>
                <w:color w:val="auto"/>
              </w:rPr>
              <w:t>Nevada Secretary of State Amend Profit-After</w:t>
            </w:r>
          </w:p>
        </w:tc>
      </w:tr>
      <w:tr>
        <w:trPr>
          <w:trHeight w:val="230"/>
        </w:trPr>
        <w:tc>
          <w:tcPr>
            <w:tcW w:w="5220" w:type="dxa"/>
            <w:vAlign w:val="bottom"/>
          </w:tcPr>
          <w:p>
            <w:pPr>
              <w:spacing w:after="0"/>
              <w:rPr>
                <w:sz w:val="20"/>
                <w:szCs w:val="20"/>
                <w:color w:val="auto"/>
              </w:rPr>
            </w:pPr>
          </w:p>
        </w:tc>
        <w:tc>
          <w:tcPr>
            <w:tcW w:w="5800" w:type="dxa"/>
            <w:vAlign w:val="bottom"/>
          </w:tcPr>
          <w:p>
            <w:pPr>
              <w:jc w:val="right"/>
              <w:ind w:right="1210"/>
              <w:spacing w:after="0"/>
              <w:rPr>
                <w:sz w:val="20"/>
                <w:szCs w:val="20"/>
                <w:color w:val="auto"/>
              </w:rPr>
            </w:pPr>
            <w:r>
              <w:rPr>
                <w:rFonts w:ascii="Arial" w:cs="Arial" w:eastAsia="Arial" w:hAnsi="Arial"/>
                <w:sz w:val="18"/>
                <w:szCs w:val="18"/>
                <w:color w:val="auto"/>
              </w:rPr>
              <w:t>Revised:1-5-15</w:t>
            </w:r>
          </w:p>
        </w:tc>
      </w:tr>
      <w:tr>
        <w:trPr>
          <w:trHeight w:val="486"/>
        </w:trPr>
        <w:tc>
          <w:tcPr>
            <w:tcW w:w="5220" w:type="dxa"/>
            <w:vAlign w:val="bottom"/>
          </w:tcPr>
          <w:p>
            <w:pPr>
              <w:spacing w:after="0"/>
              <w:rPr>
                <w:sz w:val="24"/>
                <w:szCs w:val="24"/>
                <w:color w:val="auto"/>
              </w:rPr>
            </w:pPr>
          </w:p>
        </w:tc>
        <w:tc>
          <w:tcPr>
            <w:tcW w:w="5800" w:type="dxa"/>
            <w:vAlign w:val="bottom"/>
          </w:tcPr>
          <w:p>
            <w:pPr>
              <w:jc w:val="right"/>
              <w:ind w:right="5290"/>
              <w:spacing w:after="0"/>
              <w:rPr>
                <w:sz w:val="20"/>
                <w:szCs w:val="20"/>
                <w:color w:val="auto"/>
              </w:rPr>
            </w:pPr>
            <w:r>
              <w:rPr>
                <w:rFonts w:ascii="Arial" w:cs="Arial" w:eastAsia="Arial" w:hAnsi="Arial"/>
                <w:sz w:val="18"/>
                <w:szCs w:val="18"/>
                <w:color w:val="auto"/>
              </w:rPr>
              <w:t>A-1</w:t>
            </w:r>
          </w:p>
        </w:tc>
      </w:tr>
      <w:tr>
        <w:trPr>
          <w:trHeight w:val="183"/>
        </w:trPr>
        <w:tc>
          <w:tcPr>
            <w:tcW w:w="5220" w:type="dxa"/>
            <w:vAlign w:val="bottom"/>
            <w:tcBorders>
              <w:bottom w:val="single" w:sz="8" w:color="auto"/>
            </w:tcBorders>
          </w:tcPr>
          <w:p>
            <w:pPr>
              <w:spacing w:after="0"/>
              <w:rPr>
                <w:sz w:val="15"/>
                <w:szCs w:val="15"/>
                <w:color w:val="auto"/>
              </w:rPr>
            </w:pPr>
          </w:p>
        </w:tc>
        <w:tc>
          <w:tcPr>
            <w:tcW w:w="58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Appendix B</w:t>
      </w:r>
    </w:p>
    <w:p>
      <w:pPr>
        <w:spacing w:after="0" w:line="36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2019 OMNIBUS EQUITY INCENTIVE PLAN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 Objectives and Duration</w:t>
      </w:r>
    </w:p>
    <w:p>
      <w:pPr>
        <w:spacing w:after="0" w:line="103"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Effective Date of the Plan</w:t>
      </w:r>
      <w:r>
        <w:rPr>
          <w:rFonts w:ascii="Arial" w:cs="Arial" w:eastAsia="Arial" w:hAnsi="Arial"/>
          <w:sz w:val="18"/>
          <w:szCs w:val="18"/>
          <w:color w:val="auto"/>
        </w:rPr>
        <w:t>. The Board of Directors of Galectin Therapeutics Inc., a Nevada corporation (the “Company”), adopted the 2019 Omnibus Equity Incentive Plan (the “Plan”) effective as of September 25, 2019 (the “Effective Date”), subject to approval by the Company’s stockholders.</w:t>
      </w:r>
    </w:p>
    <w:p>
      <w:pPr>
        <w:spacing w:after="0" w:line="76"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Objectives of the Plan</w:t>
      </w:r>
      <w:r>
        <w:rPr>
          <w:rFonts w:ascii="Arial" w:cs="Arial" w:eastAsia="Arial" w:hAnsi="Arial"/>
          <w:sz w:val="17"/>
          <w:szCs w:val="17"/>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spacing w:after="0" w:line="77"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w:t>
      </w:r>
    </w:p>
    <w:p>
      <w:pPr>
        <w:spacing w:after="0" w:line="33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Definitions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117" w:lineRule="exact"/>
        <w:rPr>
          <w:sz w:val="20"/>
          <w:szCs w:val="20"/>
          <w:color w:val="auto"/>
        </w:rPr>
      </w:pPr>
    </w:p>
    <w:p>
      <w:pPr>
        <w:ind w:left="660" w:right="399" w:firstLine="360"/>
        <w:spacing w:after="0" w:line="255"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84" w:lineRule="exact"/>
        <w:rPr>
          <w:sz w:val="20"/>
          <w:szCs w:val="20"/>
          <w:color w:val="auto"/>
        </w:rPr>
      </w:pPr>
    </w:p>
    <w:p>
      <w:pPr>
        <w:ind w:left="660" w:right="519" w:firstLine="360"/>
        <w:spacing w:after="0" w:line="259"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79" w:lineRule="exact"/>
        <w:rPr>
          <w:sz w:val="20"/>
          <w:szCs w:val="20"/>
          <w:color w:val="auto"/>
        </w:rPr>
      </w:pPr>
    </w:p>
    <w:p>
      <w:pPr>
        <w:ind w:left="660" w:right="339" w:firstLine="360"/>
        <w:spacing w:after="0" w:line="255"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25"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117" w:lineRule="exact"/>
        <w:rPr>
          <w:sz w:val="20"/>
          <w:szCs w:val="20"/>
          <w:color w:val="auto"/>
        </w:rPr>
      </w:pPr>
    </w:p>
    <w:p>
      <w:pPr>
        <w:ind w:left="660" w:right="359" w:firstLine="360"/>
        <w:spacing w:after="0" w:line="301" w:lineRule="auto"/>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Bonus Shares</w:t>
      </w:r>
      <w:r>
        <w:rPr>
          <w:rFonts w:ascii="Arial" w:cs="Arial" w:eastAsia="Arial" w:hAnsi="Arial"/>
          <w:sz w:val="16"/>
          <w:szCs w:val="16"/>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except as otherwise defined in an Award Agreement:</w:t>
      </w:r>
    </w:p>
    <w:p>
      <w:pPr>
        <w:spacing w:after="0" w:line="117" w:lineRule="exact"/>
        <w:rPr>
          <w:sz w:val="20"/>
          <w:szCs w:val="20"/>
          <w:color w:val="auto"/>
        </w:rPr>
      </w:pPr>
    </w:p>
    <w:p>
      <w:pPr>
        <w:ind w:left="1020" w:right="539" w:firstLine="352"/>
        <w:spacing w:after="0" w:line="277" w:lineRule="auto"/>
        <w:tabs>
          <w:tab w:leader="none" w:pos="17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by the Grantee to perform, in a reasonable manner, his or her duties as assigned by the Company or an Affiliate,</w:t>
      </w:r>
    </w:p>
    <w:p>
      <w:pPr>
        <w:spacing w:after="0" w:line="62" w:lineRule="exact"/>
        <w:rPr>
          <w:rFonts w:ascii="Arial" w:cs="Arial" w:eastAsia="Arial" w:hAnsi="Arial"/>
          <w:sz w:val="18"/>
          <w:szCs w:val="18"/>
          <w:color w:val="auto"/>
        </w:rPr>
      </w:pPr>
    </w:p>
    <w:p>
      <w:pPr>
        <w:ind w:left="1020" w:right="639" w:firstLine="352"/>
        <w:spacing w:after="0" w:line="277" w:lineRule="auto"/>
        <w:tabs>
          <w:tab w:leader="none" w:pos="17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violation or breach by the Grantee of his or her employment, consulting or other similar agreement with the Company or an Affiliate, if any,</w:t>
      </w:r>
    </w:p>
    <w:p>
      <w:pPr>
        <w:spacing w:after="0" w:line="62" w:lineRule="exact"/>
        <w:rPr>
          <w:rFonts w:ascii="Arial" w:cs="Arial" w:eastAsia="Arial" w:hAnsi="Arial"/>
          <w:sz w:val="18"/>
          <w:szCs w:val="18"/>
          <w:color w:val="auto"/>
        </w:rPr>
      </w:pPr>
    </w:p>
    <w:p>
      <w:pPr>
        <w:ind w:left="1020" w:right="399" w:firstLine="352"/>
        <w:spacing w:after="0" w:line="277" w:lineRule="auto"/>
        <w:tabs>
          <w:tab w:leader="none" w:pos="17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violation or breach by the Grantee of any non-competition, non-solicitation, non-disclosure and/or other similar agreement with the Company or an Affiliate,</w:t>
      </w:r>
    </w:p>
    <w:p>
      <w:pPr>
        <w:spacing w:after="0" w:line="116" w:lineRule="exact"/>
        <w:rPr>
          <w:rFonts w:ascii="Arial" w:cs="Arial" w:eastAsia="Arial" w:hAnsi="Arial"/>
          <w:sz w:val="18"/>
          <w:szCs w:val="18"/>
          <w:color w:val="auto"/>
        </w:rPr>
      </w:pPr>
    </w:p>
    <w:p>
      <w:pPr>
        <w:ind w:left="1760" w:hanging="388"/>
        <w:spacing w:after="0"/>
        <w:tabs>
          <w:tab w:leader="none" w:pos="1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act by the Grantee of dishonesty or bad faith with respect to the Company or an Affiliate</w:t>
      </w:r>
    </w:p>
    <w:p>
      <w:pPr>
        <w:spacing w:after="0" w:line="128" w:lineRule="exact"/>
        <w:rPr>
          <w:rFonts w:ascii="Arial" w:cs="Arial" w:eastAsia="Arial" w:hAnsi="Arial"/>
          <w:sz w:val="17"/>
          <w:szCs w:val="17"/>
          <w:color w:val="auto"/>
        </w:rPr>
      </w:pPr>
    </w:p>
    <w:p>
      <w:pPr>
        <w:ind w:left="1020" w:right="339" w:firstLine="352"/>
        <w:spacing w:after="0" w:line="277" w:lineRule="auto"/>
        <w:tabs>
          <w:tab w:leader="none" w:pos="17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 of alcohol, drugs or other similar substances in a manner that adversely affects the Grantee’s work performance, or</w:t>
      </w:r>
    </w:p>
    <w:p>
      <w:pPr>
        <w:spacing w:after="0" w:line="62" w:lineRule="exact"/>
        <w:rPr>
          <w:rFonts w:ascii="Arial" w:cs="Arial" w:eastAsia="Arial" w:hAnsi="Arial"/>
          <w:sz w:val="18"/>
          <w:szCs w:val="18"/>
          <w:color w:val="auto"/>
        </w:rPr>
      </w:pPr>
    </w:p>
    <w:p>
      <w:pPr>
        <w:ind w:left="1020" w:right="499" w:firstLine="352"/>
        <w:spacing w:after="0" w:line="277" w:lineRule="auto"/>
        <w:tabs>
          <w:tab w:leader="none" w:pos="17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commission by the Grantee of any act, misdemeanor, or crime reflecting unfavorably upon the Grantee or the Company or any Affiliate; or</w:t>
      </w:r>
    </w:p>
    <w:p>
      <w:pPr>
        <w:spacing w:after="0" w:line="62" w:lineRule="exact"/>
        <w:rPr>
          <w:rFonts w:ascii="Arial" w:cs="Arial" w:eastAsia="Arial" w:hAnsi="Arial"/>
          <w:sz w:val="18"/>
          <w:szCs w:val="18"/>
          <w:color w:val="auto"/>
        </w:rPr>
      </w:pPr>
    </w:p>
    <w:p>
      <w:pPr>
        <w:ind w:left="1020" w:right="959" w:firstLine="352"/>
        <w:spacing w:after="0" w:line="277" w:lineRule="auto"/>
        <w:tabs>
          <w:tab w:leader="none" w:pos="17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material misconduct in violation of the Company’s or an Affiliate’s written policies regarding ethical standards, conduct in workplace or safety;</w:t>
      </w:r>
    </w:p>
    <w:p>
      <w:pPr>
        <w:spacing w:after="0" w:line="62"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the Grantee has a written employment or consulting agreement with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Affiliates or participates in any severance plan established by the Company that includes a definition of “cause,” Cause shall have the meaning set forth in such employment or consulting agreement or severance plan. The good faith determination by the Committee of whether a Grantee’s actions or omissions constitute grounds to terminate his or her service with the Company or an Affiliate for “Cause” shall be final and binding for all purposes hereunder.</w:t>
      </w:r>
    </w:p>
    <w:p>
      <w:pPr>
        <w:spacing w:after="0" w:line="111"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CEO</w:t>
      </w:r>
      <w:r>
        <w:rPr>
          <w:rFonts w:ascii="Arial" w:cs="Arial" w:eastAsia="Arial" w:hAnsi="Arial"/>
          <w:sz w:val="16"/>
          <w:szCs w:val="16"/>
          <w:color w:val="auto"/>
        </w:rPr>
        <w:t>” means the Chief Executive Officer of the Company.</w:t>
      </w:r>
    </w:p>
    <w:p>
      <w:pPr>
        <w:spacing w:after="0" w:line="158"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have the meaning set forth in Section 16.4(e).</w:t>
      </w:r>
    </w:p>
    <w:p>
      <w:pPr>
        <w:spacing w:after="0" w:line="117" w:lineRule="exact"/>
        <w:rPr>
          <w:sz w:val="20"/>
          <w:szCs w:val="20"/>
          <w:color w:val="auto"/>
        </w:rPr>
      </w:pPr>
    </w:p>
    <w:p>
      <w:pPr>
        <w:ind w:left="660" w:right="539" w:firstLine="360"/>
        <w:spacing w:after="0" w:line="263"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16"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or “</w:t>
      </w:r>
      <w:r>
        <w:rPr>
          <w:rFonts w:ascii="Arial" w:cs="Arial" w:eastAsia="Arial" w:hAnsi="Arial"/>
          <w:sz w:val="16"/>
          <w:szCs w:val="16"/>
          <w:u w:val="single" w:color="auto"/>
          <w:color w:val="auto"/>
        </w:rPr>
        <w:t>Incentive Plan Committee</w:t>
      </w:r>
      <w:r>
        <w:rPr>
          <w:rFonts w:ascii="Arial" w:cs="Arial" w:eastAsia="Arial" w:hAnsi="Arial"/>
          <w:sz w:val="16"/>
          <w:szCs w:val="16"/>
          <w:color w:val="auto"/>
        </w:rPr>
        <w:t>” has the meaning set forth in Section 3.1(a).</w:t>
      </w:r>
    </w:p>
    <w:p>
      <w:pPr>
        <w:spacing w:after="0" w:line="144"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means the compensation committee of the Board.</w:t>
      </w:r>
    </w:p>
    <w:p>
      <w:pPr>
        <w:spacing w:after="0" w:line="158"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$0.001 par value, of the Company.</w:t>
      </w:r>
    </w:p>
    <w:p>
      <w:pPr>
        <w:spacing w:after="0" w:line="158"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shall have the meaning set forth in Section 4.2(b).</w:t>
      </w:r>
    </w:p>
    <w:p>
      <w:pPr>
        <w:spacing w:after="0" w:line="117" w:lineRule="exact"/>
        <w:rPr>
          <w:sz w:val="20"/>
          <w:szCs w:val="20"/>
          <w:color w:val="auto"/>
        </w:rPr>
      </w:pPr>
    </w:p>
    <w:p>
      <w:pPr>
        <w:ind w:left="660" w:right="319" w:firstLine="360"/>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 right, granted under Article 10, to receive Shares at the end of a specified deferral period.</w:t>
      </w:r>
    </w:p>
    <w:p>
      <w:pPr>
        <w:spacing w:after="0" w:line="62" w:lineRule="exact"/>
        <w:rPr>
          <w:sz w:val="20"/>
          <w:szCs w:val="20"/>
          <w:color w:val="auto"/>
        </w:rPr>
      </w:pPr>
    </w:p>
    <w:p>
      <w:pPr>
        <w:ind w:left="660" w:right="1039" w:firstLine="360"/>
        <w:spacing w:after="0" w:line="342"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Disability</w:t>
      </w:r>
      <w:r>
        <w:rPr>
          <w:rFonts w:ascii="Arial" w:cs="Arial" w:eastAsia="Arial" w:hAnsi="Arial"/>
          <w:sz w:val="16"/>
          <w:szCs w:val="16"/>
          <w:color w:val="auto"/>
        </w:rPr>
        <w:t>” or “</w:t>
      </w:r>
      <w:r>
        <w:rPr>
          <w:rFonts w:ascii="Arial" w:cs="Arial" w:eastAsia="Arial" w:hAnsi="Arial"/>
          <w:sz w:val="16"/>
          <w:szCs w:val="16"/>
          <w:u w:val="single" w:color="auto"/>
          <w:color w:val="auto"/>
        </w:rPr>
        <w:t>Disabled</w:t>
      </w:r>
      <w:r>
        <w:rPr>
          <w:rFonts w:ascii="Arial" w:cs="Arial" w:eastAsia="Arial" w:hAnsi="Arial"/>
          <w:sz w:val="16"/>
          <w:szCs w:val="16"/>
          <w:color w:val="auto"/>
        </w:rPr>
        <w:t>” means, unless otherwise defined in an Award Agreement, or as otherwise determined under procedures established by the Committee for purposes of the Plan:</w:t>
      </w:r>
    </w:p>
    <w:p>
      <w:pPr>
        <w:spacing w:after="0" w:line="16" w:lineRule="exact"/>
        <w:rPr>
          <w:sz w:val="20"/>
          <w:szCs w:val="20"/>
          <w:color w:val="auto"/>
        </w:rPr>
      </w:pPr>
    </w:p>
    <w:p>
      <w:pPr>
        <w:ind w:left="1760" w:hanging="388"/>
        <w:spacing w:after="0"/>
        <w:tabs>
          <w:tab w:leader="none" w:pos="1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Except as provided in (b) below, a disability within the meaning of Section 22(e)(3) of the Code;</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1760" w:hanging="388"/>
        <w:spacing w:after="0"/>
        <w:tabs>
          <w:tab w:leader="none" w:pos="1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any Award that constitutes deferred compensation within the meaning of</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Section 409A of the Code, a disability as defined in regulations under Code Section 409A. For purpose of</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Code Section 409A, a Grantee will be considered Disabled if:</w:t>
      </w:r>
    </w:p>
    <w:p>
      <w:pPr>
        <w:spacing w:after="0" w:line="103" w:lineRule="exact"/>
        <w:rPr>
          <w:sz w:val="20"/>
          <w:szCs w:val="20"/>
          <w:color w:val="auto"/>
        </w:rPr>
      </w:pPr>
    </w:p>
    <w:p>
      <w:pPr>
        <w:ind w:left="1380" w:right="579" w:firstLine="352"/>
        <w:spacing w:after="0" w:line="311" w:lineRule="auto"/>
        <w:tabs>
          <w:tab w:leader="none" w:pos="209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40" w:lineRule="exact"/>
        <w:rPr>
          <w:rFonts w:ascii="Arial" w:cs="Arial" w:eastAsia="Arial" w:hAnsi="Arial"/>
          <w:sz w:val="16"/>
          <w:szCs w:val="16"/>
          <w:color w:val="auto"/>
        </w:rPr>
      </w:pPr>
    </w:p>
    <w:p>
      <w:pPr>
        <w:ind w:left="1380" w:right="339" w:firstLine="352"/>
        <w:spacing w:after="0" w:line="301" w:lineRule="auto"/>
        <w:tabs>
          <w:tab w:leader="none" w:pos="2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659" w:firstLine="360"/>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means a right to receive payments equal to dividends or property, if and when paid or distributed, on a specified number of Shares.</w:t>
      </w:r>
    </w:p>
    <w:p>
      <w:pPr>
        <w:spacing w:after="0" w:line="116"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has the meaning set forth in Section 1.1.</w:t>
      </w:r>
    </w:p>
    <w:p>
      <w:pPr>
        <w:spacing w:after="0" w:line="117" w:lineRule="exact"/>
        <w:rPr>
          <w:sz w:val="20"/>
          <w:szCs w:val="20"/>
          <w:color w:val="auto"/>
        </w:rPr>
      </w:pPr>
    </w:p>
    <w:p>
      <w:pPr>
        <w:ind w:left="660" w:right="339" w:firstLine="360"/>
        <w:spacing w:after="0" w:line="269" w:lineRule="auto"/>
        <w:rPr>
          <w:sz w:val="20"/>
          <w:szCs w:val="20"/>
          <w:color w:val="auto"/>
        </w:rPr>
      </w:pPr>
      <w:r>
        <w:rPr>
          <w:rFonts w:ascii="Arial" w:cs="Arial" w:eastAsia="Arial" w:hAnsi="Arial"/>
          <w:sz w:val="17"/>
          <w:szCs w:val="17"/>
          <w:color w:val="auto"/>
        </w:rPr>
        <w:t>2.18 “</w:t>
      </w:r>
      <w:r>
        <w:rPr>
          <w:rFonts w:ascii="Arial" w:cs="Arial" w:eastAsia="Arial" w:hAnsi="Arial"/>
          <w:sz w:val="17"/>
          <w:szCs w:val="17"/>
          <w:u w:val="single" w:color="auto"/>
          <w:color w:val="auto"/>
        </w:rPr>
        <w:t>Eligible Person</w:t>
      </w:r>
      <w:r>
        <w:rPr>
          <w:rFonts w:ascii="Arial" w:cs="Arial" w:eastAsia="Arial" w:hAnsi="Arial"/>
          <w:sz w:val="17"/>
          <w:szCs w:val="17"/>
          <w:color w:val="auto"/>
        </w:rPr>
        <w:t>” means any individual who is an employee (including any officer) of, a non-employee consultant to, or a Non-Employee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 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71"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a particular section of the Exchange Act include references to successor provisions.</w:t>
      </w:r>
    </w:p>
    <w:p>
      <w:pPr>
        <w:spacing w:after="0" w:line="103" w:lineRule="exact"/>
        <w:rPr>
          <w:sz w:val="20"/>
          <w:szCs w:val="20"/>
          <w:color w:val="auto"/>
        </w:rPr>
      </w:pPr>
    </w:p>
    <w:p>
      <w:pPr>
        <w:ind w:left="660" w:right="379" w:firstLine="360"/>
        <w:spacing w:after="0" w:line="259"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(a) with respect to an Option, the price at which a Share may be purchased by a Grantee pursuant to such Option or (b) with respect to an SAR, the price established at the time an SAR is granted pursuant to Article 7, which is used to determine the amount, if any, of the payment due to a Grantee upon exercise of the SAR.</w:t>
      </w:r>
    </w:p>
    <w:p>
      <w:pPr>
        <w:spacing w:after="0" w:line="79" w:lineRule="exact"/>
        <w:rPr>
          <w:sz w:val="20"/>
          <w:szCs w:val="20"/>
          <w:color w:val="auto"/>
        </w:rPr>
      </w:pPr>
    </w:p>
    <w:p>
      <w:pPr>
        <w:ind w:left="660" w:right="299" w:firstLine="360"/>
        <w:spacing w:after="0" w:line="288" w:lineRule="auto"/>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60" w:lineRule="exact"/>
        <w:rPr>
          <w:sz w:val="20"/>
          <w:szCs w:val="20"/>
          <w:color w:val="auto"/>
        </w:rPr>
      </w:pPr>
    </w:p>
    <w:p>
      <w:pPr>
        <w:ind w:left="660" w:right="899" w:firstLine="360"/>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an Award is granted or such later date as specified in advance by the Committee.</w:t>
      </w:r>
    </w:p>
    <w:p>
      <w:pPr>
        <w:spacing w:after="0" w:line="103"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means a person who has been granted an Award.</w:t>
      </w:r>
    </w:p>
    <w:p>
      <w:pPr>
        <w:spacing w:after="0" w:line="117" w:lineRule="exact"/>
        <w:rPr>
          <w:sz w:val="20"/>
          <w:szCs w:val="20"/>
          <w:color w:val="auto"/>
        </w:rPr>
      </w:pPr>
    </w:p>
    <w:p>
      <w:pPr>
        <w:ind w:left="660" w:right="359" w:firstLine="360"/>
        <w:spacing w:after="0" w:line="277"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meet the requirements of Section 422 of the Code.</w:t>
      </w:r>
    </w:p>
    <w:p>
      <w:pPr>
        <w:spacing w:after="0" w:line="62" w:lineRule="exact"/>
        <w:rPr>
          <w:sz w:val="20"/>
          <w:szCs w:val="20"/>
          <w:color w:val="auto"/>
        </w:rPr>
      </w:pPr>
    </w:p>
    <w:p>
      <w:pPr>
        <w:ind w:left="660" w:right="419" w:firstLine="360"/>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Including</w:t>
      </w:r>
      <w:r>
        <w:rPr>
          <w:rFonts w:ascii="Arial" w:cs="Arial" w:eastAsia="Arial" w:hAnsi="Arial"/>
          <w:sz w:val="18"/>
          <w:szCs w:val="18"/>
          <w:color w:val="auto"/>
        </w:rPr>
        <w:t>” or “</w:t>
      </w:r>
      <w:r>
        <w:rPr>
          <w:rFonts w:ascii="Arial" w:cs="Arial" w:eastAsia="Arial" w:hAnsi="Arial"/>
          <w:sz w:val="18"/>
          <w:szCs w:val="18"/>
          <w:u w:val="single" w:color="auto"/>
          <w:color w:val="auto"/>
        </w:rPr>
        <w:t>includes</w:t>
      </w:r>
      <w:r>
        <w:rPr>
          <w:rFonts w:ascii="Arial" w:cs="Arial" w:eastAsia="Arial" w:hAnsi="Arial"/>
          <w:sz w:val="18"/>
          <w:szCs w:val="18"/>
          <w:color w:val="auto"/>
        </w:rPr>
        <w:t>” means “including, without limitation,” or “includes, without limitation,” respectively.</w:t>
      </w:r>
    </w:p>
    <w:p>
      <w:pPr>
        <w:spacing w:after="0" w:line="103"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Management Committee</w:t>
      </w:r>
      <w:r>
        <w:rPr>
          <w:rFonts w:ascii="Arial" w:cs="Arial" w:eastAsia="Arial" w:hAnsi="Arial"/>
          <w:sz w:val="16"/>
          <w:szCs w:val="16"/>
          <w:color w:val="auto"/>
        </w:rPr>
        <w:t>” has the meaning set forth in Section 3.1(b).</w:t>
      </w:r>
    </w:p>
    <w:p>
      <w:pPr>
        <w:spacing w:after="0" w:line="117" w:lineRule="exact"/>
        <w:rPr>
          <w:sz w:val="20"/>
          <w:szCs w:val="20"/>
          <w:color w:val="auto"/>
        </w:rPr>
      </w:pPr>
    </w:p>
    <w:p>
      <w:pPr>
        <w:ind w:left="660" w:right="439" w:firstLine="360"/>
        <w:spacing w:after="0" w:line="277"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the Company or any Affiliate.</w:t>
      </w:r>
    </w:p>
    <w:p>
      <w:pPr>
        <w:spacing w:after="0" w:line="116"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an option granted under Article 6 of the Plan.</w:t>
      </w:r>
    </w:p>
    <w:p>
      <w:pPr>
        <w:spacing w:after="0" w:line="117" w:lineRule="exact"/>
        <w:rPr>
          <w:sz w:val="20"/>
          <w:szCs w:val="20"/>
          <w:color w:val="auto"/>
        </w:rPr>
      </w:pPr>
    </w:p>
    <w:p>
      <w:pPr>
        <w:ind w:left="660" w:right="679" w:firstLine="360"/>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 right, granted under Article 13 hereof, that relates to or is valued by reference to Shares or other Awards relating to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559" w:firstLine="360"/>
        <w:spacing w:after="0" w:line="263"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with respect to an Award of Performance Shares or Performance Units, the period of time during which the performance vesting conditions applicable to such Award must be satisfied.</w:t>
      </w:r>
    </w:p>
    <w:p>
      <w:pPr>
        <w:spacing w:after="0" w:line="76" w:lineRule="exact"/>
        <w:rPr>
          <w:sz w:val="20"/>
          <w:szCs w:val="20"/>
          <w:color w:val="auto"/>
        </w:rPr>
      </w:pPr>
    </w:p>
    <w:p>
      <w:pPr>
        <w:ind w:left="660" w:right="439" w:firstLine="360"/>
        <w:spacing w:after="0" w:line="25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any grant pursuant to Article 9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80" w:lineRule="exact"/>
        <w:rPr>
          <w:sz w:val="20"/>
          <w:szCs w:val="20"/>
          <w:color w:val="auto"/>
        </w:rPr>
      </w:pPr>
    </w:p>
    <w:p>
      <w:pPr>
        <w:ind w:left="660" w:right="499" w:firstLine="360"/>
        <w:spacing w:after="0" w:line="275" w:lineRule="auto"/>
        <w:rPr>
          <w:sz w:val="20"/>
          <w:szCs w:val="20"/>
          <w:color w:val="auto"/>
        </w:rPr>
      </w:pPr>
      <w:r>
        <w:rPr>
          <w:rFonts w:ascii="Arial" w:cs="Arial" w:eastAsia="Arial" w:hAnsi="Arial"/>
          <w:sz w:val="17"/>
          <w:szCs w:val="17"/>
          <w:color w:val="auto"/>
        </w:rPr>
        <w:t>2.32 “</w:t>
      </w:r>
      <w:r>
        <w:rPr>
          <w:rFonts w:ascii="Arial" w:cs="Arial" w:eastAsia="Arial" w:hAnsi="Arial"/>
          <w:sz w:val="17"/>
          <w:szCs w:val="17"/>
          <w:u w:val="single" w:color="auto"/>
          <w:color w:val="auto"/>
        </w:rPr>
        <w:t>Performance Unit</w:t>
      </w:r>
      <w:r>
        <w:rPr>
          <w:rFonts w:ascii="Arial" w:cs="Arial" w:eastAsia="Arial" w:hAnsi="Arial"/>
          <w:sz w:val="17"/>
          <w:szCs w:val="17"/>
          <w:color w:val="auto"/>
        </w:rPr>
        <w:t>” means any grant pursuant to Article 9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68" w:lineRule="exact"/>
        <w:rPr>
          <w:sz w:val="20"/>
          <w:szCs w:val="20"/>
          <w:color w:val="auto"/>
        </w:rPr>
      </w:pPr>
    </w:p>
    <w:p>
      <w:pPr>
        <w:ind w:left="660" w:right="399" w:firstLine="360"/>
        <w:spacing w:after="0" w:line="277"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Restricted Shares are subject to forfeiture if the conditions specified in the Award Agreement are not satisfied.</w:t>
      </w:r>
    </w:p>
    <w:p>
      <w:pPr>
        <w:spacing w:after="0" w:line="62" w:lineRule="exact"/>
        <w:rPr>
          <w:sz w:val="20"/>
          <w:szCs w:val="20"/>
          <w:color w:val="auto"/>
        </w:rPr>
      </w:pPr>
    </w:p>
    <w:p>
      <w:pPr>
        <w:ind w:left="660" w:right="559" w:firstLine="360"/>
        <w:spacing w:after="0" w:line="263"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76" w:lineRule="exact"/>
        <w:rPr>
          <w:sz w:val="20"/>
          <w:szCs w:val="20"/>
          <w:color w:val="auto"/>
        </w:rPr>
      </w:pPr>
    </w:p>
    <w:p>
      <w:pPr>
        <w:ind w:left="660" w:right="439" w:firstLine="360"/>
        <w:spacing w:after="0" w:line="263"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76" w:lineRule="exact"/>
        <w:rPr>
          <w:sz w:val="20"/>
          <w:szCs w:val="20"/>
          <w:color w:val="auto"/>
        </w:rPr>
      </w:pPr>
    </w:p>
    <w:p>
      <w:pPr>
        <w:ind w:left="660" w:right="799" w:firstLine="360"/>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rights, granted under Article 10, to receive Shares if the Grantee satisfies the conditions specified in the Award Agreement applicable to such rights.</w:t>
      </w:r>
    </w:p>
    <w:p>
      <w:pPr>
        <w:spacing w:after="0" w:line="62" w:lineRule="exact"/>
        <w:rPr>
          <w:sz w:val="20"/>
          <w:szCs w:val="20"/>
          <w:color w:val="auto"/>
        </w:rPr>
      </w:pPr>
    </w:p>
    <w:p>
      <w:pPr>
        <w:ind w:left="660" w:right="659" w:firstLine="360"/>
        <w:spacing w:after="0" w:line="277"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by the SEC under the Exchange Act, as amended from time to time, together with any successor rule.</w:t>
      </w:r>
    </w:p>
    <w:p>
      <w:pPr>
        <w:spacing w:after="0" w:line="116"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successor thereto.</w:t>
      </w:r>
    </w:p>
    <w:p>
      <w:pPr>
        <w:spacing w:after="0" w:line="117" w:lineRule="exact"/>
        <w:rPr>
          <w:sz w:val="20"/>
          <w:szCs w:val="20"/>
          <w:color w:val="auto"/>
        </w:rPr>
      </w:pPr>
    </w:p>
    <w:p>
      <w:pPr>
        <w:ind w:left="660" w:right="359" w:firstLine="360"/>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Section 16 Non-Employee Director</w:t>
      </w:r>
      <w:r>
        <w:rPr>
          <w:rFonts w:ascii="Arial" w:cs="Arial" w:eastAsia="Arial" w:hAnsi="Arial"/>
          <w:sz w:val="18"/>
          <w:szCs w:val="18"/>
          <w:color w:val="auto"/>
        </w:rPr>
        <w:t>” means a member of the Board who satisfies the requirements to qualify as a “non-employee director” under Rule 16b-3.</w:t>
      </w:r>
    </w:p>
    <w:p>
      <w:pPr>
        <w:spacing w:after="0" w:line="62" w:lineRule="exact"/>
        <w:rPr>
          <w:sz w:val="20"/>
          <w:szCs w:val="20"/>
          <w:color w:val="auto"/>
        </w:rPr>
      </w:pPr>
    </w:p>
    <w:p>
      <w:pPr>
        <w:ind w:left="660" w:right="419" w:firstLine="360"/>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Section 16 Person</w:t>
      </w:r>
      <w:r>
        <w:rPr>
          <w:rFonts w:ascii="Arial" w:cs="Arial" w:eastAsia="Arial" w:hAnsi="Arial"/>
          <w:sz w:val="18"/>
          <w:szCs w:val="18"/>
          <w:color w:val="auto"/>
        </w:rPr>
        <w:t>” means a person who is subject to potential liability under Section 16(b) of the Exchange Act with respect to transactions involving equity securities of the Company.</w:t>
      </w:r>
    </w:p>
    <w:p>
      <w:pPr>
        <w:spacing w:after="0" w:line="62" w:lineRule="exact"/>
        <w:rPr>
          <w:sz w:val="20"/>
          <w:szCs w:val="20"/>
          <w:color w:val="auto"/>
        </w:rPr>
      </w:pPr>
    </w:p>
    <w:p>
      <w:pPr>
        <w:ind w:left="660" w:right="319" w:firstLine="360"/>
        <w:spacing w:after="0" w:line="286" w:lineRule="auto"/>
        <w:rPr>
          <w:sz w:val="20"/>
          <w:szCs w:val="20"/>
          <w:color w:val="auto"/>
        </w:rPr>
      </w:pPr>
      <w:r>
        <w:rPr>
          <w:rFonts w:ascii="Arial" w:cs="Arial" w:eastAsia="Arial" w:hAnsi="Arial"/>
          <w:sz w:val="16"/>
          <w:szCs w:val="16"/>
          <w:color w:val="auto"/>
        </w:rPr>
        <w:t>2.41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59" w:lineRule="exact"/>
        <w:rPr>
          <w:sz w:val="20"/>
          <w:szCs w:val="20"/>
          <w:color w:val="auto"/>
        </w:rPr>
      </w:pPr>
    </w:p>
    <w:p>
      <w:pPr>
        <w:ind w:left="660" w:right="659" w:firstLine="360"/>
        <w:spacing w:after="0" w:line="277"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and such other securities of the Company, as may be substituted or resubstituted for Shares pursuant to Section 4.2 hereof.</w:t>
      </w:r>
    </w:p>
    <w:p>
      <w:pPr>
        <w:spacing w:after="0" w:line="89" w:lineRule="exact"/>
        <w:rPr>
          <w:sz w:val="20"/>
          <w:szCs w:val="20"/>
          <w:color w:val="auto"/>
        </w:rPr>
      </w:pPr>
    </w:p>
    <w:p>
      <w:pPr>
        <w:jc w:val="center"/>
        <w:ind w:right="-80"/>
        <w:spacing w:after="0"/>
        <w:tabs>
          <w:tab w:leader="none" w:pos="1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or “</w:t>
      </w:r>
      <w:r>
        <w:rPr>
          <w:rFonts w:ascii="Arial" w:cs="Arial" w:eastAsia="Arial" w:hAnsi="Arial"/>
          <w:sz w:val="16"/>
          <w:szCs w:val="16"/>
          <w:u w:val="single" w:color="auto"/>
          <w:color w:val="auto"/>
        </w:rPr>
        <w:t>SAR</w:t>
      </w:r>
      <w:r>
        <w:rPr>
          <w:rFonts w:ascii="Arial" w:cs="Arial" w:eastAsia="Arial" w:hAnsi="Arial"/>
          <w:sz w:val="16"/>
          <w:szCs w:val="16"/>
          <w:color w:val="auto"/>
        </w:rPr>
        <w:t>” means an Award granted under Article 7 of the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439" w:firstLine="360"/>
        <w:spacing w:after="0" w:line="279" w:lineRule="auto"/>
        <w:rPr>
          <w:sz w:val="20"/>
          <w:szCs w:val="20"/>
          <w:color w:val="auto"/>
        </w:rPr>
      </w:pPr>
      <w:r>
        <w:rPr>
          <w:rFonts w:ascii="Arial" w:cs="Arial" w:eastAsia="Arial" w:hAnsi="Arial"/>
          <w:sz w:val="17"/>
          <w:szCs w:val="17"/>
          <w:color w:val="auto"/>
        </w:rPr>
        <w:t>2.44 “</w:t>
      </w:r>
      <w:r>
        <w:rPr>
          <w:rFonts w:ascii="Arial" w:cs="Arial" w:eastAsia="Arial" w:hAnsi="Arial"/>
          <w:sz w:val="17"/>
          <w:szCs w:val="17"/>
          <w:u w:val="single" w:color="auto"/>
          <w:color w:val="auto"/>
        </w:rPr>
        <w:t>Subsidiary Corporation</w:t>
      </w:r>
      <w:r>
        <w:rPr>
          <w:rFonts w:ascii="Arial" w:cs="Arial" w:eastAsia="Arial" w:hAnsi="Arial"/>
          <w:sz w:val="17"/>
          <w:szCs w:val="17"/>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63" w:lineRule="exact"/>
        <w:rPr>
          <w:sz w:val="20"/>
          <w:szCs w:val="20"/>
          <w:color w:val="auto"/>
        </w:rPr>
      </w:pPr>
    </w:p>
    <w:p>
      <w:pPr>
        <w:ind w:left="660" w:right="439" w:firstLine="360"/>
        <w:spacing w:after="0" w:line="301" w:lineRule="auto"/>
        <w:rPr>
          <w:sz w:val="20"/>
          <w:szCs w:val="20"/>
          <w:color w:val="auto"/>
        </w:rPr>
      </w:pPr>
      <w:r>
        <w:rPr>
          <w:rFonts w:ascii="Arial" w:cs="Arial" w:eastAsia="Arial" w:hAnsi="Arial"/>
          <w:sz w:val="16"/>
          <w:szCs w:val="16"/>
          <w:color w:val="auto"/>
        </w:rPr>
        <w:t>2.45 “</w:t>
      </w:r>
      <w:r>
        <w:rPr>
          <w:rFonts w:ascii="Arial" w:cs="Arial" w:eastAsia="Arial" w:hAnsi="Arial"/>
          <w:sz w:val="16"/>
          <w:szCs w:val="16"/>
          <w:u w:val="single" w:color="auto"/>
          <w:color w:val="auto"/>
        </w:rPr>
        <w:t>Surviving Company</w:t>
      </w:r>
      <w:r>
        <w:rPr>
          <w:rFonts w:ascii="Arial" w:cs="Arial" w:eastAsia="Arial" w:hAnsi="Arial"/>
          <w:sz w:val="16"/>
          <w:szCs w:val="16"/>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49" w:lineRule="exact"/>
        <w:rPr>
          <w:sz w:val="20"/>
          <w:szCs w:val="20"/>
          <w:color w:val="auto"/>
        </w:rPr>
      </w:pPr>
    </w:p>
    <w:p>
      <w:pPr>
        <w:ind w:left="660" w:right="439" w:firstLine="360"/>
        <w:spacing w:after="0" w:line="263"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Term</w:t>
      </w:r>
      <w:r>
        <w:rPr>
          <w:rFonts w:ascii="Arial" w:cs="Arial" w:eastAsia="Arial" w:hAnsi="Arial"/>
          <w:sz w:val="18"/>
          <w:szCs w:val="18"/>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76" w:lineRule="exact"/>
        <w:rPr>
          <w:sz w:val="20"/>
          <w:szCs w:val="20"/>
          <w:color w:val="auto"/>
        </w:rPr>
      </w:pPr>
    </w:p>
    <w:p>
      <w:pPr>
        <w:ind w:left="660" w:right="319" w:firstLine="360"/>
        <w:spacing w:after="0" w:line="289" w:lineRule="auto"/>
        <w:rPr>
          <w:sz w:val="20"/>
          <w:szCs w:val="20"/>
          <w:color w:val="auto"/>
        </w:rPr>
      </w:pPr>
      <w:r>
        <w:rPr>
          <w:rFonts w:ascii="Arial" w:cs="Arial" w:eastAsia="Arial" w:hAnsi="Arial"/>
          <w:sz w:val="16"/>
          <w:szCs w:val="16"/>
          <w:color w:val="auto"/>
        </w:rPr>
        <w:t>2.47 “</w:t>
      </w:r>
      <w:r>
        <w:rPr>
          <w:rFonts w:ascii="Arial" w:cs="Arial" w:eastAsia="Arial" w:hAnsi="Arial"/>
          <w:sz w:val="16"/>
          <w:szCs w:val="16"/>
          <w:u w:val="single" w:color="auto"/>
          <w:color w:val="auto"/>
        </w:rPr>
        <w:t>Termination of Affiliation</w:t>
      </w:r>
      <w:r>
        <w:rPr>
          <w:rFonts w:ascii="Arial" w:cs="Arial" w:eastAsia="Arial" w:hAnsi="Arial"/>
          <w:sz w:val="16"/>
          <w:szCs w:val="16"/>
          <w:color w:val="auto"/>
        </w:rPr>
        <w:t>” occurs on the first day on which an individual is for any reason no longer performing services for the Company or any Affiliate in the capacity of an employee of, a non-employee consultant to, or a Non-Employee Director of, the Company or any Affiliate (other than an Eligible Person who is on a bona fide leave of absence)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13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Committee</w:t>
      </w:r>
      <w:r>
        <w:rPr>
          <w:rFonts w:ascii="Arial" w:cs="Arial" w:eastAsia="Arial" w:hAnsi="Arial"/>
          <w:sz w:val="16"/>
          <w:szCs w:val="16"/>
          <w:color w:val="auto"/>
        </w:rPr>
        <w:t>.</w:t>
      </w:r>
    </w:p>
    <w:p>
      <w:pPr>
        <w:spacing w:after="0" w:line="117" w:lineRule="exact"/>
        <w:rPr>
          <w:sz w:val="20"/>
          <w:szCs w:val="20"/>
          <w:color w:val="auto"/>
        </w:rPr>
      </w:pPr>
    </w:p>
    <w:p>
      <w:pPr>
        <w:ind w:left="660" w:right="339" w:firstLine="352"/>
        <w:spacing w:after="0" w:line="290" w:lineRule="auto"/>
        <w:tabs>
          <w:tab w:leader="none" w:pos="14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57" w:lineRule="exact"/>
        <w:rPr>
          <w:rFonts w:ascii="Arial" w:cs="Arial" w:eastAsia="Arial" w:hAnsi="Arial"/>
          <w:sz w:val="16"/>
          <w:szCs w:val="16"/>
          <w:color w:val="auto"/>
        </w:rPr>
      </w:pPr>
    </w:p>
    <w:p>
      <w:pPr>
        <w:ind w:left="660" w:right="439" w:firstLine="352"/>
        <w:spacing w:after="0" w:line="279" w:lineRule="auto"/>
        <w:tabs>
          <w:tab w:leader="none" w:pos="14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63" w:lineRule="exact"/>
        <w:rPr>
          <w:rFonts w:ascii="Arial" w:cs="Arial" w:eastAsia="Arial" w:hAnsi="Arial"/>
          <w:sz w:val="17"/>
          <w:szCs w:val="17"/>
          <w:color w:val="auto"/>
        </w:rPr>
      </w:pPr>
    </w:p>
    <w:p>
      <w:pPr>
        <w:ind w:left="660" w:right="299" w:firstLine="352"/>
        <w:spacing w:after="0" w:line="271" w:lineRule="auto"/>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134" w:lineRule="exact"/>
        <w:rPr>
          <w:sz w:val="20"/>
          <w:szCs w:val="20"/>
          <w:color w:val="auto"/>
        </w:rPr>
      </w:pPr>
    </w:p>
    <w:p>
      <w:pPr>
        <w:ind w:left="1400" w:hanging="388"/>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when, to whom and in what types and amounts Awards should be granted;</w:t>
      </w:r>
    </w:p>
    <w:p>
      <w:pPr>
        <w:spacing w:after="0" w:line="117" w:lineRule="exact"/>
        <w:rPr>
          <w:rFonts w:ascii="Arial" w:cs="Arial" w:eastAsia="Arial" w:hAnsi="Arial"/>
          <w:sz w:val="18"/>
          <w:szCs w:val="18"/>
          <w:color w:val="auto"/>
        </w:rPr>
      </w:pPr>
    </w:p>
    <w:p>
      <w:pPr>
        <w:ind w:left="660" w:right="419" w:firstLine="352"/>
        <w:spacing w:after="0" w:line="291" w:lineRule="auto"/>
        <w:tabs>
          <w:tab w:leader="none" w:pos="141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58" w:lineRule="exact"/>
        <w:rPr>
          <w:rFonts w:ascii="Arial" w:cs="Arial" w:eastAsia="Arial" w:hAnsi="Arial"/>
          <w:sz w:val="16"/>
          <w:szCs w:val="16"/>
          <w:color w:val="auto"/>
        </w:rPr>
      </w:pPr>
    </w:p>
    <w:p>
      <w:pPr>
        <w:ind w:left="660" w:right="459" w:firstLine="352"/>
        <w:spacing w:after="0" w:line="263" w:lineRule="auto"/>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75" w:lineRule="exact"/>
        <w:rPr>
          <w:rFonts w:ascii="Arial" w:cs="Arial" w:eastAsia="Arial" w:hAnsi="Arial"/>
          <w:sz w:val="18"/>
          <w:szCs w:val="18"/>
          <w:color w:val="auto"/>
        </w:rPr>
      </w:pPr>
    </w:p>
    <w:p>
      <w:pPr>
        <w:ind w:left="660" w:right="479" w:firstLine="352"/>
        <w:spacing w:after="0" w:line="263" w:lineRule="auto"/>
        <w:tabs>
          <w:tab w:leader="none" w:pos="14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16" w:lineRule="exact"/>
        <w:rPr>
          <w:rFonts w:ascii="Arial" w:cs="Arial" w:eastAsia="Arial" w:hAnsi="Arial"/>
          <w:sz w:val="18"/>
          <w:szCs w:val="18"/>
          <w:color w:val="auto"/>
        </w:rPr>
      </w:pPr>
    </w:p>
    <w:p>
      <w:pPr>
        <w:ind w:left="1400" w:hanging="388"/>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the Term of any Option or SAR;</w:t>
      </w:r>
    </w:p>
    <w:p>
      <w:pPr>
        <w:spacing w:after="0" w:line="117" w:lineRule="exact"/>
        <w:rPr>
          <w:rFonts w:ascii="Arial" w:cs="Arial" w:eastAsia="Arial" w:hAnsi="Arial"/>
          <w:sz w:val="18"/>
          <w:szCs w:val="18"/>
          <w:color w:val="auto"/>
        </w:rPr>
      </w:pPr>
    </w:p>
    <w:p>
      <w:pPr>
        <w:ind w:left="660" w:right="499" w:firstLine="352"/>
        <w:spacing w:after="0" w:line="259" w:lineRule="auto"/>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78" w:lineRule="exact"/>
        <w:rPr>
          <w:rFonts w:ascii="Arial" w:cs="Arial" w:eastAsia="Arial" w:hAnsi="Arial"/>
          <w:sz w:val="18"/>
          <w:szCs w:val="18"/>
          <w:color w:val="auto"/>
        </w:rPr>
      </w:pPr>
    </w:p>
    <w:p>
      <w:pPr>
        <w:ind w:left="660" w:right="459" w:firstLine="352"/>
        <w:spacing w:after="0" w:line="275" w:lineRule="auto"/>
        <w:tabs>
          <w:tab w:leader="none" w:pos="141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68" w:lineRule="exact"/>
        <w:rPr>
          <w:rFonts w:ascii="Arial" w:cs="Arial" w:eastAsia="Arial" w:hAnsi="Arial"/>
          <w:sz w:val="17"/>
          <w:szCs w:val="17"/>
          <w:color w:val="auto"/>
        </w:rPr>
      </w:pPr>
    </w:p>
    <w:p>
      <w:pPr>
        <w:jc w:val="both"/>
        <w:ind w:left="660" w:right="319" w:firstLine="352"/>
        <w:spacing w:after="0" w:line="259" w:lineRule="auto"/>
        <w:tabs>
          <w:tab w:leader="none" w:pos="14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78" w:lineRule="exact"/>
        <w:rPr>
          <w:rFonts w:ascii="Arial" w:cs="Arial" w:eastAsia="Arial" w:hAnsi="Arial"/>
          <w:sz w:val="18"/>
          <w:szCs w:val="18"/>
          <w:color w:val="auto"/>
        </w:rPr>
      </w:pPr>
    </w:p>
    <w:p>
      <w:pPr>
        <w:ind w:left="1360" w:hanging="348"/>
        <w:spacing w:after="0"/>
        <w:tabs>
          <w:tab w:leader="none" w:pos="1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offer to exchange or buy out any previously granted Award for a payment in cash, Shares or other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102" w:lineRule="exact"/>
        <w:rPr>
          <w:rFonts w:ascii="Arial" w:cs="Arial" w:eastAsia="Arial" w:hAnsi="Arial"/>
          <w:sz w:val="16"/>
          <w:szCs w:val="16"/>
          <w:color w:val="auto"/>
        </w:rPr>
      </w:pPr>
    </w:p>
    <w:p>
      <w:pPr>
        <w:ind w:left="660" w:right="539" w:firstLine="352"/>
        <w:spacing w:after="0" w:line="277" w:lineRule="auto"/>
        <w:tabs>
          <w:tab w:leader="none" w:pos="13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construe and interpret the Plan and to make all determinations, including factual determinations, necessary or advisable for the administration of the Plan;</w:t>
      </w:r>
    </w:p>
    <w:p>
      <w:pPr>
        <w:spacing w:after="0" w:line="102" w:lineRule="exact"/>
        <w:rPr>
          <w:rFonts w:ascii="Arial" w:cs="Arial" w:eastAsia="Arial" w:hAnsi="Arial"/>
          <w:sz w:val="18"/>
          <w:szCs w:val="18"/>
          <w:color w:val="auto"/>
        </w:rPr>
      </w:pPr>
    </w:p>
    <w:p>
      <w:pPr>
        <w:ind w:left="1400" w:hanging="388"/>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amend, suspend, waive and rescind rules and regulations relating to the Plan;</w:t>
      </w:r>
    </w:p>
    <w:p>
      <w:pPr>
        <w:spacing w:after="0" w:line="171" w:lineRule="exact"/>
        <w:rPr>
          <w:rFonts w:ascii="Arial" w:cs="Arial" w:eastAsia="Arial" w:hAnsi="Arial"/>
          <w:sz w:val="18"/>
          <w:szCs w:val="18"/>
          <w:color w:val="auto"/>
        </w:rPr>
      </w:pPr>
    </w:p>
    <w:p>
      <w:pPr>
        <w:ind w:left="1360" w:hanging="348"/>
        <w:spacing w:after="0"/>
        <w:tabs>
          <w:tab w:leader="none" w:pos="1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appoint such agents as the Committee may deem necessary or advisable to administer the Plan;</w:t>
      </w:r>
    </w:p>
    <w:p>
      <w:pPr>
        <w:spacing w:after="0" w:line="140" w:lineRule="exact"/>
        <w:rPr>
          <w:rFonts w:ascii="Arial" w:cs="Arial" w:eastAsia="Arial" w:hAnsi="Arial"/>
          <w:sz w:val="16"/>
          <w:szCs w:val="16"/>
          <w:color w:val="auto"/>
        </w:rPr>
      </w:pPr>
    </w:p>
    <w:p>
      <w:pPr>
        <w:ind w:left="660" w:right="339" w:firstLine="352"/>
        <w:spacing w:after="0" w:line="291" w:lineRule="auto"/>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 (ii) 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1099" w:firstLine="352"/>
        <w:spacing w:after="0" w:line="277" w:lineRule="auto"/>
        <w:tabs>
          <w:tab w:leader="none" w:pos="14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cancel, with the consent of the Grantee, outstanding Awards and to grant new Awards in substitution therefor;</w:t>
      </w:r>
    </w:p>
    <w:p>
      <w:pPr>
        <w:spacing w:after="0" w:line="62" w:lineRule="exact"/>
        <w:rPr>
          <w:rFonts w:ascii="Arial" w:cs="Arial" w:eastAsia="Arial" w:hAnsi="Arial"/>
          <w:sz w:val="18"/>
          <w:szCs w:val="18"/>
          <w:color w:val="auto"/>
        </w:rPr>
      </w:pPr>
    </w:p>
    <w:p>
      <w:pPr>
        <w:ind w:left="660" w:right="339" w:firstLine="352"/>
        <w:spacing w:after="0" w:line="263" w:lineRule="auto"/>
        <w:tabs>
          <w:tab w:leader="none" w:pos="14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75" w:lineRule="exact"/>
        <w:rPr>
          <w:rFonts w:ascii="Arial" w:cs="Arial" w:eastAsia="Arial" w:hAnsi="Arial"/>
          <w:sz w:val="18"/>
          <w:szCs w:val="18"/>
          <w:color w:val="auto"/>
        </w:rPr>
      </w:pPr>
    </w:p>
    <w:p>
      <w:pPr>
        <w:ind w:left="660" w:right="679" w:firstLine="352"/>
        <w:spacing w:after="0" w:line="259" w:lineRule="auto"/>
        <w:tabs>
          <w:tab w:leader="none" w:pos="14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78" w:lineRule="exact"/>
        <w:rPr>
          <w:rFonts w:ascii="Arial" w:cs="Arial" w:eastAsia="Arial" w:hAnsi="Arial"/>
          <w:sz w:val="18"/>
          <w:szCs w:val="18"/>
          <w:color w:val="auto"/>
        </w:rPr>
      </w:pPr>
    </w:p>
    <w:p>
      <w:pPr>
        <w:jc w:val="both"/>
        <w:ind w:left="660" w:right="719" w:firstLine="352"/>
        <w:spacing w:after="0" w:line="263" w:lineRule="auto"/>
        <w:tabs>
          <w:tab w:leader="none" w:pos="14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75" w:lineRule="exact"/>
        <w:rPr>
          <w:rFonts w:ascii="Arial" w:cs="Arial" w:eastAsia="Arial" w:hAnsi="Arial"/>
          <w:sz w:val="18"/>
          <w:szCs w:val="18"/>
          <w:color w:val="auto"/>
        </w:rPr>
      </w:pPr>
    </w:p>
    <w:p>
      <w:pPr>
        <w:ind w:left="660" w:right="339" w:firstLine="352"/>
        <w:spacing w:after="0" w:line="263" w:lineRule="auto"/>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76"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58"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Repricings</w:t>
      </w:r>
      <w:r>
        <w:rPr>
          <w:rFonts w:ascii="Arial" w:cs="Arial" w:eastAsia="Arial" w:hAnsi="Arial"/>
          <w:sz w:val="16"/>
          <w:szCs w:val="16"/>
          <w:color w:val="auto"/>
        </w:rPr>
        <w:t>. Notwithstanding any provision in Section 3.2 to the contrary, the terms of any outstanding Option or SAR may not be amended to reduce the Exercise Price of such Option or SAR or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103" w:lineRule="exact"/>
        <w:rPr>
          <w:sz w:val="20"/>
          <w:szCs w:val="20"/>
          <w:color w:val="auto"/>
        </w:rPr>
      </w:pPr>
    </w:p>
    <w:p>
      <w:pPr>
        <w:ind w:left="300" w:right="559" w:firstLine="36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 Available for Grants</w:t>
      </w:r>
      <w:r>
        <w:rPr>
          <w:rFonts w:ascii="Arial" w:cs="Arial" w:eastAsia="Arial" w:hAnsi="Arial"/>
          <w:sz w:val="18"/>
          <w:szCs w:val="18"/>
          <w:color w:val="auto"/>
        </w:rPr>
        <w:t>. Subject to adjustment as provided in Section 4.2 and except as provided in Section 5.6(b), the maximum number of Shares hereby reserved for delivery under the Plan shall be 7,000,000 Shares. Up to a maximum of 7,000,000 Shares may be delivered pursuant to the exercise of Incentive Stock Options granted hereunder.</w:t>
      </w:r>
    </w:p>
    <w:p>
      <w:pPr>
        <w:spacing w:after="0" w:line="79"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If any Shares subject to an Award granted hereunder (other than a Substitute Award granted pursuant to Section 5.6(b)) are forfeited or such Award otherwise terminates without payment or delivery of such Shares or if such Award is settled in cash, the Shares subject to such Award, to the extent of any such forfeiture, termination or cash settlement, shall again be available for grant under the Plan. 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79" w:firstLine="360"/>
        <w:spacing w:after="0" w:line="263" w:lineRule="auto"/>
        <w:rPr>
          <w:sz w:val="20"/>
          <w:szCs w:val="20"/>
          <w:color w:val="auto"/>
        </w:rPr>
      </w:pPr>
      <w:r>
        <w:rPr>
          <w:rFonts w:ascii="Arial" w:cs="Arial" w:eastAsia="Arial" w:hAnsi="Arial"/>
          <w:sz w:val="18"/>
          <w:szCs w:val="18"/>
          <w:color w:val="auto"/>
        </w:rPr>
        <w:t>The number of Shares available for issuance under the Plan may not be increased through the Company’s purchase of Shares on the open market with the proceeds obtained from the exercise of any Options granted hereunder.</w:t>
      </w:r>
    </w:p>
    <w:p>
      <w:pPr>
        <w:spacing w:after="0" w:line="76"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11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Adjustments in Authorized Shares and Awards; Corporate Transaction, Liquidation or Dissolution</w:t>
      </w:r>
      <w:r>
        <w:rPr>
          <w:rFonts w:ascii="Arial" w:cs="Arial" w:eastAsia="Arial" w:hAnsi="Arial"/>
          <w:sz w:val="16"/>
          <w:szCs w:val="16"/>
          <w:color w:val="auto"/>
        </w:rPr>
        <w:t>.</w:t>
      </w:r>
    </w:p>
    <w:p>
      <w:pPr>
        <w:spacing w:after="0" w:line="117" w:lineRule="exact"/>
        <w:rPr>
          <w:sz w:val="20"/>
          <w:szCs w:val="20"/>
          <w:color w:val="auto"/>
        </w:rPr>
      </w:pPr>
    </w:p>
    <w:p>
      <w:pPr>
        <w:ind w:left="660" w:right="319" w:firstLine="352"/>
        <w:spacing w:after="0" w:line="285" w:lineRule="auto"/>
        <w:tabs>
          <w:tab w:leader="none" w:pos="1399"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Adjustment in Authorized Shares and Awards</w:t>
      </w:r>
      <w:r>
        <w:rPr>
          <w:rFonts w:ascii="Arial" w:cs="Arial" w:eastAsia="Arial" w:hAnsi="Arial"/>
          <w:sz w:val="16"/>
          <w:szCs w:val="16"/>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number of Shares subject to any Award denominated in Shares shall always be a whole number.</w:t>
      </w:r>
    </w:p>
    <w:p>
      <w:pPr>
        <w:spacing w:after="0" w:line="65" w:lineRule="exact"/>
        <w:rPr>
          <w:rFonts w:ascii="Arial" w:cs="Arial" w:eastAsia="Arial" w:hAnsi="Arial"/>
          <w:sz w:val="16"/>
          <w:szCs w:val="16"/>
          <w:color w:val="auto"/>
        </w:rPr>
      </w:pPr>
    </w:p>
    <w:p>
      <w:pPr>
        <w:ind w:left="660" w:right="319" w:firstLine="352"/>
        <w:spacing w:after="0" w:line="267" w:lineRule="auto"/>
        <w:tabs>
          <w:tab w:leader="none" w:pos="141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Merger, Consolidation or Similar Corporate Transaction</w:t>
      </w:r>
      <w:r>
        <w:rPr>
          <w:rFonts w:ascii="Arial" w:cs="Arial" w:eastAsia="Arial" w:hAnsi="Arial"/>
          <w:sz w:val="17"/>
          <w:szCs w:val="17"/>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81" w:lineRule="exact"/>
        <w:rPr>
          <w:rFonts w:ascii="Arial" w:cs="Arial" w:eastAsia="Arial" w:hAnsi="Arial"/>
          <w:sz w:val="17"/>
          <w:szCs w:val="17"/>
          <w:color w:val="auto"/>
        </w:rPr>
      </w:pPr>
    </w:p>
    <w:p>
      <w:pPr>
        <w:ind w:left="660" w:right="339" w:firstLine="352"/>
        <w:spacing w:after="0" w:line="271" w:lineRule="auto"/>
        <w:tabs>
          <w:tab w:leader="none" w:pos="1399"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Liquidation or Dissolution of the Company</w:t>
      </w:r>
      <w:r>
        <w:rPr>
          <w:rFonts w:ascii="Arial" w:cs="Arial" w:eastAsia="Arial" w:hAnsi="Arial"/>
          <w:sz w:val="17"/>
          <w:szCs w:val="17"/>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339" w:firstLine="352"/>
        <w:spacing w:after="0" w:line="279" w:lineRule="auto"/>
        <w:tabs>
          <w:tab w:leader="none" w:pos="141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Deferred Compensation</w:t>
      </w:r>
      <w:r>
        <w:rPr>
          <w:rFonts w:ascii="Arial" w:cs="Arial" w:eastAsia="Arial" w:hAnsi="Arial"/>
          <w:sz w:val="17"/>
          <w:szCs w:val="17"/>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General Conditions of Awards</w:t>
      </w:r>
    </w:p>
    <w:p>
      <w:pPr>
        <w:spacing w:after="0" w:line="10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76"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Award Agreement</w:t>
      </w:r>
      <w:r>
        <w:rPr>
          <w:rFonts w:ascii="Arial" w:cs="Arial" w:eastAsia="Arial" w:hAnsi="Arial"/>
          <w:sz w:val="18"/>
          <w:szCs w:val="18"/>
          <w:color w:val="auto"/>
        </w:rPr>
        <w:t>. To the extent not set forth in the Plan, the terms and conditions of each Award shall be set forth in an Award Agreement.</w:t>
      </w:r>
    </w:p>
    <w:p>
      <w:pPr>
        <w:spacing w:after="0" w:line="62"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General Terms and Termination of Affiliation</w:t>
      </w:r>
      <w:r>
        <w:rPr>
          <w:rFonts w:ascii="Arial" w:cs="Arial" w:eastAsia="Arial" w:hAnsi="Arial"/>
          <w:sz w:val="17"/>
          <w:szCs w:val="17"/>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unless the Committee accelerates vesting of such Awards within thirty (30) days after such Grantee’s Termination of Affiliation and (b) all outstanding Options and SARs not previously exercised shall expire three months after the Grantee’s Termination of Affiliation.</w:t>
      </w:r>
    </w:p>
    <w:p>
      <w:pPr>
        <w:spacing w:after="0" w:line="1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Nontransferability of Awards</w:t>
      </w:r>
      <w:r>
        <w:rPr>
          <w:rFonts w:ascii="Arial" w:cs="Arial" w:eastAsia="Arial" w:hAnsi="Arial"/>
          <w:sz w:val="16"/>
          <w:szCs w:val="16"/>
          <w:color w:val="auto"/>
        </w:rPr>
        <w:t>.</w:t>
      </w:r>
    </w:p>
    <w:p>
      <w:pPr>
        <w:spacing w:after="0" w:line="117" w:lineRule="exact"/>
        <w:rPr>
          <w:sz w:val="20"/>
          <w:szCs w:val="20"/>
          <w:color w:val="auto"/>
        </w:rPr>
      </w:pPr>
    </w:p>
    <w:p>
      <w:pPr>
        <w:ind w:left="660" w:right="339" w:firstLine="352"/>
        <w:spacing w:after="0" w:line="257"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79" w:lineRule="exact"/>
        <w:rPr>
          <w:rFonts w:ascii="Arial" w:cs="Arial" w:eastAsia="Arial" w:hAnsi="Arial"/>
          <w:sz w:val="18"/>
          <w:szCs w:val="18"/>
          <w:color w:val="auto"/>
        </w:rPr>
      </w:pPr>
    </w:p>
    <w:p>
      <w:pPr>
        <w:ind w:left="660" w:right="399" w:firstLine="352"/>
        <w:spacing w:after="0" w:line="291" w:lineRule="auto"/>
        <w:tabs>
          <w:tab w:leader="none" w:pos="14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58" w:lineRule="exact"/>
        <w:rPr>
          <w:rFonts w:ascii="Arial" w:cs="Arial" w:eastAsia="Arial" w:hAnsi="Arial"/>
          <w:sz w:val="16"/>
          <w:szCs w:val="16"/>
          <w:color w:val="auto"/>
        </w:rPr>
      </w:pPr>
    </w:p>
    <w:p>
      <w:pPr>
        <w:ind w:left="660" w:right="319" w:firstLine="352"/>
        <w:spacing w:after="0" w:line="286" w:lineRule="auto"/>
        <w:tabs>
          <w:tab w:leader="none" w:pos="1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311" w:lineRule="auto"/>
        <w:rPr>
          <w:sz w:val="20"/>
          <w:szCs w:val="20"/>
          <w:color w:val="auto"/>
        </w:rPr>
      </w:pPr>
      <w:r>
        <w:rPr>
          <w:rFonts w:ascii="Arial" w:cs="Arial" w:eastAsia="Arial" w:hAnsi="Arial"/>
          <w:sz w:val="16"/>
          <w:szCs w:val="16"/>
          <w:color w:val="auto"/>
        </w:rPr>
        <w:t>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41" w:lineRule="exact"/>
        <w:rPr>
          <w:sz w:val="20"/>
          <w:szCs w:val="20"/>
          <w:color w:val="auto"/>
        </w:rPr>
      </w:pPr>
    </w:p>
    <w:p>
      <w:pPr>
        <w:ind w:left="660" w:right="399" w:firstLine="352"/>
        <w:spacing w:after="0" w:line="277" w:lineRule="auto"/>
        <w:tabs>
          <w:tab w:leader="none" w:pos="14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Nothing herein shall be construed as requiring the Committee to honor a QDRO except to the extent required under applicable law.</w:t>
      </w:r>
    </w:p>
    <w:p>
      <w:pPr>
        <w:spacing w:after="0" w:line="62"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3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Stand-Alone, Tandem and Substitute Awards</w:t>
      </w:r>
      <w:r>
        <w:rPr>
          <w:rFonts w:ascii="Arial" w:cs="Arial" w:eastAsia="Arial" w:hAnsi="Arial"/>
          <w:sz w:val="16"/>
          <w:szCs w:val="16"/>
          <w:color w:val="auto"/>
        </w:rPr>
        <w:t>.</w:t>
      </w:r>
    </w:p>
    <w:p>
      <w:pPr>
        <w:spacing w:after="0" w:line="117" w:lineRule="exact"/>
        <w:rPr>
          <w:sz w:val="20"/>
          <w:szCs w:val="20"/>
          <w:color w:val="auto"/>
        </w:rPr>
      </w:pPr>
    </w:p>
    <w:p>
      <w:pPr>
        <w:ind w:left="660" w:right="299" w:firstLine="352"/>
        <w:spacing w:after="0" w:line="269" w:lineRule="auto"/>
        <w:tabs>
          <w:tab w:leader="none" w:pos="139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77" w:lineRule="exact"/>
        <w:rPr>
          <w:rFonts w:ascii="Arial" w:cs="Arial" w:eastAsia="Arial" w:hAnsi="Arial"/>
          <w:sz w:val="17"/>
          <w:szCs w:val="17"/>
          <w:color w:val="auto"/>
        </w:rPr>
      </w:pPr>
    </w:p>
    <w:p>
      <w:pPr>
        <w:ind w:left="660" w:right="319" w:firstLine="352"/>
        <w:spacing w:after="0" w:line="288" w:lineRule="auto"/>
        <w:tabs>
          <w:tab w:leader="none" w:pos="140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8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Compliance with Rule 16b-3</w:t>
      </w:r>
      <w:r>
        <w:rPr>
          <w:rFonts w:ascii="Arial" w:cs="Arial" w:eastAsia="Arial" w:hAnsi="Arial"/>
          <w:sz w:val="16"/>
          <w:szCs w:val="16"/>
          <w:color w:val="auto"/>
        </w:rPr>
        <w:t>.</w:t>
      </w:r>
    </w:p>
    <w:p>
      <w:pPr>
        <w:spacing w:after="0" w:line="117" w:lineRule="exact"/>
        <w:rPr>
          <w:sz w:val="20"/>
          <w:szCs w:val="20"/>
          <w:color w:val="auto"/>
        </w:rPr>
      </w:pPr>
    </w:p>
    <w:p>
      <w:pPr>
        <w:ind w:left="660" w:right="359" w:firstLine="352"/>
        <w:spacing w:after="0" w:line="271" w:lineRule="auto"/>
        <w:tabs>
          <w:tab w:leader="none" w:pos="1399"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Six-Month Holding Period Advice</w:t>
      </w:r>
      <w:r>
        <w:rPr>
          <w:rFonts w:ascii="Arial" w:cs="Arial" w:eastAsia="Arial" w:hAnsi="Arial"/>
          <w:sz w:val="17"/>
          <w:szCs w:val="17"/>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70" w:lineRule="exact"/>
        <w:rPr>
          <w:rFonts w:ascii="Arial" w:cs="Arial" w:eastAsia="Arial" w:hAnsi="Arial"/>
          <w:sz w:val="17"/>
          <w:szCs w:val="17"/>
          <w:color w:val="auto"/>
        </w:rPr>
      </w:pPr>
    </w:p>
    <w:p>
      <w:pPr>
        <w:ind w:left="660" w:right="339" w:firstLine="352"/>
        <w:spacing w:after="0" w:line="291" w:lineRule="auto"/>
        <w:tabs>
          <w:tab w:leader="none" w:pos="141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Reformation to Comply with Exchange Act Rules</w:t>
      </w:r>
      <w:r>
        <w:rPr>
          <w:rFonts w:ascii="Arial" w:cs="Arial" w:eastAsia="Arial" w:hAnsi="Arial"/>
          <w:sz w:val="16"/>
          <w:szCs w:val="16"/>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58" w:lineRule="exact"/>
        <w:rPr>
          <w:rFonts w:ascii="Arial" w:cs="Arial" w:eastAsia="Arial" w:hAnsi="Arial"/>
          <w:sz w:val="16"/>
          <w:szCs w:val="16"/>
          <w:color w:val="auto"/>
        </w:rPr>
      </w:pPr>
    </w:p>
    <w:p>
      <w:pPr>
        <w:ind w:left="660" w:right="519" w:firstLine="352"/>
        <w:spacing w:after="0" w:line="308" w:lineRule="auto"/>
        <w:tabs>
          <w:tab w:leader="none" w:pos="1399"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Rule 16b-3 Administration</w:t>
      </w:r>
      <w:r>
        <w:rPr>
          <w:rFonts w:ascii="Arial" w:cs="Arial" w:eastAsia="Arial" w:hAnsi="Arial"/>
          <w:sz w:val="17"/>
          <w:szCs w:val="17"/>
          <w:color w:val="auto"/>
        </w:rPr>
        <w:t>. Any function relating to a Section 16 Person shall be performed solely by the Committee or the Board if necessary to ensure compliance with applicable requirements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379"/>
        <w:spacing w:after="0" w:line="296" w:lineRule="auto"/>
        <w:rPr>
          <w:sz w:val="20"/>
          <w:szCs w:val="20"/>
          <w:color w:val="auto"/>
        </w:rPr>
      </w:pPr>
      <w:r>
        <w:rPr>
          <w:rFonts w:ascii="Arial" w:cs="Arial" w:eastAsia="Arial" w:hAnsi="Arial"/>
          <w:sz w:val="16"/>
          <w:szCs w:val="16"/>
          <w:color w:val="auto"/>
        </w:rPr>
        <w:t>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53"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Deferral of Award Payouts</w:t>
      </w:r>
      <w:r>
        <w:rPr>
          <w:rFonts w:ascii="Arial" w:cs="Arial" w:eastAsia="Arial" w:hAnsi="Arial"/>
          <w:sz w:val="17"/>
          <w:szCs w:val="17"/>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103"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76"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Award Agreement</w:t>
      </w:r>
      <w:r>
        <w:rPr>
          <w:rFonts w:ascii="Arial" w:cs="Arial" w:eastAsia="Arial" w:hAnsi="Arial"/>
          <w:sz w:val="16"/>
          <w:szCs w:val="16"/>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41" w:lineRule="exact"/>
        <w:rPr>
          <w:sz w:val="20"/>
          <w:szCs w:val="20"/>
          <w:color w:val="auto"/>
        </w:rPr>
      </w:pPr>
    </w:p>
    <w:p>
      <w:pPr>
        <w:ind w:left="300" w:right="499" w:firstLine="360"/>
        <w:spacing w:after="0" w:line="34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Option Exercise Price</w:t>
      </w:r>
      <w:r>
        <w:rPr>
          <w:rFonts w:ascii="Arial" w:cs="Arial" w:eastAsia="Arial" w:hAnsi="Arial"/>
          <w:sz w:val="16"/>
          <w:szCs w:val="16"/>
          <w:color w:val="auto"/>
        </w:rPr>
        <w:t>. The Exercise Price of an Option under this Plan shall be determined in the sole discretion of the Committee but may not be less than 100% of the Fair Market Value of a Share on the Grant Date.</w:t>
      </w:r>
    </w:p>
    <w:p>
      <w:pPr>
        <w:spacing w:after="0" w:line="16" w:lineRule="exact"/>
        <w:rPr>
          <w:sz w:val="20"/>
          <w:szCs w:val="20"/>
          <w:color w:val="auto"/>
        </w:rPr>
      </w:pPr>
    </w:p>
    <w:p>
      <w:pPr>
        <w:ind w:left="300" w:right="679" w:firstLine="360"/>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Grant of Incentive Stock Options</w:t>
      </w:r>
      <w:r>
        <w:rPr>
          <w:rFonts w:ascii="Arial" w:cs="Arial" w:eastAsia="Arial" w:hAnsi="Arial"/>
          <w:sz w:val="18"/>
          <w:szCs w:val="18"/>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16" w:lineRule="exact"/>
        <w:rPr>
          <w:sz w:val="20"/>
          <w:szCs w:val="20"/>
          <w:color w:val="auto"/>
        </w:rPr>
      </w:pPr>
    </w:p>
    <w:p>
      <w:pPr>
        <w:ind w:left="1400" w:hanging="388"/>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be granted only to an employee of the Company or a Subsidiary Corporation;</w:t>
      </w:r>
    </w:p>
    <w:p>
      <w:pPr>
        <w:spacing w:after="0" w:line="117" w:lineRule="exact"/>
        <w:rPr>
          <w:rFonts w:ascii="Arial" w:cs="Arial" w:eastAsia="Arial" w:hAnsi="Arial"/>
          <w:sz w:val="18"/>
          <w:szCs w:val="18"/>
          <w:color w:val="auto"/>
        </w:rPr>
      </w:pPr>
    </w:p>
    <w:p>
      <w:pPr>
        <w:ind w:left="660" w:right="399" w:firstLine="352"/>
        <w:spacing w:after="0" w:line="275" w:lineRule="auto"/>
        <w:tabs>
          <w:tab w:leader="none" w:pos="141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68" w:lineRule="exact"/>
        <w:rPr>
          <w:rFonts w:ascii="Arial" w:cs="Arial" w:eastAsia="Arial" w:hAnsi="Arial"/>
          <w:sz w:val="17"/>
          <w:szCs w:val="17"/>
          <w:color w:val="auto"/>
        </w:rPr>
      </w:pPr>
    </w:p>
    <w:p>
      <w:pPr>
        <w:ind w:left="660" w:right="339" w:firstLine="352"/>
        <w:spacing w:after="0" w:line="263"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75" w:lineRule="exact"/>
        <w:rPr>
          <w:rFonts w:ascii="Arial" w:cs="Arial" w:eastAsia="Arial" w:hAnsi="Arial"/>
          <w:sz w:val="18"/>
          <w:szCs w:val="18"/>
          <w:color w:val="auto"/>
        </w:rPr>
      </w:pPr>
    </w:p>
    <w:p>
      <w:pPr>
        <w:ind w:left="660" w:right="399" w:firstLine="352"/>
        <w:spacing w:after="0" w:line="275" w:lineRule="auto"/>
        <w:tabs>
          <w:tab w:leader="none" w:pos="141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68" w:lineRule="exact"/>
        <w:rPr>
          <w:rFonts w:ascii="Arial" w:cs="Arial" w:eastAsia="Arial" w:hAnsi="Arial"/>
          <w:sz w:val="17"/>
          <w:szCs w:val="17"/>
          <w:color w:val="auto"/>
        </w:rPr>
      </w:pPr>
    </w:p>
    <w:p>
      <w:pPr>
        <w:ind w:left="660" w:right="339" w:firstLine="352"/>
        <w:spacing w:after="0" w:line="308" w:lineRule="auto"/>
        <w:tabs>
          <w:tab w:leader="none" w:pos="14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shall, if the aggregate Fair Market Value of the Shares (determined on the Grant Date) with respect to the Current Grant and all Incentive Stock Options previously granted under the Plan and 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539"/>
        <w:spacing w:after="0" w:line="286" w:lineRule="auto"/>
        <w:rPr>
          <w:sz w:val="20"/>
          <w:szCs w:val="20"/>
          <w:color w:val="auto"/>
        </w:rPr>
      </w:pPr>
      <w:r>
        <w:rPr>
          <w:rFonts w:ascii="Arial" w:cs="Arial" w:eastAsia="Arial" w:hAnsi="Arial"/>
          <w:sz w:val="17"/>
          <w:szCs w:val="17"/>
          <w:color w:val="auto"/>
        </w:rPr>
        <w:t>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57" w:lineRule="exact"/>
        <w:rPr>
          <w:sz w:val="20"/>
          <w:szCs w:val="20"/>
          <w:color w:val="auto"/>
        </w:rPr>
      </w:pPr>
    </w:p>
    <w:p>
      <w:pPr>
        <w:ind w:left="660" w:right="319" w:firstLine="352"/>
        <w:spacing w:after="0" w:line="259" w:lineRule="auto"/>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78" w:lineRule="exact"/>
        <w:rPr>
          <w:rFonts w:ascii="Arial" w:cs="Arial" w:eastAsia="Arial" w:hAnsi="Arial"/>
          <w:sz w:val="18"/>
          <w:szCs w:val="18"/>
          <w:color w:val="auto"/>
        </w:rPr>
      </w:pPr>
    </w:p>
    <w:p>
      <w:pPr>
        <w:ind w:left="660" w:right="459" w:firstLine="352"/>
        <w:spacing w:after="0" w:line="301" w:lineRule="auto"/>
        <w:tabs>
          <w:tab w:leader="none" w:pos="14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49" w:lineRule="exact"/>
        <w:rPr>
          <w:rFonts w:ascii="Arial" w:cs="Arial" w:eastAsia="Arial" w:hAnsi="Arial"/>
          <w:sz w:val="16"/>
          <w:szCs w:val="16"/>
          <w:color w:val="auto"/>
        </w:rPr>
      </w:pPr>
    </w:p>
    <w:p>
      <w:pPr>
        <w:ind w:left="660" w:right="379" w:firstLine="352"/>
        <w:spacing w:after="0" w:line="259" w:lineRule="auto"/>
        <w:tabs>
          <w:tab w:leader="none" w:pos="14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79"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76"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119" w:lineRule="exact"/>
        <w:rPr>
          <w:sz w:val="20"/>
          <w:szCs w:val="20"/>
          <w:color w:val="auto"/>
        </w:rPr>
      </w:pPr>
    </w:p>
    <w:p>
      <w:pPr>
        <w:ind w:left="1400" w:hanging="388"/>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personal check or wire transfer;</w:t>
      </w:r>
    </w:p>
    <w:p>
      <w:pPr>
        <w:spacing w:after="0" w:line="117" w:lineRule="exact"/>
        <w:rPr>
          <w:rFonts w:ascii="Arial" w:cs="Arial" w:eastAsia="Arial" w:hAnsi="Arial"/>
          <w:sz w:val="18"/>
          <w:szCs w:val="18"/>
          <w:color w:val="auto"/>
        </w:rPr>
      </w:pPr>
    </w:p>
    <w:p>
      <w:pPr>
        <w:ind w:left="660" w:right="799" w:firstLine="352"/>
        <w:spacing w:after="0" w:line="277" w:lineRule="auto"/>
        <w:tabs>
          <w:tab w:leader="none" w:pos="14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the approval of the Committee, delivery of Common Stock owned by the Grantee prior to exercise, valued at Fair Market Value on the date of exercise;</w:t>
      </w:r>
    </w:p>
    <w:p>
      <w:pPr>
        <w:spacing w:after="0" w:line="62" w:lineRule="exact"/>
        <w:rPr>
          <w:rFonts w:ascii="Arial" w:cs="Arial" w:eastAsia="Arial" w:hAnsi="Arial"/>
          <w:sz w:val="18"/>
          <w:szCs w:val="18"/>
          <w:color w:val="auto"/>
        </w:rPr>
      </w:pPr>
    </w:p>
    <w:p>
      <w:pPr>
        <w:ind w:left="660" w:right="459" w:firstLine="352"/>
        <w:spacing w:after="0" w:line="277"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the approval of the Committee, Shares acquired upon the exercise of such Option, such Shares valued at Fair Market Value on the date of exercise;</w:t>
      </w:r>
    </w:p>
    <w:p>
      <w:pPr>
        <w:spacing w:after="0" w:line="62"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the approval of the Committee, Restricted Shares held by the Grantee prior to the exercise of the Option, valued at Fair Market Value on the date of exercise; or</w:t>
      </w:r>
    </w:p>
    <w:p>
      <w:pPr>
        <w:spacing w:after="0" w:line="62" w:lineRule="exact"/>
        <w:rPr>
          <w:rFonts w:ascii="Arial" w:cs="Arial" w:eastAsia="Arial" w:hAnsi="Arial"/>
          <w:sz w:val="18"/>
          <w:szCs w:val="18"/>
          <w:color w:val="auto"/>
        </w:rPr>
      </w:pPr>
    </w:p>
    <w:p>
      <w:pPr>
        <w:ind w:left="660" w:right="439" w:firstLine="352"/>
        <w:spacing w:after="0" w:line="255"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84"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103"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Issuance</w:t>
      </w:r>
      <w:r>
        <w:rPr>
          <w:rFonts w:ascii="Arial" w:cs="Arial" w:eastAsia="Arial" w:hAnsi="Arial"/>
          <w:sz w:val="16"/>
          <w:szCs w:val="16"/>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Award Agreements</w:t>
      </w:r>
      <w:r>
        <w:rPr>
          <w:rFonts w:ascii="Arial" w:cs="Arial" w:eastAsia="Arial" w:hAnsi="Arial"/>
          <w:sz w:val="18"/>
          <w:szCs w:val="18"/>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76"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SAR Exercise Price</w:t>
      </w:r>
      <w:r>
        <w:rPr>
          <w:rFonts w:ascii="Arial" w:cs="Arial" w:eastAsia="Arial" w:hAnsi="Arial"/>
          <w:sz w:val="18"/>
          <w:szCs w:val="18"/>
          <w:color w:val="auto"/>
        </w:rPr>
        <w:t>. The Exercise Price of a SAR shall be determined by the Committee in its sole discretion; provided that the Exercise Price shall not be less than 100% of the Fair Market Value of a Share on the date of the grant of the SAR.</w:t>
      </w:r>
    </w:p>
    <w:p>
      <w:pPr>
        <w:spacing w:after="0" w:line="76"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Upon the exercise of an SAR, a Grantee shall be entitled to receive payment from the Company in an amount determined by multiplying:</w:t>
      </w:r>
    </w:p>
    <w:p>
      <w:pPr>
        <w:spacing w:after="0" w:line="103" w:lineRule="exact"/>
        <w:rPr>
          <w:sz w:val="20"/>
          <w:szCs w:val="20"/>
          <w:color w:val="auto"/>
        </w:rPr>
      </w:pPr>
    </w:p>
    <w:p>
      <w:pPr>
        <w:ind w:left="1380" w:hanging="368"/>
        <w:spacing w:after="0"/>
        <w:tabs>
          <w:tab w:leader="none" w:pos="1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excess of the Fair Market Value of a Share on the date of exercise over the Exercise Price; by</w:t>
      </w:r>
    </w:p>
    <w:p>
      <w:pPr>
        <w:spacing w:after="0" w:line="180" w:lineRule="exact"/>
        <w:rPr>
          <w:rFonts w:ascii="Arial" w:cs="Arial" w:eastAsia="Arial" w:hAnsi="Arial"/>
          <w:sz w:val="16"/>
          <w:szCs w:val="16"/>
          <w:color w:val="auto"/>
        </w:rPr>
      </w:pPr>
    </w:p>
    <w:p>
      <w:pPr>
        <w:ind w:left="1400" w:hanging="388"/>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17"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Shares</w:t>
      </w:r>
    </w:p>
    <w:p>
      <w:pPr>
        <w:spacing w:after="0" w:line="103"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76"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Award Agreement</w:t>
      </w:r>
      <w:r>
        <w:rPr>
          <w:rFonts w:ascii="Arial" w:cs="Arial" w:eastAsia="Arial" w:hAnsi="Arial"/>
          <w:sz w:val="17"/>
          <w:szCs w:val="17"/>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70"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Consideration for Restricted Shares</w:t>
      </w:r>
      <w:r>
        <w:rPr>
          <w:rFonts w:ascii="Arial" w:cs="Arial" w:eastAsia="Arial" w:hAnsi="Arial"/>
          <w:sz w:val="18"/>
          <w:szCs w:val="18"/>
          <w:color w:val="auto"/>
        </w:rPr>
        <w:t>. The Committee shall determine the amount, if any, that a Grantee shall pay for Restricted Shares.</w:t>
      </w:r>
    </w:p>
    <w:p>
      <w:pPr>
        <w:spacing w:after="0" w:line="62"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Effect of Forfeiture</w:t>
      </w:r>
      <w:r>
        <w:rPr>
          <w:rFonts w:ascii="Arial" w:cs="Arial" w:eastAsia="Arial" w:hAnsi="Arial"/>
          <w:sz w:val="17"/>
          <w:szCs w:val="17"/>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70" w:lineRule="exact"/>
        <w:rPr>
          <w:sz w:val="20"/>
          <w:szCs w:val="20"/>
          <w:color w:val="auto"/>
        </w:rPr>
      </w:pPr>
    </w:p>
    <w:p>
      <w:pPr>
        <w:ind w:left="300" w:right="299" w:firstLine="360"/>
        <w:spacing w:after="0" w:line="29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Escrow; Legends</w:t>
      </w:r>
      <w:r>
        <w:rPr>
          <w:rFonts w:ascii="Arial" w:cs="Arial" w:eastAsia="Arial" w:hAnsi="Arial"/>
          <w:sz w:val="16"/>
          <w:szCs w:val="16"/>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 (y) shall bear an appropriate legend restricting the transfer of such Restricted Shares under the Plan. If any Restricted Shares become nonforfeitable, the Company shall cause certificates for such shares to be delivered without such legend.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Units and Performance Shares</w:t>
      </w:r>
    </w:p>
    <w:p>
      <w:pPr>
        <w:spacing w:after="0" w:line="103" w:lineRule="exact"/>
        <w:rPr>
          <w:sz w:val="20"/>
          <w:szCs w:val="20"/>
          <w:color w:val="auto"/>
        </w:rPr>
      </w:pPr>
    </w:p>
    <w:p>
      <w:pPr>
        <w:ind w:left="300" w:right="399" w:firstLine="360"/>
        <w:spacing w:after="0" w:line="28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Grant of Performance Units and Performance Shares</w:t>
      </w:r>
      <w:r>
        <w:rPr>
          <w:rFonts w:ascii="Arial" w:cs="Arial" w:eastAsia="Arial" w:hAnsi="Arial"/>
          <w:sz w:val="17"/>
          <w:szCs w:val="17"/>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76" w:lineRule="exact"/>
        <w:rPr>
          <w:sz w:val="20"/>
          <w:szCs w:val="20"/>
          <w:color w:val="auto"/>
        </w:rPr>
      </w:pPr>
    </w:p>
    <w:p>
      <w:pPr>
        <w:ind w:left="660" w:right="859" w:firstLine="352"/>
        <w:spacing w:after="0" w:line="277" w:lineRule="auto"/>
        <w:tabs>
          <w:tab w:leader="none" w:pos="139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Performance Unit</w:t>
      </w:r>
      <w:r>
        <w:rPr>
          <w:rFonts w:ascii="Arial" w:cs="Arial" w:eastAsia="Arial" w:hAnsi="Arial"/>
          <w:sz w:val="18"/>
          <w:szCs w:val="18"/>
          <w:color w:val="auto"/>
        </w:rPr>
        <w:t>. Each Performance Unit shall have an initial value that is established by the Committee at the time of grant.</w:t>
      </w:r>
    </w:p>
    <w:p>
      <w:pPr>
        <w:spacing w:after="0" w:line="62" w:lineRule="exact"/>
        <w:rPr>
          <w:rFonts w:ascii="Arial" w:cs="Arial" w:eastAsia="Arial" w:hAnsi="Arial"/>
          <w:sz w:val="18"/>
          <w:szCs w:val="18"/>
          <w:color w:val="auto"/>
        </w:rPr>
      </w:pPr>
    </w:p>
    <w:p>
      <w:pPr>
        <w:ind w:left="660" w:right="699" w:firstLine="352"/>
        <w:spacing w:after="0" w:line="277" w:lineRule="auto"/>
        <w:tabs>
          <w:tab w:leader="none" w:pos="141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Performance Share</w:t>
      </w:r>
      <w:r>
        <w:rPr>
          <w:rFonts w:ascii="Arial" w:cs="Arial" w:eastAsia="Arial" w:hAnsi="Arial"/>
          <w:sz w:val="18"/>
          <w:szCs w:val="18"/>
          <w:color w:val="auto"/>
        </w:rPr>
        <w:t>. Each Performance Share shall have an initial value equal to the Fair Market Value of a Share on the date of grant.</w:t>
      </w:r>
    </w:p>
    <w:p>
      <w:pPr>
        <w:spacing w:after="0" w:line="62" w:lineRule="exact"/>
        <w:rPr>
          <w:sz w:val="20"/>
          <w:szCs w:val="20"/>
          <w:color w:val="auto"/>
        </w:rPr>
      </w:pPr>
    </w:p>
    <w:p>
      <w:pPr>
        <w:jc w:val="both"/>
        <w:ind w:left="300" w:right="639" w:firstLine="360"/>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Earning of Performance Units and Performance Shares</w:t>
      </w:r>
      <w:r>
        <w:rPr>
          <w:rFonts w:ascii="Arial" w:cs="Arial" w:eastAsia="Arial" w:hAnsi="Arial"/>
          <w:sz w:val="18"/>
          <w:szCs w:val="18"/>
          <w:color w:val="auto"/>
        </w:rPr>
        <w:t>. After the applicable Performance Period has ended, the holder of Performance Units or Performance Shares shall be entitled to payment based on the level of achievement of performance goals set by the Committee.</w:t>
      </w:r>
    </w:p>
    <w:p>
      <w:pPr>
        <w:spacing w:after="0" w:line="76"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At the discretion of the Committee, the settlement of Performance Units or Performance Shares may be in cash, Shares of equivalent value, or in some combination thereof, as set forth in the Award Agreement.</w:t>
      </w:r>
    </w:p>
    <w:p>
      <w:pPr>
        <w:spacing w:after="0" w:line="38" w:lineRule="exact"/>
        <w:rPr>
          <w:sz w:val="20"/>
          <w:szCs w:val="20"/>
          <w:color w:val="auto"/>
        </w:rPr>
      </w:pPr>
    </w:p>
    <w:p>
      <w:pPr>
        <w:ind w:left="300" w:right="559" w:firstLine="360"/>
        <w:spacing w:after="0" w:line="296" w:lineRule="auto"/>
        <w:rPr>
          <w:sz w:val="20"/>
          <w:szCs w:val="20"/>
          <w:color w:val="auto"/>
        </w:rPr>
      </w:pPr>
      <w:r>
        <w:rPr>
          <w:rFonts w:ascii="Arial" w:cs="Arial" w:eastAsia="Arial" w:hAnsi="Arial"/>
          <w:sz w:val="16"/>
          <w:szCs w:val="16"/>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53"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and Restricted Stock Units</w:t>
      </w:r>
    </w:p>
    <w:p>
      <w:pPr>
        <w:spacing w:after="0" w:line="103"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Deferred Stock and Restricted Stock Units</w:t>
      </w:r>
      <w:r>
        <w:rPr>
          <w:rFonts w:ascii="Arial" w:cs="Arial" w:eastAsia="Arial" w:hAnsi="Arial"/>
          <w:sz w:val="18"/>
          <w:szCs w:val="18"/>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Vesting and Delivery</w:t>
      </w:r>
      <w:r>
        <w:rPr>
          <w:rFonts w:ascii="Arial" w:cs="Arial" w:eastAsia="Arial" w:hAnsi="Arial"/>
          <w:sz w:val="16"/>
          <w:szCs w:val="16"/>
          <w:color w:val="auto"/>
        </w:rPr>
        <w:t>.</w:t>
      </w:r>
    </w:p>
    <w:p>
      <w:pPr>
        <w:spacing w:after="0" w:line="117" w:lineRule="exact"/>
        <w:rPr>
          <w:sz w:val="20"/>
          <w:szCs w:val="20"/>
          <w:color w:val="auto"/>
        </w:rPr>
      </w:pPr>
    </w:p>
    <w:p>
      <w:pPr>
        <w:ind w:left="660" w:right="359" w:firstLine="352"/>
        <w:spacing w:after="0" w:line="269" w:lineRule="auto"/>
        <w:tabs>
          <w:tab w:leader="none" w:pos="1399"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Deferred Stock</w:t>
      </w:r>
      <w:r>
        <w:rPr>
          <w:rFonts w:ascii="Arial" w:cs="Arial" w:eastAsia="Arial" w:hAnsi="Arial"/>
          <w:sz w:val="17"/>
          <w:szCs w:val="17"/>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73" w:lineRule="exact"/>
        <w:rPr>
          <w:rFonts w:ascii="Arial" w:cs="Arial" w:eastAsia="Arial" w:hAnsi="Arial"/>
          <w:sz w:val="17"/>
          <w:szCs w:val="17"/>
          <w:color w:val="auto"/>
        </w:rPr>
      </w:pPr>
    </w:p>
    <w:p>
      <w:pPr>
        <w:ind w:left="660" w:right="339" w:firstLine="352"/>
        <w:spacing w:after="0" w:line="250" w:lineRule="auto"/>
        <w:tabs>
          <w:tab w:leader="none" w:pos="141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Restricted Stock Units</w:t>
      </w:r>
      <w:r>
        <w:rPr>
          <w:rFonts w:ascii="Arial" w:cs="Arial" w:eastAsia="Arial" w:hAnsi="Arial"/>
          <w:sz w:val="17"/>
          <w:szCs w:val="17"/>
          <w:color w:val="auto"/>
        </w:rPr>
        <w:t>. Delivery of Shares subject to a grant of Restricted Stock Units shall occur no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Voting and Dividend Equivalent Rights Attributable to Deferred Stock and Restricted Stock Units</w:t>
      </w:r>
      <w:r>
        <w:rPr>
          <w:rFonts w:ascii="Arial" w:cs="Arial" w:eastAsia="Arial" w:hAnsi="Arial"/>
          <w:sz w:val="17"/>
          <w:szCs w:val="17"/>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w:t>
      </w:r>
    </w:p>
    <w:p>
      <w:pPr>
        <w:spacing w:after="0" w:line="103"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any payments in respect of any Dividend Equivalents granted in conjunction with any Options or SARs may not be conditioned, directly or indirectly, on the Grantee’s exercise of the Options or SARs or paid at the same time that the Options or SARs are exercised. The timing of payment or distribution of Dividend Equivalents must comply with the requirements of Section 409A of the Code.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Bonus Shares</w:t>
      </w:r>
    </w:p>
    <w:p>
      <w:pPr>
        <w:spacing w:after="0" w:line="103"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Subject to the terms of the Plan, the Committee may grant Bonus Shares to any Eligible Person, in such amount and upon such terms and at any time and from time to time as shall be determined by the Committee.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103"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Awards</w:t>
      </w:r>
    </w:p>
    <w:p>
      <w:pPr>
        <w:spacing w:after="0" w:line="103" w:lineRule="exact"/>
        <w:rPr>
          <w:sz w:val="20"/>
          <w:szCs w:val="20"/>
          <w:color w:val="auto"/>
        </w:rPr>
      </w:pPr>
    </w:p>
    <w:p>
      <w:pPr>
        <w:ind w:left="300" w:right="459" w:firstLine="360"/>
        <w:spacing w:after="0" w:line="257" w:lineRule="auto"/>
        <w:rPr>
          <w:sz w:val="20"/>
          <w:szCs w:val="20"/>
          <w:color w:val="auto"/>
        </w:rPr>
      </w:pPr>
      <w:r>
        <w:rPr>
          <w:rFonts w:ascii="Arial" w:cs="Arial" w:eastAsia="Arial" w:hAnsi="Arial"/>
          <w:sz w:val="18"/>
          <w:szCs w:val="18"/>
          <w:color w:val="auto"/>
        </w:rPr>
        <w:t>Subject to the terms of the Plan, the Board may grant Awards to any Non-Employee Director, in such amount and upon such terms and at any time and from time to time as shall be determined by the full Board in its sole discretion. Except as otherwise provided in Section 5.6(b), a Non-Employee Director may not be granted Awards with respect to Shares that have a Fair Market Value (determined as of the date of grant) in excess of $250,000 in a single calendar year.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103" w:lineRule="exact"/>
        <w:rPr>
          <w:sz w:val="20"/>
          <w:szCs w:val="20"/>
          <w:color w:val="auto"/>
        </w:rPr>
      </w:pPr>
    </w:p>
    <w:p>
      <w:pPr>
        <w:ind w:left="300" w:right="439" w:firstLine="360"/>
        <w:spacing w:after="0" w:line="286"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79"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u w:val="single" w:color="auto"/>
          <w:color w:val="auto"/>
        </w:rPr>
        <w:t>Awards Previously Granted</w:t>
      </w:r>
      <w:r>
        <w:rPr>
          <w:rFonts w:ascii="Arial" w:cs="Arial" w:eastAsia="Arial" w:hAnsi="Arial"/>
          <w:sz w:val="17"/>
          <w:szCs w:val="17"/>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Code Section 409A</w:t>
      </w:r>
    </w:p>
    <w:p>
      <w:pPr>
        <w:spacing w:after="0" w:line="103" w:lineRule="exact"/>
        <w:rPr>
          <w:sz w:val="20"/>
          <w:szCs w:val="20"/>
          <w:color w:val="auto"/>
        </w:rPr>
      </w:pPr>
    </w:p>
    <w:p>
      <w:pPr>
        <w:ind w:left="300" w:right="639" w:firstLine="360"/>
        <w:spacing w:after="0" w:line="259"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Awards Subject to Code Section 409A</w:t>
      </w:r>
      <w:r>
        <w:rPr>
          <w:rFonts w:ascii="Arial" w:cs="Arial" w:eastAsia="Arial" w:hAnsi="Arial"/>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79"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u w:val="single" w:color="auto"/>
          <w:color w:val="auto"/>
        </w:rPr>
        <w:t>Deferral and/or Distribution Elections</w:t>
      </w:r>
      <w:r>
        <w:rPr>
          <w:rFonts w:ascii="Arial" w:cs="Arial" w:eastAsia="Arial" w:hAnsi="Arial"/>
          <w:sz w:val="17"/>
          <w:szCs w:val="17"/>
          <w:color w:val="auto"/>
        </w:rPr>
        <w:t>. Except as otherwise permitted or required by Code Section 409A, the following rules shall apply to any deferral and/or elections as to the form or timing of distributions (each, an “Election”) that may be permitted or required by the Committee with respect to a 409A Award:</w:t>
      </w:r>
    </w:p>
    <w:p>
      <w:pPr>
        <w:spacing w:after="0" w:line="57" w:lineRule="exact"/>
        <w:rPr>
          <w:sz w:val="20"/>
          <w:szCs w:val="20"/>
          <w:color w:val="auto"/>
        </w:rPr>
      </w:pPr>
    </w:p>
    <w:p>
      <w:pPr>
        <w:jc w:val="both"/>
        <w:ind w:left="660" w:right="599" w:firstLine="352"/>
        <w:spacing w:after="0" w:line="263" w:lineRule="auto"/>
        <w:tabs>
          <w:tab w:leader="none" w:pos="13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75" w:lineRule="exact"/>
        <w:rPr>
          <w:rFonts w:ascii="Arial" w:cs="Arial" w:eastAsia="Arial" w:hAnsi="Arial"/>
          <w:sz w:val="18"/>
          <w:szCs w:val="18"/>
          <w:color w:val="auto"/>
        </w:rPr>
      </w:pPr>
    </w:p>
    <w:p>
      <w:pPr>
        <w:ind w:left="660" w:right="339" w:firstLine="352"/>
        <w:spacing w:after="0" w:line="296" w:lineRule="auto"/>
        <w:tabs>
          <w:tab w:leader="none" w:pos="1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53" w:lineRule="exact"/>
        <w:rPr>
          <w:rFonts w:ascii="Arial" w:cs="Arial" w:eastAsia="Arial" w:hAnsi="Arial"/>
          <w:sz w:val="16"/>
          <w:szCs w:val="16"/>
          <w:color w:val="auto"/>
        </w:rPr>
      </w:pPr>
    </w:p>
    <w:p>
      <w:pPr>
        <w:ind w:left="660" w:right="619" w:firstLine="352"/>
        <w:spacing w:after="0" w:line="263"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76"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Subsequent Elections</w:t>
      </w:r>
      <w:r>
        <w:rPr>
          <w:rFonts w:ascii="Arial" w:cs="Arial" w:eastAsia="Arial" w:hAnsi="Arial"/>
          <w:sz w:val="18"/>
          <w:szCs w:val="18"/>
          <w:color w:val="auto"/>
        </w:rPr>
        <w:t>. Except as otherwise permitted or required by Code Section 409A, any 409A Award which permits a subsequent Election to further defer the distribution or change the form of distribution shall comply with the following requirements:</w:t>
      </w:r>
    </w:p>
    <w:p>
      <w:pPr>
        <w:spacing w:after="0" w:line="76" w:lineRule="exact"/>
        <w:rPr>
          <w:sz w:val="20"/>
          <w:szCs w:val="20"/>
          <w:color w:val="auto"/>
        </w:rPr>
      </w:pPr>
    </w:p>
    <w:p>
      <w:pPr>
        <w:ind w:left="660" w:right="439" w:firstLine="352"/>
        <w:spacing w:after="0" w:line="277"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subsequent Election may take effect until at least twelve (12) months after the date on which the subsequent Election is made;</w:t>
      </w:r>
    </w:p>
    <w:p>
      <w:pPr>
        <w:spacing w:after="0" w:line="62" w:lineRule="exact"/>
        <w:rPr>
          <w:rFonts w:ascii="Arial" w:cs="Arial" w:eastAsia="Arial" w:hAnsi="Arial"/>
          <w:sz w:val="18"/>
          <w:szCs w:val="18"/>
          <w:color w:val="auto"/>
        </w:rPr>
      </w:pPr>
    </w:p>
    <w:p>
      <w:pPr>
        <w:ind w:left="660" w:right="319" w:firstLine="352"/>
        <w:spacing w:after="0" w:line="263" w:lineRule="auto"/>
        <w:tabs>
          <w:tab w:leader="none" w:pos="14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75" w:lineRule="exact"/>
        <w:rPr>
          <w:rFonts w:ascii="Arial" w:cs="Arial" w:eastAsia="Arial" w:hAnsi="Arial"/>
          <w:sz w:val="18"/>
          <w:szCs w:val="18"/>
          <w:color w:val="auto"/>
        </w:rPr>
      </w:pPr>
    </w:p>
    <w:p>
      <w:pPr>
        <w:ind w:left="660" w:right="419" w:firstLine="352"/>
        <w:spacing w:after="0" w:line="263"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7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u w:val="single" w:color="auto"/>
          <w:color w:val="auto"/>
        </w:rPr>
        <w:t>Distributions Pursuant to Deferral Elections</w:t>
      </w:r>
      <w:r>
        <w:rPr>
          <w:rFonts w:ascii="Arial" w:cs="Arial" w:eastAsia="Arial" w:hAnsi="Arial"/>
          <w:sz w:val="16"/>
          <w:szCs w:val="16"/>
          <w:color w:val="auto"/>
        </w:rPr>
        <w:t>. Except as otherwise permitted or required by Code Section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409A, no distribution in settlement of a 409A Award may commence earlier than:</w:t>
      </w:r>
    </w:p>
    <w:p>
      <w:pPr>
        <w:spacing w:after="0" w:line="143" w:lineRule="exact"/>
        <w:rPr>
          <w:sz w:val="20"/>
          <w:szCs w:val="20"/>
          <w:color w:val="auto"/>
        </w:rPr>
      </w:pPr>
    </w:p>
    <w:p>
      <w:pPr>
        <w:ind w:left="1400" w:hanging="388"/>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157" w:lineRule="exact"/>
        <w:rPr>
          <w:rFonts w:ascii="Arial" w:cs="Arial" w:eastAsia="Arial" w:hAnsi="Arial"/>
          <w:sz w:val="18"/>
          <w:szCs w:val="18"/>
          <w:color w:val="auto"/>
        </w:rPr>
      </w:pPr>
    </w:p>
    <w:p>
      <w:pPr>
        <w:ind w:left="1400" w:hanging="388"/>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the Participant becomes Disabled (as defined in Section 2.15(b);</w:t>
      </w:r>
    </w:p>
    <w:p>
      <w:pPr>
        <w:spacing w:after="0" w:line="144" w:lineRule="exact"/>
        <w:rPr>
          <w:rFonts w:ascii="Arial" w:cs="Arial" w:eastAsia="Arial" w:hAnsi="Arial"/>
          <w:sz w:val="18"/>
          <w:szCs w:val="18"/>
          <w:color w:val="auto"/>
        </w:rPr>
      </w:pPr>
    </w:p>
    <w:p>
      <w:pPr>
        <w:ind w:left="1380" w:hanging="368"/>
        <w:spacing w:after="0"/>
        <w:tabs>
          <w:tab w:leader="none" w:pos="1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7" w:lineRule="exact"/>
        <w:rPr>
          <w:rFonts w:ascii="Arial" w:cs="Arial" w:eastAsia="Arial" w:hAnsi="Arial"/>
          <w:sz w:val="18"/>
          <w:szCs w:val="18"/>
          <w:color w:val="auto"/>
        </w:rPr>
      </w:pPr>
    </w:p>
    <w:p>
      <w:pPr>
        <w:ind w:left="660" w:right="479" w:firstLine="352"/>
        <w:spacing w:after="0" w:line="286" w:lineRule="auto"/>
        <w:tabs>
          <w:tab w:leader="none" w:pos="1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459" w:firstLine="352"/>
        <w:spacing w:after="0" w:line="286" w:lineRule="auto"/>
        <w:tabs>
          <w:tab w:leader="none" w:pos="139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change in ownership of the Company or a substantial portion of its assets within the meaning of Treasury Regulation Section 1.409A-3(i)(5)(v) or (vii) or a change in effective control of the Company within the meaning of Treasury Regulation Section 1.409A-3(i)(5)(vi) (a “Change in Control”).</w:t>
      </w:r>
    </w:p>
    <w:p>
      <w:pPr>
        <w:spacing w:after="0" w:line="57"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Six Month Delay</w:t>
      </w:r>
      <w:r>
        <w:rPr>
          <w:rFonts w:ascii="Arial" w:cs="Arial" w:eastAsia="Arial" w:hAnsi="Arial"/>
          <w:sz w:val="18"/>
          <w:szCs w:val="18"/>
          <w:color w:val="auto"/>
        </w:rPr>
        <w:t>. Notwithstanding anything herein or in any Award Agreement or Election to the contrary, to the extent that distribution of a 409A Award is triggered by a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w:t>
      </w:r>
    </w:p>
    <w:p>
      <w:pPr>
        <w:spacing w:after="0" w:line="80"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 xml:space="preserve">16.6 </w:t>
      </w:r>
      <w:r>
        <w:rPr>
          <w:rFonts w:ascii="Arial" w:cs="Arial" w:eastAsia="Arial" w:hAnsi="Arial"/>
          <w:sz w:val="17"/>
          <w:szCs w:val="17"/>
          <w:u w:val="single" w:color="auto"/>
          <w:color w:val="auto"/>
        </w:rPr>
        <w:t>Death or Disability</w:t>
      </w:r>
      <w:r>
        <w:rPr>
          <w:rFonts w:ascii="Arial" w:cs="Arial" w:eastAsia="Arial" w:hAnsi="Arial"/>
          <w:sz w:val="17"/>
          <w:szCs w:val="17"/>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68"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Withholding</w:t>
      </w:r>
    </w:p>
    <w:p>
      <w:pPr>
        <w:spacing w:after="0" w:line="13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Required Withholding</w:t>
      </w:r>
      <w:r>
        <w:rPr>
          <w:rFonts w:ascii="Arial" w:cs="Arial" w:eastAsia="Arial" w:hAnsi="Arial"/>
          <w:sz w:val="16"/>
          <w:szCs w:val="16"/>
          <w:color w:val="auto"/>
        </w:rPr>
        <w:t>.</w:t>
      </w:r>
    </w:p>
    <w:p>
      <w:pPr>
        <w:spacing w:after="0" w:line="117" w:lineRule="exact"/>
        <w:rPr>
          <w:sz w:val="20"/>
          <w:szCs w:val="20"/>
          <w:color w:val="auto"/>
        </w:rPr>
      </w:pPr>
    </w:p>
    <w:p>
      <w:pPr>
        <w:ind w:left="660" w:right="399" w:firstLine="352"/>
        <w:spacing w:after="0" w:line="254" w:lineRule="auto"/>
        <w:tabs>
          <w:tab w:leader="none" w:pos="13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86" w:lineRule="exact"/>
        <w:rPr>
          <w:rFonts w:ascii="Arial" w:cs="Arial" w:eastAsia="Arial" w:hAnsi="Arial"/>
          <w:sz w:val="18"/>
          <w:szCs w:val="18"/>
          <w:color w:val="auto"/>
        </w:rPr>
      </w:pPr>
    </w:p>
    <w:p>
      <w:pPr>
        <w:ind w:left="1020" w:right="419" w:firstLine="352"/>
        <w:spacing w:after="0" w:line="301" w:lineRule="auto"/>
        <w:tabs>
          <w:tab w:leader="none" w:pos="1730" w:val="left"/>
        </w:tabs>
        <w:numPr>
          <w:ilvl w:val="1"/>
          <w:numId w:val="56"/>
        </w:numPr>
        <w:rPr>
          <w:rFonts w:ascii="Arial" w:cs="Arial" w:eastAsia="Arial" w:hAnsi="Arial"/>
          <w:sz w:val="16"/>
          <w:szCs w:val="16"/>
          <w:color w:val="auto"/>
        </w:rPr>
      </w:pPr>
      <w:r>
        <w:rPr>
          <w:rFonts w:ascii="Arial" w:cs="Arial" w:eastAsia="Arial" w:hAnsi="Arial"/>
          <w:sz w:val="16"/>
          <w:szCs w:val="16"/>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49" w:lineRule="exact"/>
        <w:rPr>
          <w:rFonts w:ascii="Arial" w:cs="Arial" w:eastAsia="Arial" w:hAnsi="Arial"/>
          <w:sz w:val="16"/>
          <w:szCs w:val="16"/>
          <w:color w:val="auto"/>
        </w:rPr>
      </w:pPr>
    </w:p>
    <w:p>
      <w:pPr>
        <w:ind w:left="1020" w:right="539" w:firstLine="352"/>
        <w:spacing w:after="0" w:line="277" w:lineRule="auto"/>
        <w:tabs>
          <w:tab w:leader="none" w:pos="17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delivering part or all of the amount to be withheld in the form of Common Stock valued at its Fair Market Value on the Tax Date;</w:t>
      </w:r>
    </w:p>
    <w:p>
      <w:pPr>
        <w:spacing w:after="0" w:line="62" w:lineRule="exact"/>
        <w:rPr>
          <w:rFonts w:ascii="Arial" w:cs="Arial" w:eastAsia="Arial" w:hAnsi="Arial"/>
          <w:sz w:val="18"/>
          <w:szCs w:val="18"/>
          <w:color w:val="auto"/>
        </w:rPr>
      </w:pPr>
    </w:p>
    <w:p>
      <w:pPr>
        <w:ind w:left="1020" w:right="399" w:firstLine="352"/>
        <w:spacing w:after="0" w:line="259" w:lineRule="auto"/>
        <w:tabs>
          <w:tab w:leader="none" w:pos="183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05" w:lineRule="exact"/>
        <w:rPr>
          <w:rFonts w:ascii="Arial" w:cs="Arial" w:eastAsia="Arial" w:hAnsi="Arial"/>
          <w:sz w:val="18"/>
          <w:szCs w:val="18"/>
          <w:color w:val="auto"/>
        </w:rPr>
      </w:pPr>
    </w:p>
    <w:p>
      <w:pPr>
        <w:ind w:left="1820" w:hanging="448"/>
        <w:spacing w:after="0"/>
        <w:tabs>
          <w:tab w:leader="none" w:pos="18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withholding from any compensation otherwise due to the Grantee.</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84" w:lineRule="exact"/>
        <w:rPr>
          <w:sz w:val="20"/>
          <w:szCs w:val="20"/>
          <w:color w:val="auto"/>
        </w:rPr>
      </w:pPr>
    </w:p>
    <w:p>
      <w:pPr>
        <w:jc w:val="both"/>
        <w:ind w:left="660" w:right="659" w:firstLine="352"/>
        <w:spacing w:after="0" w:line="286" w:lineRule="auto"/>
        <w:tabs>
          <w:tab w:leader="none" w:pos="14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u w:val="single" w:color="auto"/>
          <w:color w:val="auto"/>
        </w:rPr>
        <w:t>Notification under Code Section 83(b)</w:t>
      </w:r>
      <w:r>
        <w:rPr>
          <w:rFonts w:ascii="Arial" w:cs="Arial" w:eastAsia="Arial" w:hAnsi="Arial"/>
          <w:sz w:val="17"/>
          <w:szCs w:val="17"/>
          <w:color w:val="auto"/>
        </w:rPr>
        <w:t>. If the Grantee, in connection with the exercise of any Option, or the grant of Restricted Shares, makes the election permitted under Section 83(b) of the Code to include in such Grantee’s gross income in the year of transfer the amounts specified in Section 83(b) of the Code, then such Grantee shall notify the Company of such election within 10 days of filing the notice of the election with the Internal Revenue Service, in addition to any filing and notification required pursuant to regulations issued under Section 83(b) of the Code. The Committee may, in connection with the grant of an Award or at any time thereafter, prohibit a Grantee from making the election described above.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Provisions</w:t>
      </w:r>
    </w:p>
    <w:p>
      <w:pPr>
        <w:spacing w:after="0" w:line="121"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Successors</w:t>
      </w:r>
      <w:r>
        <w:rPr>
          <w:rFonts w:ascii="Arial" w:cs="Arial" w:eastAsia="Arial" w:hAnsi="Arial"/>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79"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63"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u w:val="single" w:color="auto"/>
          <w:color w:val="auto"/>
        </w:rPr>
        <w:t>Requirements of Law</w:t>
      </w:r>
      <w:r>
        <w:rPr>
          <w:rFonts w:ascii="Arial" w:cs="Arial" w:eastAsia="Arial" w:hAnsi="Arial"/>
          <w:sz w:val="17"/>
          <w:szCs w:val="17"/>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1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w:t>
      </w:r>
    </w:p>
    <w:p>
      <w:pPr>
        <w:spacing w:after="0" w:line="117" w:lineRule="exact"/>
        <w:rPr>
          <w:sz w:val="20"/>
          <w:szCs w:val="20"/>
          <w:color w:val="auto"/>
        </w:rPr>
      </w:pPr>
    </w:p>
    <w:p>
      <w:pPr>
        <w:ind w:left="660" w:right="359" w:firstLine="352"/>
        <w:spacing w:after="0" w:line="267" w:lineRule="auto"/>
        <w:tabs>
          <w:tab w:leader="none" w:pos="14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83" w:lineRule="exact"/>
        <w:rPr>
          <w:rFonts w:ascii="Arial" w:cs="Arial" w:eastAsia="Arial" w:hAnsi="Arial"/>
          <w:sz w:val="17"/>
          <w:szCs w:val="17"/>
          <w:color w:val="auto"/>
        </w:rPr>
      </w:pPr>
    </w:p>
    <w:p>
      <w:pPr>
        <w:ind w:left="660" w:right="319" w:firstLine="352"/>
        <w:spacing w:after="0" w:line="273" w:lineRule="auto"/>
        <w:tabs>
          <w:tab w:leader="none" w:pos="141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70" w:lineRule="exact"/>
        <w:rPr>
          <w:sz w:val="20"/>
          <w:szCs w:val="20"/>
          <w:color w:val="auto"/>
        </w:rPr>
      </w:pPr>
    </w:p>
    <w:p>
      <w:pPr>
        <w:jc w:val="both"/>
        <w:ind w:left="300" w:right="379" w:firstLine="360"/>
        <w:spacing w:after="0" w:line="275"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Forfeiture Events</w:t>
      </w:r>
      <w:r>
        <w:rPr>
          <w:rFonts w:ascii="Arial" w:cs="Arial" w:eastAsia="Arial" w:hAnsi="Arial"/>
          <w:sz w:val="17"/>
          <w:szCs w:val="17"/>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77" w:lineRule="exact"/>
        <w:rPr>
          <w:sz w:val="20"/>
          <w:szCs w:val="20"/>
          <w:color w:val="auto"/>
        </w:rPr>
      </w:pPr>
    </w:p>
    <w:p>
      <w:pPr>
        <w:ind w:left="300" w:right="439" w:firstLine="360"/>
        <w:spacing w:after="0" w:line="269" w:lineRule="auto"/>
        <w:rPr>
          <w:sz w:val="20"/>
          <w:szCs w:val="20"/>
          <w:color w:val="auto"/>
        </w:rPr>
      </w:pPr>
      <w:r>
        <w:rPr>
          <w:rFonts w:ascii="Arial" w:cs="Arial" w:eastAsia="Arial" w:hAnsi="Arial"/>
          <w:sz w:val="17"/>
          <w:szCs w:val="17"/>
          <w:color w:val="auto"/>
        </w:rPr>
        <w:t xml:space="preserve">18.6 </w:t>
      </w:r>
      <w:r>
        <w:rPr>
          <w:rFonts w:ascii="Arial" w:cs="Arial" w:eastAsia="Arial" w:hAnsi="Arial"/>
          <w:sz w:val="17"/>
          <w:szCs w:val="17"/>
          <w:u w:val="single" w:color="auto"/>
          <w:color w:val="auto"/>
        </w:rPr>
        <w:t>No Rights as a Stockholder</w:t>
      </w:r>
      <w:r>
        <w:rPr>
          <w:rFonts w:ascii="Arial" w:cs="Arial" w:eastAsia="Arial" w:hAnsi="Arial"/>
          <w:sz w:val="17"/>
          <w:szCs w:val="17"/>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77" w:lineRule="exact"/>
        <w:rPr>
          <w:sz w:val="20"/>
          <w:szCs w:val="20"/>
          <w:color w:val="auto"/>
        </w:rPr>
      </w:pPr>
    </w:p>
    <w:p>
      <w:pPr>
        <w:ind w:left="300" w:right="539" w:firstLine="360"/>
        <w:spacing w:after="0" w:line="293" w:lineRule="auto"/>
        <w:rPr>
          <w:sz w:val="20"/>
          <w:szCs w:val="20"/>
          <w:color w:val="auto"/>
        </w:rPr>
      </w:pPr>
      <w:r>
        <w:rPr>
          <w:rFonts w:ascii="Arial" w:cs="Arial" w:eastAsia="Arial" w:hAnsi="Arial"/>
          <w:sz w:val="16"/>
          <w:szCs w:val="16"/>
          <w:color w:val="auto"/>
        </w:rPr>
        <w:t xml:space="preserve">18.7 </w:t>
      </w:r>
      <w:r>
        <w:rPr>
          <w:rFonts w:ascii="Arial" w:cs="Arial" w:eastAsia="Arial" w:hAnsi="Arial"/>
          <w:sz w:val="16"/>
          <w:szCs w:val="16"/>
          <w:u w:val="single" w:color="auto"/>
          <w:color w:val="auto"/>
        </w:rPr>
        <w:t>Nature of Payments</w:t>
      </w:r>
      <w:r>
        <w:rPr>
          <w:rFonts w:ascii="Arial" w:cs="Arial" w:eastAsia="Arial" w:hAnsi="Arial"/>
          <w:sz w:val="16"/>
          <w:szCs w:val="16"/>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56"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79" w:lineRule="exact"/>
        <w:rPr>
          <w:sz w:val="20"/>
          <w:szCs w:val="20"/>
          <w:color w:val="auto"/>
        </w:rPr>
      </w:pPr>
    </w:p>
    <w:p>
      <w:pPr>
        <w:ind w:left="300" w:right="439" w:firstLine="360"/>
        <w:spacing w:after="0" w:line="293" w:lineRule="auto"/>
        <w:rPr>
          <w:sz w:val="20"/>
          <w:szCs w:val="20"/>
          <w:color w:val="auto"/>
        </w:rPr>
      </w:pPr>
      <w:r>
        <w:rPr>
          <w:rFonts w:ascii="Arial" w:cs="Arial" w:eastAsia="Arial" w:hAnsi="Arial"/>
          <w:sz w:val="16"/>
          <w:szCs w:val="16"/>
          <w:color w:val="auto"/>
        </w:rPr>
        <w:t xml:space="preserve">18.9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all agreements hereunder, shall be construed in accordance with and governed by the laws of the Commonwealth of Massachusetts,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56" w:lineRule="exact"/>
        <w:rPr>
          <w:sz w:val="20"/>
          <w:szCs w:val="20"/>
          <w:color w:val="auto"/>
        </w:rPr>
      </w:pPr>
    </w:p>
    <w:p>
      <w:pPr>
        <w:ind w:left="300" w:right="459" w:firstLine="360"/>
        <w:spacing w:after="0" w:line="291" w:lineRule="auto"/>
        <w:rPr>
          <w:sz w:val="20"/>
          <w:szCs w:val="20"/>
          <w:color w:val="auto"/>
        </w:rPr>
      </w:pPr>
      <w:r>
        <w:rPr>
          <w:rFonts w:ascii="Arial" w:cs="Arial" w:eastAsia="Arial" w:hAnsi="Arial"/>
          <w:sz w:val="16"/>
          <w:szCs w:val="16"/>
          <w:color w:val="auto"/>
        </w:rPr>
        <w:t xml:space="preserve">18.10 </w:t>
      </w:r>
      <w:r>
        <w:rPr>
          <w:rFonts w:ascii="Arial" w:cs="Arial" w:eastAsia="Arial" w:hAnsi="Arial"/>
          <w:sz w:val="16"/>
          <w:szCs w:val="16"/>
          <w:u w:val="single" w:color="auto"/>
          <w:color w:val="auto"/>
        </w:rPr>
        <w:t>Unfunded Status of Awards; Creation of Trusts</w:t>
      </w:r>
      <w:r>
        <w:rPr>
          <w:rFonts w:ascii="Arial" w:cs="Arial" w:eastAsia="Arial" w:hAnsi="Arial"/>
          <w:sz w:val="16"/>
          <w:szCs w:val="16"/>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58"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Affiliation</w:t>
      </w:r>
      <w:r>
        <w:rPr>
          <w:rFonts w:ascii="Arial" w:cs="Arial" w:eastAsia="Arial" w:hAnsi="Arial"/>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79"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or officer shall have the right to be selected to receive an Award under this Plan or, having been so selected, to be selected to receive a future Award.</w:t>
      </w:r>
    </w:p>
    <w:p>
      <w:pPr>
        <w:spacing w:after="0" w:line="62"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Awards shall be administered in accordance with Section 414(u) of the Code and the Uniformed Services Employment and Reemployment Rights Act of 1994.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 xml:space="preserve">18.14 </w:t>
      </w:r>
      <w:r>
        <w:rPr>
          <w:rFonts w:ascii="Arial" w:cs="Arial" w:eastAsia="Arial" w:hAnsi="Arial"/>
          <w:sz w:val="18"/>
          <w:szCs w:val="18"/>
          <w:u w:val="single" w:color="auto"/>
          <w:color w:val="auto"/>
        </w:rPr>
        <w:t>Construction</w:t>
      </w:r>
      <w:r>
        <w:rPr>
          <w:rFonts w:ascii="Arial" w:cs="Arial" w:eastAsia="Arial" w:hAnsi="Arial"/>
          <w:sz w:val="18"/>
          <w:szCs w:val="18"/>
          <w:color w:val="auto"/>
        </w:rPr>
        <w:t>. The following rules of construction will apply to the Plan: (a) the word “or” is disjunctive but not necessarily exclusive, and (b) words in the singular include the plural, words in the plural include the singular, and words in the neuter gender include the masculine and feminine genders and words in the masculine or feminine gender include the other neuter genders.</w:t>
      </w:r>
    </w:p>
    <w:p>
      <w:pPr>
        <w:spacing w:after="0" w:line="79" w:lineRule="exact"/>
        <w:rPr>
          <w:sz w:val="20"/>
          <w:szCs w:val="20"/>
          <w:color w:val="auto"/>
        </w:rPr>
      </w:pPr>
    </w:p>
    <w:p>
      <w:pPr>
        <w:ind w:left="300" w:right="339" w:firstLine="360"/>
        <w:spacing w:after="0" w:line="308" w:lineRule="auto"/>
        <w:rPr>
          <w:sz w:val="20"/>
          <w:szCs w:val="20"/>
          <w:color w:val="auto"/>
        </w:rPr>
      </w:pPr>
      <w:r>
        <w:rPr>
          <w:rFonts w:ascii="Arial" w:cs="Arial" w:eastAsia="Arial" w:hAnsi="Arial"/>
          <w:sz w:val="17"/>
          <w:szCs w:val="17"/>
          <w:color w:val="auto"/>
        </w:rPr>
        <w:t xml:space="preserve">18.15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articles and sections are included solely for convenience of reference, and if there is any conflict between such headings and the text of this Plan, the text shall control.</w:t>
      </w:r>
    </w:p>
    <w:p>
      <w:pPr>
        <w:spacing w:after="0" w:line="38"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Obligations</w:t>
      </w:r>
      <w:r>
        <w:rPr>
          <w:rFonts w:ascii="Arial" w:cs="Arial" w:eastAsia="Arial" w:hAnsi="Arial"/>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79"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6995160" cy="8460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4607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92075</wp:posOffset>
            </wp:positionV>
            <wp:extent cx="6300470" cy="8152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lvl w:ilvl="1">
      <w:lvlJc w:val="left"/>
      <w:lvlText w:val="☐"/>
      <w:numFmt w:val="bullet"/>
      <w:start w:val="1"/>
    </w:lvl>
  </w:abstractNum>
  <w:abstractNum w:abstractNumId="1">
    <w:nsid w:val="8138641"/>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2"/>
    </w:lvl>
  </w:abstractNum>
  <w:abstractNum w:abstractNumId="11">
    <w:nsid w:val="5577F8E1"/>
    <w:multiLevelType w:val="hybridMultilevel"/>
    <w:lvl w:ilvl="0">
      <w:lvlJc w:val="left"/>
      <w:lvlText w:val="(%1)"/>
      <w:numFmt w:val="decimal"/>
      <w:start w:val="3"/>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3"/>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lowerRoman"/>
      <w:start w:val="2"/>
    </w:lvl>
  </w:abstractNum>
  <w:abstractNum w:abstractNumId="29">
    <w:nsid w:val="725A06FB"/>
    <w:multiLevelType w:val="hybridMultilevel"/>
    <w:lvl w:ilvl="0">
      <w:lvlJc w:val="left"/>
      <w:lvlText w:val="(%1)"/>
      <w:numFmt w:val="decimal"/>
      <w:start w:val="775"/>
    </w:lvl>
  </w:abstractNum>
  <w:abstractNum w:abstractNumId="30">
    <w:nsid w:val="2CD89A32"/>
    <w:multiLevelType w:val="hybridMultilevel"/>
    <w:lvl w:ilvl="0">
      <w:lvlJc w:val="left"/>
      <w:lvlText w:val="%1."/>
      <w:numFmt w:val="decimal"/>
      <w:start w:val="3"/>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2"/>
    </w:lvl>
  </w:abstractNum>
  <w:abstractNum w:abstractNumId="35">
    <w:nsid w:val="6DE91B18"/>
    <w:multiLevelType w:val="hybridMultilevel"/>
    <w:lvl w:ilvl="0">
      <w:lvlJc w:val="left"/>
      <w:lvlText w:val="(%1)"/>
      <w:numFmt w:val="lowerRoman"/>
      <w:start w:val="1"/>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lowerLetter"/>
      <w:start w:val="14"/>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lowerLetter"/>
      <w:start w:val="4"/>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lowerLetter"/>
      <w:start w:val="4"/>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6"/>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lowerLetter"/>
      <w:start w:val="5"/>
    </w:lvl>
  </w:abstractNum>
  <w:abstractNum w:abstractNumId="55">
    <w:nsid w:val="1CF10FD8"/>
    <w:multiLevelType w:val="hybridMultilevel"/>
    <w:lvl w:ilvl="0">
      <w:lvlJc w:val="left"/>
      <w:lvlText w:val="(%1)"/>
      <w:numFmt w:val="lowerLetter"/>
      <w:start w:val="1"/>
    </w:lvl>
    <w:lvl w:ilvl="1">
      <w:lvlJc w:val="left"/>
      <w:lvlText w:val="(%2)"/>
      <w:numFmt w:val="lowerRoman"/>
      <w:start w:val="1"/>
    </w:lvl>
  </w:abstractNum>
  <w:abstractNum w:abstractNumId="56">
    <w:nsid w:val="180115BE"/>
    <w:multiLevelType w:val="hybridMultilevel"/>
    <w:lvl w:ilvl="0">
      <w:lvlJc w:val="left"/>
      <w:lvlText w:val="(%1)"/>
      <w:numFmt w:val="lowerLetter"/>
      <w:start w:val="2"/>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2021-10-12T07:03:07Z</dcterms:created>
  <dcterms:modified xsi:type="dcterms:W3CDTF">2021-10-12T07:03:07Z</dcterms:modified>
</cp:coreProperties>
</file>