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380"/>
              <w:spacing w:after="0"/>
              <w:rPr>
                <w:sz w:val="20"/>
                <w:szCs w:val="20"/>
                <w:color w:val="auto"/>
              </w:rPr>
            </w:pPr>
            <w:r>
              <w:rPr>
                <w:rFonts w:ascii="Arial" w:cs="Arial" w:eastAsia="Arial" w:hAnsi="Arial"/>
                <w:sz w:val="32"/>
                <w:szCs w:val="32"/>
                <w:b w:val="1"/>
                <w:bCs w:val="1"/>
                <w:color w:val="auto"/>
                <w:w w:val="89"/>
              </w:rPr>
              <w:t>United States</w:t>
            </w:r>
          </w:p>
        </w:tc>
      </w:tr>
      <w:tr>
        <w:trPr>
          <w:trHeight w:val="378"/>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32"/>
                <w:szCs w:val="32"/>
                <w:b w:val="1"/>
                <w:bCs w:val="1"/>
                <w:color w:val="auto"/>
                <w:w w:val="89"/>
              </w:rPr>
              <w:t>Securities and Exchange Commission</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8"/>
              </w:rPr>
              <w:t>Washington, D.C. 20549</w:t>
            </w:r>
          </w:p>
        </w:tc>
      </w:tr>
      <w:tr>
        <w:trPr>
          <w:trHeight w:val="34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547"/>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32"/>
                <w:szCs w:val="32"/>
                <w:b w:val="1"/>
                <w:bCs w:val="1"/>
                <w:color w:val="auto"/>
                <w:w w:val="99"/>
              </w:rPr>
              <w:t>SCHEDULE 14A</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9"/>
              </w:rPr>
              <w:t>(Rule 14a-101)</w:t>
            </w:r>
          </w:p>
        </w:tc>
      </w:tr>
      <w:tr>
        <w:trPr>
          <w:trHeight w:val="422"/>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580" w:type="dxa"/>
            <w:vAlign w:val="bottom"/>
          </w:tcPr>
          <w:p>
            <w:pPr>
              <w:spacing w:after="0"/>
              <w:rPr>
                <w:sz w:val="21"/>
                <w:szCs w:val="21"/>
                <w:color w:val="auto"/>
              </w:rPr>
            </w:pPr>
          </w:p>
        </w:tc>
        <w:tc>
          <w:tcPr>
            <w:tcW w:w="5720" w:type="dxa"/>
            <w:vAlign w:val="bottom"/>
            <w:gridSpan w:val="3"/>
          </w:tcPr>
          <w:p>
            <w:pPr>
              <w:jc w:val="center"/>
              <w:ind w:left="434"/>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1"/>
              </w:rPr>
              <w:t>(Amendment No.)</w:t>
            </w:r>
          </w:p>
        </w:tc>
      </w:tr>
      <w:tr>
        <w:trPr>
          <w:trHeight w:val="355"/>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446"/>
        </w:trPr>
        <w:tc>
          <w:tcPr>
            <w:tcW w:w="258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720" w:type="dxa"/>
            <w:vAlign w:val="bottom"/>
            <w:gridSpan w:val="3"/>
          </w:tcPr>
          <w:p>
            <w:pPr>
              <w:ind w:left="18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58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0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4" w:right="479" w:bottom="559"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April 11,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are cordially invited to attend the annual meeting of stockholders of Galectin Therapeutics Inc. The meeting will be held on Tuesday, May 22,</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2018 at 9:00 a.m., local time, at the offices of Dentons LLP, located at 303 Peachtree Street NE, Suite 5300, Atlanta, GA 30308, for the following purposes:</w:t>
      </w:r>
    </w:p>
    <w:p>
      <w:pPr>
        <w:spacing w:after="0" w:line="89" w:lineRule="exact"/>
        <w:rPr>
          <w:sz w:val="20"/>
          <w:szCs w:val="20"/>
          <w:color w:val="auto"/>
        </w:rPr>
      </w:pPr>
    </w:p>
    <w:p>
      <w:pPr>
        <w:ind w:left="1080" w:hanging="536"/>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eight nominees named in this proxy statement for director to hold office until the 2019 annual meeting of our stockholders.</w:t>
      </w:r>
    </w:p>
    <w:p>
      <w:pPr>
        <w:spacing w:after="0" w:line="153" w:lineRule="exact"/>
        <w:rPr>
          <w:rFonts w:ascii="Arial" w:cs="Arial" w:eastAsia="Arial" w:hAnsi="Arial"/>
          <w:sz w:val="16"/>
          <w:szCs w:val="16"/>
          <w:color w:val="auto"/>
        </w:rPr>
      </w:pPr>
    </w:p>
    <w:p>
      <w:pPr>
        <w:ind w:left="1080" w:right="360" w:hanging="536"/>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2018.</w:t>
      </w:r>
    </w:p>
    <w:p>
      <w:pPr>
        <w:spacing w:after="0" w:line="75" w:lineRule="exact"/>
        <w:rPr>
          <w:rFonts w:ascii="Arial" w:cs="Arial" w:eastAsia="Arial" w:hAnsi="Arial"/>
          <w:sz w:val="18"/>
          <w:szCs w:val="18"/>
          <w:color w:val="auto"/>
        </w:rPr>
      </w:pPr>
    </w:p>
    <w:p>
      <w:pPr>
        <w:ind w:left="1080" w:right="480" w:hanging="536"/>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50,000,000 to 100,000,000.</w:t>
      </w:r>
    </w:p>
    <w:p>
      <w:pPr>
        <w:spacing w:after="0" w:line="75" w:lineRule="exact"/>
        <w:rPr>
          <w:rFonts w:ascii="Arial" w:cs="Arial" w:eastAsia="Arial" w:hAnsi="Arial"/>
          <w:sz w:val="18"/>
          <w:szCs w:val="18"/>
          <w:color w:val="auto"/>
        </w:rPr>
      </w:pPr>
    </w:p>
    <w:p>
      <w:pPr>
        <w:ind w:left="1080" w:right="20" w:hanging="536"/>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2009 Incentive Compensation Plan to reserve an additional 1,000,000 shares for issuance under the plan.</w:t>
      </w:r>
    </w:p>
    <w:p>
      <w:pPr>
        <w:spacing w:after="0" w:line="75" w:lineRule="exact"/>
        <w:rPr>
          <w:rFonts w:ascii="Arial" w:cs="Arial" w:eastAsia="Arial" w:hAnsi="Arial"/>
          <w:sz w:val="18"/>
          <w:szCs w:val="18"/>
          <w:color w:val="auto"/>
        </w:rPr>
      </w:pPr>
    </w:p>
    <w:p>
      <w:pPr>
        <w:jc w:val="both"/>
        <w:ind w:left="1080" w:right="360" w:hanging="536"/>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authorize the adjournment of the annual meeting if necessary or appropriate, including to solicit additional proxies if there are not sufficient votes at the time of the annual meeting or adjournment or postponement thereof to approve any of the foregoing proposals.</w:t>
      </w:r>
    </w:p>
    <w:p>
      <w:pPr>
        <w:spacing w:after="0" w:line="29" w:lineRule="exact"/>
        <w:rPr>
          <w:rFonts w:ascii="Arial" w:cs="Arial" w:eastAsia="Arial" w:hAnsi="Arial"/>
          <w:sz w:val="16"/>
          <w:szCs w:val="16"/>
          <w:color w:val="auto"/>
        </w:rPr>
      </w:pPr>
    </w:p>
    <w:p>
      <w:pPr>
        <w:ind w:left="1080" w:hanging="536"/>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5"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Your vote is very important. Whether or not you plan to attend the annual meeting in person, please complete and return the enclosed proxy card.</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152400</wp:posOffset>
            </wp:positionV>
            <wp:extent cx="130365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Peter G. Traber,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 Chief Medical Officer</w:t>
      </w:r>
    </w:p>
    <w:p>
      <w:pPr>
        <w:sectPr>
          <w:pgSz w:w="11900" w:h="16838" w:orient="portrait"/>
          <w:cols w:equalWidth="0" w:num="1">
            <w:col w:w="11020"/>
          </w:cols>
          <w:pgMar w:left="440" w:top="131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Norcross, Georgia 30071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THE 2018 ANNUAL MEETING OF STOCKHOLDERS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8900" w:type="dxa"/>
            <w:vAlign w:val="bottom"/>
            <w:gridSpan w:val="3"/>
          </w:tcPr>
          <w:p>
            <w:pPr>
              <w:spacing w:after="0"/>
              <w:rPr>
                <w:sz w:val="20"/>
                <w:szCs w:val="20"/>
                <w:color w:val="auto"/>
              </w:rPr>
            </w:pPr>
            <w:r>
              <w:rPr>
                <w:rFonts w:ascii="Arial" w:cs="Arial" w:eastAsia="Arial" w:hAnsi="Arial"/>
                <w:sz w:val="18"/>
                <w:szCs w:val="18"/>
                <w:color w:val="auto"/>
              </w:rPr>
              <w:t>9:00 a.m. on Tuesday, May 22, 2018</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900" w:type="dxa"/>
            <w:vAlign w:val="bottom"/>
            <w:gridSpan w:val="3"/>
          </w:tcPr>
          <w:p>
            <w:pPr>
              <w:spacing w:after="0"/>
              <w:rPr>
                <w:sz w:val="20"/>
                <w:szCs w:val="20"/>
                <w:color w:val="auto"/>
              </w:rPr>
            </w:pPr>
            <w:r>
              <w:rPr>
                <w:rFonts w:ascii="Arial" w:cs="Arial" w:eastAsia="Arial" w:hAnsi="Arial"/>
                <w:sz w:val="18"/>
                <w:szCs w:val="18"/>
                <w:color w:val="auto"/>
              </w:rPr>
              <w:t>Dentons LLP</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303 Peachtree Street NE, Suite 5300,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Atlanta, GA 30308</w:t>
            </w: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260" w:type="dxa"/>
            <w:vAlign w:val="bottom"/>
          </w:tcPr>
          <w:p>
            <w:pPr>
              <w:spacing w:after="0"/>
              <w:rPr>
                <w:sz w:val="20"/>
                <w:szCs w:val="20"/>
                <w:color w:val="auto"/>
              </w:rPr>
            </w:pPr>
            <w:r>
              <w:rPr>
                <w:rFonts w:ascii="Arial" w:cs="Arial" w:eastAsia="Arial" w:hAnsi="Arial"/>
                <w:sz w:val="18"/>
                <w:szCs w:val="18"/>
                <w:color w:val="auto"/>
              </w:rPr>
              <w:t>(1)</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w w:val="91"/>
              </w:rPr>
              <w:t>To elect the eight (8) nominees named in this proxy statement to serve until our 2018 annual meeting of stockholders.</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w w:val="94"/>
              </w:rPr>
              <w:t>To ratify the selection by the Audit Committee of the Board of Directors of Cherry Bekaert LLP as our independent</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rPr>
              <w:t>registered public accounting firm for the fiscal year ending December 31, 2018.</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(3)</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w w:val="93"/>
              </w:rPr>
              <w:t>To adopt and approve an amendment to our Restated Articles of Incorporation increasing the number of authorized</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rPr>
              <w:t>common voting shares (“common stock”) from 50,000,000 to 100,000,000.</w:t>
            </w:r>
          </w:p>
        </w:tc>
        <w:tc>
          <w:tcPr>
            <w:tcW w:w="0" w:type="dxa"/>
            <w:vAlign w:val="bottom"/>
          </w:tcPr>
          <w:p>
            <w:pPr>
              <w:spacing w:after="0"/>
              <w:rPr>
                <w:sz w:val="1"/>
                <w:szCs w:val="1"/>
                <w:color w:val="auto"/>
              </w:rPr>
            </w:pPr>
          </w:p>
        </w:tc>
      </w:tr>
      <w:tr>
        <w:trPr>
          <w:trHeight w:val="323"/>
        </w:trPr>
        <w:tc>
          <w:tcPr>
            <w:tcW w:w="2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(4)</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w w:val="91"/>
              </w:rPr>
              <w:t>To approve an amendment to our Amended and Restated 2009 Incentive Compensation Plan to reserve an additional</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rPr>
              <w:t>1,000,000 shares for issuance under the plan.</w:t>
            </w:r>
          </w:p>
        </w:tc>
        <w:tc>
          <w:tcPr>
            <w:tcW w:w="0" w:type="dxa"/>
            <w:vAlign w:val="bottom"/>
          </w:tcPr>
          <w:p>
            <w:pPr>
              <w:spacing w:after="0"/>
              <w:rPr>
                <w:sz w:val="1"/>
                <w:szCs w:val="1"/>
                <w:color w:val="auto"/>
              </w:rPr>
            </w:pPr>
          </w:p>
        </w:tc>
      </w:tr>
      <w:tr>
        <w:trPr>
          <w:trHeight w:val="323"/>
        </w:trPr>
        <w:tc>
          <w:tcPr>
            <w:tcW w:w="2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(5)</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w w:val="92"/>
              </w:rPr>
              <w:t>To authorize the adjournment of the annual meeting if necessary or appropriate, including to solicit additional proxies</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w w:val="92"/>
              </w:rPr>
              <w:t>if there are not sufficient votes at the time of the annual meeting or adjournment or postponement thereof to approve</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rPr>
              <w:t>any of the foregoing proposals.</w:t>
            </w:r>
          </w:p>
        </w:tc>
        <w:tc>
          <w:tcPr>
            <w:tcW w:w="0" w:type="dxa"/>
            <w:vAlign w:val="bottom"/>
          </w:tcPr>
          <w:p>
            <w:pPr>
              <w:spacing w:after="0"/>
              <w:rPr>
                <w:sz w:val="1"/>
                <w:szCs w:val="1"/>
                <w:color w:val="auto"/>
              </w:rPr>
            </w:pPr>
          </w:p>
        </w:tc>
      </w:tr>
      <w:tr>
        <w:trPr>
          <w:trHeight w:val="324"/>
        </w:trPr>
        <w:tc>
          <w:tcPr>
            <w:tcW w:w="2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(6)</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rPr>
              <w:t>To transact such other business as may properly come before the meeting.</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8900" w:type="dxa"/>
            <w:vAlign w:val="bottom"/>
            <w:gridSpan w:val="3"/>
          </w:tcPr>
          <w:p>
            <w:pPr>
              <w:spacing w:after="0"/>
              <w:rPr>
                <w:sz w:val="20"/>
                <w:szCs w:val="20"/>
                <w:color w:val="auto"/>
              </w:rPr>
            </w:pPr>
            <w:r>
              <w:rPr>
                <w:rFonts w:ascii="Arial" w:cs="Arial" w:eastAsia="Arial" w:hAnsi="Arial"/>
                <w:sz w:val="18"/>
                <w:szCs w:val="18"/>
                <w:color w:val="auto"/>
                <w:w w:val="91"/>
              </w:rPr>
              <w:t>You can vote if you were a stockholder of record of our common stock, our Series A 12% Convertible Preferred Stock, our</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w w:val="90"/>
              </w:rPr>
              <w:t>Series B-1 Convertible Preferred Stock, our Series B-2 Convertible Preferred Stock or our Series B-3 Convertible Preferred</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Stock, as of the close of business on October 16, 2017.</w:t>
            </w:r>
          </w:p>
        </w:tc>
        <w:tc>
          <w:tcPr>
            <w:tcW w:w="0" w:type="dxa"/>
            <w:vAlign w:val="bottom"/>
          </w:tcPr>
          <w:p>
            <w:pPr>
              <w:spacing w:after="0"/>
              <w:rPr>
                <w:sz w:val="1"/>
                <w:szCs w:val="1"/>
                <w:color w:val="auto"/>
              </w:rPr>
            </w:pPr>
          </w:p>
        </w:tc>
      </w:tr>
      <w:tr>
        <w:trPr>
          <w:trHeight w:val="324"/>
        </w:trPr>
        <w:tc>
          <w:tcPr>
            <w:tcW w:w="212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8900" w:type="dxa"/>
            <w:vAlign w:val="bottom"/>
            <w:gridSpan w:val="3"/>
          </w:tcPr>
          <w:p>
            <w:pPr>
              <w:spacing w:after="0"/>
              <w:rPr>
                <w:sz w:val="20"/>
                <w:szCs w:val="20"/>
                <w:color w:val="auto"/>
              </w:rPr>
            </w:pPr>
            <w:r>
              <w:rPr>
                <w:rFonts w:ascii="Arial" w:cs="Arial" w:eastAsia="Arial" w:hAnsi="Arial"/>
                <w:sz w:val="18"/>
                <w:szCs w:val="18"/>
                <w:color w:val="auto"/>
              </w:rPr>
              <w:t>A copy of our 2017 Annual Report on Form 10-K as amended, is included with this proxy statement.</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0"/>
                <w:szCs w:val="20"/>
                <w:color w:val="auto"/>
              </w:rPr>
            </w:pPr>
            <w:r>
              <w:rPr>
                <w:rFonts w:ascii="Arial" w:cs="Arial" w:eastAsia="Arial" w:hAnsi="Arial"/>
                <w:sz w:val="18"/>
                <w:szCs w:val="18"/>
                <w:b w:val="1"/>
                <w:bCs w:val="1"/>
                <w:color w:val="auto"/>
              </w:rPr>
              <w:t>Web site:</w:t>
            </w:r>
          </w:p>
        </w:tc>
        <w:tc>
          <w:tcPr>
            <w:tcW w:w="8900" w:type="dxa"/>
            <w:vAlign w:val="bottom"/>
            <w:gridSpan w:val="3"/>
          </w:tcPr>
          <w:p>
            <w:pPr>
              <w:spacing w:after="0"/>
              <w:rPr>
                <w:sz w:val="20"/>
                <w:szCs w:val="20"/>
                <w:color w:val="auto"/>
              </w:rPr>
            </w:pPr>
            <w:r>
              <w:rPr>
                <w:rFonts w:ascii="Arial" w:cs="Arial" w:eastAsia="Arial" w:hAnsi="Arial"/>
                <w:sz w:val="18"/>
                <w:szCs w:val="18"/>
                <w:color w:val="auto"/>
                <w:w w:val="92"/>
              </w:rPr>
              <w:t xml:space="preserve">You may also read our Annual Report and this Notice and proxy statement at </w:t>
            </w:r>
            <w:r>
              <w:rPr>
                <w:rFonts w:ascii="Arial" w:cs="Arial" w:eastAsia="Arial" w:hAnsi="Arial"/>
                <w:sz w:val="18"/>
                <w:szCs w:val="18"/>
                <w:i w:val="1"/>
                <w:iCs w:val="1"/>
                <w:color w:val="auto"/>
                <w:w w:val="92"/>
              </w:rPr>
              <w:t>www.proxyvote.com</w:t>
            </w:r>
            <w:r>
              <w:rPr>
                <w:rFonts w:ascii="Arial" w:cs="Arial" w:eastAsia="Arial" w:hAnsi="Arial"/>
                <w:sz w:val="18"/>
                <w:szCs w:val="18"/>
                <w:color w:val="auto"/>
                <w:w w:val="92"/>
              </w:rPr>
              <w:t xml:space="preserve"> and on our website at</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890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www.galectintherapeutics.com</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8"/>
                <w:szCs w:val="18"/>
                <w:b w:val="1"/>
                <w:bCs w:val="1"/>
                <w:color w:val="auto"/>
              </w:rPr>
              <w:t>Date of Mailing:</w:t>
            </w:r>
          </w:p>
        </w:tc>
        <w:tc>
          <w:tcPr>
            <w:tcW w:w="2200" w:type="dxa"/>
            <w:vAlign w:val="bottom"/>
            <w:gridSpan w:val="2"/>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20" w:type="dxa"/>
            <w:vAlign w:val="bottom"/>
            <w:vMerge w:val="continue"/>
          </w:tcPr>
          <w:p>
            <w:pPr>
              <w:spacing w:after="0"/>
              <w:rPr>
                <w:sz w:val="24"/>
                <w:szCs w:val="24"/>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w w:val="93"/>
              </w:rPr>
              <w:t>This Notice, the proxy statement and the form of proxy are first being mailed to stockholders on or about April 11, 2018.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152400</wp:posOffset>
            </wp:positionV>
            <wp:extent cx="198120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12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Harold Shlevin,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020"/>
          </w:cols>
          <w:pgMar w:left="440" w:top="270" w:right="4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Norcross, Georgia 30071</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2018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22, 2018</w:t>
      </w:r>
    </w:p>
    <w:p>
      <w:pPr>
        <w:spacing w:after="0" w:line="211"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This proxy statement contains information about the 2018 annual meeting of stockholders (“2018 Annual Meeting”) of Galectin Therapeutics Inc. (referred to in this proxy statement as “Galectin Therapeutics”, “the Company”, “we”, “our” or “us”). The meeting will be held on Tuesday, May 22, 2018, beginning at 9:00 a.m. local time, at the offices of Dentons LLP, located at 303 Peachtree Street NE, Suite 5300, Atlanta, GA 30308.</w:t>
      </w:r>
    </w:p>
    <w:p>
      <w:pPr>
        <w:spacing w:after="0" w:line="166"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2018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81"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These proxy materials, together with our annual report to stockholders for our 2017 fiscal year, are first being mailed to stockholders on or about April 11, 2018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359"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our 2018 Annual Meeting, stockholders will consider and vote on the following matters:</w:t>
      </w:r>
    </w:p>
    <w:p>
      <w:pPr>
        <w:spacing w:after="0" w:line="131" w:lineRule="exact"/>
        <w:rPr>
          <w:sz w:val="20"/>
          <w:szCs w:val="20"/>
          <w:color w:val="auto"/>
        </w:rPr>
      </w:pPr>
    </w:p>
    <w:p>
      <w:pPr>
        <w:ind w:left="1080" w:hanging="536"/>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elect the eight nominees named in this proxy statement for director to hold office until the 2019 annual meeting of our stockholders.</w:t>
      </w:r>
    </w:p>
    <w:p>
      <w:pPr>
        <w:spacing w:after="0" w:line="153" w:lineRule="exact"/>
        <w:rPr>
          <w:rFonts w:ascii="Arial" w:cs="Arial" w:eastAsia="Arial" w:hAnsi="Arial"/>
          <w:sz w:val="16"/>
          <w:szCs w:val="16"/>
          <w:color w:val="auto"/>
        </w:rPr>
      </w:pPr>
    </w:p>
    <w:p>
      <w:pPr>
        <w:ind w:left="1080" w:right="340" w:hanging="536"/>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2018.</w:t>
      </w:r>
    </w:p>
    <w:p>
      <w:pPr>
        <w:spacing w:after="0" w:line="75" w:lineRule="exact"/>
        <w:rPr>
          <w:rFonts w:ascii="Arial" w:cs="Arial" w:eastAsia="Arial" w:hAnsi="Arial"/>
          <w:sz w:val="18"/>
          <w:szCs w:val="18"/>
          <w:color w:val="auto"/>
        </w:rPr>
      </w:pPr>
    </w:p>
    <w:p>
      <w:pPr>
        <w:ind w:left="1080" w:right="460" w:hanging="536"/>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50,000,000 to 100,000,000.</w:t>
      </w:r>
    </w:p>
    <w:p>
      <w:pPr>
        <w:spacing w:after="0" w:line="75" w:lineRule="exact"/>
        <w:rPr>
          <w:rFonts w:ascii="Arial" w:cs="Arial" w:eastAsia="Arial" w:hAnsi="Arial"/>
          <w:sz w:val="18"/>
          <w:szCs w:val="18"/>
          <w:color w:val="auto"/>
        </w:rPr>
      </w:pPr>
    </w:p>
    <w:p>
      <w:pPr>
        <w:ind w:left="1080" w:hanging="536"/>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2009 Incentive Compensation Plan to reserve an additional 1,000,000 shares for issuance under the plan.</w:t>
      </w:r>
    </w:p>
    <w:p>
      <w:pPr>
        <w:spacing w:after="0" w:line="75" w:lineRule="exact"/>
        <w:rPr>
          <w:rFonts w:ascii="Arial" w:cs="Arial" w:eastAsia="Arial" w:hAnsi="Arial"/>
          <w:sz w:val="18"/>
          <w:szCs w:val="18"/>
          <w:color w:val="auto"/>
        </w:rPr>
      </w:pPr>
    </w:p>
    <w:p>
      <w:pPr>
        <w:jc w:val="both"/>
        <w:ind w:left="1080" w:right="340" w:hanging="536"/>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authorize the adjournment of the annual meeting if necessary or appropriate, including to solicit additional proxies if there are not sufficient votes at the time of the annual meeting or adjournment or postponement thereof to approve any of the foregoing proposals</w:t>
      </w:r>
    </w:p>
    <w:p>
      <w:pPr>
        <w:spacing w:after="0" w:line="29" w:lineRule="exact"/>
        <w:rPr>
          <w:rFonts w:ascii="Arial" w:cs="Arial" w:eastAsia="Arial" w:hAnsi="Arial"/>
          <w:sz w:val="16"/>
          <w:szCs w:val="16"/>
          <w:color w:val="auto"/>
        </w:rPr>
      </w:pPr>
    </w:p>
    <w:p>
      <w:pPr>
        <w:ind w:left="1080" w:hanging="536"/>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You may vote if you were a stockholder of Galectin Therapeutics as of the close of business on the record date, March 26, 2018. Shares outstanding on the record date are the following:</w:t>
      </w:r>
    </w:p>
    <w:p>
      <w:pPr>
        <w:spacing w:after="0" w:line="76" w:lineRule="exact"/>
        <w:rPr>
          <w:sz w:val="20"/>
          <w:szCs w:val="20"/>
          <w:color w:val="auto"/>
        </w:rPr>
      </w:pPr>
    </w:p>
    <w:p>
      <w:pPr>
        <w:ind w:left="860" w:hanging="4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37,569,866 shares of common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5" w:name="page6"/>
    <w:bookmarkEnd w:id="5"/>
    <w:p>
      <w:pPr>
        <w:ind w:left="860" w:hanging="4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1,377,500 shares of Series A 12% Convertible Preferred Stock (“Series A Preferred Stock”);</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900,000 shares of Series B-1 Convertible Preferred Stock (“Series B-1 Preferred Stock”);</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2,100,000 shares of Series B-2 Convertible Preferred Stock (“Series B-2 Preferred Stock”); and</w:t>
      </w:r>
    </w:p>
    <w:p>
      <w:pPr>
        <w:spacing w:after="0" w:line="130" w:lineRule="exact"/>
        <w:rPr>
          <w:rFonts w:ascii="Arial" w:cs="Arial" w:eastAsia="Arial" w:hAnsi="Arial"/>
          <w:sz w:val="18"/>
          <w:szCs w:val="18"/>
          <w:color w:val="auto"/>
        </w:rPr>
      </w:pPr>
    </w:p>
    <w:p>
      <w:pPr>
        <w:ind w:left="860" w:right="40" w:hanging="424"/>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2,508,000 shares of Series B-3 Convertible Preferred Stock (“Series B-3 Preferred Stock”), and together with the Series B-1 Preferred Stock and Series B-2 Preferred Stock, the “Series B Preferred Stock”).</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shares of Series A Preferred Stock and Series B Preferred Stock vote on an as-converted basis with the shares of common stock. The shares of our Series C Super Dividend Convertible Preferred Stock do not have voting rights prior to conversion to common stock. The shares of the Series A Preferred Stock, Series B Preferred Stock and the Series C Super Dividend Convertible Preferred Stock are hereafter referred to as the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 Each share of our Series B-1 Preferred Stock and Series B-2 Preferred Stock entitles the holder to two-thirds of a vote (i.e. three shares of Series B-1 Preferred Stock and Series B-2 Preferred Stock equals two votes) on each matter that is submitted to a vote of holders of our common stock. Each share of our Series B-3 Preferred Stock entitles the holder to 71% of a vote (i.e. 1,789,246 votes total for 2,508,000 shares of Series B-3 Preferred Stock) on each matter that is submitted to a vote of holders of our common stock.</w:t>
      </w:r>
    </w:p>
    <w:p>
      <w:pPr>
        <w:spacing w:after="0" w:line="165"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11,486,804 shares of common stock or the common equivalent of voting Preferred Stock, representing approximately 28% of the total outstanding voting shares at the record date. We expect all of these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proposals as described in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72" w:lineRule="exact"/>
        <w:rPr>
          <w:sz w:val="20"/>
          <w:szCs w:val="20"/>
          <w:color w:val="auto"/>
        </w:rPr>
      </w:pPr>
    </w:p>
    <w:p>
      <w:pPr>
        <w:ind w:left="1080" w:right="80" w:hanging="536"/>
        <w:spacing w:after="0" w:line="25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You may vote by mail</w:t>
      </w:r>
      <w:r>
        <w:rPr>
          <w:rFonts w:ascii="Arial" w:cs="Arial" w:eastAsia="Arial" w:hAnsi="Arial"/>
          <w:sz w:val="18"/>
          <w:szCs w:val="18"/>
          <w:color w:val="auto"/>
        </w:rPr>
        <w:t>. You may vote by completing and signing the proxy card enclosed with this proxy statement (or by requesting a</w:t>
      </w:r>
      <w:r>
        <w:rPr>
          <w:rFonts w:ascii="Arial" w:cs="Arial" w:eastAsia="Arial" w:hAnsi="Arial"/>
          <w:sz w:val="18"/>
          <w:szCs w:val="18"/>
          <w:b w:val="1"/>
          <w:bCs w:val="1"/>
          <w:color w:val="auto"/>
        </w:rPr>
        <w:t xml:space="preserve"> </w:t>
      </w:r>
      <w:r>
        <w:rPr>
          <w:rFonts w:ascii="Arial" w:cs="Arial" w:eastAsia="Arial" w:hAnsi="Arial"/>
          <w:sz w:val="18"/>
          <w:szCs w:val="18"/>
          <w:color w:val="auto"/>
        </w:rPr>
        <w:t>paper 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93" w:lineRule="exact"/>
        <w:rPr>
          <w:rFonts w:ascii="Arial" w:cs="Arial" w:eastAsia="Arial" w:hAnsi="Arial"/>
          <w:sz w:val="18"/>
          <w:szCs w:val="18"/>
          <w:color w:val="auto"/>
        </w:rPr>
      </w:pPr>
    </w:p>
    <w:p>
      <w:pPr>
        <w:ind w:left="1080" w:right="200" w:hanging="536"/>
        <w:spacing w:after="0" w:line="281"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You may vote by Internet</w:t>
      </w:r>
      <w:r>
        <w:rPr>
          <w:rFonts w:ascii="Arial" w:cs="Arial" w:eastAsia="Arial" w:hAnsi="Arial"/>
          <w:sz w:val="17"/>
          <w:szCs w:val="17"/>
          <w:color w:val="auto"/>
        </w:rPr>
        <w:t>. You may vote over the Internet as instructed on the proxy card enclosed with this proxy statement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accessing </w:t>
      </w:r>
      <w:r>
        <w:rPr>
          <w:rFonts w:ascii="Arial" w:cs="Arial" w:eastAsia="Arial" w:hAnsi="Arial"/>
          <w:sz w:val="17"/>
          <w:szCs w:val="17"/>
          <w:i w:val="1"/>
          <w:iCs w:val="1"/>
          <w:color w:val="auto"/>
        </w:rPr>
        <w:t>www.proxyvote.com</w:t>
      </w:r>
      <w:r>
        <w:rPr>
          <w:rFonts w:ascii="Arial" w:cs="Arial" w:eastAsia="Arial" w:hAnsi="Arial"/>
          <w:sz w:val="17"/>
          <w:szCs w:val="17"/>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70" w:lineRule="exact"/>
        <w:rPr>
          <w:rFonts w:ascii="Arial" w:cs="Arial" w:eastAsia="Arial" w:hAnsi="Arial"/>
          <w:sz w:val="17"/>
          <w:szCs w:val="17"/>
          <w:color w:val="auto"/>
        </w:rPr>
      </w:pPr>
    </w:p>
    <w:p>
      <w:pPr>
        <w:ind w:left="1080" w:right="60" w:hanging="536"/>
        <w:spacing w:after="0" w:line="282"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You may vote in person</w:t>
      </w:r>
      <w:r>
        <w:rPr>
          <w:rFonts w:ascii="Arial" w:cs="Arial" w:eastAsia="Arial" w:hAnsi="Arial"/>
          <w:sz w:val="18"/>
          <w:szCs w:val="18"/>
          <w:color w:val="auto"/>
        </w:rPr>
        <w:t>. If you attend the meeting, you may vote by delivering your completed proxy card in person or by completing a</w:t>
      </w:r>
      <w:r>
        <w:rPr>
          <w:rFonts w:ascii="Arial" w:cs="Arial" w:eastAsia="Arial" w:hAnsi="Arial"/>
          <w:sz w:val="18"/>
          <w:szCs w:val="18"/>
          <w:b w:val="1"/>
          <w:bCs w:val="1"/>
          <w:color w:val="auto"/>
        </w:rPr>
        <w:t xml:space="preserve"> </w:t>
      </w:r>
      <w:r>
        <w:rPr>
          <w:rFonts w:ascii="Arial" w:cs="Arial" w:eastAsia="Arial" w:hAnsi="Arial"/>
          <w:sz w:val="18"/>
          <w:szCs w:val="18"/>
          <w:color w:val="auto"/>
        </w:rPr>
        <w:t>ballot. Ballots will be available at the meeting.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does the Board of Directors recommend that I vote on the proposals?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recommends that you vote: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eight nominees to serve as directors on the Board of Directors until our 2019 annual meeting of stockholders.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selection of Cherry Bekaert LLP, as our independent registered public accounting firm for the 2018 fiscal year.</w:t>
      </w:r>
    </w:p>
    <w:p>
      <w:pPr>
        <w:spacing w:after="0" w:line="129" w:lineRule="exact"/>
        <w:rPr>
          <w:sz w:val="20"/>
          <w:szCs w:val="20"/>
          <w:color w:val="auto"/>
        </w:rPr>
      </w:pPr>
    </w:p>
    <w:p>
      <w:pPr>
        <w:ind w:left="440" w:right="24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adopting and approving an amendment to our Restated Articles of Incorporation to increase our authorized shares of common stock from</w:t>
      </w:r>
      <w:r>
        <w:rPr>
          <w:rFonts w:ascii="Arial" w:cs="Arial" w:eastAsia="Arial" w:hAnsi="Arial"/>
          <w:sz w:val="18"/>
          <w:szCs w:val="18"/>
          <w:b w:val="1"/>
          <w:bCs w:val="1"/>
          <w:color w:val="auto"/>
        </w:rPr>
        <w:t xml:space="preserve"> </w:t>
      </w:r>
      <w:r>
        <w:rPr>
          <w:rFonts w:ascii="Arial" w:cs="Arial" w:eastAsia="Arial" w:hAnsi="Arial"/>
          <w:sz w:val="18"/>
          <w:szCs w:val="18"/>
          <w:color w:val="auto"/>
        </w:rPr>
        <w:t>50,000,000 to 100,000,000.</w:t>
      </w:r>
    </w:p>
    <w:p>
      <w:pPr>
        <w:spacing w:after="0" w:line="54"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approving an amendment to our Amended and Restated 2009 Incentive Compensation Plan to reserve an additional 1,000,000 shares for</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under the plan.</w:t>
      </w:r>
    </w:p>
    <w:p>
      <w:pPr>
        <w:spacing w:after="0" w:line="54" w:lineRule="exact"/>
        <w:rPr>
          <w:sz w:val="20"/>
          <w:szCs w:val="20"/>
          <w:color w:val="auto"/>
        </w:rPr>
      </w:pPr>
    </w:p>
    <w:p>
      <w:pPr>
        <w:ind w:left="440" w:right="40"/>
        <w:spacing w:after="0" w:line="347"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authorization of the adjournment of the annual meeting if necessary or appropriate, including to solicit additional proxies if there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votes at the time of the annual meeting or adjournment or postponement thereof to approve any of the foregoing proposals.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121"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Any proxy card returned without directions given will be voted (1) “</w:t>
      </w:r>
      <w:r>
        <w:rPr>
          <w:rFonts w:ascii="Arial" w:cs="Arial" w:eastAsia="Arial" w:hAnsi="Arial"/>
          <w:sz w:val="17"/>
          <w:szCs w:val="17"/>
          <w:b w:val="1"/>
          <w:bCs w:val="1"/>
          <w:color w:val="auto"/>
        </w:rPr>
        <w:t>FOR</w:t>
      </w:r>
      <w:r>
        <w:rPr>
          <w:rFonts w:ascii="Arial" w:cs="Arial" w:eastAsia="Arial" w:hAnsi="Arial"/>
          <w:sz w:val="17"/>
          <w:szCs w:val="17"/>
          <w:color w:val="auto"/>
        </w:rPr>
        <w:t>” the election of directors presented in this proxy statement to the Board of Directors, (2)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Cherry Bekaert LLP as our independent registered public accounting firm to audit the financial statements for our 2018 fiscal year, (3) “</w:t>
      </w:r>
      <w:r>
        <w:rPr>
          <w:rFonts w:ascii="Arial" w:cs="Arial" w:eastAsia="Arial" w:hAnsi="Arial"/>
          <w:sz w:val="17"/>
          <w:szCs w:val="17"/>
          <w:b w:val="1"/>
          <w:bCs w:val="1"/>
          <w:color w:val="auto"/>
        </w:rPr>
        <w:t>FOR</w:t>
      </w:r>
      <w:r>
        <w:rPr>
          <w:rFonts w:ascii="Arial" w:cs="Arial" w:eastAsia="Arial" w:hAnsi="Arial"/>
          <w:sz w:val="17"/>
          <w:szCs w:val="17"/>
          <w:color w:val="auto"/>
        </w:rPr>
        <w:t>” adopting and approving an amendment to our Restated Articles of Incorporation to increase our authorized common voting shares from 50,000,000 to 100,000,000, (4)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approving an amendment to our Amended and Restated 2009 Incentive Compensation Plan to reserve an additional 1,000,000 shares for issuance under the plan, (5) “</w:t>
      </w:r>
      <w:r>
        <w:rPr>
          <w:rFonts w:ascii="Arial" w:cs="Arial" w:eastAsia="Arial" w:hAnsi="Arial"/>
          <w:sz w:val="17"/>
          <w:szCs w:val="17"/>
          <w:b w:val="1"/>
          <w:bCs w:val="1"/>
          <w:color w:val="auto"/>
        </w:rPr>
        <w:t>FOR</w:t>
      </w:r>
      <w:r>
        <w:rPr>
          <w:rFonts w:ascii="Arial" w:cs="Arial" w:eastAsia="Arial" w:hAnsi="Arial"/>
          <w:sz w:val="17"/>
          <w:szCs w:val="17"/>
          <w:color w:val="auto"/>
        </w:rPr>
        <w:t>” the authorization of the adjournment of the annual meeting if necessary or appropriate, including to solicit additional proxies if there are not sufficient votes at the time of the annual meeting or adjournment or postponement thereof to approve any of the foregoing proposals, and (6) as to any other business that may come before the 2018 Annual Meeting, in accordance with the judgment of the person or persons named in the proxy.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Your shares may be voted if they are held in the name of a brokerage firm, even if you do not provide the brokerage firm with voting instructions.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Brokerage firms have the authority to vote shares for which their customers do not provide voting instructions on certain “routine” matters.</w:t>
      </w:r>
    </w:p>
    <w:p>
      <w:pPr>
        <w:spacing w:after="0" w:line="211" w:lineRule="exact"/>
        <w:rPr>
          <w:sz w:val="20"/>
          <w:szCs w:val="20"/>
          <w:color w:val="auto"/>
        </w:rPr>
      </w:pPr>
    </w:p>
    <w:p>
      <w:pPr>
        <w:jc w:val="both"/>
        <w:ind w:right="260" w:firstLine="441"/>
        <w:spacing w:after="0" w:line="255" w:lineRule="auto"/>
        <w:rPr>
          <w:sz w:val="20"/>
          <w:szCs w:val="20"/>
          <w:color w:val="auto"/>
        </w:rPr>
      </w:pPr>
      <w:r>
        <w:rPr>
          <w:rFonts w:ascii="Arial" w:cs="Arial" w:eastAsia="Arial" w:hAnsi="Arial"/>
          <w:sz w:val="18"/>
          <w:szCs w:val="18"/>
          <w:color w:val="auto"/>
        </w:rPr>
        <w:t>The proposal to ratify the selection of Cherry Bekaert LLP as our independent auditor for fiscal year 2018 as well as the proposal to adopt and approve an amendment to our Restated Articles of Incorporation to increase our authorized common voting shares are considered routine matters for which brokerage firms may vote shares for which they have not received voting instructions. The other proposals to be voted on at our 2018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 I change my vote after I have mailed my proxy card or after I have voted my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54" w:lineRule="exact"/>
        <w:rPr>
          <w:sz w:val="20"/>
          <w:szCs w:val="20"/>
          <w:color w:val="auto"/>
        </w:rPr>
      </w:pPr>
    </w:p>
    <w:p>
      <w:pPr>
        <w:ind w:left="860" w:hanging="4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30" w:lineRule="exact"/>
        <w:rPr>
          <w:rFonts w:ascii="Arial" w:cs="Arial" w:eastAsia="Arial" w:hAnsi="Arial"/>
          <w:sz w:val="18"/>
          <w:szCs w:val="18"/>
          <w:color w:val="auto"/>
        </w:rPr>
      </w:pPr>
    </w:p>
    <w:p>
      <w:pPr>
        <w:ind w:left="860" w:right="240" w:hanging="424"/>
        <w:spacing w:after="0" w:line="308" w:lineRule="auto"/>
        <w:tabs>
          <w:tab w:leader="none" w:pos="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giving our Corporate Secretary, Dr. Harold Shlevin, Ph.D., written notice to that effect. He may be contacted at 4960 Peachtree Industrial Blvd., Suite 240, Norcross, GA 30071; telephone: 678-620-3186; e-mail: shlevin@galectintherapeutics.com;</w:t>
      </w:r>
    </w:p>
    <w:p>
      <w:pPr>
        <w:spacing w:after="0" w:line="51" w:lineRule="exact"/>
        <w:rPr>
          <w:rFonts w:ascii="Arial" w:cs="Arial" w:eastAsia="Arial" w:hAnsi="Arial"/>
          <w:sz w:val="17"/>
          <w:szCs w:val="17"/>
          <w:color w:val="auto"/>
        </w:rPr>
      </w:pPr>
    </w:p>
    <w:p>
      <w:pPr>
        <w:ind w:left="860" w:right="20" w:hanging="4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again prior to the time at which the Internet voting facilities close by following the procedures applicable to that method of voting, as directed on the enclosed proxy card; or</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access the proxy materials over the internet?</w:t>
      </w:r>
    </w:p>
    <w:p>
      <w:pPr>
        <w:spacing w:after="0" w:line="12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You may view and also download our proxy materials, including the 2017 Annual Report, our Form 10-K for the year ended December 31, 2017, and the Notice by accessing www.proxyvote.com and on our website at www.galectintherapeutics.com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solicitation of Proxies?</w:t>
      </w:r>
    </w:p>
    <w:p>
      <w:pPr>
        <w:spacing w:after="0" w:line="12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We retained Georgeson LLC to aid in the solicitation of proxies, for which it will receive a fee estimated at $8,000, plus reasonable expenses.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A quorum of stockholders is necessary to hold a valid meeting. A quorum will be present if at least one-third of the outstanding shares entitled to vote are represented by stockholders present at the meeting or by proxy. On the record date, there were 41,588,802 shares of common stock outstanding or deemed outstanding based on voting rights of Series A Preferred Stock or Series B Preferred Stock on an as-converted basis. Thus, 13,862,921 shares must be represented by stockholders present at the meeting or by proxy to have a quorum.</w:t>
      </w:r>
    </w:p>
    <w:p>
      <w:pPr>
        <w:spacing w:after="0" w:line="17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12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Directors are elected by a plurality of the votes cast by the holders of shares entitled to vote in the election. There are eight</w:t>
      </w:r>
      <w:r>
        <w:rPr>
          <w:rFonts w:ascii="Arial" w:cs="Arial" w:eastAsia="Arial" w:hAnsi="Arial"/>
          <w:sz w:val="18"/>
          <w:szCs w:val="18"/>
          <w:i w:val="1"/>
          <w:iCs w:val="1"/>
          <w:color w:val="auto"/>
        </w:rPr>
        <w:t xml:space="preserve"> </w:t>
      </w:r>
      <w:r>
        <w:rPr>
          <w:rFonts w:ascii="Arial" w:cs="Arial" w:eastAsia="Arial" w:hAnsi="Arial"/>
          <w:sz w:val="18"/>
          <w:szCs w:val="18"/>
          <w:color w:val="auto"/>
        </w:rPr>
        <w:t>nominees and eight positions to be filled; this means that the eight individuals receiving the most votes will be elected. Abstentions and broker non-votes will not be relevant to the outcome. Our eighth and ninth directors, whom we refer to as the Series B Directors, are nominated and elected by the holder(s) of the Series B Preferred Stock voting as a separate class.</w:t>
      </w:r>
    </w:p>
    <w:p>
      <w:pPr>
        <w:spacing w:after="0" w:line="187"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The votes cast “for” must exceed the votes cast “against” in order to ratify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of Cherry Bekaert LLP, as our independent registered public accounting firm. Abstentions and broker non-votes will not be relevant to the outcome.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8" w:name="page9"/>
    <w:bookmarkEnd w:id="8"/>
    <w:p>
      <w:pPr>
        <w:ind w:firstLine="441"/>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of Amendment to Restated Articles of Incorporation</w:t>
      </w:r>
      <w:r>
        <w:rPr>
          <w:rFonts w:ascii="Arial" w:cs="Arial" w:eastAsia="Arial" w:hAnsi="Arial"/>
          <w:sz w:val="18"/>
          <w:szCs w:val="18"/>
          <w:color w:val="auto"/>
        </w:rPr>
        <w:t>. The minimum vote required for approval of the proposal to amend our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Incorporation to increase the authorized number of shares of common stock is a majority of all votes entitled to be cast on the matter. Abstentions will have the same effect as a vote “against”. If you are a beneficial owner of shares registered in the name of your broker or other nominee and you fail to provide instructions to your broker or nominee as to how to vote your shares, your broker or nominee will have the discretion to vote your shares, but if you do not provide voting instructions and your broker or nominee fails to vote your shares, this will broker non-vote have the same effect as a vote against the proposal. If you are a beneficial owner of shares registered in the name of your broker or other nominee, we strongly encourage you to provide voting instructions to the broker or nominee that holds your shares to ensure that your shares are voted in the manner in which you want them to be voted.</w:t>
      </w:r>
    </w:p>
    <w:p>
      <w:pPr>
        <w:spacing w:after="0" w:line="192"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i w:val="1"/>
          <w:iCs w:val="1"/>
          <w:color w:val="auto"/>
        </w:rPr>
        <w:t xml:space="preserve">Approval of Amendment to our Amended and Restated 2009 Incentive Compensation Plan. </w:t>
      </w:r>
      <w:r>
        <w:rPr>
          <w:rFonts w:ascii="Arial" w:cs="Arial" w:eastAsia="Arial" w:hAnsi="Arial"/>
          <w:sz w:val="16"/>
          <w:szCs w:val="16"/>
          <w:color w:val="auto"/>
        </w:rPr>
        <w:t>The affirmative vote of a majority of the votes cast,</w:t>
      </w:r>
      <w:r>
        <w:rPr>
          <w:rFonts w:ascii="Arial" w:cs="Arial" w:eastAsia="Arial" w:hAnsi="Arial"/>
          <w:sz w:val="16"/>
          <w:szCs w:val="16"/>
          <w:i w:val="1"/>
          <w:iCs w:val="1"/>
          <w:color w:val="auto"/>
        </w:rPr>
        <w:t xml:space="preserve"> </w:t>
      </w:r>
      <w:r>
        <w:rPr>
          <w:rFonts w:ascii="Arial" w:cs="Arial" w:eastAsia="Arial" w:hAnsi="Arial"/>
          <w:sz w:val="16"/>
          <w:szCs w:val="16"/>
          <w:color w:val="auto"/>
        </w:rPr>
        <w:t>either for, against or abstain, by the holders of the shares of common stock voting is required to approve the proposed amendment to our Amended and Restated 2009 Incentive Compensation Plan. Broker non-votes will have no effect. Additionally, the consent of the holder of our Series B Preferred Stock is required for an amendment to increase the number of shares of common stock reserved under our Amended and Restated 2009 Incentive Compensation Plan. 10X Fund, as the holder of all issued and outstanding shares of Series B Preferred, has consented to the proposed amendment.</w:t>
      </w:r>
    </w:p>
    <w:p>
      <w:pPr>
        <w:spacing w:after="0" w:line="158" w:lineRule="exact"/>
        <w:rPr>
          <w:sz w:val="20"/>
          <w:szCs w:val="20"/>
          <w:color w:val="auto"/>
        </w:rPr>
      </w:pPr>
    </w:p>
    <w:p>
      <w:pPr>
        <w:ind w:right="860" w:firstLine="441"/>
        <w:spacing w:after="0" w:line="277" w:lineRule="auto"/>
        <w:rPr>
          <w:sz w:val="20"/>
          <w:szCs w:val="20"/>
          <w:color w:val="auto"/>
        </w:rPr>
      </w:pPr>
      <w:r>
        <w:rPr>
          <w:rFonts w:ascii="Arial" w:cs="Arial" w:eastAsia="Arial" w:hAnsi="Arial"/>
          <w:sz w:val="18"/>
          <w:szCs w:val="18"/>
          <w:i w:val="1"/>
          <w:iCs w:val="1"/>
          <w:color w:val="auto"/>
        </w:rPr>
        <w:t>Adjournment of Annual Meeting</w:t>
      </w:r>
      <w:r>
        <w:rPr>
          <w:rFonts w:ascii="Arial" w:cs="Arial" w:eastAsia="Arial" w:hAnsi="Arial"/>
          <w:sz w:val="18"/>
          <w:szCs w:val="18"/>
          <w:color w:val="auto"/>
        </w:rPr>
        <w:t>. The votes cast “for” must exceed the votes cast “against” in order to approve the authorization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of the annual meeting. Abstentions and broker non-votes will not be relevant to the outcome.</w:t>
      </w:r>
    </w:p>
    <w:p>
      <w:pPr>
        <w:spacing w:after="0" w:line="170"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If your shares are held in street name and you do not provide voting instructions to your broker, bank or other nominee, your broker is entitled to vote your shares with respect to the proposal to ratify the selection of Cherry Bekaert LLP as our independent auditor for fiscal year 2018 as well as the proposal to adopt and approve an amendment to our Restated Articles of Incorporation to increase our authorized common voting shares. Otherwise, they will be treated as broker non-votes and, except as noted above with respect to the proposal to adopt and approve an amendment to our Restated Articles of Incorporation, will not be counted for purposes of determining the outcome of a proposal. Abstentions and votes “withheld” are counted for the purpose of establishing a quorum.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Board of Directors currently has nine members. Why are only eight elected at the annual meeting?</w:t>
      </w:r>
    </w:p>
    <w:p>
      <w:pPr>
        <w:spacing w:after="0" w:line="121"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The holders of our common stock will vote for the election of eight directors at the 2018 Annual Meeting and the holder(s) of our Series B Preferred Stock have the right, as long as any shares of Series B Preferred Stock are outstanding, to vote as a separate class to elect two additional directors, referred to as the Series B directors, although the holders of the Series B preferred stock only intend to elect one director, for a total of nine directors. The holder(s) of the Series B Preferred Stock also have the right to nominate three of the remaining eight directors, however, the holder(s) of the Series B Preferred Stock have not exercised their right to nominate three directors for purposes of the 2018 annual meeting. As of March 26, 2018, 10X Fund L.P. is the owner of all of the issued and outstanding shares of the Series B Preferred Stock. For additional information, please see “Security Ownership of Certain Beneficial Owners and Management” below.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appoint an Inspector of Elections for the 2018 Annual Meeting who will not be an officer, director or nominee.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w:t>
      </w:r>
    </w:p>
    <w:p>
      <w:pPr>
        <w:spacing w:after="0" w:line="12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with respect to two or more stockholders sharing the same address by delivering a single proxy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9" w:name="page10"/>
    <w:bookmarkEnd w:id="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addressed to those stockholders. This process is called “householding.” This reduces the volume of duplicate information received at your household and helps to reduce costs. Your materials may be househeld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Peachtree Industrial Blvd., Suite 240, Norcross, GA 30071, Attention: Corporate Secretary; telephone: 678-620-3186; e-mail: shlevin@galectintherapeutics.com.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12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December 11, 2018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February 21, 2019 nor earlier than January 22, 2019, in order to be considered timely.</w:t>
      </w:r>
    </w:p>
    <w:p>
      <w:pPr>
        <w:spacing w:after="0" w:line="193"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12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We will report the voting results on Form 8-K within four business days after the end of our 2018 Annual Meeting of stockholders. If final voting results are not available to us in time to file a current report on Form 8-K within four business days after the 2018 Annual Meeting, we intend to file a current report on Form 8-K to publish preliminary results and, within four business days after the final results are known to us, file an additional current report on Form 8-K to publish the final results.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The following table sets forth, as of March 26, 2018, certain information concerning the beneficial ownership of our common stock, Series A Preferred Stock and Series B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2018 Annual Meeting, except for such separate class votes as are required by law.</w:t>
      </w:r>
    </w:p>
    <w:p>
      <w:pPr>
        <w:spacing w:after="0" w:line="173"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March 26, 2018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7"/>
              </w:rPr>
              <w:t>Shares of</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Shares of</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Series A</w:t>
            </w:r>
          </w:p>
        </w:tc>
        <w:tc>
          <w:tcPr>
            <w:tcW w:w="13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Percent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Series B</w:t>
            </w:r>
          </w:p>
        </w:tc>
        <w:tc>
          <w:tcPr>
            <w:tcW w:w="1220" w:type="dxa"/>
            <w:vAlign w:val="bottom"/>
            <w:gridSpan w:val="3"/>
            <w:vMerge w:val="restart"/>
          </w:tcPr>
          <w:p>
            <w:pPr>
              <w:jc w:val="center"/>
              <w:ind w:left="74"/>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Percent of</w:t>
            </w:r>
          </w:p>
        </w:tc>
        <w:tc>
          <w:tcPr>
            <w:tcW w:w="1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340" w:type="dxa"/>
            <w:vAlign w:val="bottom"/>
            <w:gridSpan w:val="3"/>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Series A</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Series B</w:t>
            </w: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Address(1)</w:t>
            </w: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Common</w:t>
            </w: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Preferred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3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1"/>
        </w:trPr>
        <w:tc>
          <w:tcPr>
            <w:tcW w:w="3920" w:type="dxa"/>
            <w:vAlign w:val="bottom"/>
            <w:gridSpan w:val="3"/>
            <w:vMerge w:val="continue"/>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Owned(2)</w:t>
            </w:r>
          </w:p>
        </w:tc>
        <w:tc>
          <w:tcPr>
            <w:tcW w:w="18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Stock(3)</w:t>
            </w:r>
          </w:p>
        </w:tc>
        <w:tc>
          <w:tcPr>
            <w:tcW w:w="1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Stock(4)</w:t>
            </w: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rPr>
              <w:t>Owned(5)</w:t>
            </w:r>
          </w:p>
        </w:tc>
        <w:tc>
          <w:tcPr>
            <w:tcW w:w="3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5% Stockholders</w:t>
            </w:r>
          </w:p>
        </w:tc>
        <w:tc>
          <w:tcPr>
            <w:tcW w:w="2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14,934,107(6)</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7.3%</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5,508,000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(10)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13,374,560(7)</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5,508,000</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David Smith (11)</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3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12.7%</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 (11)</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100,000(9)</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Richard E. Uihlein (13)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5,099,091(14)</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Directors, New Director</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Nominee and Other Named</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14,934,107(6)</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7.3%</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5,508,000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255,069(12)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860" w:type="dxa"/>
            <w:vAlign w:val="bottom"/>
          </w:tcPr>
          <w:p>
            <w:pPr>
              <w:jc w:val="right"/>
              <w:spacing w:after="0"/>
              <w:rPr>
                <w:sz w:val="20"/>
                <w:szCs w:val="20"/>
                <w:color w:val="auto"/>
              </w:rPr>
            </w:pPr>
            <w:r>
              <w:rPr>
                <w:rFonts w:ascii="Arial" w:cs="Arial" w:eastAsia="Arial" w:hAnsi="Arial"/>
                <w:sz w:val="18"/>
                <w:szCs w:val="18"/>
                <w:color w:val="auto"/>
              </w:rPr>
              <w:t>116,894</w:t>
            </w:r>
          </w:p>
        </w:tc>
        <w:tc>
          <w:tcPr>
            <w:tcW w:w="4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3.6%</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860" w:type="dxa"/>
            <w:vAlign w:val="bottom"/>
          </w:tcPr>
          <w:p>
            <w:pPr>
              <w:jc w:val="right"/>
              <w:spacing w:after="0"/>
              <w:rPr>
                <w:sz w:val="20"/>
                <w:szCs w:val="20"/>
                <w:color w:val="auto"/>
              </w:rPr>
            </w:pPr>
            <w:r>
              <w:rPr>
                <w:rFonts w:ascii="Arial" w:cs="Arial" w:eastAsia="Arial" w:hAnsi="Arial"/>
                <w:sz w:val="18"/>
                <w:szCs w:val="18"/>
                <w:color w:val="auto"/>
              </w:rPr>
              <w:t>12,000</w:t>
            </w:r>
          </w:p>
        </w:tc>
        <w:tc>
          <w:tcPr>
            <w:tcW w:w="4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Uihlein</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5,099,091(14)</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860" w:type="dxa"/>
            <w:vAlign w:val="bottom"/>
          </w:tcPr>
          <w:p>
            <w:pPr>
              <w:jc w:val="right"/>
              <w:spacing w:after="0"/>
              <w:rPr>
                <w:sz w:val="20"/>
                <w:szCs w:val="20"/>
                <w:color w:val="auto"/>
              </w:rPr>
            </w:pPr>
            <w:r>
              <w:rPr>
                <w:rFonts w:ascii="Arial" w:cs="Arial" w:eastAsia="Arial" w:hAnsi="Arial"/>
                <w:sz w:val="18"/>
                <w:szCs w:val="18"/>
                <w:color w:val="auto"/>
              </w:rPr>
              <w:t>32,333</w:t>
            </w:r>
          </w:p>
        </w:tc>
        <w:tc>
          <w:tcPr>
            <w:tcW w:w="4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770,154(15)</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860" w:type="dxa"/>
            <w:vAlign w:val="bottom"/>
          </w:tcPr>
          <w:p>
            <w:pPr>
              <w:jc w:val="right"/>
              <w:spacing w:after="0"/>
              <w:rPr>
                <w:sz w:val="20"/>
                <w:szCs w:val="20"/>
                <w:color w:val="auto"/>
              </w:rPr>
            </w:pPr>
            <w:r>
              <w:rPr>
                <w:rFonts w:ascii="Arial" w:cs="Arial" w:eastAsia="Arial" w:hAnsi="Arial"/>
                <w:sz w:val="18"/>
                <w:szCs w:val="18"/>
                <w:color w:val="auto"/>
              </w:rPr>
              <w:t>2,074,921</w:t>
            </w:r>
          </w:p>
        </w:tc>
        <w:tc>
          <w:tcPr>
            <w:tcW w:w="48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484,082</w:t>
            </w:r>
          </w:p>
        </w:tc>
        <w:tc>
          <w:tcPr>
            <w:tcW w:w="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860" w:type="dxa"/>
            <w:vAlign w:val="bottom"/>
          </w:tcPr>
          <w:p>
            <w:pPr>
              <w:jc w:val="right"/>
              <w:spacing w:after="0"/>
              <w:rPr>
                <w:sz w:val="20"/>
                <w:szCs w:val="20"/>
                <w:color w:val="auto"/>
              </w:rPr>
            </w:pPr>
            <w:r>
              <w:rPr>
                <w:rFonts w:ascii="Arial" w:cs="Arial" w:eastAsia="Arial" w:hAnsi="Arial"/>
                <w:sz w:val="18"/>
                <w:szCs w:val="18"/>
                <w:color w:val="auto"/>
              </w:rPr>
              <w:t>457,428</w:t>
            </w:r>
          </w:p>
        </w:tc>
        <w:tc>
          <w:tcPr>
            <w:tcW w:w="48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All executive officers and directors as a group</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(11 persons)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24,548,501(8)</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5,508,000</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40" w:right="320" w:hanging="436"/>
        <w:spacing w:after="0" w:line="261"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440" w:top="270" w:right="419" w:bottom="1440" w:gutter="0" w:footer="0" w:header="0"/>
        </w:sectPr>
      </w:pPr>
    </w:p>
    <w:bookmarkStart w:id="11" w:name="page12"/>
    <w:bookmarkEnd w:id="11"/>
    <w:p>
      <w:pPr>
        <w:ind w:left="436" w:hanging="436"/>
        <w:spacing w:after="0" w:line="277" w:lineRule="auto"/>
        <w:tabs>
          <w:tab w:leader="none" w:pos="436"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the following number of shares of our common stock issuable upon exercise of outstanding stock options granted to our named executive officers and directors that are exercisable within 60 days after March 26, 2018.</w:t>
      </w:r>
    </w:p>
    <w:p>
      <w:pPr>
        <w:spacing w:after="0" w:line="189" w:lineRule="exact"/>
        <w:rPr>
          <w:sz w:val="20"/>
          <w:szCs w:val="20"/>
          <w:color w:val="auto"/>
        </w:rPr>
      </w:pPr>
    </w:p>
    <w:tbl>
      <w:tblPr>
        <w:tblLayout w:type="fixed"/>
        <w:tblInd w:w="436" w:type="dxa"/>
        <w:tblCellMar>
          <w:top w:w="0" w:type="dxa"/>
          <w:left w:w="0" w:type="dxa"/>
          <w:bottom w:w="0" w:type="dxa"/>
          <w:right w:w="0" w:type="dxa"/>
        </w:tblCellMar>
      </w:tblPr>
      <w:tr>
        <w:trPr>
          <w:trHeight w:val="171"/>
        </w:trPr>
        <w:tc>
          <w:tcPr>
            <w:tcW w:w="5600" w:type="dxa"/>
            <w:vAlign w:val="bottom"/>
            <w:gridSpan w:val="3"/>
          </w:tcPr>
          <w:p>
            <w:pPr>
              <w:spacing w:after="0"/>
              <w:rPr>
                <w:sz w:val="20"/>
                <w:szCs w:val="20"/>
                <w:color w:val="auto"/>
              </w:rPr>
            </w:pPr>
            <w:r>
              <w:rPr>
                <w:rFonts w:ascii="Arial" w:cs="Arial" w:eastAsia="Arial" w:hAnsi="Arial"/>
                <w:sz w:val="14"/>
                <w:szCs w:val="14"/>
                <w:b w:val="1"/>
                <w:bCs w:val="1"/>
                <w:color w:val="auto"/>
              </w:rPr>
              <w:t>Directors, Nominees and Named Executive Officers</w:t>
            </w:r>
          </w:p>
        </w:tc>
        <w:tc>
          <w:tcPr>
            <w:tcW w:w="4540" w:type="dxa"/>
            <w:vAlign w:val="bottom"/>
            <w:gridSpan w:val="3"/>
          </w:tcPr>
          <w:p>
            <w:pPr>
              <w:ind w:left="2260"/>
              <w:spacing w:after="0"/>
              <w:rPr>
                <w:sz w:val="20"/>
                <w:szCs w:val="20"/>
                <w:color w:val="auto"/>
              </w:rPr>
            </w:pPr>
            <w:r>
              <w:rPr>
                <w:rFonts w:ascii="Arial" w:cs="Arial" w:eastAsia="Arial" w:hAnsi="Arial"/>
                <w:sz w:val="14"/>
                <w:szCs w:val="14"/>
                <w:b w:val="1"/>
                <w:bCs w:val="1"/>
                <w:color w:val="auto"/>
                <w:w w:val="94"/>
              </w:rPr>
              <w:t>Options Exercisable Within 60 Days</w:t>
            </w:r>
          </w:p>
        </w:tc>
      </w:tr>
      <w:tr>
        <w:trPr>
          <w:trHeight w:val="210"/>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Czirr</w:t>
            </w:r>
          </w:p>
        </w:tc>
        <w:tc>
          <w:tcPr>
            <w:tcW w:w="24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41,500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41,500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Zucconi</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47,964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Peter Traber, M.D.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1,967,587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Shlevin, Ph.D.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430,168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Jack Callicutt</w:t>
            </w:r>
          </w:p>
        </w:tc>
        <w:tc>
          <w:tcPr>
            <w:tcW w:w="226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456,168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2260" w:type="dxa"/>
            <w:vAlign w:val="bottom"/>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3,720,887</w:t>
            </w:r>
          </w:p>
        </w:tc>
        <w:tc>
          <w:tcPr>
            <w:tcW w:w="40" w:type="dxa"/>
            <w:vAlign w:val="bottom"/>
            <w:shd w:val="clear" w:color="auto" w:fill="CCEEFF"/>
          </w:tcPr>
          <w:p>
            <w:pPr>
              <w:spacing w:after="0"/>
              <w:rPr>
                <w:sz w:val="18"/>
                <w:szCs w:val="18"/>
                <w:color w:val="auto"/>
              </w:rPr>
            </w:pPr>
          </w:p>
        </w:tc>
      </w:tr>
    </w:tbl>
    <w:p>
      <w:pPr>
        <w:spacing w:after="0" w:line="121" w:lineRule="exact"/>
        <w:rPr>
          <w:sz w:val="20"/>
          <w:szCs w:val="20"/>
          <w:color w:val="auto"/>
        </w:rPr>
      </w:pPr>
    </w:p>
    <w:p>
      <w:pPr>
        <w:ind w:left="436" w:right="60" w:hanging="436"/>
        <w:spacing w:after="0" w:line="254" w:lineRule="auto"/>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common stock is calculated by dividing the number of shares of our common stock beneficially owned by such person or group by the sum of (i) 37,569,866 shares of our common stock outstanding as of March 26, 2018 and (ii) the number of shares of our common stock that such person has the right to acquire within 60 days after March 26, 2018.</w:t>
      </w:r>
    </w:p>
    <w:p>
      <w:pPr>
        <w:spacing w:after="0" w:line="2" w:lineRule="exact"/>
        <w:rPr>
          <w:rFonts w:ascii="Arial" w:cs="Arial" w:eastAsia="Arial" w:hAnsi="Arial"/>
          <w:sz w:val="18"/>
          <w:szCs w:val="18"/>
          <w:color w:val="auto"/>
        </w:rPr>
      </w:pPr>
    </w:p>
    <w:p>
      <w:pPr>
        <w:ind w:left="436" w:hanging="436"/>
        <w:spacing w:after="0"/>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1,377,500 shares of Series A preferred stock outstanding as of March 26, 2018.</w:t>
      </w:r>
    </w:p>
    <w:p>
      <w:pPr>
        <w:spacing w:after="0" w:line="9" w:lineRule="exact"/>
        <w:rPr>
          <w:rFonts w:ascii="Arial" w:cs="Arial" w:eastAsia="Arial" w:hAnsi="Arial"/>
          <w:sz w:val="18"/>
          <w:szCs w:val="18"/>
          <w:color w:val="auto"/>
        </w:rPr>
      </w:pPr>
    </w:p>
    <w:p>
      <w:pPr>
        <w:ind w:left="436" w:hanging="436"/>
        <w:spacing w:after="0" w:line="250" w:lineRule="auto"/>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900,000 shares of Series B-1 preferred stock, 2,100,000 shares of Series B-2 preferred stock and 2,508,000 shares of Series B-3 preferred stock outstanding as of March 26, 2018.</w:t>
      </w:r>
    </w:p>
    <w:p>
      <w:pPr>
        <w:ind w:left="436" w:hanging="436"/>
        <w:spacing w:after="0" w:line="265" w:lineRule="auto"/>
        <w:tabs>
          <w:tab w:leader="none" w:pos="4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(i) 600,000 common shares issuable upon conversion of 900,000 shares of Series B-1 preferred stock, (ii) 1,400,000 common shares issuable upon conversion of 2,100,000 shares of Series B-2 preferred stock; (iii) 1,789,346 common shares issuable upon conversion of 2,508,000 shares of Series B-3 preferred stock, (iv) 6,469,038 common shares issuable upon exercise of warrants; (v) 2,000,000 shares of common stock acquired upon exercise of warrants; and (vi) 1,116,176 common shares issued as stock dividends paid on the Series B preferred stock which is net shares sold or distributed to 10X Fund limited partners,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889,630 shares of common stock owned by Mr. Czirr, 653,250 shares issuable upon the exercise of vested stock options owned by Mr. Czirr, and 16,667 shares of our common stock issuable upon conversion of Series A preferred stock owned by Mr. Czirr.</w:t>
      </w:r>
    </w:p>
    <w:p>
      <w:pPr>
        <w:spacing w:after="0" w:line="2" w:lineRule="exact"/>
        <w:rPr>
          <w:rFonts w:ascii="Arial" w:cs="Arial" w:eastAsia="Arial" w:hAnsi="Arial"/>
          <w:sz w:val="17"/>
          <w:szCs w:val="17"/>
          <w:color w:val="auto"/>
        </w:rPr>
      </w:pPr>
    </w:p>
    <w:p>
      <w:pPr>
        <w:ind w:left="436" w:right="20" w:hanging="436"/>
        <w:spacing w:after="0" w:line="250" w:lineRule="auto"/>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600,000 common shares issuable upon conversion of 900,000 shares of Series B-1 preferred stock, (ii) 1,400,000 common shares issuable upon conversion of 2,100,000 shares of Series B-2 preferred stock; (iii) 1,789,346 common shares issuable upon conversion of 2,508,000 shares of Series B-3 preferred stock, (iv) 6,469,038 common shares issuable upon exercise of warrants; (v) 2,000,000 shares of common stock acquired upon exercise of warrants; and (vi) 1,116,176 common shares issued as stock dividends paid on the Series B preferred stock which is net shares sold or distributed to 10X Fund limited partners, as to which Mr. Czirr, in his capacity as a managing member of 10X Capital Management Fund, LLC, a Florida limited liability company and general partner of 10X Fund, has voting and investment power, and disclaims beneficial ownership, of these securities.</w:t>
      </w:r>
    </w:p>
    <w:p>
      <w:pPr>
        <w:spacing w:after="0" w:line="3" w:lineRule="exact"/>
        <w:rPr>
          <w:rFonts w:ascii="Arial" w:cs="Arial" w:eastAsia="Arial" w:hAnsi="Arial"/>
          <w:sz w:val="18"/>
          <w:szCs w:val="18"/>
          <w:color w:val="auto"/>
        </w:rPr>
      </w:pPr>
    </w:p>
    <w:p>
      <w:pPr>
        <w:ind w:left="436" w:right="260" w:hanging="436"/>
        <w:spacing w:after="0" w:line="273" w:lineRule="auto"/>
        <w:tabs>
          <w:tab w:leader="none" w:pos="4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(i) 10,258,384 common shares issuable upon conversion of the shares of Series B preferred stock and exercise of warrants and (ii) 3,116,176 common shares acquired upon exercise of warrants or issued as stock dividends on the Series B preferred stock net shares sold or distributed to 10X Fund limited partners, as to which Mr. Czirr has voting and investment control but are counted one time for purposes of this total. For additional information about the beneficial ownership of our capital stock by Mr. Czirr, see notes 6.</w:t>
      </w:r>
    </w:p>
    <w:p>
      <w:pPr>
        <w:spacing w:after="0" w:line="10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76"/>
          </w:cols>
          <w:pgMar w:left="444" w:top="274" w:right="479" w:bottom="1440" w:gutter="0" w:footer="0" w:header="0"/>
        </w:sectPr>
      </w:pPr>
    </w:p>
    <w:bookmarkStart w:id="12" w:name="page13"/>
    <w:bookmarkEnd w:id="12"/>
    <w:p>
      <w:pPr>
        <w:ind w:left="436" w:right="20" w:hanging="436"/>
        <w:spacing w:after="0" w:line="258" w:lineRule="auto"/>
        <w:tabs>
          <w:tab w:leader="none" w:pos="436"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Smith is the manager of Fivex LLC, a Connecticut limited liability company, and may be deemed to have voting and investment control over, but disclaims beneficial ownership of, the shares of Series A preferred stock.</w:t>
      </w:r>
    </w:p>
    <w:p>
      <w:pPr>
        <w:spacing w:after="0" w:line="1" w:lineRule="exact"/>
        <w:rPr>
          <w:rFonts w:ascii="Arial" w:cs="Arial" w:eastAsia="Arial" w:hAnsi="Arial"/>
          <w:sz w:val="18"/>
          <w:szCs w:val="18"/>
          <w:color w:val="auto"/>
        </w:rPr>
      </w:pPr>
    </w:p>
    <w:p>
      <w:pPr>
        <w:ind w:left="436" w:hanging="436"/>
        <w:spacing w:after="0"/>
        <w:tabs>
          <w:tab w:leader="none" w:pos="4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Contact: c/o 10X Capital Management, LLC at Investment Law Group attn: Bob Mottern 1230 Peachtree Street NE Atlanta, GA 30309.</w:t>
      </w:r>
    </w:p>
    <w:p>
      <w:pPr>
        <w:spacing w:after="0" w:line="20" w:lineRule="exact"/>
        <w:rPr>
          <w:rFonts w:ascii="Arial" w:cs="Arial" w:eastAsia="Arial" w:hAnsi="Arial"/>
          <w:sz w:val="17"/>
          <w:szCs w:val="17"/>
          <w:color w:val="auto"/>
        </w:rPr>
      </w:pPr>
    </w:p>
    <w:p>
      <w:pPr>
        <w:ind w:left="436" w:hanging="436"/>
        <w:spacing w:after="0"/>
        <w:tabs>
          <w:tab w:leader="none" w:pos="4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9" w:lineRule="exact"/>
        <w:rPr>
          <w:rFonts w:ascii="Arial" w:cs="Arial" w:eastAsia="Arial" w:hAnsi="Arial"/>
          <w:sz w:val="18"/>
          <w:szCs w:val="18"/>
          <w:color w:val="auto"/>
        </w:rPr>
      </w:pPr>
    </w:p>
    <w:p>
      <w:pPr>
        <w:ind w:left="436" w:right="220" w:hanging="436"/>
        <w:spacing w:after="0" w:line="250" w:lineRule="auto"/>
        <w:tabs>
          <w:tab w:leader="none" w:pos="4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169,062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Arial" w:cs="Arial" w:eastAsia="Arial" w:hAnsi="Arial"/>
          <w:sz w:val="18"/>
          <w:szCs w:val="18"/>
          <w:color w:val="auto"/>
        </w:rPr>
      </w:pPr>
    </w:p>
    <w:p>
      <w:pPr>
        <w:ind w:left="436" w:hanging="436"/>
        <w:spacing w:after="0"/>
        <w:tabs>
          <w:tab w:leader="none" w:pos="4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Contact: c/o Uline Corporation, 12575 Uline Drive, Pleasant Prairie, WI 53158</w:t>
      </w:r>
    </w:p>
    <w:p>
      <w:pPr>
        <w:spacing w:after="0" w:line="9" w:lineRule="exact"/>
        <w:rPr>
          <w:rFonts w:ascii="Arial" w:cs="Arial" w:eastAsia="Arial" w:hAnsi="Arial"/>
          <w:sz w:val="18"/>
          <w:szCs w:val="18"/>
          <w:color w:val="auto"/>
        </w:rPr>
      </w:pPr>
    </w:p>
    <w:p>
      <w:pPr>
        <w:ind w:left="436" w:hanging="436"/>
        <w:spacing w:after="0" w:line="250" w:lineRule="auto"/>
        <w:tabs>
          <w:tab w:leader="none" w:pos="4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 2,549,553 shares of common stock, (ii) 2,466,204 common shares issuable upon the exercise of common stock purchase warrants and (iii) 83,333 common shares issuable upon conversion of Series C preferred non-voting stock.</w:t>
      </w:r>
    </w:p>
    <w:p>
      <w:pPr>
        <w:ind w:left="436" w:right="280" w:hanging="436"/>
        <w:spacing w:after="0" w:line="255" w:lineRule="auto"/>
        <w:tabs>
          <w:tab w:leader="none" w:pos="4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38,382 shares of common stock and 16,111 common stock purchase warrants personally owned by Mr. Eldred and 409,538 shares of common stock and 306,123 common stock purchase warrants owned by trusts over which Mr. Eldred shares management control; however, Mr. Eldred disclaims beneficial ownership of the shares and warrants owned by such trusts.</w:t>
      </w:r>
    </w:p>
    <w:p>
      <w:pPr>
        <w:spacing w:after="0" w:line="123"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36"/>
          </w:cols>
          <w:pgMar w:left="444" w:top="274" w:right="519" w:bottom="1440" w:gutter="0" w:footer="0" w:header="0"/>
        </w:sectPr>
      </w:pPr>
    </w:p>
    <w:bookmarkStart w:id="13" w:name="page14"/>
    <w:bookmarkEnd w:id="1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Section 16(a) of the Exchange Act requires our officers and directors, and persons who beneficially own more than ten percent of our common stock, to file reports of ownership and changes of ownership of such securities with the SEC. Except as set forth in our Annual Report filed on Form 10-K for the year ended December 31, 2017, all reports were timely filed during the fiscal year ended December 31, 2017.</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440" w:top="270" w:right="7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or “Board”, has nominated seven members currently serving on our Board, identified below, to be re-elected, and one individual who is not currently a director, to be newly elected, in each case at the 2018 Annual Meeting to serve until the 2019 annual meeting of stockholders and until their respective successors are elected and qualified. Each Company Nominee has agreed to serve on the Board, if elected.</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Nominating and Corporate Governance Committee is nominating eight directors to be elected to the Board of Directors because James</w:t>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 Czirr is being nominated and elected by the holder(s) of the Series B Preferred Stock voting as a separate class (the “Series B Director”). In addition, the holder(s) of the Series B Preferred Stock have the right, to nominate three additional directors to the Board, (the “Series B Nominees”), however, the holder(s) of the Series B Preferred Stock have not exercised such right in connection with this election. As of March 26, 2018, 10X Fund L.P. is the owner of all of the issued and outstanding shares of the Series B Preferred Stock. James C. Czirr, the Series B Directors, is managing member of 10X Capital Management LLC, the general partner of 10X Fund L.P. Richard Uihlein, who was originally elected to the Board as a Series B Nominee in 2017, is a limited partner in 10X Fund L.P., and is a holder of more than 5% of our issued and outstanding common stock and more than 5% of our outstanding Series C Preferred Stock. Joel Lewis, who was also originally elected to the Board as a Series B Nominee in 2017 is an employee of Uline Inc., a corporation for which Richard Uihlein is a controlling shareholder and serves as chief executive officer. Theodore Zucconi, Ph.D., currently serves as a Series B Director, but will not be elected by the holder(s) of the Series B Preferred Stock as a Series B Director in 2018. Accordingly, Dr. Zucconi’s term as a director will expire at the 2018 Annual Meeting.</w:t>
      </w:r>
    </w:p>
    <w:p>
      <w:pPr>
        <w:spacing w:after="0" w:line="180" w:lineRule="exact"/>
        <w:rPr>
          <w:sz w:val="20"/>
          <w:szCs w:val="20"/>
          <w:color w:val="auto"/>
        </w:rPr>
      </w:pPr>
    </w:p>
    <w:p>
      <w:pPr>
        <w:jc w:val="both"/>
        <w:ind w:right="40" w:firstLine="441"/>
        <w:spacing w:after="0" w:line="286" w:lineRule="auto"/>
        <w:rPr>
          <w:sz w:val="20"/>
          <w:szCs w:val="20"/>
          <w:color w:val="auto"/>
        </w:rPr>
      </w:pPr>
      <w:r>
        <w:rPr>
          <w:rFonts w:ascii="Arial" w:cs="Arial" w:eastAsia="Arial" w:hAnsi="Arial"/>
          <w:sz w:val="17"/>
          <w:szCs w:val="17"/>
          <w:color w:val="auto"/>
        </w:rPr>
        <w:t>If all of the nominees are elected at the 2018 Annual Meeting, our Board of Directors will have nine members, including the Series B Director. Set forth below is information regarding the nominees, as of March 26, 2018, including their ages, positions with Galectin Therapeutics, recent employment and other directorships. Background information with respect to the Series B Director is also provided below.</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persons who have been nominated for election at the 2018 Annual Meeting to serve on our Board of Directors are named in the table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Proxies cannot be voted for a greater number of persons than the number of nominees named.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Nominees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1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1840" w:type="dxa"/>
            <w:vAlign w:val="bottom"/>
          </w:tcPr>
          <w:p>
            <w:pPr>
              <w:spacing w:after="0"/>
              <w:rPr>
                <w:sz w:val="14"/>
                <w:szCs w:val="14"/>
                <w:color w:val="auto"/>
              </w:rPr>
            </w:pPr>
          </w:p>
        </w:tc>
        <w:tc>
          <w:tcPr>
            <w:tcW w:w="3200" w:type="dxa"/>
            <w:vAlign w:val="bottom"/>
            <w:gridSpan w:val="3"/>
          </w:tcPr>
          <w:p>
            <w:pPr>
              <w:ind w:left="580"/>
              <w:spacing w:after="0"/>
              <w:rPr>
                <w:sz w:val="20"/>
                <w:szCs w:val="20"/>
                <w:color w:val="auto"/>
              </w:rPr>
            </w:pPr>
            <w:r>
              <w:rPr>
                <w:rFonts w:ascii="Arial" w:cs="Arial" w:eastAsia="Arial" w:hAnsi="Arial"/>
                <w:sz w:val="14"/>
                <w:szCs w:val="14"/>
                <w:b w:val="1"/>
                <w:bCs w:val="1"/>
                <w:color w:val="auto"/>
              </w:rPr>
              <w:t>Position</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Director 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Gilbert F. Amelio, Ph.D (2)(3)</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w:t>
            </w:r>
          </w:p>
        </w:tc>
        <w:tc>
          <w:tcPr>
            <w:tcW w:w="18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Kary Eldred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840" w:type="dxa"/>
            <w:vAlign w:val="bottom"/>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D. Freeman (1)(3)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Joel Lewis (1) (2)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840" w:type="dxa"/>
            <w:vAlign w:val="bottom"/>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Gilbert S. Omenn, M.D., Ph.D. (2)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Marc Rubin, M.D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840" w:type="dxa"/>
            <w:vAlign w:val="bottom"/>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Shulman (1).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Richard E. Uihlein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840" w:type="dxa"/>
            <w:vAlign w:val="bottom"/>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hanging="43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440" w:hanging="43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440" w:top="270"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Gilbert F. Amelio, Ph.D</w:t>
      </w:r>
      <w:r>
        <w:rPr>
          <w:rFonts w:ascii="Arial" w:cs="Arial" w:eastAsia="Arial" w:hAnsi="Arial"/>
          <w:sz w:val="17"/>
          <w:szCs w:val="17"/>
          <w:color w:val="auto"/>
        </w:rPr>
        <w:t>., a director since February 2009, began his career at Bell Labs in Murray Hill, New Jersey. Since January 1, 2012,</w:t>
      </w:r>
    </w:p>
    <w:p>
      <w:pPr>
        <w:spacing w:after="0" w:line="3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Dr. Amelio has provided consulting and advisory services through GFA, LLC, a California limited liability company. He was a Senior Partner of Sienna Ventures (a privately-held venture capital firm in Sausalito, California) from April 2001 until the fund closed per plan on December 31, 2011.</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include his executive leadership and management experience, as well as his extensive experience with global companies, his financial expertise and his years of experience providing strategic advisory services to organizations.</w:t>
      </w:r>
    </w:p>
    <w:p>
      <w:pPr>
        <w:spacing w:after="0" w:line="18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i w:val="1"/>
          <w:iCs w:val="1"/>
          <w:color w:val="auto"/>
        </w:rPr>
        <w:t xml:space="preserve">Kary Eldred, </w:t>
      </w:r>
      <w:r>
        <w:rPr>
          <w:rFonts w:ascii="Arial" w:cs="Arial" w:eastAsia="Arial" w:hAnsi="Arial"/>
          <w:sz w:val="17"/>
          <w:szCs w:val="17"/>
          <w:color w:val="auto"/>
        </w:rPr>
        <w:t>a new nominee to our Board, is a director and Chief Investment Officer for the Living Stones Foundation since July 2015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an active 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2"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i w:val="1"/>
          <w:iCs w:val="1"/>
          <w:color w:val="auto"/>
        </w:rPr>
        <w:t>Kevin D. Freeman</w:t>
      </w:r>
      <w:r>
        <w:rPr>
          <w:rFonts w:ascii="Arial" w:cs="Arial" w:eastAsia="Arial" w:hAnsi="Arial"/>
          <w:sz w:val="18"/>
          <w:szCs w:val="18"/>
          <w:color w:val="auto"/>
        </w:rPr>
        <w:t>, a director since May 2011, holds the Chartered Financial Analyst designation and is Chief Executive Officer of Cross</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and Services, LLC, an investment advisory and consulting firm founded in 2004. He is also author of a New York Times best-selling book about the stock market and economy and the host of television segments (Economic War Room with Kevin Freeman) that airs nationally during local newscasts on 200 stations.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89"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i w:val="1"/>
          <w:iCs w:val="1"/>
          <w:color w:val="auto"/>
        </w:rPr>
        <w:t>Joel Lewis</w:t>
      </w:r>
      <w:r>
        <w:rPr>
          <w:rFonts w:ascii="Arial" w:cs="Arial" w:eastAsia="Arial" w:hAnsi="Arial"/>
          <w:sz w:val="17"/>
          <w:szCs w:val="17"/>
          <w:color w:val="auto"/>
        </w:rPr>
        <w:t>, a director since 2017, is the Managing Director of Shareholder Services at Uline, Inc. (a distributor of shipping, packaging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supplies), a position he has held since 2007. Mr. Lewis is a financial executive with over 25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 net 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University of Illinois and a Masters in Taxation from DePaul University. We believe that Mr. Lewis’ qualifications to sit on our Board include his business and financial expertise and his service as a board observer on our Board during 2017.</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i w:val="1"/>
          <w:iCs w:val="1"/>
          <w:color w:val="auto"/>
        </w:rPr>
        <w:t>Gilbert S. Omenn, M.D., Ph.D.</w:t>
      </w:r>
      <w:r>
        <w:rPr>
          <w:rFonts w:ascii="Arial" w:cs="Arial" w:eastAsia="Arial" w:hAnsi="Arial"/>
          <w:sz w:val="17"/>
          <w:szCs w:val="17"/>
          <w:color w:val="auto"/>
        </w:rPr>
        <w:t>, a director since September 2014, served on the board of directors of Amgen Inc. for 27 years and of Rohm &amp;</w:t>
      </w:r>
      <w:r>
        <w:rPr>
          <w:rFonts w:ascii="Arial" w:cs="Arial" w:eastAsia="Arial" w:hAnsi="Arial"/>
          <w:sz w:val="17"/>
          <w:szCs w:val="17"/>
          <w:i w:val="1"/>
          <w:iCs w:val="1"/>
          <w:color w:val="auto"/>
        </w:rPr>
        <w:t xml:space="preserve"> </w:t>
      </w:r>
      <w:r>
        <w:rPr>
          <w:rFonts w:ascii="Arial" w:cs="Arial" w:eastAsia="Arial" w:hAnsi="Arial"/>
          <w:sz w:val="17"/>
          <w:szCs w:val="17"/>
          <w:color w:val="auto"/>
        </w:rPr>
        <w:t>Haas Company for 22 years. He currently serves on the boards of Esperion Therapeutics Inc., and Oncofusion. Dr. Omenn is Professor of Computational Medicine &amp; Bioinformatics, Internal Medicine, Human Genetics, and Public Health and Director of the university-wide Center for Computational Medicine and Bioinformatics at the University of Michigan where he leads major research programs in proteomics and integrative biomedical informatics. Dr. Omenn served as executive vice president for medical affairs and as chief executive officer of the University of Michigan Health System from 1997 to 2002. Prior to this, he was the dean of the School of Public Health and Community Medicine and professor of medicine at the University of Washington. Earlier he was Associate Director of the White House Office of Science and Technology and of the Office of Management and Budget. He is the author of more than 563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83"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and Chairman of the Board since January 2016, is Executive Chairman of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69"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i w:val="1"/>
          <w:iCs w:val="1"/>
          <w:color w:val="auto"/>
        </w:rPr>
        <w:t>Stephen Shulman</w:t>
      </w:r>
      <w:r>
        <w:rPr>
          <w:rFonts w:ascii="Arial" w:cs="Arial" w:eastAsia="Arial" w:hAnsi="Arial"/>
          <w:sz w:val="16"/>
          <w:szCs w:val="16"/>
          <w:color w:val="auto"/>
        </w:rPr>
        <w:t>, a director since 2017, is the Chief Executive Officer of Medical Devices Inc. (MDI), a position he has held since 1982. MDI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numerous medical device startups such as defibrillator electrodes, Fiberoptic pressure sensors, occlusive dressings, surgical glue, non-invasive body temperature control and end stage renal care. Prior to the formation of MDI, he was Director of Sales and Marketing/Asia Pacific for Medtronic from 1970 to 1981. Mr. Shulman received a B.S.C. in microbiology and physics from Wayne State University. We believe that Mr. Shulman is best situated to sit on our Board because of his extensive executive leadership and management experience in the medical device industry.</w:t>
      </w:r>
    </w:p>
    <w:p>
      <w:pPr>
        <w:spacing w:after="0" w:line="158" w:lineRule="exact"/>
        <w:rPr>
          <w:sz w:val="20"/>
          <w:szCs w:val="20"/>
          <w:color w:val="auto"/>
        </w:rPr>
      </w:pPr>
    </w:p>
    <w:p>
      <w:pPr>
        <w:ind w:right="300" w:firstLine="441"/>
        <w:spacing w:after="0" w:line="302" w:lineRule="auto"/>
        <w:rPr>
          <w:sz w:val="20"/>
          <w:szCs w:val="20"/>
          <w:color w:val="auto"/>
        </w:rPr>
      </w:pPr>
      <w:r>
        <w:rPr>
          <w:rFonts w:ascii="Arial" w:cs="Arial" w:eastAsia="Arial" w:hAnsi="Arial"/>
          <w:sz w:val="16"/>
          <w:szCs w:val="16"/>
          <w:i w:val="1"/>
          <w:iCs w:val="1"/>
          <w:color w:val="auto"/>
        </w:rPr>
        <w:t>Richard E. Uihlein</w:t>
      </w:r>
      <w:r>
        <w:rPr>
          <w:rFonts w:ascii="Arial" w:cs="Arial" w:eastAsia="Arial" w:hAnsi="Arial"/>
          <w:sz w:val="16"/>
          <w:szCs w:val="16"/>
          <w:color w:val="auto"/>
        </w:rPr>
        <w:t>, a director since 2017, co-founded Uline, Inc. (a leading distributor of shipping, packaging and industrial supplies) in 1980,</w:t>
      </w:r>
      <w:r>
        <w:rPr>
          <w:rFonts w:ascii="Arial" w:cs="Arial" w:eastAsia="Arial" w:hAnsi="Arial"/>
          <w:sz w:val="16"/>
          <w:szCs w:val="16"/>
          <w:i w:val="1"/>
          <w:iCs w:val="1"/>
          <w:color w:val="auto"/>
        </w:rPr>
        <w:t xml:space="preserve"> </w:t>
      </w:r>
      <w:r>
        <w:rPr>
          <w:rFonts w:ascii="Arial" w:cs="Arial" w:eastAsia="Arial" w:hAnsi="Arial"/>
          <w:sz w:val="16"/>
          <w:szCs w:val="16"/>
          <w:color w:val="auto"/>
        </w:rPr>
        <w:t>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B Director</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i w:val="1"/>
          <w:iCs w:val="1"/>
          <w:color w:val="auto"/>
        </w:rPr>
        <w:t>James C. Czirr</w:t>
      </w:r>
      <w:r>
        <w:rPr>
          <w:rFonts w:ascii="Arial" w:cs="Arial" w:eastAsia="Arial" w:hAnsi="Arial"/>
          <w:sz w:val="17"/>
          <w:szCs w:val="17"/>
          <w:color w:val="auto"/>
        </w:rPr>
        <w:t>, age 62, has been nominated and will be elected by the holder(s) of the Series B Preferred Stock voting as a separate class to serve</w:t>
      </w:r>
      <w:r>
        <w:rPr>
          <w:rFonts w:ascii="Arial" w:cs="Arial" w:eastAsia="Arial" w:hAnsi="Arial"/>
          <w:sz w:val="17"/>
          <w:szCs w:val="17"/>
          <w:i w:val="1"/>
          <w:iCs w:val="1"/>
          <w:color w:val="auto"/>
        </w:rPr>
        <w:t xml:space="preserve"> </w:t>
      </w:r>
      <w:r>
        <w:rPr>
          <w:rFonts w:ascii="Arial" w:cs="Arial" w:eastAsia="Arial" w:hAnsi="Arial"/>
          <w:sz w:val="17"/>
          <w:szCs w:val="17"/>
          <w:color w:val="auto"/>
        </w:rPr>
        <w:t>on our Board of Directors. Mr. Czirr is not subject to election by the holders of our common stock at the 2018 Annual Meeting, and proxies cannot be voted for his election. Mr. Czirr served as Chairman of the Board from February 2009 until January 2016 and Executive Chairman from February 2010 until January 2016, is a co-founder of 10X Fund, L.P. and is 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because he is the director who was a co-founder of the Company and is familiar with our business and industry.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KEY EMPLOYEES AND KEY CONSULTANTS</w:t>
      </w:r>
    </w:p>
    <w:p>
      <w:pPr>
        <w:spacing w:after="0" w:line="229"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i w:val="1"/>
          <w:iCs w:val="1"/>
          <w:color w:val="auto"/>
        </w:rPr>
        <w:t xml:space="preserve">Peter G. Traber, M.D., </w:t>
      </w:r>
      <w:r>
        <w:rPr>
          <w:rFonts w:ascii="Arial" w:cs="Arial" w:eastAsia="Arial" w:hAnsi="Arial"/>
          <w:sz w:val="18"/>
          <w:szCs w:val="18"/>
          <w:color w:val="auto"/>
        </w:rPr>
        <w:t>age 62</w:t>
      </w:r>
      <w:r>
        <w:rPr>
          <w:rFonts w:ascii="Arial" w:cs="Arial" w:eastAsia="Arial" w:hAnsi="Arial"/>
          <w:sz w:val="18"/>
          <w:szCs w:val="18"/>
          <w:i w:val="1"/>
          <w:iCs w:val="1"/>
          <w:color w:val="auto"/>
        </w:rPr>
        <w:t xml:space="preserve">, </w:t>
      </w:r>
      <w:r>
        <w:rPr>
          <w:rFonts w:ascii="Arial" w:cs="Arial" w:eastAsia="Arial" w:hAnsi="Arial"/>
          <w:sz w:val="18"/>
          <w:szCs w:val="18"/>
          <w:color w:val="auto"/>
        </w:rPr>
        <w:t>became President and Chief Executive Officer in March 2011, and is also our Chief Medical Officer. Dr. Traber</w:t>
      </w:r>
      <w:r>
        <w:rPr>
          <w:rFonts w:ascii="Arial" w:cs="Arial" w:eastAsia="Arial" w:hAnsi="Arial"/>
          <w:sz w:val="18"/>
          <w:szCs w:val="18"/>
          <w:i w:val="1"/>
          <w:iCs w:val="1"/>
          <w:color w:val="auto"/>
        </w:rPr>
        <w:t xml:space="preserve"> </w:t>
      </w:r>
      <w:r>
        <w:rPr>
          <w:rFonts w:ascii="Arial" w:cs="Arial" w:eastAsia="Arial" w:hAnsi="Arial"/>
          <w:sz w:val="18"/>
          <w:szCs w:val="18"/>
          <w:color w:val="auto"/>
        </w:rPr>
        <w:t>also served as a director of the Company from 2009 through 2017. Dr. Traber is President Emeritus, and from 2003 to 2008 was President and Chief Executive Officer, of Baylor College of Medicine. From 2000 to 2003 he was Senior Vice President Clinical Development and Medical Affairs and Chief Medical Officer of GlaxoSmithKline plc. Dr. Traber was the Chairman of the Board and Chief Executive Officer of TerraSep, LLC, a Mountain View, CA biotechnology company. He also has served as Chief Executive Officer of the University of Pennsylvania Health System, as well as Chair of the Department of Internal Medicine and Chief of Gastroenterology for the University of Pennsylvania School of Medicine and was named as a director of NeoStem, Inc. (Nasdaq:NBS) in 2015. Dr. Traber received his M.D. from Wayne State School of Medicine and a B.S. in chemical engineering from the University of Michigan.</w:t>
      </w:r>
    </w:p>
    <w:p>
      <w:pPr>
        <w:spacing w:after="0" w:line="192"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i w:val="1"/>
          <w:iCs w:val="1"/>
          <w:color w:val="auto"/>
        </w:rPr>
        <w:t>Harold Shlevin, Ph.D.</w:t>
      </w:r>
      <w:r>
        <w:rPr>
          <w:rFonts w:ascii="Arial" w:cs="Arial" w:eastAsia="Arial" w:hAnsi="Arial"/>
          <w:sz w:val="17"/>
          <w:szCs w:val="17"/>
          <w:color w:val="auto"/>
        </w:rPr>
        <w:t>, age 68, became our Chief Operating Officer and Secretary on October 1, 2012. Dr. Shlevin previously had been employed</w:t>
      </w:r>
      <w:r>
        <w:rPr>
          <w:rFonts w:ascii="Arial" w:cs="Arial" w:eastAsia="Arial" w:hAnsi="Arial"/>
          <w:sz w:val="17"/>
          <w:szCs w:val="17"/>
          <w:i w:val="1"/>
          <w:iCs w:val="1"/>
          <w:color w:val="auto"/>
        </w:rPr>
        <w:t xml:space="preserve"> </w:t>
      </w:r>
      <w:r>
        <w:rPr>
          <w:rFonts w:ascii="Arial" w:cs="Arial" w:eastAsia="Arial" w:hAnsi="Arial"/>
          <w:sz w:val="17"/>
          <w:szCs w:val="17"/>
          <w:color w:val="auto"/>
        </w:rPr>
        <w:t>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w:t>
      </w:r>
    </w:p>
    <w:p>
      <w:pPr>
        <w:spacing w:after="0" w:line="183"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i w:val="1"/>
          <w:iCs w:val="1"/>
          <w:color w:val="auto"/>
        </w:rPr>
        <w:t>Jack W. Callicutt</w:t>
      </w:r>
      <w:r>
        <w:rPr>
          <w:rFonts w:ascii="Arial" w:cs="Arial" w:eastAsia="Arial" w:hAnsi="Arial"/>
          <w:sz w:val="18"/>
          <w:szCs w:val="18"/>
          <w:color w:val="auto"/>
        </w:rPr>
        <w:t>, age 51, became our Chief Financial Officer on July 1, 2013. From August 2012 through June 2012, Mr. Callicutt was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REACH Health, Inc., a telemedicine technology company headquartered in Alpharetta, GA. From April 2010 through August 2012, Mr. Callicutt was the Chief Financial Officer of Vystar Corporation, a publicly-traded company that holds proprietary technology to remove antigenic proteins from natural rubber latex. Prior to that Mr. Callicutt was Chief Financial Officer of IVOX, Inc., Tikvah Therapeutics and Corautus Genetics, a publicly-traded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92"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i w:val="1"/>
          <w:iCs w:val="1"/>
          <w:color w:val="auto"/>
        </w:rPr>
        <w:t xml:space="preserve">J. Rex Horton, </w:t>
      </w:r>
      <w:r>
        <w:rPr>
          <w:rFonts w:ascii="Arial" w:cs="Arial" w:eastAsia="Arial" w:hAnsi="Arial"/>
          <w:sz w:val="16"/>
          <w:szCs w:val="16"/>
          <w:color w:val="auto"/>
        </w:rPr>
        <w:t>age 48, became the Company’s Executive Director of Regulatory Affairs and Quality Assurance in January 2013. Mr. Horton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3"/>
          <w:szCs w:val="13"/>
          <w:color w:val="auto"/>
        </w:rPr>
        <w:t>®</w:t>
      </w:r>
      <w:r>
        <w:rPr>
          <w:rFonts w:ascii="Arial" w:cs="Arial" w:eastAsia="Arial" w:hAnsi="Arial"/>
          <w:sz w:val="16"/>
          <w:szCs w:val="16"/>
          <w:color w:val="auto"/>
        </w:rPr>
        <w:t xml:space="preserve"> Stickpack, Creon</w:t>
      </w:r>
      <w:r>
        <w:rPr>
          <w:rFonts w:ascii="Arial" w:cs="Arial" w:eastAsia="Arial" w:hAnsi="Arial"/>
          <w:sz w:val="13"/>
          <w:szCs w:val="13"/>
          <w:color w:val="auto"/>
        </w:rPr>
        <w:t>®</w:t>
      </w:r>
      <w:r>
        <w:rPr>
          <w:rFonts w:ascii="Arial" w:cs="Arial" w:eastAsia="Arial" w:hAnsi="Arial"/>
          <w:sz w:val="16"/>
          <w:szCs w:val="16"/>
          <w:color w:val="auto"/>
        </w:rPr>
        <w:t xml:space="preserve"> Capsules and Luvox</w:t>
      </w:r>
      <w:r>
        <w:rPr>
          <w:rFonts w:ascii="Arial" w:cs="Arial" w:eastAsia="Arial" w:hAnsi="Arial"/>
          <w:sz w:val="13"/>
          <w:szCs w:val="13"/>
          <w:color w:val="auto"/>
        </w:rPr>
        <w:t>®</w:t>
      </w:r>
      <w:r>
        <w:rPr>
          <w:rFonts w:ascii="Arial" w:cs="Arial" w:eastAsia="Arial" w:hAnsi="Arial"/>
          <w:sz w:val="16"/>
          <w:szCs w:val="16"/>
          <w:color w:val="auto"/>
        </w:rPr>
        <w:t xml:space="preserve"> CR Capsules. He has also provided chemistry, manufacturing and controls (CMC) regulatory leadership and support of INDs and NDAs, including Estrogel</w:t>
      </w:r>
      <w:r>
        <w:rPr>
          <w:rFonts w:ascii="Arial" w:cs="Arial" w:eastAsia="Arial" w:hAnsi="Arial"/>
          <w:sz w:val="13"/>
          <w:szCs w:val="13"/>
          <w:color w:val="auto"/>
        </w:rPr>
        <w:t>®</w:t>
      </w:r>
      <w:r>
        <w:rPr>
          <w:rFonts w:ascii="Arial" w:cs="Arial" w:eastAsia="Arial" w:hAnsi="Arial"/>
          <w:sz w:val="16"/>
          <w:szCs w:val="16"/>
          <w:color w:val="auto"/>
        </w:rPr>
        <w:t xml:space="preserve"> and Androgel</w:t>
      </w:r>
      <w:r>
        <w:rPr>
          <w:rFonts w:ascii="Arial" w:cs="Arial" w:eastAsia="Arial" w:hAnsi="Arial"/>
          <w:sz w:val="13"/>
          <w:szCs w:val="13"/>
          <w:color w:val="auto"/>
        </w:rPr>
        <w:t>®</w:t>
      </w:r>
      <w:r>
        <w:rPr>
          <w:rFonts w:ascii="Arial" w:cs="Arial" w:eastAsia="Arial" w:hAnsi="Arial"/>
          <w:sz w:val="16"/>
          <w:szCs w:val="16"/>
          <w:color w:val="auto"/>
        </w:rPr>
        <w:t xml:space="preserve"> Pump. Mr. Horton was a member of the executive leadership team that successfully implemented solutions to significant regulatory issues encountered by Solvay in its interactions with the FDA.</w:t>
      </w:r>
    </w:p>
    <w:p>
      <w:pPr>
        <w:spacing w:after="0" w:line="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9" w:name="page20"/>
    <w:bookmarkEnd w:id="19"/>
    <w:p>
      <w:pPr>
        <w:ind w:firstLine="441"/>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Eliezer Zomer, Ph.D., </w:t>
      </w:r>
      <w:r>
        <w:rPr>
          <w:rFonts w:ascii="Arial" w:cs="Arial" w:eastAsia="Arial" w:hAnsi="Arial"/>
          <w:sz w:val="18"/>
          <w:szCs w:val="18"/>
          <w:color w:val="auto"/>
        </w:rPr>
        <w:t>age 71, has been our Executive Vice President of Manufacturing and Product Development since the Company’s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2000.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 of the directors, executive officers and key employees share any familial relationship.</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440" w:top="274" w:right="57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340" w:firstLine="441"/>
        <w:spacing w:after="0" w:line="255" w:lineRule="auto"/>
        <w:rPr>
          <w:sz w:val="20"/>
          <w:szCs w:val="20"/>
          <w:color w:val="auto"/>
        </w:rPr>
      </w:pPr>
      <w:r>
        <w:rPr>
          <w:rFonts w:ascii="Arial" w:cs="Arial" w:eastAsia="Arial" w:hAnsi="Arial"/>
          <w:sz w:val="18"/>
          <w:szCs w:val="18"/>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Financial Officer and Chief Operating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Our Board has standing Audit, Compensation, and Nominating and Corporate Governance Committees.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committee are available on the Company’s website at </w:t>
      </w:r>
      <w:r>
        <w:rPr>
          <w:rFonts w:ascii="Arial" w:cs="Arial" w:eastAsia="Arial" w:hAnsi="Arial"/>
          <w:sz w:val="17"/>
          <w:szCs w:val="17"/>
          <w:u w:val="single" w:color="auto"/>
          <w:color w:val="auto"/>
        </w:rPr>
        <w:t>www.galectintherapeutics.com</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The Compensation Committee met two times in 2017. Dr. Gilbert S. Omenn (chair), Gilbert F. Amelio, Ph.D. and Marc Rubin were the members of the Compensation Committee in 2017 until December 14, 2017, after which Dr. Gilbert S. Omenn (chair), Gilbert F. Amelio, Ph.D. and Joel Lewis were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Committee is responsible for administration of grants and awards to directors, officers, employees, consultants and advisors under the Galectin Therapeutics, Inc. Amended and Restated 2009 Incentive Compensation Plan (the “2009 Incentive Compensation Plan”), and the predecessor Galectin Therapeutics, Inc. 2001 Stock Incentive Plan and the 2003 Non-employee Director Stock Incentive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40" w:firstLine="441"/>
        <w:spacing w:after="0" w:line="284" w:lineRule="auto"/>
        <w:rPr>
          <w:sz w:val="20"/>
          <w:szCs w:val="20"/>
          <w:color w:val="auto"/>
        </w:rPr>
      </w:pPr>
      <w:r>
        <w:rPr>
          <w:rFonts w:ascii="Arial" w:cs="Arial" w:eastAsia="Arial" w:hAnsi="Arial"/>
          <w:sz w:val="16"/>
          <w:szCs w:val="16"/>
          <w:color w:val="auto"/>
        </w:rPr>
        <w:t>The Audit Committee met four times in 2017. The members of this committee in 2017, until December 14, 2017, were Steven Prelack (chair), Arthur Greenberg and Kevin D. Freeman. Mr. Prelack and Mr. Greenberg left the board on December 14, 2017 when their terms ended at which time they were replaced by Joel Lewis and Stephen Shulman on the Audit Committee.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w:t>
      </w:r>
    </w:p>
    <w:p>
      <w:pPr>
        <w:spacing w:after="0" w:line="3" w:lineRule="exact"/>
        <w:rPr>
          <w:sz w:val="20"/>
          <w:szCs w:val="20"/>
          <w:color w:val="auto"/>
        </w:rPr>
      </w:pPr>
    </w:p>
    <w:p>
      <w:pPr>
        <w:ind w:right="560" w:firstLine="4"/>
        <w:spacing w:after="0" w:line="277"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audit, accounting and financial reporting processes generally. The Committee is also responsible for review and approval of related-party transactions. The Board had determined that, prior to the expiration of his term, Mr. Prelack was an “audit committee financial expert” within the meaning of SEC rules and that Mr. Lewis is an “audit committee financial expert” within the meaning of SEC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The Audit Committee has the authority to obtain advice and assistance from, and receive appropriate funding from the Company for, outside legal, accounting or other advisors as it deems necessary to carry out its duties.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The Nominating and Corporate Governance Committee met two times in 2017. Gilbert F. Amelio, Ph.D. (chair), John Mauldin and Marc Rubin were the members of the Nominating and Corporate Governance Committee in 2017 until December 14, 2017. Mr. Mauldin left the board on December 14, 2017 when his term ended, after which Gilbert F. Amelio, Ph.D. (chair) and Kevin Freeman were the sole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Relations/Public Relations Committee</w:t>
      </w:r>
    </w:p>
    <w:p>
      <w:pPr>
        <w:spacing w:after="0" w:line="117" w:lineRule="exact"/>
        <w:rPr>
          <w:sz w:val="20"/>
          <w:szCs w:val="20"/>
          <w:color w:val="auto"/>
        </w:rPr>
      </w:pPr>
    </w:p>
    <w:p>
      <w:pPr>
        <w:ind w:right="200" w:firstLine="441"/>
        <w:spacing w:after="0" w:line="297" w:lineRule="auto"/>
        <w:rPr>
          <w:sz w:val="20"/>
          <w:szCs w:val="20"/>
          <w:color w:val="auto"/>
        </w:rPr>
      </w:pPr>
      <w:r>
        <w:rPr>
          <w:rFonts w:ascii="Arial" w:cs="Arial" w:eastAsia="Arial" w:hAnsi="Arial"/>
          <w:sz w:val="16"/>
          <w:szCs w:val="16"/>
          <w:color w:val="auto"/>
        </w:rPr>
        <w:t>The Investor Relation/Public Relations Committee met three times in 2017. James C. Czirr, Theodore Zucconi and Arthur Greenberg were the members of the Investor Relations/Public Relations Committee in 2017 until December 14, 2017. Mr. Greenberg left the board on December 14, 2017 when his term ended and was replaced by Stephen Shulman on the Investor Relation/Public Relations Committee. The Investor Relations/Public Relations Committee is responsible for (a) assisting the Board with strategic direction and overall status of our investor relations and public relations programs and associated activities and (b) providing input and guidance regarding material investor relations and public relations issues.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right="80" w:firstLine="441"/>
        <w:spacing w:after="0" w:line="287" w:lineRule="auto"/>
        <w:rPr>
          <w:sz w:val="20"/>
          <w:szCs w:val="20"/>
          <w:color w:val="auto"/>
        </w:rPr>
      </w:pPr>
      <w:r>
        <w:rPr>
          <w:rFonts w:ascii="Arial" w:cs="Arial" w:eastAsia="Arial" w:hAnsi="Arial"/>
          <w:sz w:val="16"/>
          <w:szCs w:val="16"/>
          <w:color w:val="auto"/>
        </w:rPr>
        <w:t>Our Board has reviewed the materiality of any relationship that each of our directors has with the Company, either directly or indirectly. Based upon this review, our Board has determined that all of our presently serving directors other than Mr. Czirr and Dr. Zucconi are “independent directors” as defined by The NASDAQ Stock Market. The Board has also determined that Mr. Eldred, who has been nominated for election at the 2018 Annual Meeting, will be an “independent director” as defined by The NASDAQ Stock Market. Our Board also determined that Dr. Amelio and Mr. Freeman, who comprise our presently serving Nominating and Corporate Governance Committee, all satisfy the independence standards for such committee established by the SEC and the NASDAQ Marketplace Rules. With respect to our presently serving Audit Committee, our Board of directors has determined that Messrs. Freeman, Lewis and Shulman satisfy the independence standards for such committee established by Rule 10A-3 under the Exchange Act, the SEC and the NASDAQ Marketplace Rules, as applicable. Furthermore, the Nominating and Corporate Governance Committee, with concurrence by the Board, has determined that Mr. Lewis is an “audit committee financial expert” within the meaning of SEC rules. With respect to our presently serving Compensation Committee, our Board of directors has determined that Drs. Omenn, Amelio and Mr. Lewis satisfy the independence standards for such committee established by Rule 10C-1 under the Exchange Act, the SEC and the NASDAQ Marketplace Rules, as applicable.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2" w:name="page23"/>
    <w:bookmarkEnd w:id="22"/>
    <w:p>
      <w:pPr>
        <w:ind w:right="6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making such determinations, our Board considered the relationships that each such non-employee director or director nominee has with our company and all other facts and circumstances our Board deemed relevant in determining their independence, including the beneficial ownership of our capital stock by each non-employee director. In considering the independence of our directors, our Board considered the association of each such non-employee director has with us and all other facts and circumstances our Board deemed relevant in determining independence.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12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18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Except as set forth below, since the beginning of fiscal year 2017,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181"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2017.</w:t>
      </w:r>
    </w:p>
    <w:p>
      <w:pPr>
        <w:spacing w:after="0" w:line="181"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On December 19, 2017, the Company entered into a $10 million Line of Credit arrangement with Richard E. Uihlein, a director and shareholder who has an approximate 7% ownership interest in the Company on a fully-diluted basis at December 31, 2017. Borrowings may be made by the Company through December 31, 2018. Borrowings bear interest at the Applicable Federal Rate for short term loans published by the Internal Revenue Service (1.51% on December 19, 2017). All borrowings and interest are due on December 31, 2019 but may be prepaid without penalty. In connection with the Line of Credit agreement, the Company issued to Mr. Uihlein warrants to purchase 1 million shares of the Company’s common stock for $5 per share. Half of the warrants vested on December 29, 2017, and the other half vest ratably with borrowings under the agreement.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12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Nominating and Corporate Governance, or Nominating Committee, is responsible for, among other things, selection of candidates for the annual slate of directors other than the Series B Nominees and the Series B Directors. The Nominating Committee does not select the Series B Directors, who are nominated and elected by the holder(s) of the Series B Preferred Stock. In addition, the holder(s) of the Series B Preferred Stock have the right to nominate three additional directors, however, the holder(s) of the Series B Preferred Stock have not exercised such right with respect to the 2018 Annual Meeting</w:t>
      </w:r>
    </w:p>
    <w:p>
      <w:pPr>
        <w:spacing w:after="0" w:line="188"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7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2018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24" w:name="page25"/>
    <w:bookmarkEnd w:id="2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 intended for the Board to the Chairman of the Nominating and Corporate Governance Committee of the Board, currently Mr.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The Board believes that our Chairman is best situated to serve as Chairman of the Board because he is very familiar with our business and industry. Further, it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Our Chief Executive Officer brings company-specific experience and expertise and a scientific background.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21"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During 2017, there were 10 meetings of the Board. Each currently serving director attended at least 75% of the total meetings of the Board and committees of the Board of which the director was a member, during the 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154"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We do not have a formal policy requiring members of the Board to attend the annual meeting, although all directors are strongly encouraged to attend. At the 2017 annual meeting of stockholders, all of the then current board members were present.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6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76" w:lineRule="exact"/>
        <w:rPr>
          <w:sz w:val="20"/>
          <w:szCs w:val="20"/>
          <w:color w:val="auto"/>
        </w:rPr>
      </w:pPr>
    </w:p>
    <w:p>
      <w:pPr>
        <w:ind w:left="5420" w:right="240" w:hanging="4876"/>
        <w:spacing w:after="0" w:line="449" w:lineRule="auto"/>
        <w:tabs>
          <w:tab w:leader="none" w:pos="8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multiple compensation vehicles that provide a balance of long- and short-term incentives with fixed and variable components; and 21</w:t>
      </w:r>
    </w:p>
    <w:p>
      <w:pPr>
        <w:sectPr>
          <w:pgSz w:w="11900" w:h="16838" w:orient="portrait"/>
          <w:cols w:equalWidth="0" w:num="1">
            <w:col w:w="11020"/>
          </w:cols>
          <w:pgMar w:left="440" w:top="274" w:right="439" w:bottom="1440" w:gutter="0" w:footer="0" w:header="0"/>
        </w:sectPr>
      </w:pPr>
    </w:p>
    <w:bookmarkStart w:id="25" w:name="page26"/>
    <w:bookmarkEnd w:id="25"/>
    <w:p>
      <w:pPr>
        <w:ind w:left="860" w:right="120" w:hanging="316"/>
        <w:spacing w:after="0" w:line="264"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and Diversity</w:t>
      </w:r>
    </w:p>
    <w:p>
      <w:pPr>
        <w:spacing w:after="0" w:line="121"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(other than the Series B Directors and the Series B Nominees),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(as amended), which includes, among other items, matters related to the 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192"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Based upon the review and discussions referred to above, the Audit Committee recommended to our Board of Directors that the audited financial statements of Galectin Therapeutics for the 2017 fiscal year be included in the Annual Report filed on Form 10-K for the year ended December 31, 2017.</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the Audit Committee of the Board of Directors of Galectin Therapeutic Inc.</w:t>
      </w:r>
    </w:p>
    <w:p>
      <w:pPr>
        <w:spacing w:after="0" w:line="11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Joel Lewis, Chair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Shulman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21"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2017. See “Executive Compensation” for a description of compensation for Dr. Traber.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2"/>
            <w:vMerge w:val="restart"/>
          </w:tcPr>
          <w:p>
            <w:pPr>
              <w:jc w:val="center"/>
              <w:ind w:left="1132"/>
              <w:spacing w:after="0"/>
              <w:rPr>
                <w:sz w:val="20"/>
                <w:szCs w:val="20"/>
                <w:color w:val="auto"/>
              </w:rPr>
            </w:pPr>
            <w:r>
              <w:rPr>
                <w:rFonts w:ascii="Arial" w:cs="Arial" w:eastAsia="Arial" w:hAnsi="Arial"/>
                <w:sz w:val="14"/>
                <w:szCs w:val="14"/>
                <w:b w:val="1"/>
                <w:bCs w:val="1"/>
                <w:color w:val="auto"/>
                <w:w w:val="91"/>
              </w:rPr>
              <w:t>Fees Earned</w:t>
            </w: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rPr>
              <w:t>Restricted</w:t>
            </w:r>
          </w:p>
        </w:tc>
        <w:tc>
          <w:tcPr>
            <w:tcW w:w="6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Option</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Non-Equity</w:t>
            </w:r>
          </w:p>
        </w:tc>
        <w:tc>
          <w:tcPr>
            <w:tcW w:w="380" w:type="dxa"/>
            <w:vAlign w:val="bottom"/>
          </w:tcPr>
          <w:p>
            <w:pPr>
              <w:spacing w:after="0"/>
              <w:rPr>
                <w:sz w:val="14"/>
                <w:szCs w:val="1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All Other</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660" w:type="dxa"/>
            <w:vAlign w:val="bottom"/>
            <w:vMerge w:val="continue"/>
          </w:tcPr>
          <w:p>
            <w:pPr>
              <w:spacing w:after="0"/>
              <w:rPr>
                <w:sz w:val="12"/>
                <w:szCs w:val="12"/>
                <w:color w:val="auto"/>
              </w:rPr>
            </w:pPr>
          </w:p>
        </w:tc>
        <w:tc>
          <w:tcPr>
            <w:tcW w:w="124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36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6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Awards</w:t>
            </w:r>
          </w:p>
        </w:tc>
        <w:tc>
          <w:tcPr>
            <w:tcW w:w="124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Cash ($)</w:t>
            </w:r>
          </w:p>
        </w:tc>
        <w:tc>
          <w:tcPr>
            <w:tcW w:w="1000" w:type="dxa"/>
            <w:vAlign w:val="bottom"/>
            <w:gridSpan w:val="2"/>
          </w:tcPr>
          <w:p>
            <w:pPr>
              <w:ind w:left="480"/>
              <w:spacing w:after="0"/>
              <w:rPr>
                <w:sz w:val="20"/>
                <w:szCs w:val="20"/>
                <w:color w:val="auto"/>
              </w:rPr>
            </w:pPr>
            <w:r>
              <w:rPr>
                <w:rFonts w:ascii="Arial" w:cs="Arial" w:eastAsia="Arial" w:hAnsi="Arial"/>
                <w:sz w:val="14"/>
                <w:szCs w:val="14"/>
                <w:b w:val="1"/>
                <w:bCs w:val="1"/>
                <w:color w:val="auto"/>
              </w:rPr>
              <w:t>($) (3)</w:t>
            </w:r>
          </w:p>
        </w:tc>
        <w:tc>
          <w:tcPr>
            <w:tcW w:w="34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($)(4)</w:t>
            </w:r>
          </w:p>
        </w:tc>
        <w:tc>
          <w:tcPr>
            <w:tcW w:w="124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9"/>
              </w:rPr>
              <w:t>($)(5)</w:t>
            </w:r>
          </w:p>
        </w:tc>
        <w:tc>
          <w:tcPr>
            <w:tcW w:w="36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2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3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117,019</w:t>
            </w:r>
          </w:p>
        </w:tc>
        <w:tc>
          <w:tcPr>
            <w:tcW w:w="3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164,019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41,854</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88,117</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42,645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Arthur R. Greenberg (1)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44,083</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55,000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117,019</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John Mauldin (1)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36,896</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117,019</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Steven Prelack (1)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47,917</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78,146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145,217</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1,917</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88,117</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35,000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123,117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360" w:type="dxa"/>
            <w:vAlign w:val="bottom"/>
          </w:tcPr>
          <w:p>
            <w:pPr>
              <w:spacing w:after="0"/>
              <w:rPr>
                <w:sz w:val="20"/>
                <w:szCs w:val="20"/>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88,117</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126,617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hanging="436"/>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Mr. Greenberg, Mr. Mauldin and Mr. Prelack were not nominated for reelection to the board and their service ended on December 14, 2017.</w:t>
      </w:r>
    </w:p>
    <w:p>
      <w:pPr>
        <w:spacing w:after="0" w:line="34" w:lineRule="exact"/>
        <w:rPr>
          <w:rFonts w:ascii="Arial" w:cs="Arial" w:eastAsia="Arial" w:hAnsi="Arial"/>
          <w:sz w:val="17"/>
          <w:szCs w:val="17"/>
          <w:color w:val="auto"/>
        </w:rPr>
      </w:pPr>
    </w:p>
    <w:p>
      <w:pPr>
        <w:ind w:left="440" w:hanging="43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Lewis, Mr. Shulman and Mr. Uihlein were elected to the board for the first time on December 14, 2017.</w:t>
      </w:r>
    </w:p>
    <w:p>
      <w:pPr>
        <w:spacing w:after="0" w:line="9" w:lineRule="exact"/>
        <w:rPr>
          <w:rFonts w:ascii="Arial" w:cs="Arial" w:eastAsia="Arial" w:hAnsi="Arial"/>
          <w:sz w:val="18"/>
          <w:szCs w:val="18"/>
          <w:color w:val="auto"/>
        </w:rPr>
      </w:pPr>
    </w:p>
    <w:p>
      <w:pPr>
        <w:ind w:left="440" w:right="120" w:hanging="436"/>
        <w:spacing w:after="0" w:line="250"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Lewis and Mr. Uihlein elected to receive restricted stock in lieu of cash retainer for their service through December 14, 2018. The restricted shares will vest in full on December 14, 2018.</w:t>
      </w:r>
    </w:p>
    <w:p>
      <w:pPr>
        <w:ind w:left="440" w:right="120" w:hanging="436"/>
        <w:spacing w:after="0" w:line="281"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2017. Options were granted on December 14, 2017 and will vest in full on December 14, 2018. For a description of the assumptions used to determine these amounts, see Note 7 to the Notes to the Consolidated Financial Statements in our Annual Report on Form 10-K for the fiscal year ended December 31, 2017.</w:t>
      </w:r>
    </w:p>
    <w:p>
      <w:pPr>
        <w:spacing w:after="0" w:line="2" w:lineRule="exact"/>
        <w:rPr>
          <w:rFonts w:ascii="Arial" w:cs="Arial" w:eastAsia="Arial" w:hAnsi="Arial"/>
          <w:sz w:val="16"/>
          <w:szCs w:val="16"/>
          <w:color w:val="auto"/>
        </w:rPr>
      </w:pPr>
    </w:p>
    <w:p>
      <w:pPr>
        <w:ind w:left="440" w:hanging="43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540" w:type="dxa"/>
            <w:vAlign w:val="bottom"/>
            <w:gridSpan w:val="2"/>
          </w:tcPr>
          <w:p>
            <w:pPr>
              <w:jc w:val="center"/>
              <w:ind w:left="3213"/>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9"/>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38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600" w:type="dxa"/>
            <w:vAlign w:val="bottom"/>
            <w:gridSpan w:val="3"/>
            <w:vMerge w:val="continue"/>
          </w:tcPr>
          <w:p>
            <w:pPr>
              <w:spacing w:after="0"/>
              <w:rPr>
                <w:sz w:val="14"/>
                <w:szCs w:val="14"/>
                <w:color w:val="auto"/>
              </w:rPr>
            </w:pPr>
          </w:p>
        </w:tc>
        <w:tc>
          <w:tcPr>
            <w:tcW w:w="4540" w:type="dxa"/>
            <w:vAlign w:val="bottom"/>
            <w:gridSpan w:val="2"/>
          </w:tcPr>
          <w:p>
            <w:pPr>
              <w:jc w:val="center"/>
              <w:ind w:left="321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3380" w:type="dxa"/>
            <w:vAlign w:val="bottom"/>
            <w:vMerge w:val="restart"/>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3380" w:type="dxa"/>
            <w:vAlign w:val="bottom"/>
            <w:vMerge w:val="continue"/>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700,125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56,439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John Mauldin</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46,875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33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1,494,528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7 to the Consolidated Financial Statements and “Management’s Discussion and Analysis of Financial</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440" w:top="270" w:right="419" w:bottom="1440" w:gutter="0" w:footer="0" w:header="0"/>
        </w:sectPr>
      </w:pPr>
    </w:p>
    <w:bookmarkStart w:id="27" w:name="page28"/>
    <w:bookmarkEnd w:id="27"/>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 and Results of Operations—Critical Accounting Policies and Estimates—Stock-Based Compensation” included in the Form 10-K for the 2017 fiscal year.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225"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Pursuant to the Company’s cash compensation program for directors, which was implemented in March 2015,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$7,000; the Compensation Committee Chairman will receive an annual cash retainer of $10,000; and the Audit Committee Chairman will receive an annual cash retainer of $15,000. The Board Chairman will receive an additional annual cash retainer of $35,000. Additionally, in December 2016, the Board approved cash retainers of $3,500 to be paid to each member of the Board’s investor relation/public relations committee and an additional cash retainer of $3,500 to be paid to the investor relations/public relations committee chair, in each case beginning in 2017.</w:t>
      </w:r>
    </w:p>
    <w:p>
      <w:pPr>
        <w:spacing w:after="0" w:line="182" w:lineRule="exact"/>
        <w:rPr>
          <w:sz w:val="20"/>
          <w:szCs w:val="20"/>
          <w:color w:val="auto"/>
        </w:rPr>
      </w:pPr>
    </w:p>
    <w:p>
      <w:pPr>
        <w:ind w:right="280" w:firstLine="441"/>
        <w:spacing w:after="0" w:line="312" w:lineRule="auto"/>
        <w:rPr>
          <w:sz w:val="20"/>
          <w:szCs w:val="20"/>
          <w:color w:val="auto"/>
        </w:rPr>
      </w:pPr>
      <w:r>
        <w:rPr>
          <w:rFonts w:ascii="Arial" w:cs="Arial" w:eastAsia="Arial" w:hAnsi="Arial"/>
          <w:sz w:val="16"/>
          <w:szCs w:val="16"/>
          <w:color w:val="auto"/>
        </w:rPr>
        <w:t>On December 14, 2017, stock option grants were made to non-employee directors which vest 100% on December 14, 2018. The Chairman was granted 71,250 stock options, the chairs of the Nominating and Corporate Governance Committee, the Audit Committee and the Compensation Committee were each granted 62,250 stock options and remaining non-employee directors were each granted 46,875 stock options.</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following table provides information as of December 31, 2017 about the securities issued, or authorized for future issuance, under our equity compensation plans, consisting of our 2001 Stock Incentive Plan, our 2003 Non-Employee Director Stock Incentive Plan, and our 2009 Incentive Compensation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2420" w:type="dxa"/>
            <w:vAlign w:val="bottom"/>
            <w:gridSpan w:val="2"/>
          </w:tcPr>
          <w:p>
            <w:pPr>
              <w:jc w:val="center"/>
              <w:ind w:left="739"/>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Securities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spacing w:after="0"/>
              <w:rPr>
                <w:sz w:val="12"/>
                <w:szCs w:val="12"/>
                <w:color w:val="auto"/>
              </w:rPr>
            </w:pPr>
          </w:p>
        </w:tc>
        <w:tc>
          <w:tcPr>
            <w:tcW w:w="15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900" w:type="dxa"/>
            <w:vAlign w:val="bottom"/>
            <w:gridSpan w:val="3"/>
          </w:tcPr>
          <w:p>
            <w:pPr>
              <w:ind w:left="9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920" w:type="dxa"/>
            <w:vAlign w:val="bottom"/>
          </w:tcPr>
          <w:p>
            <w:pPr>
              <w:spacing w:after="0"/>
              <w:rPr>
                <w:sz w:val="12"/>
                <w:szCs w:val="12"/>
                <w:color w:val="auto"/>
              </w:rPr>
            </w:pPr>
          </w:p>
        </w:tc>
        <w:tc>
          <w:tcPr>
            <w:tcW w:w="15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6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920" w:type="dxa"/>
            <w:vAlign w:val="bottom"/>
          </w:tcPr>
          <w:p>
            <w:pPr>
              <w:spacing w:after="0"/>
              <w:rPr>
                <w:sz w:val="12"/>
                <w:szCs w:val="12"/>
                <w:color w:val="auto"/>
              </w:rPr>
            </w:pPr>
          </w:p>
        </w:tc>
        <w:tc>
          <w:tcPr>
            <w:tcW w:w="15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74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 options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options</w:t>
            </w:r>
          </w:p>
        </w:tc>
        <w:tc>
          <w:tcPr>
            <w:tcW w:w="920" w:type="dxa"/>
            <w:vAlign w:val="bottom"/>
          </w:tcPr>
          <w:p>
            <w:pPr>
              <w:spacing w:after="0"/>
              <w:rPr>
                <w:sz w:val="14"/>
                <w:szCs w:val="14"/>
                <w:color w:val="auto"/>
              </w:rPr>
            </w:pPr>
          </w:p>
        </w:tc>
        <w:tc>
          <w:tcPr>
            <w:tcW w:w="1500" w:type="dxa"/>
            <w:vAlign w:val="bottom"/>
          </w:tcPr>
          <w:p>
            <w:pPr>
              <w:jc w:val="center"/>
              <w:ind w:right="4"/>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68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3,738,594</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920" w:type="dxa"/>
            <w:vAlign w:val="bottom"/>
            <w:vMerge w:val="continue"/>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holders (1)</w:t>
            </w:r>
          </w:p>
        </w:tc>
        <w:tc>
          <w:tcPr>
            <w:tcW w:w="6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1,416,669</w:t>
            </w:r>
          </w:p>
        </w:tc>
        <w:tc>
          <w:tcPr>
            <w:tcW w:w="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920" w:type="dxa"/>
            <w:vAlign w:val="bottom"/>
          </w:tcPr>
          <w:p>
            <w:pPr>
              <w:spacing w:after="0"/>
              <w:rPr>
                <w:sz w:val="20"/>
                <w:szCs w:val="20"/>
                <w:color w:val="auto"/>
              </w:rPr>
            </w:pPr>
          </w:p>
        </w:tc>
        <w:tc>
          <w:tcPr>
            <w:tcW w:w="150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5,155,263</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540" w:right="100" w:hanging="536"/>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jc w:val="both"/>
        <w:ind w:right="660" w:firstLine="441"/>
        <w:spacing w:after="0" w:line="264" w:lineRule="auto"/>
        <w:rPr>
          <w:sz w:val="20"/>
          <w:szCs w:val="20"/>
          <w:color w:val="auto"/>
        </w:rPr>
      </w:pPr>
      <w:r>
        <w:rPr>
          <w:rFonts w:ascii="Arial" w:cs="Arial" w:eastAsia="Arial" w:hAnsi="Arial"/>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Discussion and Analysis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440" w:top="274" w:right="419" w:bottom="1440" w:gutter="0" w:footer="0" w:header="0"/>
        </w:sectPr>
      </w:pPr>
    </w:p>
    <w:bookmarkStart w:id="28" w:name="page29"/>
    <w:bookmarkEnd w:id="28"/>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(“CD&amp;A”) describes our 2017 executive compensation program and explains the Company’s compensation philosophy, policies, and practices, focusing primarily on the compensation of our named executive officers, or NEOs. This CD&amp;A is intended to be read in conjunction with the tables that follow, which provide detailed historical compensation information for our following NEOs: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0" w:type="dxa"/>
            <w:vAlign w:val="bottom"/>
            <w:gridSpan w:val="3"/>
          </w:tcPr>
          <w:p>
            <w:pPr>
              <w:ind w:left="15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40" w:type="dxa"/>
            <w:vAlign w:val="bottom"/>
            <w:vMerge w:val="restart"/>
          </w:tcPr>
          <w:p>
            <w:pPr>
              <w:ind w:left="60"/>
              <w:spacing w:after="0" w:line="201" w:lineRule="exact"/>
              <w:rPr>
                <w:sz w:val="20"/>
                <w:szCs w:val="20"/>
                <w:color w:val="auto"/>
              </w:rPr>
            </w:pPr>
            <w:r>
              <w:rPr>
                <w:rFonts w:ascii="Arial" w:cs="Arial" w:eastAsia="Arial" w:hAnsi="Arial"/>
                <w:sz w:val="18"/>
                <w:szCs w:val="18"/>
                <w:color w:val="auto"/>
              </w:rPr>
              <w:t>G. Traber, M.D.</w:t>
            </w:r>
          </w:p>
        </w:tc>
        <w:tc>
          <w:tcPr>
            <w:tcW w:w="15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line="182" w:lineRule="exact"/>
              <w:rPr>
                <w:sz w:val="20"/>
                <w:szCs w:val="20"/>
                <w:color w:val="auto"/>
              </w:rPr>
            </w:pPr>
            <w:r>
              <w:rPr>
                <w:rFonts w:ascii="Arial" w:cs="Arial" w:eastAsia="Arial" w:hAnsi="Arial"/>
                <w:sz w:val="18"/>
                <w:szCs w:val="18"/>
                <w:color w:val="auto"/>
                <w:w w:val="78"/>
              </w:rPr>
              <w:t>Peter</w:t>
            </w:r>
          </w:p>
        </w:tc>
        <w:tc>
          <w:tcPr>
            <w:tcW w:w="304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4420" w:type="dxa"/>
            <w:vAlign w:val="bottom"/>
            <w:gridSpan w:val="2"/>
          </w:tcPr>
          <w:p>
            <w:pPr>
              <w:spacing w:after="0" w:line="182" w:lineRule="exact"/>
              <w:rPr>
                <w:sz w:val="20"/>
                <w:szCs w:val="20"/>
                <w:color w:val="auto"/>
              </w:rPr>
            </w:pPr>
            <w:r>
              <w:rPr>
                <w:rFonts w:ascii="Arial" w:cs="Arial" w:eastAsia="Arial" w:hAnsi="Arial"/>
                <w:sz w:val="18"/>
                <w:szCs w:val="18"/>
                <w:color w:val="auto"/>
                <w:w w:val="92"/>
              </w:rPr>
              <w:t>Chief Executive Officer, President and Chief Medical Officer</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6000" w:type="dxa"/>
            <w:vAlign w:val="bottom"/>
            <w:gridSpan w:val="3"/>
          </w:tcPr>
          <w:p>
            <w:pPr>
              <w:ind w:left="158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6000" w:type="dxa"/>
            <w:vAlign w:val="bottom"/>
            <w:gridSpan w:val="3"/>
          </w:tcPr>
          <w:p>
            <w:pPr>
              <w:ind w:left="15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29" w:lineRule="exact"/>
        <w:rPr>
          <w:sz w:val="20"/>
          <w:szCs w:val="20"/>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30" w:lineRule="exact"/>
        <w:rPr>
          <w:rFonts w:ascii="Arial" w:cs="Arial" w:eastAsia="Arial" w:hAnsi="Arial"/>
          <w:sz w:val="18"/>
          <w:szCs w:val="18"/>
          <w:color w:val="auto"/>
        </w:rPr>
      </w:pPr>
    </w:p>
    <w:p>
      <w:pPr>
        <w:ind w:left="860" w:right="260" w:hanging="316"/>
        <w:spacing w:after="0" w:line="277"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4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At our 2016 annual meeting of stockholders approximately 91% of our outstanding common stock voting on the matter voted in favor of the compensation of our NEOs, as disclosed in the proxy materials for the 2016 annual meeting. At our 2013 annual meeting, the holders of approximately 62%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2019 annual meeting of stockholders.</w:t>
      </w:r>
    </w:p>
    <w:p>
      <w:pPr>
        <w:spacing w:after="0" w:line="173"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14"/>
          <w:szCs w:val="14"/>
          <w:color w:val="auto"/>
        </w:rPr>
        <w:t>th</w:t>
      </w:r>
      <w:r>
        <w:rPr>
          <w:rFonts w:ascii="Arial" w:cs="Arial" w:eastAsia="Arial" w:hAnsi="Arial"/>
          <w:sz w:val="17"/>
          <w:szCs w:val="17"/>
          <w:color w:val="auto"/>
        </w:rPr>
        <w:t xml:space="preserve"> percentile of the total compensation of our competitor companies. These findings continued to inform the Compensation Committee’s decisions on compensation in 2017.</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9" w:name="page30"/>
    <w:bookmarkEnd w:id="29"/>
    <w:p>
      <w:pPr>
        <w:ind w:right="8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plans to use a compensation consultant in the future and to take into account publicly-available data relating to the compensation practices and policies of other companies within and outside our industry. For 2017 and future years, the Compensation Committee intends to benchmark its executive compensation program to target the 50</w:t>
      </w:r>
      <w:r>
        <w:rPr>
          <w:rFonts w:ascii="Arial" w:cs="Arial" w:eastAsia="Arial" w:hAnsi="Arial"/>
          <w:sz w:val="13"/>
          <w:szCs w:val="13"/>
          <w:color w:val="auto"/>
        </w:rPr>
        <w:t>th</w:t>
      </w:r>
      <w:r>
        <w:rPr>
          <w:rFonts w:ascii="Arial" w:cs="Arial" w:eastAsia="Arial" w:hAnsi="Arial"/>
          <w:sz w:val="16"/>
          <w:szCs w:val="16"/>
          <w:color w:val="auto"/>
        </w:rPr>
        <w:t xml:space="preserve"> percentile of the total compensation programs of our competitor companies.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31" w:lineRule="exact"/>
        <w:rPr>
          <w:sz w:val="20"/>
          <w:szCs w:val="20"/>
          <w:color w:val="auto"/>
        </w:rPr>
      </w:pPr>
    </w:p>
    <w:p>
      <w:pPr>
        <w:ind w:left="1420" w:hanging="538"/>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performance bonuses; and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February 2017, the Compensation Committee reviewed the base salaries of our NEOs, taking into account the considerations described above.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expressed in the following table, the Compensation Committee made no adjustments to the base salaries for Messrs. Traber, Shlevin and Callicutt: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0" w:type="dxa"/>
            <w:vAlign w:val="bottom"/>
            <w:gridSpan w:val="3"/>
          </w:tcPr>
          <w:p>
            <w:pPr>
              <w:ind w:left="3140"/>
              <w:spacing w:after="0"/>
              <w:rPr>
                <w:sz w:val="20"/>
                <w:szCs w:val="20"/>
                <w:color w:val="auto"/>
              </w:rPr>
            </w:pPr>
            <w:r>
              <w:rPr>
                <w:rFonts w:ascii="Arial" w:cs="Arial" w:eastAsia="Arial" w:hAnsi="Arial"/>
                <w:sz w:val="14"/>
                <w:szCs w:val="14"/>
                <w:b w:val="1"/>
                <w:bCs w:val="1"/>
                <w:color w:val="auto"/>
                <w:w w:val="90"/>
              </w:rPr>
              <w:t>2016 Base Salary</w:t>
            </w:r>
          </w:p>
        </w:tc>
        <w:tc>
          <w:tcPr>
            <w:tcW w:w="1900" w:type="dxa"/>
            <w:vAlign w:val="bottom"/>
            <w:gridSpan w:val="4"/>
          </w:tcPr>
          <w:p>
            <w:pPr>
              <w:ind w:left="780"/>
              <w:spacing w:after="0"/>
              <w:rPr>
                <w:sz w:val="20"/>
                <w:szCs w:val="20"/>
                <w:color w:val="auto"/>
              </w:rPr>
            </w:pPr>
            <w:r>
              <w:rPr>
                <w:rFonts w:ascii="Arial" w:cs="Arial" w:eastAsia="Arial" w:hAnsi="Arial"/>
                <w:sz w:val="14"/>
                <w:szCs w:val="14"/>
                <w:b w:val="1"/>
                <w:bCs w:val="1"/>
                <w:color w:val="auto"/>
                <w:w w:val="96"/>
              </w:rPr>
              <w:t>2017 Base Salary</w:t>
            </w: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Peter</w:t>
            </w:r>
          </w:p>
        </w:tc>
        <w:tc>
          <w:tcPr>
            <w:tcW w:w="45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 Traber, M.D.</w:t>
            </w:r>
          </w:p>
        </w:tc>
        <w:tc>
          <w:tcPr>
            <w:tcW w:w="3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512,500</w:t>
            </w:r>
          </w:p>
        </w:tc>
        <w:tc>
          <w:tcPr>
            <w:tcW w:w="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3420" w:type="dxa"/>
            <w:vAlign w:val="bottom"/>
            <w:gridSpan w:val="2"/>
          </w:tcPr>
          <w:p>
            <w:pPr>
              <w:ind w:left="3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260,000</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342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2018, the Compensation Committee again made no adjustments to the base salaries of our NEO’s.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 Bonuses</w:t>
      </w:r>
    </w:p>
    <w:p>
      <w:pPr>
        <w:spacing w:after="0" w:line="117"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Short-Term and Long-Term Incentive Program</w:t>
      </w:r>
    </w:p>
    <w:p>
      <w:pPr>
        <w:spacing w:after="0" w:line="117" w:lineRule="exact"/>
        <w:rPr>
          <w:sz w:val="20"/>
          <w:szCs w:val="20"/>
          <w:color w:val="auto"/>
        </w:rPr>
      </w:pPr>
    </w:p>
    <w:p>
      <w:pPr>
        <w:jc w:val="both"/>
        <w:ind w:right="60" w:firstLine="441"/>
        <w:spacing w:after="0" w:line="279" w:lineRule="auto"/>
        <w:rPr>
          <w:sz w:val="20"/>
          <w:szCs w:val="20"/>
          <w:color w:val="auto"/>
        </w:rPr>
      </w:pPr>
      <w:r>
        <w:rPr>
          <w:rFonts w:ascii="Arial" w:cs="Arial" w:eastAsia="Arial" w:hAnsi="Arial"/>
          <w:sz w:val="17"/>
          <w:szCs w:val="17"/>
          <w:color w:val="auto"/>
        </w:rPr>
        <w:t>In 2013, upon recommendation by the Compensation Committee and approval by our Board, the Employee Short-Term and Long-Term Incentive Program (the “Program”)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440" w:top="274" w:right="419" w:bottom="1440" w:gutter="0" w:footer="0" w:header="0"/>
        </w:sectPr>
      </w:pPr>
    </w:p>
    <w:bookmarkStart w:id="30" w:name="page31"/>
    <w:bookmarkEnd w:id="30"/>
    <w:p>
      <w:pPr>
        <w:ind w:right="2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elements of the Program: (1) a short-term incentive in the form of cash bonuses and (2) a long-term incentive in the form of stock option grants. The cash bonus incentive is targeted to be up to 20%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Chief Executive Officer may offer input to the Compensation Committee as to whether certain Company performance and individual performance objectives (other than the Chief Executive Officer’s) have been achieved. The Compensation Committee also has the discretion to adjust (upward or downward) individual annual performance bonuses by up to 25%.</w:t>
      </w:r>
    </w:p>
    <w:p>
      <w:pPr>
        <w:spacing w:after="0" w:line="165"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For 2017, the Compensation Committee set six Company performance objectives under the Program for annual performance bonuses to be payable:</w:t>
      </w:r>
    </w:p>
    <w:p>
      <w:pPr>
        <w:spacing w:after="0" w:line="76" w:lineRule="exact"/>
        <w:rPr>
          <w:sz w:val="20"/>
          <w:szCs w:val="20"/>
          <w:color w:val="auto"/>
        </w:rPr>
      </w:pPr>
    </w:p>
    <w:p>
      <w:pPr>
        <w:ind w:left="860" w:hanging="424"/>
        <w:spacing w:after="0"/>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 human proof of concept for GR-MD-02 treatment of non-alcoholic steatohepatitis with advanced fibrosis and/or cirrhosis.</w:t>
      </w:r>
    </w:p>
    <w:p>
      <w:pPr>
        <w:spacing w:after="0" w:line="142" w:lineRule="exact"/>
        <w:rPr>
          <w:rFonts w:ascii="Arial" w:cs="Arial" w:eastAsia="Arial" w:hAnsi="Arial"/>
          <w:sz w:val="17"/>
          <w:szCs w:val="17"/>
          <w:color w:val="auto"/>
        </w:rPr>
      </w:pPr>
    </w:p>
    <w:p>
      <w:pPr>
        <w:ind w:left="860" w:right="500" w:hanging="424"/>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human proof of concept for use of galectin inhibitors in combination with immunotherapy for cancer and moderate to severe advanced plaque psoriasis.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sustainable program for GR-MD-02 manufacturing and controls.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appropriate quality assurance and quality control oversight and strengthen regulatory support.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Strengthen and expand pipeline and indications for galectin blocking drugs.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Strengthen business practices, financial resources, investor communication and strategic partnerships.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*For more information about GR-MD-02 and our drug development program, please see Item 1 of our Annual Report on Form 10-K for the fiscal year ending December 31, 2017.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2017 individual performance objectives for each NEO were:</w:t>
      </w:r>
    </w:p>
    <w:p>
      <w:pPr>
        <w:sectPr>
          <w:pgSz w:w="11900" w:h="16838" w:orient="portrait"/>
          <w:cols w:equalWidth="0" w:num="1">
            <w:col w:w="11040"/>
          </w:cols>
          <w:pgMar w:left="440" w:top="274" w:right="41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Peter G. Traber, M.D.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Individual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15240</wp:posOffset>
            </wp:positionV>
            <wp:extent cx="6997700" cy="420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420370"/>
                    </a:xfrm>
                    <a:prstGeom prst="rect">
                      <a:avLst/>
                    </a:prstGeom>
                    <a:noFill/>
                  </pic:spPr>
                </pic:pic>
              </a:graphicData>
            </a:graphic>
          </wp:anchor>
        </w:drawing>
      </w:r>
    </w:p>
    <w:p>
      <w:pPr>
        <w:spacing w:after="0" w:line="5" w:lineRule="exact"/>
        <w:rPr>
          <w:sz w:val="20"/>
          <w:szCs w:val="20"/>
          <w:color w:val="auto"/>
        </w:rPr>
      </w:pPr>
    </w:p>
    <w:p>
      <w:pPr>
        <w:ind w:left="360" w:right="200" w:hanging="278"/>
        <w:spacing w:after="0" w:line="262" w:lineRule="auto"/>
        <w:tabs>
          <w:tab w:leader="none" w:pos="3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multiple individual objectives intended to measure contributions toward successful achievement of each Company performance objective.</w:t>
      </w:r>
    </w:p>
    <w:p>
      <w:pPr>
        <w:spacing w:after="0" w:line="76" w:lineRule="exact"/>
        <w:rPr>
          <w:sz w:val="20"/>
          <w:szCs w:val="20"/>
          <w:color w:val="auto"/>
        </w:rPr>
      </w:pPr>
    </w:p>
    <w:p>
      <w:pPr>
        <w:sectPr>
          <w:pgSz w:w="11900" w:h="16838" w:orient="portrait"/>
          <w:cols w:equalWidth="0" w:num="2">
            <w:col w:w="5140" w:space="720"/>
            <w:col w:w="5180"/>
          </w:cols>
          <w:pgMar w:left="440" w:top="274" w:right="4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7160" w:type="dxa"/>
            <w:vAlign w:val="bottom"/>
          </w:tcPr>
          <w:p>
            <w:pPr>
              <w:ind w:left="2060"/>
              <w:spacing w:after="0"/>
              <w:rPr>
                <w:sz w:val="20"/>
                <w:szCs w:val="20"/>
                <w:color w:val="auto"/>
              </w:rPr>
            </w:pPr>
            <w:r>
              <w:rPr>
                <w:rFonts w:ascii="Arial" w:cs="Arial" w:eastAsia="Arial" w:hAnsi="Arial"/>
                <w:sz w:val="18"/>
                <w:szCs w:val="18"/>
                <w:color w:val="auto"/>
                <w:w w:val="97"/>
              </w:rPr>
              <w:t>•  multiple individual objectives intended to measure contributions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160" w:type="dxa"/>
            <w:vAlign w:val="bottom"/>
          </w:tcPr>
          <w:p>
            <w:pPr>
              <w:ind w:left="2340"/>
              <w:spacing w:after="0"/>
              <w:rPr>
                <w:sz w:val="20"/>
                <w:szCs w:val="20"/>
                <w:color w:val="auto"/>
              </w:rPr>
            </w:pPr>
            <w:r>
              <w:rPr>
                <w:rFonts w:ascii="Arial" w:cs="Arial" w:eastAsia="Arial" w:hAnsi="Arial"/>
                <w:sz w:val="18"/>
                <w:szCs w:val="18"/>
                <w:color w:val="auto"/>
                <w:w w:val="95"/>
              </w:rPr>
              <w:t>toward successful achievement of each Company performance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160" w:type="dxa"/>
            <w:vAlign w:val="bottom"/>
          </w:tcPr>
          <w:p>
            <w:pPr>
              <w:ind w:left="2340"/>
              <w:spacing w:after="0"/>
              <w:rPr>
                <w:sz w:val="20"/>
                <w:szCs w:val="20"/>
                <w:color w:val="auto"/>
              </w:rPr>
            </w:pPr>
            <w:r>
              <w:rPr>
                <w:rFonts w:ascii="Arial" w:cs="Arial" w:eastAsia="Arial" w:hAnsi="Arial"/>
                <w:sz w:val="18"/>
                <w:szCs w:val="18"/>
                <w:color w:val="auto"/>
              </w:rPr>
              <w:t>objective.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7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Jack W. Callicutt</w:t>
            </w:r>
          </w:p>
        </w:tc>
        <w:tc>
          <w:tcPr>
            <w:tcW w:w="7160" w:type="dxa"/>
            <w:vAlign w:val="bottom"/>
            <w:shd w:val="clear" w:color="auto" w:fill="CCEEFF"/>
          </w:tcPr>
          <w:p>
            <w:pPr>
              <w:ind w:left="2060"/>
              <w:spacing w:after="0" w:line="201" w:lineRule="exact"/>
              <w:rPr>
                <w:sz w:val="20"/>
                <w:szCs w:val="20"/>
                <w:color w:val="auto"/>
              </w:rPr>
            </w:pPr>
            <w:r>
              <w:rPr>
                <w:rFonts w:ascii="Arial" w:cs="Arial" w:eastAsia="Arial" w:hAnsi="Arial"/>
                <w:sz w:val="18"/>
                <w:szCs w:val="18"/>
                <w:color w:val="auto"/>
                <w:w w:val="95"/>
              </w:rPr>
              <w:t>•  maintaining appropriate financial, reporting and risk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716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reporting and controls; and support financing and investor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716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relations activities.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represents each NEO’s annual performance bonus target opportunity for 2017 (based on base salary as of the end of 2016):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Target%</w:t>
            </w:r>
          </w:p>
        </w:tc>
        <w:tc>
          <w:tcPr>
            <w:tcW w:w="1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G. Traber, M.D.</w:t>
            </w:r>
          </w:p>
        </w:tc>
        <w:tc>
          <w:tcPr>
            <w:tcW w:w="49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4"/>
              </w:rPr>
              <w:t>Peter</w:t>
            </w:r>
          </w:p>
        </w:tc>
        <w:tc>
          <w:tcPr>
            <w:tcW w:w="3260" w:type="dxa"/>
            <w:vAlign w:val="bottom"/>
            <w:vMerge w:val="continue"/>
            <w:shd w:val="clear" w:color="auto" w:fill="CCEEFF"/>
          </w:tcPr>
          <w:p>
            <w:pPr>
              <w:spacing w:after="0"/>
              <w:rPr>
                <w:sz w:val="18"/>
                <w:szCs w:val="18"/>
                <w:color w:val="auto"/>
              </w:rPr>
            </w:pPr>
          </w:p>
        </w:tc>
        <w:tc>
          <w:tcPr>
            <w:tcW w:w="490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4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6000" w:type="dxa"/>
            <w:vAlign w:val="bottom"/>
            <w:gridSpan w:val="3"/>
          </w:tcPr>
          <w:p>
            <w:pPr>
              <w:jc w:val="right"/>
              <w:ind w:right="400"/>
              <w:spacing w:after="0"/>
              <w:rPr>
                <w:sz w:val="20"/>
                <w:szCs w:val="20"/>
                <w:color w:val="auto"/>
              </w:rPr>
            </w:pPr>
            <w:r>
              <w:rPr>
                <w:rFonts w:ascii="Arial" w:cs="Arial" w:eastAsia="Arial" w:hAnsi="Arial"/>
                <w:sz w:val="18"/>
                <w:szCs w:val="18"/>
                <w:color w:val="auto"/>
              </w:rPr>
              <w:t>30%</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6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00" w:type="dxa"/>
            <w:vAlign w:val="bottom"/>
          </w:tcPr>
          <w:p>
            <w:pPr>
              <w:jc w:val="right"/>
              <w:ind w:right="2834"/>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type w:val="continuous"/>
        </w:sectPr>
      </w:pPr>
    </w:p>
    <w:bookmarkStart w:id="31" w:name="page32"/>
    <w:bookmarkEnd w:id="31"/>
    <w:p>
      <w:pPr>
        <w:ind w:right="6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2017 performance year, the Compensation Committee awarded the NEOs the following annual performance bonuses paid in January 2018 based on its determination that all Company performance objectives and individual performance objectives were achieved or exceeded.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60" w:type="dxa"/>
            <w:vAlign w:val="bottom"/>
            <w:gridSpan w:val="3"/>
          </w:tcPr>
          <w:p>
            <w:pPr>
              <w:ind w:left="1400"/>
              <w:spacing w:after="0"/>
              <w:rPr>
                <w:sz w:val="20"/>
                <w:szCs w:val="20"/>
                <w:color w:val="auto"/>
              </w:rPr>
            </w:pPr>
            <w:r>
              <w:rPr>
                <w:rFonts w:ascii="Arial" w:cs="Arial" w:eastAsia="Arial" w:hAnsi="Arial"/>
                <w:sz w:val="14"/>
                <w:szCs w:val="14"/>
                <w:b w:val="1"/>
                <w:bCs w:val="1"/>
                <w:color w:val="auto"/>
                <w:w w:val="92"/>
              </w:rPr>
              <w:t>Annual Performance Bonus Amount</w:t>
            </w:r>
          </w:p>
        </w:tc>
        <w:tc>
          <w:tcPr>
            <w:tcW w:w="4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Awarded Amount As % of 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G. Traber, M.D.</w:t>
            </w:r>
          </w:p>
        </w:tc>
        <w:tc>
          <w:tcPr>
            <w:tcW w:w="14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0" w:type="dxa"/>
            <w:vAlign w:val="bottom"/>
            <w:vMerge w:val="restart"/>
            <w:shd w:val="clear" w:color="auto" w:fill="CCEEFF"/>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4"/>
              </w:rPr>
              <w:t>Peter</w:t>
            </w:r>
          </w:p>
        </w:tc>
        <w:tc>
          <w:tcPr>
            <w:tcW w:w="284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299,492</w:t>
            </w:r>
          </w:p>
        </w:tc>
        <w:tc>
          <w:tcPr>
            <w:tcW w:w="1600" w:type="dxa"/>
            <w:vAlign w:val="bottom"/>
            <w:vMerge w:val="continue"/>
            <w:shd w:val="clear" w:color="auto" w:fill="CCEEFF"/>
          </w:tcPr>
          <w:p>
            <w:pPr>
              <w:spacing w:after="0"/>
              <w:rPr>
                <w:sz w:val="18"/>
                <w:szCs w:val="18"/>
                <w:color w:val="auto"/>
              </w:rPr>
            </w:pP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22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91,163</w:t>
            </w:r>
          </w:p>
        </w:tc>
        <w:tc>
          <w:tcPr>
            <w:tcW w:w="4180" w:type="dxa"/>
            <w:vAlign w:val="bottom"/>
            <w:gridSpan w:val="3"/>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22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91,163</w:t>
            </w:r>
          </w:p>
        </w:tc>
        <w:tc>
          <w:tcPr>
            <w:tcW w:w="4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47"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Under the long-term incentive portion of the Program, the NEOs are granted options based upon achievement of the Company performance and individual performance objectives and rank in the Company. All option grants under the Program have been made under the 2009 Incentive Compensation Plan.</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There were no grants to NEO’s in 2017; however, on January 15, 2018, the NEOs were awarded the options noted below based on 2017 performance. Of the options, 25% vest immediately upon grant, 25% vest on June 30, 2018 and 50% vest on December 31, 2018. The exercise price of the options is set at the closing price of our stock as of the grant date.</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4"/>
              </w:rPr>
              <w:t>Grant Date</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Number of Securities</w:t>
            </w:r>
          </w:p>
        </w:tc>
        <w:tc>
          <w:tcPr>
            <w:tcW w:w="42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Underlying Options</w:t>
            </w:r>
          </w:p>
        </w:tc>
        <w:tc>
          <w:tcPr>
            <w:tcW w:w="4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Peter</w:t>
            </w:r>
          </w:p>
        </w:tc>
        <w:tc>
          <w:tcPr>
            <w:tcW w:w="4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 Traber, M.D.</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1/5/2018</w:t>
            </w:r>
          </w:p>
        </w:tc>
        <w:tc>
          <w:tcPr>
            <w:tcW w:w="8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w w:val="96"/>
              </w:rPr>
              <w:t>1/5/2018</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90,000</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6"/>
              </w:rPr>
              <w:t>1/5/2018</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90,000</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ind w:right="260" w:firstLine="441"/>
        <w:spacing w:after="0" w:line="286" w:lineRule="auto"/>
        <w:rPr>
          <w:sz w:val="20"/>
          <w:szCs w:val="20"/>
          <w:color w:val="auto"/>
        </w:rPr>
      </w:pPr>
      <w:r>
        <w:rPr>
          <w:rFonts w:ascii="Arial" w:cs="Arial" w:eastAsia="Arial" w:hAnsi="Arial"/>
          <w:sz w:val="17"/>
          <w:szCs w:val="17"/>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 Chief Executive Officer and President</w:t>
      </w:r>
    </w:p>
    <w:p>
      <w:pPr>
        <w:spacing w:after="0" w:line="117"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On May 26, 2011, we entered into an employment agreement with Dr. Traber. As contemplated by the agreement, on May 26, 2011, our Board of Directors granted Dr. Traber 125,000 fully-vested options exercisable for 10 years at $7.50 per share. In addition, the agreement (i) accelerated the vesting 100,000 warrants that we granted to Dr. Traber in consideration for his service to the Company as Chief Medical Officer on a consultant basis prior his becoming an executive officer, (ii) amended our prior grant of 833,334 options to include a cashless exercise provision, and (iii) limited the number of vested options under Dr. Traber’s prior grants to a maximum of 833,334 at any one time. The agreement requires us to register the offer and sale of the shares underlying such options and warrants. Dr. Traber also agreed not to sell any securities of the Company until after his obligation to report transactions in our securities has expired.</w:t>
      </w:r>
    </w:p>
    <w:p>
      <w:pPr>
        <w:spacing w:after="0" w:line="178"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On May 6, 2016, the Company amended and restated Dr. Traber’s employment agreement, extending Dr. Traber’s employment for an additional term of three-years. Upon expiration of that term, the employment</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440" w:top="274" w:right="419" w:bottom="1440" w:gutter="0" w:footer="0" w:header="0"/>
        </w:sectPr>
      </w:pPr>
    </w:p>
    <w:bookmarkStart w:id="32" w:name="page33"/>
    <w:bookmarkEnd w:id="3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provides that Dr. Traber’s employment with the Company will continue indefinitely for additional one-year terms unless either party provides at least three months’ notice that the employment will not continue beyond the end of the then current term. The restated employment agreement provides for an initial annual salary in the amount of $512,500 effective as of May 6, 2016, which may be adjusted by the Board in subsequent years based on annual industry surveys of executive compensation in comparable companies. In addition to his salary, Dr. Traber is entitled to (i) an annual performance bonus (which, upon achieving target performance, would equal 50% of his base salary for the applicable year), (ii) an annual equity or equity-based grant in a form and amount determined by the Board, (iii) participate in incentive, retirement, profit-sharing, life, medical, disability and other plans generally available to senior executives of the Company, (iv) up to four weeks vacation, (v) $2,000,000 life insurance coverage and long-term disability insurance at the Company’s expense, and (vi) coverage under certain liability insurance policies maintained by the Company.</w:t>
      </w:r>
    </w:p>
    <w:p>
      <w:pPr>
        <w:spacing w:after="0" w:line="166"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If his employment is terminated (i) by the Company without Cause (as defined in the Employment Agreement), or (ii) by Dr. Traber for Good Reason (as defined in the Employment Agreement), the Employment Agreement provides that, subject to his execution of a release of claims against the Company, Dr. Traber will receive (A) severance benefits equal to one year of his then current base salary (paid over time, but subject to Dr. Traber’s ability to request a lump-sum payment if such election does not otherwise violate Section 409A of the Internal Revenue Code of 1986, as amended (the “Code”)), (B) any bonus for the year prior to termination to 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 Further, the restated employment agreement provides that, in the event Dr. Traber becomes eligible to receive compensation that would be subject to an excise tax pursuant to Code Section 4999, then, to the extent it would leave Dr. Traber in a better net after-tax position, such payments will be reduced to the extent necessary to avoid said excise tax.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Ph.D., Chief Operating Officer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entered into an amended and restated employment agreement with Dr. Shlevin on December 11, 2014. The agreement provides for an initial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 from December 11, 2014 through December 31, 2015, and automatically renews for additional one-year periods, unless otherwise terminated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either party. In accordance with the terms of the agreement, Dr. Shlevin will receive a base salary of $230,000 per year beginning in 2015 and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receive an annual performance bonus based on attainment of one or more pre-established individual and/or Company performance goals established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Effective March 31, 2015, Dr. Shlevin’s annual base salary was increased to $250,000 and was increased again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$260,000 in February 2016. Dr. Shlevin’s target performance bonus opportunity in a given year may not be less than 30% of his base salary in such year.</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is eligible to receive a performance bonus equal to 20% of his base salary. Effective March 31, 2015, Mr. Callicutt’s annual base salary was increased to $240,000, and his annual base salary was increased again to $260,000 in February 2016.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3" w:name="page34"/>
    <w:bookmarkEnd w:id="33"/>
    <w:p>
      <w:pPr>
        <w:ind w:right="100" w:firstLine="44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11, 2017, we entered into an amendment to the Callicutt Employment Agreement with Mr. Callicutt (the “Amendment”). The Amendment was entered into to correct an error in the severance provision of the Callicutt Employment Agreement. Pursuant to the Amendment, if Mr. Callicutt’s employment with the Company is terminated by the Company “without cause,” or by 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or 9 months’ base salary if such termination occurs after the date that is 18 months after the Commencement Date, plus, in each case, a portion of the performance bonus for the then-current year based on the number of days elapsed in the year. Prior to the Amendment, the Callicutt Employment Agreement did not provide for any severance if Mr. Callicutt’s employment with the Company was terminated by the Company “without cause,” or by Mr. Callicutt for “good reason” after the date that was 24 months after the Commencement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i w:val="1"/>
          <w:iCs w:val="1"/>
          <w:color w:val="auto"/>
        </w:rPr>
        <w:t>The following report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or the Exchange Act.</w:t>
      </w:r>
    </w:p>
    <w:p>
      <w:pPr>
        <w:spacing w:after="0" w:line="181"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w:t>
      </w:r>
    </w:p>
    <w:p>
      <w:pPr>
        <w:spacing w:after="0" w:line="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COMPENSATION COMMITTEE</w:t>
      </w:r>
    </w:p>
    <w:p>
      <w:pPr>
        <w:spacing w:after="0" w:line="11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Gilbert S. Omenn, M.D., Ph.D., Chairman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Gilbert F. Amelio, Ph.D.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Joel Lewis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compensation paid to our NEOs for the fiscal years ended December 31, 2017, 2016 and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Awards</w:t>
            </w:r>
          </w:p>
        </w:tc>
        <w:tc>
          <w:tcPr>
            <w:tcW w:w="17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($)(2)</w:t>
            </w:r>
          </w:p>
        </w:tc>
        <w:tc>
          <w:tcPr>
            <w:tcW w:w="114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w w:val="99"/>
              </w:rPr>
              <w:t>Peter G. Traber, M.D.</w:t>
            </w:r>
          </w:p>
        </w:tc>
        <w:tc>
          <w:tcPr>
            <w:tcW w:w="3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2017</w:t>
            </w:r>
          </w:p>
        </w:tc>
        <w:tc>
          <w:tcPr>
            <w:tcW w:w="2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512,500</w:t>
            </w:r>
          </w:p>
        </w:tc>
        <w:tc>
          <w:tcPr>
            <w:tcW w:w="2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299,492</w:t>
            </w:r>
          </w:p>
        </w:tc>
        <w:tc>
          <w:tcPr>
            <w:tcW w:w="2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65,397(3)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Executive Officer &amp; President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512,500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160,877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288,136</w:t>
            </w: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60,567(4)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1,022,080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210,000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373,018</w:t>
            </w: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54,976(5)</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1,137,994</w:t>
            </w:r>
          </w:p>
        </w:tc>
        <w:tc>
          <w:tcPr>
            <w:tcW w:w="0" w:type="dxa"/>
            <w:vAlign w:val="bottom"/>
          </w:tcPr>
          <w:p>
            <w:pPr>
              <w:spacing w:after="0"/>
              <w:rPr>
                <w:sz w:val="1"/>
                <w:szCs w:val="1"/>
                <w:color w:val="auto"/>
              </w:rPr>
            </w:pPr>
          </w:p>
        </w:tc>
      </w:tr>
      <w:tr>
        <w:trPr>
          <w:trHeight w:val="269"/>
        </w:trPr>
        <w:tc>
          <w:tcPr>
            <w:tcW w:w="5160" w:type="dxa"/>
            <w:vAlign w:val="bottom"/>
            <w:gridSpan w:val="3"/>
          </w:tcPr>
          <w:p>
            <w:pPr>
              <w:spacing w:after="0"/>
              <w:rPr>
                <w:sz w:val="20"/>
                <w:szCs w:val="20"/>
                <w:color w:val="auto"/>
              </w:rPr>
            </w:pPr>
            <w:r>
              <w:rPr>
                <w:rFonts w:ascii="Arial" w:cs="Arial" w:eastAsia="Arial" w:hAnsi="Arial"/>
                <w:sz w:val="18"/>
                <w:szCs w:val="18"/>
                <w:color w:val="auto"/>
              </w:rPr>
              <w:t>Harold H. Shlevin, Ph.D.,</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2017</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91,163</w:t>
            </w:r>
          </w:p>
        </w:tc>
        <w:tc>
          <w:tcPr>
            <w:tcW w:w="260" w:type="dxa"/>
            <w:vAlign w:val="bottom"/>
          </w:tcPr>
          <w:p>
            <w:pPr>
              <w:spacing w:after="0"/>
              <w:rPr>
                <w:sz w:val="23"/>
                <w:szCs w:val="23"/>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640"/>
              <w:spacing w:after="0"/>
              <w:rPr>
                <w:sz w:val="20"/>
                <w:szCs w:val="20"/>
                <w:color w:val="auto"/>
              </w:rPr>
            </w:pPr>
            <w:r>
              <w:rPr>
                <w:rFonts w:ascii="Arial" w:cs="Arial" w:eastAsia="Arial" w:hAnsi="Arial"/>
                <w:sz w:val="18"/>
                <w:szCs w:val="18"/>
                <w:color w:val="auto"/>
              </w:rPr>
              <w:t>53,992(6)</w:t>
            </w:r>
          </w:p>
        </w:tc>
        <w:tc>
          <w:tcPr>
            <w:tcW w:w="840" w:type="dxa"/>
            <w:vAlign w:val="bottom"/>
          </w:tcPr>
          <w:p>
            <w:pPr>
              <w:jc w:val="right"/>
              <w:spacing w:after="0"/>
              <w:rPr>
                <w:sz w:val="20"/>
                <w:szCs w:val="20"/>
                <w:color w:val="auto"/>
              </w:rPr>
            </w:pPr>
            <w:r>
              <w:rPr>
                <w:rFonts w:ascii="Arial" w:cs="Arial" w:eastAsia="Arial" w:hAnsi="Arial"/>
                <w:sz w:val="18"/>
                <w:szCs w:val="18"/>
                <w:color w:val="auto"/>
              </w:rPr>
              <w:t>405,155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50,920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140,587</w:t>
            </w:r>
          </w:p>
        </w:tc>
        <w:tc>
          <w:tcPr>
            <w:tcW w:w="1700" w:type="dxa"/>
            <w:vAlign w:val="bottom"/>
            <w:gridSpan w:val="3"/>
          </w:tcPr>
          <w:p>
            <w:pPr>
              <w:ind w:left="640"/>
              <w:spacing w:after="0"/>
              <w:rPr>
                <w:sz w:val="20"/>
                <w:szCs w:val="20"/>
                <w:color w:val="auto"/>
              </w:rPr>
            </w:pPr>
            <w:r>
              <w:rPr>
                <w:rFonts w:ascii="Arial" w:cs="Arial" w:eastAsia="Arial" w:hAnsi="Arial"/>
                <w:sz w:val="18"/>
                <w:szCs w:val="18"/>
                <w:color w:val="auto"/>
              </w:rPr>
              <w:t>48,118(7)</w:t>
            </w:r>
          </w:p>
        </w:tc>
        <w:tc>
          <w:tcPr>
            <w:tcW w:w="840" w:type="dxa"/>
            <w:vAlign w:val="bottom"/>
          </w:tcPr>
          <w:p>
            <w:pPr>
              <w:jc w:val="right"/>
              <w:spacing w:after="0"/>
              <w:rPr>
                <w:sz w:val="20"/>
                <w:szCs w:val="20"/>
                <w:color w:val="auto"/>
              </w:rPr>
            </w:pPr>
            <w:r>
              <w:rPr>
                <w:rFonts w:ascii="Arial" w:cs="Arial" w:eastAsia="Arial" w:hAnsi="Arial"/>
                <w:sz w:val="18"/>
                <w:szCs w:val="18"/>
                <w:color w:val="auto"/>
              </w:rPr>
              <w:t>499,625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2015</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66,000</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105,781</w:t>
            </w:r>
          </w:p>
        </w:tc>
        <w:tc>
          <w:tcPr>
            <w:tcW w:w="1700" w:type="dxa"/>
            <w:vAlign w:val="bottom"/>
            <w:gridSpan w:val="3"/>
          </w:tcPr>
          <w:p>
            <w:pPr>
              <w:ind w:left="640"/>
              <w:spacing w:after="0"/>
              <w:rPr>
                <w:sz w:val="20"/>
                <w:szCs w:val="20"/>
                <w:color w:val="auto"/>
              </w:rPr>
            </w:pPr>
            <w:r>
              <w:rPr>
                <w:rFonts w:ascii="Arial" w:cs="Arial" w:eastAsia="Arial" w:hAnsi="Arial"/>
                <w:sz w:val="18"/>
                <w:szCs w:val="18"/>
                <w:color w:val="auto"/>
              </w:rPr>
              <w:t>40,362(8)</w:t>
            </w:r>
          </w:p>
        </w:tc>
        <w:tc>
          <w:tcPr>
            <w:tcW w:w="840" w:type="dxa"/>
            <w:vAlign w:val="bottom"/>
          </w:tcPr>
          <w:p>
            <w:pPr>
              <w:jc w:val="right"/>
              <w:spacing w:after="0"/>
              <w:rPr>
                <w:sz w:val="20"/>
                <w:szCs w:val="20"/>
                <w:color w:val="auto"/>
              </w:rPr>
            </w:pPr>
            <w:r>
              <w:rPr>
                <w:rFonts w:ascii="Arial" w:cs="Arial" w:eastAsia="Arial" w:hAnsi="Arial"/>
                <w:sz w:val="18"/>
                <w:szCs w:val="18"/>
                <w:color w:val="auto"/>
              </w:rPr>
              <w:t>462,143</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4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54,848(9)</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Financial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54,172</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140,587</w:t>
            </w: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49,097(10)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72,377</w:t>
            </w: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44,419(11)</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Bonuses for 2017 were paid in January 2018. Bonuses for 2016 were paid in February 2017. Bonuses for 2015 were paid in January 2016.</w:t>
      </w:r>
    </w:p>
    <w:p>
      <w:pPr>
        <w:spacing w:after="0" w:line="34" w:lineRule="exact"/>
        <w:rPr>
          <w:rFonts w:ascii="Arial" w:cs="Arial" w:eastAsia="Arial" w:hAnsi="Arial"/>
          <w:sz w:val="17"/>
          <w:szCs w:val="17"/>
          <w:color w:val="auto"/>
        </w:rPr>
      </w:pPr>
    </w:p>
    <w:p>
      <w:pPr>
        <w:ind w:left="440" w:right="240" w:hanging="436"/>
        <w:spacing w:after="0" w:line="281"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option awards made during 2017, 2016 and 2015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2017, 2016 and 2015.</w:t>
      </w:r>
    </w:p>
    <w:p>
      <w:pPr>
        <w:spacing w:after="0" w:line="2" w:lineRule="exact"/>
        <w:rPr>
          <w:rFonts w:ascii="Arial" w:cs="Arial" w:eastAsia="Arial" w:hAnsi="Arial"/>
          <w:sz w:val="16"/>
          <w:szCs w:val="16"/>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$54,597 for health and other insurance and $10,800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$49,967 for health and other insurance and $10,600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$45,927 for health and other insurance and $8,065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$39,994 for health and other insurance and $8,124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$39,994 for health and other insurance and $8,124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$32,297 for health and other insurance and $8,065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$46,765 for health and other insurance and $8,083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$40,972 for health and other insurance and $8,125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$35,002 for health and other insurance and $9,417 for 401(k) plan contributions.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440" w:top="270" w:right="4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IN 2017</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Name</w:t>
      </w:r>
    </w:p>
    <w:p>
      <w:pPr>
        <w:ind w:right="640"/>
        <w:spacing w:after="0" w:line="329" w:lineRule="auto"/>
        <w:rPr>
          <w:sz w:val="20"/>
          <w:szCs w:val="20"/>
          <w:color w:val="auto"/>
        </w:rPr>
      </w:pPr>
      <w:r>
        <w:rPr>
          <w:rFonts w:ascii="Arial" w:cs="Arial" w:eastAsia="Arial" w:hAnsi="Arial"/>
          <w:sz w:val="14"/>
          <w:szCs w:val="14"/>
          <w:color w:val="auto"/>
        </w:rPr>
        <w:t>Peter G. Traber, M.D. Harold H. Shlevin, Ph.D. Jack W. Callicutt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2"/>
          </w:tcPr>
          <w:p>
            <w:pPr>
              <w:jc w:val="center"/>
              <w:ind w:left="177"/>
              <w:spacing w:after="0"/>
              <w:rPr>
                <w:sz w:val="20"/>
                <w:szCs w:val="20"/>
                <w:color w:val="auto"/>
              </w:rPr>
            </w:pPr>
            <w:r>
              <w:rPr>
                <w:rFonts w:ascii="Arial" w:cs="Arial" w:eastAsia="Arial" w:hAnsi="Arial"/>
                <w:sz w:val="13"/>
                <w:szCs w:val="13"/>
                <w:b w:val="1"/>
                <w:bCs w:val="1"/>
                <w:color w:val="auto"/>
                <w:w w:val="94"/>
              </w:rPr>
              <w:t>All Other</w:t>
            </w:r>
          </w:p>
        </w:tc>
        <w:tc>
          <w:tcPr>
            <w:tcW w:w="2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0"/>
              </w:rPr>
              <w:t>All Other</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84"/>
              </w:rPr>
              <w:t>Estimated Possible Payouts</w:t>
            </w:r>
          </w:p>
        </w:tc>
        <w:tc>
          <w:tcPr>
            <w:tcW w:w="240" w:type="dxa"/>
            <w:vAlign w:val="bottom"/>
          </w:tcPr>
          <w:p>
            <w:pPr>
              <w:spacing w:after="0"/>
              <w:rPr>
                <w:sz w:val="11"/>
                <w:szCs w:val="11"/>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87"/>
              </w:rPr>
              <w:t>Estimated Future Payouts</w:t>
            </w:r>
          </w:p>
        </w:tc>
        <w:tc>
          <w:tcPr>
            <w:tcW w:w="2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gridSpan w:val="6"/>
            <w:vMerge w:val="continue"/>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5"/>
              </w:rPr>
              <w:t>Awards:</w:t>
            </w:r>
          </w:p>
        </w:tc>
        <w:tc>
          <w:tcPr>
            <w:tcW w:w="24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Awards:</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90"/>
              </w:rPr>
              <w:t>Under Non-Equity Incentive</w:t>
            </w:r>
          </w:p>
        </w:tc>
        <w:tc>
          <w:tcPr>
            <w:tcW w:w="240" w:type="dxa"/>
            <w:vAlign w:val="bottom"/>
          </w:tcPr>
          <w:p>
            <w:pPr>
              <w:spacing w:after="0"/>
              <w:rPr>
                <w:sz w:val="11"/>
                <w:szCs w:val="11"/>
                <w:color w:val="auto"/>
              </w:rPr>
            </w:pPr>
          </w:p>
        </w:tc>
        <w:tc>
          <w:tcPr>
            <w:tcW w:w="200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90"/>
              </w:rPr>
              <w:t>Under Equity Incentive</w:t>
            </w:r>
          </w:p>
        </w:tc>
        <w:tc>
          <w:tcPr>
            <w:tcW w:w="2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80" w:type="dxa"/>
            <w:vAlign w:val="bottom"/>
            <w:gridSpan w:val="2"/>
          </w:tcPr>
          <w:p>
            <w:pPr>
              <w:jc w:val="center"/>
              <w:ind w:left="177"/>
              <w:spacing w:after="0" w:line="135" w:lineRule="exact"/>
              <w:rPr>
                <w:sz w:val="20"/>
                <w:szCs w:val="20"/>
                <w:color w:val="auto"/>
              </w:rPr>
            </w:pPr>
            <w:r>
              <w:rPr>
                <w:rFonts w:ascii="Arial" w:cs="Arial" w:eastAsia="Arial" w:hAnsi="Arial"/>
                <w:sz w:val="13"/>
                <w:szCs w:val="13"/>
                <w:b w:val="1"/>
                <w:bCs w:val="1"/>
                <w:color w:val="auto"/>
                <w:w w:val="85"/>
              </w:rPr>
              <w:t>Exercise or</w:t>
            </w:r>
          </w:p>
        </w:tc>
        <w:tc>
          <w:tcPr>
            <w:tcW w:w="2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Date Fair</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Plan Awards</w:t>
            </w: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Plan Awards</w:t>
            </w: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4"/>
              </w:rPr>
              <w:t>of Shares</w:t>
            </w:r>
          </w:p>
        </w:tc>
        <w:tc>
          <w:tcPr>
            <w:tcW w:w="24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6"/>
              </w:rPr>
              <w:t>Securities</w:t>
            </w:r>
          </w:p>
        </w:tc>
        <w:tc>
          <w:tcPr>
            <w:tcW w:w="26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4"/>
              </w:rPr>
              <w:t>Base Price</w:t>
            </w:r>
          </w:p>
        </w:tc>
        <w:tc>
          <w:tcPr>
            <w:tcW w:w="26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5"/>
              </w:rPr>
              <w:t>of Stock</w:t>
            </w:r>
          </w:p>
        </w:tc>
        <w:tc>
          <w:tcPr>
            <w:tcW w:w="860" w:type="dxa"/>
            <w:vAlign w:val="bottom"/>
            <w:gridSpan w:val="2"/>
          </w:tcPr>
          <w:p>
            <w:pPr>
              <w:jc w:val="center"/>
              <w:ind w:left="177"/>
              <w:spacing w:after="0" w:line="138" w:lineRule="exact"/>
              <w:rPr>
                <w:sz w:val="20"/>
                <w:szCs w:val="20"/>
                <w:color w:val="auto"/>
              </w:rPr>
            </w:pPr>
            <w:r>
              <w:rPr>
                <w:rFonts w:ascii="Arial" w:cs="Arial" w:eastAsia="Arial" w:hAnsi="Arial"/>
                <w:sz w:val="13"/>
                <w:szCs w:val="13"/>
                <w:b w:val="1"/>
                <w:bCs w:val="1"/>
                <w:color w:val="auto"/>
                <w:w w:val="91"/>
              </w:rPr>
              <w:t>Underlying</w:t>
            </w:r>
          </w:p>
        </w:tc>
        <w:tc>
          <w:tcPr>
            <w:tcW w:w="26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of Option</w:t>
            </w:r>
          </w:p>
        </w:tc>
        <w:tc>
          <w:tcPr>
            <w:tcW w:w="800" w:type="dxa"/>
            <w:vAlign w:val="bottom"/>
            <w:gridSpan w:val="2"/>
          </w:tcPr>
          <w:p>
            <w:pPr>
              <w:jc w:val="center"/>
              <w:ind w:left="157"/>
              <w:spacing w:after="0" w:line="138" w:lineRule="exact"/>
              <w:rPr>
                <w:sz w:val="20"/>
                <w:szCs w:val="20"/>
                <w:color w:val="auto"/>
              </w:rPr>
            </w:pPr>
            <w:r>
              <w:rPr>
                <w:rFonts w:ascii="Arial" w:cs="Arial" w:eastAsia="Arial" w:hAnsi="Arial"/>
                <w:sz w:val="13"/>
                <w:szCs w:val="13"/>
                <w:b w:val="1"/>
                <w:bCs w:val="1"/>
                <w:color w:val="auto"/>
                <w:w w:val="86"/>
              </w:rPr>
              <w:t>Stock and</w:t>
            </w:r>
          </w:p>
        </w:tc>
        <w:tc>
          <w:tcPr>
            <w:tcW w:w="0" w:type="dxa"/>
            <w:vAlign w:val="bottom"/>
          </w:tcPr>
          <w:p>
            <w:pPr>
              <w:spacing w:after="0"/>
              <w:rPr>
                <w:sz w:val="1"/>
                <w:szCs w:val="1"/>
                <w:color w:val="auto"/>
              </w:rPr>
            </w:pPr>
          </w:p>
        </w:tc>
      </w:tr>
      <w:tr>
        <w:trPr>
          <w:trHeight w:val="135"/>
        </w:trPr>
        <w:tc>
          <w:tcPr>
            <w:tcW w:w="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Grant</w:t>
            </w:r>
          </w:p>
        </w:tc>
        <w:tc>
          <w:tcPr>
            <w:tcW w:w="800" w:type="dxa"/>
            <w:vAlign w:val="bottom"/>
            <w:gridSpan w:val="2"/>
          </w:tcPr>
          <w:p>
            <w:pPr>
              <w:jc w:val="center"/>
              <w:ind w:left="177"/>
              <w:spacing w:after="0" w:line="135" w:lineRule="exact"/>
              <w:rPr>
                <w:sz w:val="20"/>
                <w:szCs w:val="20"/>
                <w:color w:val="auto"/>
              </w:rPr>
            </w:pPr>
            <w:r>
              <w:rPr>
                <w:rFonts w:ascii="Arial" w:cs="Arial" w:eastAsia="Arial" w:hAnsi="Arial"/>
                <w:sz w:val="13"/>
                <w:szCs w:val="13"/>
                <w:b w:val="1"/>
                <w:bCs w:val="1"/>
                <w:color w:val="auto"/>
                <w:w w:val="89"/>
              </w:rPr>
              <w:t>Threshold</w:t>
            </w: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Target</w:t>
            </w: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800" w:type="dxa"/>
            <w:vAlign w:val="bottom"/>
            <w:gridSpan w:val="2"/>
          </w:tcPr>
          <w:p>
            <w:pPr>
              <w:jc w:val="center"/>
              <w:ind w:left="177"/>
              <w:spacing w:after="0" w:line="135" w:lineRule="exact"/>
              <w:rPr>
                <w:sz w:val="20"/>
                <w:szCs w:val="20"/>
                <w:color w:val="auto"/>
              </w:rPr>
            </w:pPr>
            <w:r>
              <w:rPr>
                <w:rFonts w:ascii="Arial" w:cs="Arial" w:eastAsia="Arial" w:hAnsi="Arial"/>
                <w:sz w:val="13"/>
                <w:szCs w:val="13"/>
                <w:b w:val="1"/>
                <w:bCs w:val="1"/>
                <w:color w:val="auto"/>
                <w:w w:val="89"/>
              </w:rPr>
              <w:t>Threshold</w:t>
            </w: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Target</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2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2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2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53"/>
        </w:trPr>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260" w:type="dxa"/>
            <w:vAlign w:val="bottom"/>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w:t>
            </w:r>
          </w:p>
        </w:tc>
        <w:tc>
          <w:tcPr>
            <w:tcW w:w="2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-8255</wp:posOffset>
            </wp:positionV>
            <wp:extent cx="699770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3810</wp:posOffset>
            </wp:positionV>
            <wp:extent cx="699770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t>
      </w:r>
    </w:p>
    <w:p>
      <w:pPr>
        <w:spacing w:after="0" w:line="208" w:lineRule="exact"/>
        <w:rPr>
          <w:sz w:val="20"/>
          <w:szCs w:val="20"/>
          <w:color w:val="auto"/>
        </w:rPr>
      </w:pPr>
    </w:p>
    <w:p>
      <w:pPr>
        <w:sectPr>
          <w:pgSz w:w="11900" w:h="16838" w:orient="portrait"/>
          <w:cols w:equalWidth="0" w:num="2">
            <w:col w:w="2100" w:space="720"/>
            <w:col w:w="8180"/>
          </w:cols>
          <w:pgMar w:left="440" w:top="270" w:right="45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There were no grants of plan-based awards to NEO’s made in 2017.</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00"/>
          </w:cols>
          <w:pgMar w:left="440" w:top="270" w:right="459" w:bottom="1440" w:gutter="0" w:footer="0" w:header="0"/>
          <w:type w:val="continuous"/>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2017</w:t>
      </w:r>
    </w:p>
    <w:p>
      <w:pPr>
        <w:spacing w:after="0" w:line="229"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2017. The exercise price of the options is set at the closing price of our stock at the date prior to or as of the date of grant. Outstanding options have been approved by our Compensation Committee and our Board.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Option Awards</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3"/>
                <w:szCs w:val="13"/>
                <w:b w:val="1"/>
                <w:bCs w:val="1"/>
                <w:color w:val="auto"/>
              </w:rPr>
              <w:t>Stock Awards</w:t>
            </w: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jc w:val="center"/>
              <w:ind w:right="13"/>
              <w:spacing w:after="0" w:line="11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820" w:type="dxa"/>
            <w:vAlign w:val="bottom"/>
            <w:gridSpan w:val="2"/>
          </w:tcPr>
          <w:p>
            <w:pPr>
              <w:jc w:val="center"/>
              <w:ind w:left="77"/>
              <w:spacing w:after="0" w:line="135" w:lineRule="exact"/>
              <w:rPr>
                <w:sz w:val="20"/>
                <w:szCs w:val="20"/>
                <w:color w:val="auto"/>
              </w:rPr>
            </w:pPr>
            <w:r>
              <w:rPr>
                <w:rFonts w:ascii="Arial" w:cs="Arial" w:eastAsia="Arial" w:hAnsi="Arial"/>
                <w:sz w:val="13"/>
                <w:szCs w:val="13"/>
                <w:b w:val="1"/>
                <w:bCs w:val="1"/>
                <w:color w:val="auto"/>
                <w:w w:val="86"/>
              </w:rPr>
              <w:t>or 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Incentive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820" w:type="dxa"/>
            <w:vAlign w:val="bottom"/>
            <w:gridSpan w:val="2"/>
          </w:tcPr>
          <w:p>
            <w:pPr>
              <w:jc w:val="center"/>
              <w:ind w:left="77"/>
              <w:spacing w:after="0" w:line="135"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Number of</w:t>
            </w:r>
          </w:p>
        </w:tc>
        <w:tc>
          <w:tcPr>
            <w:tcW w:w="160" w:type="dxa"/>
            <w:vAlign w:val="bottom"/>
          </w:tcPr>
          <w:p>
            <w:pPr>
              <w:spacing w:after="0"/>
              <w:rPr>
                <w:sz w:val="11"/>
                <w:szCs w:val="11"/>
                <w:color w:val="auto"/>
              </w:rPr>
            </w:pPr>
          </w:p>
        </w:tc>
        <w:tc>
          <w:tcPr>
            <w:tcW w:w="1040" w:type="dxa"/>
            <w:vAlign w:val="bottom"/>
            <w:gridSpan w:val="2"/>
          </w:tcPr>
          <w:p>
            <w:pPr>
              <w:jc w:val="center"/>
              <w:ind w:right="237"/>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Shares</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Units or</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60" w:type="dxa"/>
            <w:vAlign w:val="bottom"/>
          </w:tcPr>
          <w:p>
            <w:pPr>
              <w:spacing w:after="0"/>
              <w:rPr>
                <w:sz w:val="11"/>
                <w:szCs w:val="11"/>
                <w:color w:val="auto"/>
              </w:rPr>
            </w:pPr>
          </w:p>
        </w:tc>
        <w:tc>
          <w:tcPr>
            <w:tcW w:w="1040" w:type="dxa"/>
            <w:vAlign w:val="bottom"/>
            <w:gridSpan w:val="2"/>
          </w:tcPr>
          <w:p>
            <w:pPr>
              <w:jc w:val="center"/>
              <w:ind w:right="257"/>
              <w:spacing w:after="0" w:line="135" w:lineRule="exact"/>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60" w:type="dxa"/>
            <w:vAlign w:val="bottom"/>
          </w:tcPr>
          <w:p>
            <w:pPr>
              <w:spacing w:after="0"/>
              <w:rPr>
                <w:sz w:val="11"/>
                <w:szCs w:val="11"/>
                <w:color w:val="auto"/>
              </w:rPr>
            </w:pPr>
          </w:p>
        </w:tc>
        <w:tc>
          <w:tcPr>
            <w:tcW w:w="1040" w:type="dxa"/>
            <w:vAlign w:val="bottom"/>
            <w:gridSpan w:val="2"/>
          </w:tcPr>
          <w:p>
            <w:pPr>
              <w:jc w:val="center"/>
              <w:ind w:right="257"/>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Stock</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Stock</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Rights</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60" w:type="dxa"/>
            <w:vAlign w:val="bottom"/>
          </w:tcPr>
          <w:p>
            <w:pPr>
              <w:spacing w:after="0"/>
              <w:rPr>
                <w:sz w:val="11"/>
                <w:szCs w:val="11"/>
                <w:color w:val="auto"/>
              </w:rPr>
            </w:pPr>
          </w:p>
        </w:tc>
        <w:tc>
          <w:tcPr>
            <w:tcW w:w="1040" w:type="dxa"/>
            <w:vAlign w:val="bottom"/>
            <w:gridSpan w:val="2"/>
          </w:tcPr>
          <w:p>
            <w:pPr>
              <w:jc w:val="center"/>
              <w:ind w:right="237"/>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auto"/>
                <w:w w:val="82"/>
              </w:rPr>
              <w:t>Unexercised</w:t>
            </w:r>
          </w:p>
        </w:tc>
        <w:tc>
          <w:tcPr>
            <w:tcW w:w="2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That Have</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7"/>
              </w:rPr>
              <w:t>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Options</w:t>
            </w:r>
          </w:p>
        </w:tc>
        <w:tc>
          <w:tcPr>
            <w:tcW w:w="160" w:type="dxa"/>
            <w:vAlign w:val="bottom"/>
          </w:tcPr>
          <w:p>
            <w:pPr>
              <w:spacing w:after="0"/>
              <w:rPr>
                <w:sz w:val="11"/>
                <w:szCs w:val="11"/>
                <w:color w:val="auto"/>
              </w:rPr>
            </w:pPr>
          </w:p>
        </w:tc>
        <w:tc>
          <w:tcPr>
            <w:tcW w:w="1040" w:type="dxa"/>
            <w:vAlign w:val="bottom"/>
            <w:gridSpan w:val="2"/>
          </w:tcPr>
          <w:p>
            <w:pPr>
              <w:jc w:val="center"/>
              <w:ind w:right="237"/>
              <w:spacing w:after="0" w:line="135" w:lineRule="exact"/>
              <w:rPr>
                <w:sz w:val="20"/>
                <w:szCs w:val="20"/>
                <w:color w:val="auto"/>
              </w:rPr>
            </w:pPr>
            <w:r>
              <w:rPr>
                <w:rFonts w:ascii="Arial" w:cs="Arial" w:eastAsia="Arial" w:hAnsi="Arial"/>
                <w:sz w:val="13"/>
                <w:szCs w:val="13"/>
                <w:b w:val="1"/>
                <w:bCs w:val="1"/>
                <w:color w:val="auto"/>
                <w:w w:val="85"/>
              </w:rPr>
              <w:t>Options</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8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2"/>
              </w:rPr>
              <w:t>Exercise</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72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92"/>
              </w:rPr>
              <w:t>Have Not</w:t>
            </w:r>
          </w:p>
        </w:tc>
        <w:tc>
          <w:tcPr>
            <w:tcW w:w="74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8"/>
              </w:rPr>
              <w:t>Have Not</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Not</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1"/>
                <w:szCs w:val="11"/>
                <w:color w:val="auto"/>
              </w:rPr>
            </w:pPr>
          </w:p>
        </w:tc>
        <w:tc>
          <w:tcPr>
            <w:tcW w:w="900" w:type="dxa"/>
            <w:vAlign w:val="bottom"/>
            <w:gridSpan w:val="2"/>
          </w:tcPr>
          <w:p>
            <w:pPr>
              <w:jc w:val="center"/>
              <w:ind w:left="81"/>
              <w:spacing w:after="0" w:line="135" w:lineRule="exact"/>
              <w:rPr>
                <w:sz w:val="20"/>
                <w:szCs w:val="20"/>
                <w:color w:val="auto"/>
              </w:rPr>
            </w:pPr>
            <w:r>
              <w:rPr>
                <w:rFonts w:ascii="Arial" w:cs="Arial" w:eastAsia="Arial" w:hAnsi="Arial"/>
                <w:sz w:val="13"/>
                <w:szCs w:val="13"/>
                <w:b w:val="1"/>
                <w:bCs w:val="1"/>
                <w:color w:val="auto"/>
                <w:w w:val="87"/>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Options</w:t>
            </w:r>
          </w:p>
        </w:tc>
        <w:tc>
          <w:tcPr>
            <w:tcW w:w="20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Expiration</w:t>
            </w: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Vested</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53"/>
        </w:trPr>
        <w:tc>
          <w:tcPr>
            <w:tcW w:w="32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Exercisable</w:t>
            </w:r>
          </w:p>
        </w:tc>
        <w:tc>
          <w:tcPr>
            <w:tcW w:w="1200" w:type="dxa"/>
            <w:vAlign w:val="bottom"/>
            <w:gridSpan w:val="3"/>
          </w:tcPr>
          <w:p>
            <w:pPr>
              <w:jc w:val="center"/>
              <w:ind w:right="97"/>
              <w:spacing w:after="0"/>
              <w:rPr>
                <w:sz w:val="20"/>
                <w:szCs w:val="20"/>
                <w:color w:val="auto"/>
              </w:rPr>
            </w:pPr>
            <w:r>
              <w:rPr>
                <w:rFonts w:ascii="Arial" w:cs="Arial" w:eastAsia="Arial" w:hAnsi="Arial"/>
                <w:sz w:val="13"/>
                <w:szCs w:val="13"/>
                <w:b w:val="1"/>
                <w:bCs w:val="1"/>
                <w:color w:val="auto"/>
                <w:w w:val="86"/>
              </w:rPr>
              <w:t>Unexercisable</w:t>
            </w:r>
          </w:p>
        </w:tc>
        <w:tc>
          <w:tcPr>
            <w:tcW w:w="780" w:type="dxa"/>
            <w:vAlign w:val="bottom"/>
            <w:gridSpan w:val="2"/>
          </w:tcPr>
          <w:p>
            <w:pPr>
              <w:jc w:val="center"/>
              <w:ind w:left="37"/>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72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w w:val="87"/>
              </w:rPr>
              <w:t>($)</w:t>
            </w:r>
          </w:p>
        </w:tc>
        <w:tc>
          <w:tcPr>
            <w:tcW w:w="80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G. Traber, M.D.</w:t>
            </w: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w w:val="73"/>
              </w:rPr>
              <w:t>Peter</w:t>
            </w:r>
          </w:p>
        </w:tc>
        <w:tc>
          <w:tcPr>
            <w:tcW w:w="288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tcBorders>
              <w:left w:val="single" w:sz="8" w:color="CCEEFF"/>
            </w:tcBorders>
            <w:gridSpan w:val="2"/>
            <w:shd w:val="clear" w:color="auto" w:fill="CCEEFF"/>
          </w:tcPr>
          <w:p>
            <w:pPr>
              <w:jc w:val="right"/>
              <w:ind w:right="60"/>
              <w:spacing w:after="0" w:line="192" w:lineRule="exact"/>
              <w:rPr>
                <w:sz w:val="20"/>
                <w:szCs w:val="20"/>
                <w:color w:val="auto"/>
              </w:rPr>
            </w:pPr>
            <w:r>
              <w:rPr>
                <w:rFonts w:ascii="Arial" w:cs="Arial" w:eastAsia="Arial" w:hAnsi="Arial"/>
                <w:sz w:val="18"/>
                <w:szCs w:val="18"/>
                <w:color w:val="auto"/>
                <w:w w:val="96"/>
              </w:rPr>
              <w:t>833,335(1)</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ind w:left="480"/>
              <w:spacing w:after="0" w:line="192" w:lineRule="exact"/>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6.96</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93"/>
              </w:rPr>
              <w:t>03/07/2021</w:t>
            </w:r>
          </w:p>
        </w:tc>
        <w:tc>
          <w:tcPr>
            <w:tcW w:w="20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jc w:val="right"/>
              <w:ind w:right="29"/>
              <w:spacing w:after="0" w:line="192" w:lineRule="exact"/>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jc w:val="right"/>
              <w:ind w:right="30"/>
              <w:spacing w:after="0" w:line="192" w:lineRule="exact"/>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jc w:val="right"/>
              <w:ind w:right="32"/>
              <w:spacing w:after="0" w:line="19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ind w:right="93"/>
              <w:spacing w:after="0" w:line="19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83,334(2)</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05/26/2021</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420,000(3)</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05/23/2022</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134,000(4)</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01/21/2024</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left w:val="single" w:sz="8" w:color="CCEEFF"/>
            </w:tcBorders>
            <w:gridSpan w:val="2"/>
          </w:tcPr>
          <w:p>
            <w:pPr>
              <w:jc w:val="right"/>
              <w:ind w:right="80"/>
              <w:spacing w:after="0" w:line="185" w:lineRule="exact"/>
              <w:rPr>
                <w:sz w:val="20"/>
                <w:szCs w:val="20"/>
                <w:color w:val="auto"/>
              </w:rPr>
            </w:pPr>
            <w:r>
              <w:rPr>
                <w:rFonts w:ascii="Arial" w:cs="Arial" w:eastAsia="Arial" w:hAnsi="Arial"/>
                <w:sz w:val="17"/>
                <w:szCs w:val="17"/>
                <w:color w:val="auto"/>
                <w:w w:val="99"/>
              </w:rPr>
              <w:t>131,209(5)</w:t>
            </w:r>
          </w:p>
        </w:tc>
        <w:tc>
          <w:tcPr>
            <w:tcW w:w="1200" w:type="dxa"/>
            <w:vAlign w:val="bottom"/>
            <w:gridSpan w:val="3"/>
          </w:tcPr>
          <w:p>
            <w:pPr>
              <w:jc w:val="right"/>
              <w:ind w:right="37"/>
              <w:spacing w:after="0" w:line="185" w:lineRule="exact"/>
              <w:rPr>
                <w:sz w:val="20"/>
                <w:szCs w:val="20"/>
                <w:color w:val="auto"/>
              </w:rPr>
            </w:pPr>
            <w:r>
              <w:rPr>
                <w:rFonts w:ascii="Arial" w:cs="Arial" w:eastAsia="Arial" w:hAnsi="Arial"/>
                <w:sz w:val="17"/>
                <w:szCs w:val="17"/>
                <w:color w:val="auto"/>
              </w:rPr>
              <w:t>2,791(5)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3.45</w:t>
            </w:r>
          </w:p>
        </w:tc>
        <w:tc>
          <w:tcPr>
            <w:tcW w:w="220" w:type="dxa"/>
            <w:vAlign w:val="bottom"/>
          </w:tcPr>
          <w:p>
            <w:pPr>
              <w:spacing w:after="0"/>
              <w:rPr>
                <w:sz w:val="16"/>
                <w:szCs w:val="16"/>
                <w:color w:val="auto"/>
              </w:rPr>
            </w:pPr>
          </w:p>
        </w:tc>
        <w:tc>
          <w:tcPr>
            <w:tcW w:w="880" w:type="dxa"/>
            <w:vAlign w:val="bottom"/>
          </w:tcPr>
          <w:p>
            <w:pPr>
              <w:jc w:val="right"/>
              <w:spacing w:after="0" w:line="185" w:lineRule="exact"/>
              <w:rPr>
                <w:sz w:val="20"/>
                <w:szCs w:val="20"/>
                <w:color w:val="auto"/>
              </w:rPr>
            </w:pPr>
            <w:r>
              <w:rPr>
                <w:rFonts w:ascii="Arial" w:cs="Arial" w:eastAsia="Arial" w:hAnsi="Arial"/>
                <w:sz w:val="17"/>
                <w:szCs w:val="17"/>
                <w:color w:val="auto"/>
                <w:w w:val="98"/>
              </w:rPr>
              <w:t>01/29/2025</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97,711(8)</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36,289(8)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01/20/2026</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7"/>
                <w:szCs w:val="17"/>
                <w:color w:val="auto"/>
                <w:w w:val="99"/>
              </w:rPr>
              <w:t>220,000(9)</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12/03/2026</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00" w:type="dxa"/>
            <w:vAlign w:val="bottom"/>
            <w:gridSpan w:val="3"/>
          </w:tcPr>
          <w:p>
            <w:pPr>
              <w:spacing w:after="0"/>
              <w:rPr>
                <w:sz w:val="20"/>
                <w:szCs w:val="20"/>
                <w:color w:val="auto"/>
              </w:rPr>
            </w:pPr>
            <w:r>
              <w:rPr>
                <w:rFonts w:ascii="Arial" w:cs="Arial" w:eastAsia="Arial" w:hAnsi="Arial"/>
                <w:sz w:val="17"/>
                <w:szCs w:val="17"/>
                <w:color w:val="auto"/>
              </w:rPr>
              <w:t>Harold H. Shlevin, Ph.D.</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150,000(6)</w:t>
            </w:r>
          </w:p>
        </w:tc>
        <w:tc>
          <w:tcPr>
            <w:tcW w:w="160" w:type="dxa"/>
            <w:vAlign w:val="bottom"/>
          </w:tcPr>
          <w:p>
            <w:pPr>
              <w:spacing w:after="0"/>
              <w:rPr>
                <w:sz w:val="21"/>
                <w:szCs w:val="21"/>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2.32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08/27/2022</w:t>
            </w:r>
          </w:p>
        </w:tc>
        <w:tc>
          <w:tcPr>
            <w:tcW w:w="20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6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38,000(4)</w:t>
            </w:r>
          </w:p>
        </w:tc>
        <w:tc>
          <w:tcPr>
            <w:tcW w:w="160" w:type="dxa"/>
            <w:vAlign w:val="bottom"/>
          </w:tcPr>
          <w:p>
            <w:pPr>
              <w:spacing w:after="0"/>
              <w:rPr>
                <w:sz w:val="17"/>
                <w:szCs w:val="17"/>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13.38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01/21/2024</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37,209(5)</w:t>
            </w:r>
          </w:p>
        </w:tc>
        <w:tc>
          <w:tcPr>
            <w:tcW w:w="1200" w:type="dxa"/>
            <w:vAlign w:val="bottom"/>
            <w:gridSpan w:val="3"/>
          </w:tcPr>
          <w:p>
            <w:pPr>
              <w:ind w:left="640"/>
              <w:spacing w:after="0"/>
              <w:rPr>
                <w:sz w:val="20"/>
                <w:szCs w:val="20"/>
                <w:color w:val="auto"/>
              </w:rPr>
            </w:pPr>
            <w:r>
              <w:rPr>
                <w:rFonts w:ascii="Arial" w:cs="Arial" w:eastAsia="Arial" w:hAnsi="Arial"/>
                <w:sz w:val="17"/>
                <w:szCs w:val="17"/>
                <w:color w:val="auto"/>
              </w:rPr>
              <w:t>791(5)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3.45</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01/29/2025</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27,711(8)</w:t>
            </w:r>
          </w:p>
        </w:tc>
        <w:tc>
          <w:tcPr>
            <w:tcW w:w="1200" w:type="dxa"/>
            <w:vAlign w:val="bottom"/>
            <w:gridSpan w:val="3"/>
          </w:tcPr>
          <w:p>
            <w:pPr>
              <w:jc w:val="right"/>
              <w:ind w:right="37"/>
              <w:spacing w:after="0"/>
              <w:rPr>
                <w:sz w:val="20"/>
                <w:szCs w:val="20"/>
                <w:color w:val="auto"/>
              </w:rPr>
            </w:pPr>
            <w:r>
              <w:rPr>
                <w:rFonts w:ascii="Arial" w:cs="Arial" w:eastAsia="Arial" w:hAnsi="Arial"/>
                <w:sz w:val="17"/>
                <w:szCs w:val="17"/>
                <w:color w:val="auto"/>
              </w:rPr>
              <w:t>10,289(8)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01/20/2026</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150,000(9)</w:t>
            </w:r>
          </w:p>
        </w:tc>
        <w:tc>
          <w:tcPr>
            <w:tcW w:w="16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0.87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12/03/2026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20" w:type="dxa"/>
            <w:vAlign w:val="bottom"/>
            <w:gridSpan w:val="3"/>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18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Jack W. Callicutt</w:t>
            </w:r>
          </w:p>
        </w:tc>
        <w:tc>
          <w:tcPr>
            <w:tcW w:w="1020" w:type="dxa"/>
            <w:vAlign w:val="bottom"/>
            <w:gridSpan w:val="3"/>
            <w:shd w:val="clear" w:color="auto" w:fill="CCEEFF"/>
          </w:tcPr>
          <w:p>
            <w:pPr>
              <w:jc w:val="right"/>
              <w:ind w:right="80"/>
              <w:spacing w:after="0" w:line="185" w:lineRule="exact"/>
              <w:rPr>
                <w:sz w:val="20"/>
                <w:szCs w:val="20"/>
                <w:color w:val="auto"/>
              </w:rPr>
            </w:pPr>
            <w:r>
              <w:rPr>
                <w:rFonts w:ascii="Arial" w:cs="Arial" w:eastAsia="Arial" w:hAnsi="Arial"/>
                <w:sz w:val="17"/>
                <w:szCs w:val="17"/>
                <w:color w:val="auto"/>
              </w:rPr>
              <w:t>200,000(7)</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480"/>
              <w:spacing w:after="0" w:line="185"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4.41</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8"/>
              </w:rPr>
              <w:t>07/01/2023</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line="185"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0"/>
              <w:spacing w:after="0" w:line="185"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2"/>
              <w:spacing w:after="0" w:line="185"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ind w:right="93"/>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26,000(4)</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01/21/2024</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25,459(5)</w:t>
            </w:r>
          </w:p>
        </w:tc>
        <w:tc>
          <w:tcPr>
            <w:tcW w:w="120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541(5)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01/29/2025</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27,711(8)</w:t>
            </w:r>
          </w:p>
        </w:tc>
        <w:tc>
          <w:tcPr>
            <w:tcW w:w="1200" w:type="dxa"/>
            <w:vAlign w:val="bottom"/>
            <w:gridSpan w:val="3"/>
            <w:shd w:val="clear" w:color="auto" w:fill="CCEEFF"/>
          </w:tcPr>
          <w:p>
            <w:pPr>
              <w:jc w:val="right"/>
              <w:ind w:right="37"/>
              <w:spacing w:after="0"/>
              <w:rPr>
                <w:sz w:val="20"/>
                <w:szCs w:val="20"/>
                <w:color w:val="auto"/>
              </w:rPr>
            </w:pPr>
            <w:r>
              <w:rPr>
                <w:rFonts w:ascii="Arial" w:cs="Arial" w:eastAsia="Arial" w:hAnsi="Arial"/>
                <w:sz w:val="17"/>
                <w:szCs w:val="17"/>
                <w:color w:val="auto"/>
              </w:rPr>
              <w:t>10,289(8)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01/20/2026</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37,500(9)</w:t>
            </w:r>
          </w:p>
        </w:tc>
        <w:tc>
          <w:tcPr>
            <w:tcW w:w="160" w:type="dxa"/>
            <w:vAlign w:val="bottom"/>
          </w:tcPr>
          <w:p>
            <w:pPr>
              <w:spacing w:after="0"/>
              <w:rPr>
                <w:sz w:val="17"/>
                <w:szCs w:val="17"/>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0.87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12/03/2026</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-1894840</wp:posOffset>
            </wp:positionV>
            <wp:extent cx="4879340" cy="514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79340" cy="51435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-256540</wp:posOffset>
            </wp:positionV>
            <wp:extent cx="4879340"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7934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200" w:hanging="436"/>
        <w:spacing w:after="0" w:line="254"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125,000 options vested on March 7, 2011, the grant date, 104,667 options vested on each of the first and second anniversaries of the grant date, 83,333 options vested on each of the third and fourth anniversaries of the grant date and 166,667 options vested on the fifth anniversary of the grant date. The remaining 166,667 options vested upon the achievement of certain milestones. With respect to options that vest on anniversaries, exercise rights are accelerated upon achievement of certain milestones.</w:t>
      </w:r>
    </w:p>
    <w:p>
      <w:pPr>
        <w:spacing w:after="0" w:line="2" w:lineRule="exact"/>
        <w:rPr>
          <w:rFonts w:ascii="Arial" w:cs="Arial" w:eastAsia="Arial" w:hAnsi="Arial"/>
          <w:sz w:val="18"/>
          <w:szCs w:val="18"/>
          <w:color w:val="auto"/>
        </w:rPr>
      </w:pPr>
    </w:p>
    <w:p>
      <w:pPr>
        <w:ind w:left="440" w:hanging="436"/>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of these options vested on May 26, 2011, the grant date.</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120,000 options vested on May 23, 2012, the grant date, 100,000 vested on each of the first, second and third anniversaries of the grant date.</w:t>
      </w:r>
    </w:p>
    <w:p>
      <w:pPr>
        <w:spacing w:after="0" w:line="32" w:lineRule="exact"/>
        <w:rPr>
          <w:rFonts w:ascii="Arial" w:cs="Arial" w:eastAsia="Arial" w:hAnsi="Arial"/>
          <w:sz w:val="16"/>
          <w:szCs w:val="16"/>
          <w:color w:val="auto"/>
        </w:rPr>
      </w:pPr>
    </w:p>
    <w:p>
      <w:pPr>
        <w:ind w:left="440" w:hanging="436"/>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25% of the options vested on January 21, 2014, the grant date with the remainder vested ratably on a monthly basis over a three year period.</w:t>
      </w:r>
    </w:p>
    <w:p>
      <w:pPr>
        <w:spacing w:after="0" w:line="32" w:lineRule="exact"/>
        <w:rPr>
          <w:rFonts w:ascii="Arial" w:cs="Arial" w:eastAsia="Arial" w:hAnsi="Arial"/>
          <w:sz w:val="16"/>
          <w:szCs w:val="16"/>
          <w:color w:val="auto"/>
        </w:rPr>
      </w:pPr>
    </w:p>
    <w:p>
      <w:pPr>
        <w:ind w:left="440" w:hanging="436"/>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25% of the options vested on January 29, 2015, the grant date, with the remainder vesting ratably on a monthly basis over a three year period.</w:t>
      </w:r>
    </w:p>
    <w:p>
      <w:pPr>
        <w:spacing w:after="0" w:line="32" w:lineRule="exact"/>
        <w:rPr>
          <w:rFonts w:ascii="Arial" w:cs="Arial" w:eastAsia="Arial" w:hAnsi="Arial"/>
          <w:sz w:val="16"/>
          <w:szCs w:val="16"/>
          <w:color w:val="auto"/>
        </w:rPr>
      </w:pPr>
    </w:p>
    <w:p>
      <w:pPr>
        <w:ind w:left="440" w:right="60" w:hanging="436"/>
        <w:spacing w:after="0" w:line="250"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50,000 options vested on August 27, 2012, the grant date, 50,000 options vested on December 31, 2012, 75,000 vested on December 31, 2013 and 75,000 options vested on December 31, 2014. 100,000 options were exercised in 2013.</w:t>
      </w:r>
    </w:p>
    <w:p>
      <w:pPr>
        <w:ind w:left="440" w:right="180" w:hanging="436"/>
        <w:spacing w:after="0" w:line="261"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were granted on July 1, 2013. 25,000 options vested on December 31, 2013, 50,000 options vested on December 31, 2014, 50,000 vested on December 31, 2015 and 75,000 options vested on December 31, 2016.</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40"/>
          </w:cols>
          <w:pgMar w:left="440" w:top="270" w:right="419" w:bottom="1440" w:gutter="0" w:footer="0" w:header="0"/>
        </w:sectPr>
      </w:pPr>
    </w:p>
    <w:bookmarkStart w:id="37" w:name="page38"/>
    <w:bookmarkEnd w:id="37"/>
    <w:p>
      <w:pPr>
        <w:ind w:left="440" w:hanging="436"/>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of the options vested on January 20, 2016, the grant date, with the remainder vesting ratably on a monthly basis over a three year period.</w:t>
      </w:r>
    </w:p>
    <w:p>
      <w:pPr>
        <w:spacing w:after="0" w:line="46" w:lineRule="exact"/>
        <w:rPr>
          <w:rFonts w:ascii="Arial" w:cs="Arial" w:eastAsia="Arial" w:hAnsi="Arial"/>
          <w:sz w:val="16"/>
          <w:szCs w:val="16"/>
          <w:color w:val="auto"/>
        </w:rPr>
      </w:pPr>
    </w:p>
    <w:p>
      <w:pPr>
        <w:ind w:left="440" w:hanging="436"/>
        <w:spacing w:after="0"/>
        <w:tabs>
          <w:tab w:leader="none" w:pos="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25% of the options vested on December 3, 2016, the grant date, 25% vested on July 1, 2017, and 50% vested on December 31, 2017.</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in 2017</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exercises of stock options by the NEOs during the 2017 fiscal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None of our NEOs are covered by a pension plan or similar benefit plan that provides for payment or other benefits at, following, or in connection with retirement.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None of our NEOs are covered by a deferred contribution or other plan that provides for the deferral of compensation on a basis that is not tax-qualified.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right="60" w:firstLine="441"/>
        <w:spacing w:after="0" w:line="279" w:lineRule="auto"/>
        <w:rPr>
          <w:sz w:val="20"/>
          <w:szCs w:val="20"/>
          <w:color w:val="auto"/>
        </w:rPr>
      </w:pPr>
      <w:r>
        <w:rPr>
          <w:rFonts w:ascii="Arial" w:cs="Arial" w:eastAsia="Arial" w:hAnsi="Arial"/>
          <w:sz w:val="17"/>
          <w:szCs w:val="17"/>
          <w:color w:val="auto"/>
        </w:rPr>
        <w:t>This section describes the limited benefits that would be provided to our NEOs under our executive compensation plans upon a change of control of the Company or following termination of employment (provided, in some cases further described below, the termination must be a “separation from service” as defined in Code Section 409A). We also provide a table below showing the potential benefits payable to each of our NEOs upon a change of control of the Company or following termination of employment as of December 31,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Stock Incentive Plan</w:t>
      </w:r>
    </w:p>
    <w:p>
      <w:pPr>
        <w:spacing w:after="0" w:line="11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Under our 2001 Stock Incentive Plan, upon a change of control, the Compensation Committee has discretion to provide for the acceleration of options held by an executive, which acceleration may be conditioned on the subsequent termination of the executive’s employment with the Company. Options remain exercisable for one year following termination due to the executive’s death or disability or retirement, or for three months after termination for any other reason other than for cause.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Under the 2001 Stock Incentive Plan, change of control is defined as a change in ownership or control of the Company effected through either:</w:t>
      </w:r>
    </w:p>
    <w:p>
      <w:pPr>
        <w:spacing w:after="0" w:line="154" w:lineRule="exact"/>
        <w:rPr>
          <w:sz w:val="20"/>
          <w:szCs w:val="20"/>
          <w:color w:val="auto"/>
        </w:rPr>
      </w:pPr>
    </w:p>
    <w:p>
      <w:pPr>
        <w:ind w:left="860" w:right="240" w:hanging="424"/>
        <w:spacing w:after="0" w:line="279" w:lineRule="auto"/>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acquisition by any person or related group of persons (other than the Company or a person that directly or indirectly controls, is controlled by, or is under common control with the Company) of beneficial ownership of securities possessing more than 50% of the total combined voting power of the Company’s outstanding securities pursuant to a tender or exchange offer made directly to the Company’s stockholders that the Board does not recommend such stockholders to accept; or</w:t>
      </w:r>
    </w:p>
    <w:p>
      <w:pPr>
        <w:spacing w:after="0" w:line="76" w:lineRule="exact"/>
        <w:rPr>
          <w:rFonts w:ascii="Arial" w:cs="Arial" w:eastAsia="Arial" w:hAnsi="Arial"/>
          <w:sz w:val="17"/>
          <w:szCs w:val="17"/>
          <w:color w:val="auto"/>
        </w:rPr>
      </w:pPr>
    </w:p>
    <w:p>
      <w:pPr>
        <w:ind w:left="860" w:hanging="424"/>
        <w:spacing w:after="0" w:line="279" w:lineRule="auto"/>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during any period of 36 consecutive months or less, there is a change in the composition of the Board of Directors such that a majority of the directors ceases, by reason of one or more proxy contests for the election of directors, to be composed of individuals who either have been directors continuously since the beginning of such period, or have been elected or nominated for election as directors during such period by at least a majority of the continuously serving directors who were still in office at the time such election or nomination.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2009 Incentive Compensation Plan</w:t>
      </w:r>
    </w:p>
    <w:p>
      <w:pPr>
        <w:spacing w:after="0" w:line="117"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Under our 2009 Incentive Compensation Plan, the options we have granted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31" w:lineRule="exact"/>
        <w:rPr>
          <w:sz w:val="20"/>
          <w:szCs w:val="20"/>
          <w:color w:val="auto"/>
        </w:rPr>
      </w:pPr>
    </w:p>
    <w:p>
      <w:pPr>
        <w:ind w:left="860" w:right="480" w:hanging="424"/>
        <w:spacing w:after="0" w:line="286" w:lineRule="auto"/>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70" w:lineRule="exact"/>
        <w:rPr>
          <w:rFonts w:ascii="Arial" w:cs="Arial" w:eastAsia="Arial" w:hAnsi="Arial"/>
          <w:sz w:val="17"/>
          <w:szCs w:val="17"/>
          <w:color w:val="auto"/>
        </w:rPr>
      </w:pPr>
    </w:p>
    <w:p>
      <w:pPr>
        <w:ind w:left="860" w:right="160" w:hanging="424"/>
        <w:spacing w:after="0" w:line="277"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860" w:hanging="424"/>
        <w:spacing w:after="0" w:line="253"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102" w:lineRule="exact"/>
        <w:rPr>
          <w:rFonts w:ascii="Arial" w:cs="Arial" w:eastAsia="Arial" w:hAnsi="Arial"/>
          <w:sz w:val="18"/>
          <w:szCs w:val="18"/>
          <w:color w:val="auto"/>
        </w:rPr>
      </w:pPr>
    </w:p>
    <w:p>
      <w:pPr>
        <w:ind w:left="860" w:hanging="424"/>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25"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70"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w:t>
      </w:r>
    </w:p>
    <w:p>
      <w:pPr>
        <w:spacing w:after="0" w:line="117" w:lineRule="exact"/>
        <w:rPr>
          <w:sz w:val="20"/>
          <w:szCs w:val="20"/>
          <w:color w:val="auto"/>
        </w:rPr>
      </w:pPr>
    </w:p>
    <w:p>
      <w:pPr>
        <w:ind w:right="220" w:firstLine="441"/>
        <w:spacing w:after="0" w:line="288" w:lineRule="auto"/>
        <w:rPr>
          <w:sz w:val="20"/>
          <w:szCs w:val="20"/>
          <w:color w:val="auto"/>
        </w:rPr>
      </w:pPr>
      <w:r>
        <w:rPr>
          <w:rFonts w:ascii="Arial" w:cs="Arial" w:eastAsia="Arial" w:hAnsi="Arial"/>
          <w:sz w:val="16"/>
          <w:szCs w:val="16"/>
          <w:color w:val="auto"/>
        </w:rPr>
        <w:t>On May 6, 2016, the Company entered into an amended and restated employment agreement with Dr. Traber. Under his restated employment agreement, if his employment is terminated (i) by the Company without Cause (as defined in the Employment Agreement), or (ii) by Dr. Traber for Good Reason (as defined in the Employment Agreement), subject to his execution of a release of claims against the Company, Dr. Traber will receive</w:t>
      </w:r>
    </w:p>
    <w:p>
      <w:pPr>
        <w:ind w:right="80" w:firstLine="4"/>
        <w:spacing w:after="0" w:line="255" w:lineRule="auto"/>
        <w:tabs>
          <w:tab w:leader="none" w:pos="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severance benefits equal to one year of his then current base salary (paid over time, but subject to Dr. Traber’s ability to request a lump-sum payment if such election does not otherwise violate Section 409A of the Internal Revenue Code of 1986, as amend (the “Code”)), (B) any bonus for the year prior to termination to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39" w:name="page40"/>
    <w:bookmarkEnd w:id="3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w:t>
      </w:r>
    </w:p>
    <w:p>
      <w:pPr>
        <w:spacing w:after="0" w:line="187"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restated employment agreement provides that during its term Dr. Traber will not engage in any business competitive with the Company, whether as employee, consultant, agent, principal, officer, director, shareholder or otherwise. Following employment, the restated employment agreement provides that Dr. Traber will not (i) accept business from the Company’s customers or accounts relating to “competing products” or services of the Company for a period of 12 months, or (ii) render services to any “competing organization” (as such quoted terms are defined in the Employment Agreement) for a period of six months. The restated employment agreement also contains provisions binding Dr. Traber with respect to (A) protection of the Company’s confidential information; (B) requirements to disclose and assign inventions or other intellectual property to the Company;</w:t>
      </w:r>
    </w:p>
    <w:p>
      <w:pPr>
        <w:spacing w:after="0" w:line="5" w:lineRule="exact"/>
        <w:rPr>
          <w:sz w:val="20"/>
          <w:szCs w:val="20"/>
          <w:color w:val="auto"/>
        </w:rPr>
      </w:pPr>
    </w:p>
    <w:p>
      <w:pPr>
        <w:ind w:right="500" w:firstLine="4"/>
        <w:spacing w:after="0" w:line="261" w:lineRule="auto"/>
        <w:tabs>
          <w:tab w:leader="none" w:pos="2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non-solicitation of the Company’s executives, or persons with whom the Company has a business relationship such as investors, suppliers and customers; and (D) advance review and approval of all writings he proposes to publish.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 PhD</w:t>
      </w:r>
    </w:p>
    <w:p>
      <w:pPr>
        <w:spacing w:after="0" w:line="11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Dr. Shlevin’s employment agreement provides that he shall receive severance equal to nine months of his then base salary paid in a lump sum, medical coverage for the remaining portion of the term of his agreement and a lump sum payment of a portion of the performance bonus for the then-current year based on the number of days elapsed in the year if his employment is terminated (i) by the Company “without cause,” (ii) by Dr. Shlevin for “good reason,” or (iii) following a “change of control” (as defined in his agreement). If his employment is terminated “for cause”, subject to “cure rights” in certain instances, he is not entitled to severance. If the agreement is terminated within 12 months after a change of control by the Company “without cause,” or by Dr. Shlevin for “good reason,” Dr. Shlevin is entitled to receive severance equal to 24 months’ salary paid in a lump sum, medical coverage for the remaining portion of the term of his agreement and immediate vesting of all unvested options.</w:t>
      </w:r>
    </w:p>
    <w:p>
      <w:pPr>
        <w:spacing w:after="0" w:line="178"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The agreement provides that during its term Dr. Shlevin shall not engage in any business competitive with the Company. Following termination of employment, Dr. Shlevin shall not, for 18 months (i) solicit customers or employees of the Company or (ii) render services to any “competing business” (as defined in the agreement). The agreement also contains provisions binding on Dr. Shlevin with respect to protection of our confidential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w:t>
      </w:r>
    </w:p>
    <w:p>
      <w:pPr>
        <w:spacing w:after="0" w:line="117"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Mr. Callicutt’s employment agreement, as amended, provides that, if his employment is terminated by the Company “without cause,” or by 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9 months’ base salary if such termination occurs after 18 months after the Commencement Date, plus, in each case, a portion of the performance bonus for the then-current year based on the number of days elapsed in the year. If his employment is terminated “for cause”, subject to “cure rights” in certain instances, he is not entitled to severance. If the agreement is terminated within 12 months after a change of control by the Company “without cause,” or by Mr. Callicutt for “good reason,” Mr. Callicutt shall receive severance equal to 12 months’ base salary, a portion of the performance bonus for the then-current year based on the number of days elapsed in the year and immediate vesting of all unvested options.</w:t>
      </w:r>
    </w:p>
    <w:p>
      <w:pPr>
        <w:spacing w:after="0" w:line="19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agreement provides that during its term Mr. Callicutt shall not engage in any business competitive with the Company. Following termination of employment, Mr. Callicutt shall not, for 18 months (i) solicit customers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employees of the Company or (ii) render services to any “competing business” (as defined in the agreement). The agreement also contains provisions binding on Mr. Callicutt with respect to protection of our confidential information.</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following table sets forth the potential benefits payable to our NEOs pursuant to the arrangements described above, assuming termination of employment or a change of control had occurred on December 31,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Benefit/Plan/Program</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Peter G.</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w w:val="99"/>
              </w:rPr>
              <w:t>Harold H.</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Jack W.</w:t>
            </w:r>
          </w:p>
        </w:tc>
        <w:tc>
          <w:tcPr>
            <w:tcW w:w="0" w:type="dxa"/>
            <w:vAlign w:val="bottom"/>
          </w:tcPr>
          <w:p>
            <w:pPr>
              <w:spacing w:after="0"/>
              <w:rPr>
                <w:sz w:val="1"/>
                <w:szCs w:val="1"/>
                <w:color w:val="auto"/>
              </w:rPr>
            </w:pPr>
          </w:p>
        </w:tc>
      </w:tr>
      <w:tr>
        <w:trPr>
          <w:trHeight w:val="171"/>
        </w:trPr>
        <w:tc>
          <w:tcPr>
            <w:tcW w:w="6460" w:type="dxa"/>
            <w:vAlign w:val="bottom"/>
            <w:gridSpan w:val="3"/>
            <w:vMerge w:val="continue"/>
          </w:tcPr>
          <w:p>
            <w:pPr>
              <w:spacing w:after="0"/>
              <w:rPr>
                <w:sz w:val="14"/>
                <w:szCs w:val="14"/>
                <w:color w:val="auto"/>
              </w:rPr>
            </w:pPr>
          </w:p>
        </w:tc>
        <w:tc>
          <w:tcPr>
            <w:tcW w:w="1980" w:type="dxa"/>
            <w:vAlign w:val="bottom"/>
            <w:gridSpan w:val="3"/>
          </w:tcPr>
          <w:p>
            <w:pPr>
              <w:ind w:left="1160"/>
              <w:spacing w:after="0"/>
              <w:rPr>
                <w:sz w:val="20"/>
                <w:szCs w:val="20"/>
                <w:color w:val="auto"/>
              </w:rPr>
            </w:pPr>
            <w:r>
              <w:rPr>
                <w:rFonts w:ascii="Arial" w:cs="Arial" w:eastAsia="Arial" w:hAnsi="Arial"/>
                <w:sz w:val="14"/>
                <w:szCs w:val="14"/>
                <w:b w:val="1"/>
                <w:bCs w:val="1"/>
                <w:color w:val="auto"/>
                <w:w w:val="98"/>
              </w:rPr>
              <w:t>Traber, M.D.</w:t>
            </w:r>
          </w:p>
        </w:tc>
        <w:tc>
          <w:tcPr>
            <w:tcW w:w="1360" w:type="dxa"/>
            <w:vAlign w:val="bottom"/>
            <w:gridSpan w:val="3"/>
          </w:tcPr>
          <w:p>
            <w:pPr>
              <w:ind w:left="480"/>
              <w:spacing w:after="0"/>
              <w:rPr>
                <w:sz w:val="20"/>
                <w:szCs w:val="20"/>
                <w:color w:val="auto"/>
              </w:rPr>
            </w:pPr>
            <w:r>
              <w:rPr>
                <w:rFonts w:ascii="Arial" w:cs="Arial" w:eastAsia="Arial" w:hAnsi="Arial"/>
                <w:sz w:val="14"/>
                <w:szCs w:val="14"/>
                <w:b w:val="1"/>
                <w:bCs w:val="1"/>
                <w:color w:val="auto"/>
                <w:w w:val="92"/>
              </w:rPr>
              <w:t>Shlevin, Ph.D.</w:t>
            </w:r>
          </w:p>
        </w:tc>
        <w:tc>
          <w:tcPr>
            <w:tcW w:w="48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Callicutt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(1)</w:t>
            </w:r>
          </w:p>
        </w:tc>
        <w:tc>
          <w:tcPr>
            <w:tcW w:w="5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Employment Agreement Change of Control Severance (2)</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811,992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351,163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351,163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 Termination Severance (3)</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811,992</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351,163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Total value upon a change of control (4)</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883,481</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371,432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371,432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value upon termination of employment due to death or disability (5)</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180" w:hanging="436"/>
        <w:spacing w:after="0" w:line="256"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represent the potential value of unvested stock options held by the NEOs under the 2009 Incentive Compensation Plan that would have vested upon a change of control or upon termination of employment by reason of death or disability on December 31, 2017, based on a price of $3.34 per share, the closing price of our common stock on December 31, 2017.</w:t>
      </w:r>
    </w:p>
    <w:p>
      <w:pPr>
        <w:ind w:left="440" w:right="620" w:hanging="436"/>
        <w:spacing w:after="0" w:line="250"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change of control on December 31, 2017.</w:t>
      </w:r>
    </w:p>
    <w:p>
      <w:pPr>
        <w:ind w:left="440" w:right="140" w:hanging="436"/>
        <w:spacing w:after="0" w:line="250"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termination of employment by the Company without “cause” or by the executive for “good reason”.</w:t>
      </w:r>
    </w:p>
    <w:p>
      <w:pPr>
        <w:ind w:left="440" w:right="200" w:hanging="436"/>
        <w:spacing w:after="0" w:line="250"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sum of (1) the value of accelerated vesting of options; (2) the value of shares of common stock received upon partial vesting of unvested performance shares; and (3) severance and bonus payments that would have been payable to each participant upon a change of control, in each case as of December 31, 2017.</w:t>
      </w:r>
    </w:p>
    <w:p>
      <w:pPr>
        <w:spacing w:after="0" w:line="1" w:lineRule="exact"/>
        <w:rPr>
          <w:rFonts w:ascii="Arial" w:cs="Arial" w:eastAsia="Arial" w:hAnsi="Arial"/>
          <w:sz w:val="18"/>
          <w:szCs w:val="18"/>
          <w:color w:val="auto"/>
        </w:rPr>
      </w:pPr>
    </w:p>
    <w:p>
      <w:pPr>
        <w:ind w:left="440" w:right="180" w:hanging="436"/>
        <w:spacing w:after="0" w:line="261"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amounts payable under the executive’s employment agreement as a result of termination of employment due to death or disability as of December 31, 2017.</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40"/>
          </w:cols>
          <w:pgMar w:left="440" w:top="274" w:right="41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1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2018. We expect that a representative from Cherry Bekaert LLP will be present at the 2018 Annual Meeting, and accordingly, the representative will be given the opportunity to make a statement and respond to any questions.</w:t>
      </w:r>
    </w:p>
    <w:p>
      <w:pPr>
        <w:spacing w:after="0" w:line="181" w:lineRule="exact"/>
        <w:rPr>
          <w:sz w:val="20"/>
          <w:szCs w:val="20"/>
          <w:color w:val="auto"/>
        </w:rPr>
      </w:pPr>
    </w:p>
    <w:p>
      <w:pPr>
        <w:ind w:right="720" w:firstLine="441"/>
        <w:spacing w:after="0" w:line="264"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2018.</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FEES PAID TO CHERRY BEKAERT LLP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4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110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3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$ 123,000</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3,550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740" w:type="dxa"/>
            <w:vAlign w:val="bottom"/>
          </w:tcPr>
          <w:p>
            <w:pPr>
              <w:spacing w:after="0"/>
              <w:rPr>
                <w:sz w:val="19"/>
                <w:szCs w:val="19"/>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Fees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$ 141,630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3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ind w:left="440" w:right="100" w:hanging="436"/>
        <w:spacing w:after="0" w:line="256"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for professional services for the audit of our annual financial statements dated December 31, 2017 and 2016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our Annual Reports on Form 10-K for fiscal years then ended, and review of financial statements included in our Quarterly Reports on Form 10-Q for each fiscal quarter during the 2017 and 2016 fiscal years.</w:t>
      </w:r>
    </w:p>
    <w:p>
      <w:pPr>
        <w:ind w:left="440" w:right="80" w:hanging="436"/>
        <w:spacing w:after="0" w:line="254"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These are fees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90"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right="280" w:firstLine="441"/>
        <w:spacing w:after="0" w:line="255" w:lineRule="auto"/>
        <w:rPr>
          <w:sz w:val="20"/>
          <w:szCs w:val="20"/>
          <w:color w:val="auto"/>
        </w:rPr>
      </w:pPr>
      <w:r>
        <w:rPr>
          <w:rFonts w:ascii="Arial" w:cs="Arial" w:eastAsia="Arial" w:hAnsi="Arial"/>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93"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8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440" w:top="270" w:right="41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ADOPT AND APPROVE AN AMENDMENT TO OUR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ARTICLES OF INCORPORATION INCREASING THE NUMBER OF COMMON VOTING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FROM 50,000,000 TO 100,000,000</w:t>
      </w:r>
    </w:p>
    <w:p>
      <w:pPr>
        <w:spacing w:after="0" w:line="21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Our Board has adopted and has recommended that our stockholders adopt and approve, an amendment to our restated articles of incorporation filed with the Nevada Secretary of State on May 29, 2012, as amended (the “Restated Articles of Incorporation), providing for an increase in the number of our common voting shares, having a par value of $0.001 per share (“common stock”), from 50,000,000 to 100,000,000. A form of Certificate of Amendment reflecting this proposed amendment is included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to this proxy statement (“Certificate of Amendment”). If adopted and approved by the stockholders, the proposed amendment to our Restated Articles of Incorporation will become effective upon the filing of the Certificate of Amendment with the Secretary of State of the State of Nevada. If the amendment to increase our authorized shares of common stock is approved by stockholders at the 2018 Annual Meeting, we intend to file the Certificate of Amendment as soon as practicable following the 2018 Annual Meeting.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Proposed Amendment</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do not have any present plan, arrangement or understanding to designate and issue any of the shares of common stock that will become available as a result of this proposed amendment to our Restated Articles of Incorporation. Although, at present, our Board has no immediate plans to issue the additional shares of common stock, it desires to have the shares available to provide additional flexibility to use our common stock for business and financial purposes in the future. The additional 50,000,000 authorized shares of common stock would be available for issuance for various purposes, as our Board may deem advisable, such as for future financings, to satisfy the issuance of shares of common stock on the conversion or exercise of our options, warrants or other convertible securities, to provide equity incentive to employees, officers and directors, to make stock-based acquisitions and for other general corporate purposes.</w:t>
      </w:r>
    </w:p>
    <w:p>
      <w:pPr>
        <w:spacing w:after="0" w:line="18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newly authorized common stock would be available for issuance without further action by stockholders except as required by law, our Restated Articles of Incorporation or applicable stock exchange requirements. Any such issuance could have the effect of diluting existing stockholders. Our Restated Articles of Incorporation do not include any preemptive or other rights of stockholders to subscribe for any shares of common stock which may in the future be issued by the Company, which means that current stockholders do not have a prior right to purchase any new issue of common stock in order to maintain their proportionate ownership of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Additional Authorized Shares</w:t>
      </w:r>
    </w:p>
    <w:p>
      <w:pPr>
        <w:spacing w:after="0" w:line="121"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The additional common stock to be authorized by stockholder approval of this Proposal No. 3 would have rights identical to the currently outstanding shares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the Proposed Amendment</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In addition to the corporate purposes mentioned above, an increase in the number of authorized shares of our common stock may make it more difficult to, or discourage an attempt to, obtain control of the Company by means of a takeover bid that the Board determines is not in the best interest of the Company and its stockholders. The amendment to our Restated Articles of Incorporation to increase the number of authorized shares of common stock is not being proposed in response to any known effort or threat to acquire control of the Company and is not part of a plan by management to thwart such efforts.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Approval of the proposed amendment to our Restated Articles of Incorporation requires a majority of all votes entitled to be cast on the matter.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abstentions and broker non-votes will have the same effect as a vote “against”.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0" w:right="459" w:bottom="1440" w:gutter="0" w:footer="0" w:header="0"/>
        </w:sectPr>
      </w:pPr>
    </w:p>
    <w:bookmarkStart w:id="43" w:name="page44"/>
    <w:bookmarkEnd w:id="43"/>
    <w:p>
      <w:pPr>
        <w:ind w:firstLine="441"/>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BOARD OF DIRECTORS RECOMMENDS A VOTE “FOR” THE APPROVAL OF THE PROPOSAL TO ADOPT AND APPROVE AN AMENDMENT TO OUR RESTATED ARTICLES OF INCORPORATION INCREASING THE NUMBER OF COMMON VOTING SHARES FROM 50,000,000 TO 100,000,000.</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440" w:top="274" w:right="53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APPROVE AN AMENDMENT TO OUR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2009 INCENTIVE COMPENSATION PLAN TO RESERVE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 ADDITIONAL 1,000,000 SHARES FOR ISSUANCE UNDER THE PLAN</w:t>
      </w:r>
    </w:p>
    <w:p>
      <w:pPr>
        <w:spacing w:after="0" w:line="21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On October 9, 2017, upon recommendation of the Compensation Committee, the Board approved, subject to stockholder approval, an amendment to the Company’s Amended and Restated 2009 Incentive Compensation Plan (the “Plan”), to reserve an additional 1,000,000 shares for issuance under the Plan, which amendment was approved by our stockholders and became effective on December 14, 2017.</w:t>
      </w:r>
    </w:p>
    <w:p>
      <w:pPr>
        <w:spacing w:after="0" w:line="166"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 xml:space="preserve">On March 26, 2018, upon recommendation of the Compensation Committee, the Board approved, subject to stockholder approval, an additional amendment to the Plan, to reserve an additional 1,000,000 shares for issuance under the Plan. Otherwise, the Plan remains unchanged. The Plan, as proposed to be amended, is attached hereto as </w:t>
      </w:r>
      <w:r>
        <w:rPr>
          <w:rFonts w:ascii="Arial" w:cs="Arial" w:eastAsia="Arial" w:hAnsi="Arial"/>
          <w:sz w:val="17"/>
          <w:szCs w:val="17"/>
          <w:b w:val="1"/>
          <w:bCs w:val="1"/>
          <w:color w:val="auto"/>
        </w:rPr>
        <w:t>Appendix B</w:t>
      </w:r>
      <w:r>
        <w:rPr>
          <w:rFonts w:ascii="Arial" w:cs="Arial" w:eastAsia="Arial" w:hAnsi="Arial"/>
          <w:sz w:val="17"/>
          <w:szCs w:val="17"/>
          <w:color w:val="auto"/>
        </w:rPr>
        <w:t>, and we urge stockholders to review the Plan carefully.</w:t>
      </w:r>
    </w:p>
    <w:p>
      <w:pPr>
        <w:spacing w:after="0" w:line="166"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Under applicable NASDAQ rules, the Company is required to obtain stockholder approval of the proposed amendment to the Plan. Stockholder approval of the Plan is also required to comply with the incentive stock options rules under Section 422 of the Code. On March 26, 2018, the closing price of our common stock as reported by NASDAQ was $4.42.</w:t>
      </w:r>
    </w:p>
    <w:p>
      <w:pPr>
        <w:spacing w:after="0" w:line="181"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After giving effect to the increase approved in December 2017, we are currently authorized to issue up to 5,733,334 shares of common stock under the Plan, of which 4,134 remain available for issuance as of March 26, 2018. If approved by the Company’s stockholders, the amendment to the Plan would authorize an additional 1,000,000 for issuance under the Plan. The material terms of the Plan are as 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Purpose</w:t>
      </w:r>
    </w:p>
    <w:p>
      <w:pPr>
        <w:spacing w:after="0" w:line="12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On February 12, 2009, our Board of Directors adopted the 2009 Incentive Compensation Plan, and our stockholders subsequently approved the Plan at the Company’s 2009 annual meeting.</w:t>
      </w:r>
    </w:p>
    <w:p>
      <w:pPr>
        <w:spacing w:after="0" w:line="170"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The purpose of the Plan is to assist our company and its subsidiaries and other designated affiliates, which we refer to as “related entities”, in attracting, motivating, retaining and rewarding high-quality executives and other employees, officers, directors consultants and other persons who provide services to our company or its related entities, by enabling such persons to acquire or increase a proprietary interest in our company in order to strengthen the mutuality of interests between such persons and our stockholders, and providing such persons with annual and long-term performance incentives to expend their maximum efforts in the creation of stockholder value.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jc w:val="both"/>
        <w:ind w:right="400" w:firstLine="441"/>
        <w:spacing w:after="0" w:line="264" w:lineRule="auto"/>
        <w:rPr>
          <w:sz w:val="20"/>
          <w:szCs w:val="20"/>
          <w:color w:val="auto"/>
        </w:rPr>
      </w:pPr>
      <w:r>
        <w:rPr>
          <w:rFonts w:ascii="Arial" w:cs="Arial" w:eastAsia="Arial" w:hAnsi="Arial"/>
          <w:sz w:val="18"/>
          <w:szCs w:val="18"/>
          <w:color w:val="auto"/>
        </w:rPr>
        <w:t xml:space="preserve">The following is a summary of certain principal features of the Plan, as proposed to be amended. This summary is qualified in its entirety by reference to the complete text of the Plan, as amended. Stockholders are urged to read the actual text of the Plan, as proposed to be amended, in its entirety which is set forth as </w:t>
      </w:r>
      <w:r>
        <w:rPr>
          <w:rFonts w:ascii="Arial" w:cs="Arial" w:eastAsia="Arial" w:hAnsi="Arial"/>
          <w:sz w:val="18"/>
          <w:szCs w:val="18"/>
          <w:b w:val="1"/>
          <w:bCs w:val="1"/>
          <w:color w:val="auto"/>
        </w:rPr>
        <w:t>Appendix B</w:t>
      </w:r>
      <w:r>
        <w:rPr>
          <w:rFonts w:ascii="Arial" w:cs="Arial" w:eastAsia="Arial" w:hAnsi="Arial"/>
          <w:sz w:val="18"/>
          <w:szCs w:val="18"/>
          <w:color w:val="auto"/>
        </w:rPr>
        <w:t xml:space="preserve"> to this proxy statement.</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i w:val="1"/>
          <w:iCs w:val="1"/>
          <w:color w:val="auto"/>
        </w:rPr>
        <w:t xml:space="preserve">Shares Available for Awards; Annual Per-Person Limitations. </w:t>
      </w:r>
      <w:r>
        <w:rPr>
          <w:rFonts w:ascii="Arial" w:cs="Arial" w:eastAsia="Arial" w:hAnsi="Arial"/>
          <w:sz w:val="18"/>
          <w:szCs w:val="18"/>
          <w:color w:val="auto"/>
        </w:rPr>
        <w:t>Under the Plan, as amended, the total number of shares of common stock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reserved and available for delivery under the Plan (the “awards”) at any time during the term of the Plan shall be equal to 6,733,334 shares of common stock (increased from 5,733,334 under the current Plan). The number of shares in the Plan shall be increased by the number of shares of common stock with respect to which awards previously granted under the Plan that are forfeited, expire or otherwise terminate without issuance of shares, or that are settled for cash or otherwise do not result in the issuance of shares, and the number of shares that are tendered (either actually or by attestation) or withheld upon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0" w:right="499" w:bottom="1440" w:gutter="0" w:footer="0" w:header="0"/>
        </w:sectPr>
      </w:pPr>
    </w:p>
    <w:bookmarkStart w:id="45" w:name="page46"/>
    <w:bookmarkEnd w:id="45"/>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of an award to pay the exercise price or any tax withholding requirements. Awards issued in substitution for awards previously granted by a company acquired by our Company or a related entity, or with which our Company or any related entity combines, do not reduce the limit on grants of awards under the Plan.</w:t>
      </w:r>
    </w:p>
    <w:p>
      <w:pPr>
        <w:spacing w:after="0" w:line="181"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The Plan imposes individual limitations on the amount of certain awards in part to comply with Code Section 162(m). Under these limitations, during any 12-month period, no participant may be granted (i) stock options or stock appreciation rights with respect to more than 2,000,000 shares of common stock, or (ii) shares of restricted stock, shares of deferred stock, performance shares and other stock based-awards with respect to more than 2,000,000 shares of common stock, in each case, subject to adjustment in certain circumstances. The maximum amount that may be paid out as performance units with respect to any 12-month performance period is $1,000,000, and is $3,000,000 with respect to any performance period that is more than 12 months.</w:t>
      </w:r>
    </w:p>
    <w:p>
      <w:pPr>
        <w:spacing w:after="0" w:line="193"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Compensation Committee of our Board of Directors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The Compensation Committee is also authorized to adjust performance conditions and other terms of awards in response to these kinds of events or in response to changes in applicable laws, regulations or accounting principles.</w:t>
      </w:r>
    </w:p>
    <w:p>
      <w:pPr>
        <w:spacing w:after="0" w:line="17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persons eligible to receive awards under the Plan are the officers, directors, employees, consultants and other persons who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Company or any related entity. An employee on a leave of absence may still be considered an employee of our Company or a related entity for purposes of eligibility for participation in the Plan. As of October 16, 2017, the Company had seven employees (including officers) and ten members of the Board eligible to receive awards under the Plan.</w:t>
      </w:r>
    </w:p>
    <w:p>
      <w:pPr>
        <w:spacing w:after="0" w:line="18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is to be administered by the Compensation Committee, provided, however, that except as otherwise expressly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Plan, our Board of Directors may exercise any power or authority granted to the Compensation Committee under the Plan. Subject to the terms of the Plan, the Compensation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correct defects, supply omissions or reconcile inconsistencies therein, and make all other decisions and determinations as the Compensation Committee may deem necessary or advisable for the administration of the Plan.</w:t>
      </w:r>
    </w:p>
    <w:p>
      <w:pPr>
        <w:spacing w:after="0" w:line="189"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Compensation Committee is authorized to grant stock options, including both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Compensation Committee, but must not be less than the fair market value of a share of common stock on the date of grant. For purposes of the Plan, the term “fair market value” means the fair market value of common stock, awards or other property as determined by the Compensation Committee or under procedures established by the Compensation Committee. Unless otherwise determined by the Compensation Committee, the fair market value of common stock as of any given date shall be the closing sales price per share of common stock as reported on the principal stock exchange or market on which common stock is traded on the date as of which such value is being determined or, if there is no sale on that date, then on the last previous day on which a sale was reported. The maximum term of each option or stock appreciation right, the times at which each option or stock appreciation right will be exercisable, and provisions requiring forfeiture of unexercised options or stock appreciation rights at or following termination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46" w:name="page47"/>
    <w:bookmarkEnd w:id="46"/>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generally are fixed by the Compensation Committee, except that no option or stock appreciation right may have a term exceeding ten years. Methods of exercise and settlement and other terms of the stock appreciation right are determined by the Compensation Committee. The Compensation Committee, thus, may permit the exercise price of options awarded under the Plan to be paid in cash, shares, other awards or other property (including loans to participants). Options may be exercised by payment of the exercise price in cash, shares of common stock, outstanding awards or other property having a fair market value equal to the exercise price, as the Compensation Committee may determine from time to time.</w:t>
      </w:r>
    </w:p>
    <w:p>
      <w:pPr>
        <w:spacing w:after="0" w:line="158"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i w:val="1"/>
          <w:iCs w:val="1"/>
          <w:color w:val="auto"/>
        </w:rPr>
        <w:t xml:space="preserve">Restricted and Deferred Stock. </w:t>
      </w:r>
      <w:r>
        <w:rPr>
          <w:rFonts w:ascii="Arial" w:cs="Arial" w:eastAsia="Arial" w:hAnsi="Arial"/>
          <w:sz w:val="18"/>
          <w:szCs w:val="18"/>
          <w:color w:val="auto"/>
        </w:rPr>
        <w:t>The Compensation Committee is authorized to grant restricted stock and deferred stock. Restricted stock is a grant</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which may not be sold or disposed of, and which shall be subject to such risks of forfeiture and other restrictions as the Compensation Committee may impose. A participant granted restricted stock generally has all of the rights of a stockholder of our Company, unless otherwise determined by the Compensation Committee. An award of deferred stock confers upon a participant the right to receive shares of common stock at the end of a specified deferral period, subject to such risks of forfeiture and other restrictions as the Compensation Committee may impose. Prior to settlement, an award of deferred stock carries no voting or dividend rights or other rights associated with share ownership, although dividend equivalents may be granted, as discussed below.</w:t>
      </w:r>
    </w:p>
    <w:p>
      <w:pPr>
        <w:spacing w:after="0" w:line="189"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The Compensation Committee is authorized to grant dividend equivalents conferring on participants the right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Compensation Committee.</w:t>
      </w:r>
    </w:p>
    <w:p>
      <w:pPr>
        <w:spacing w:after="0" w:line="188"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i w:val="1"/>
          <w:iCs w:val="1"/>
          <w:color w:val="auto"/>
        </w:rPr>
        <w:t xml:space="preserve">Bonus Stock and Awards in Lieu of Cash Obligations. </w:t>
      </w:r>
      <w:r>
        <w:rPr>
          <w:rFonts w:ascii="Arial" w:cs="Arial" w:eastAsia="Arial" w:hAnsi="Arial"/>
          <w:sz w:val="18"/>
          <w:szCs w:val="18"/>
          <w:color w:val="auto"/>
        </w:rPr>
        <w:t>The Compensation Committee is authorized to grant shares of common stock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as a bonus or to grant shares of common stock or other awards in lieu of Company obligations to pay cash under the Plan or other plans or compensatory arrangements, subject to such terms as the Compensation Committee may specify.</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or our Board of Directors is authorized to grant awards that are denominated or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in, valued by reference to, or otherwise based on or related to shares of common stock. The Compensation Committee determines the terms and conditions of such awards.</w:t>
      </w:r>
    </w:p>
    <w:p>
      <w:pPr>
        <w:spacing w:after="0" w:line="181"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Compensation Committee is authorized to grant performance awards to participants on terms and conditions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Compensation Committee. The performance criteria to be achieved during any performance period and the length of the performance period is determined by the Compensation Committee upon the grant of the performance award; provided, however, that a performance period cannot be shorter than 12 months or longer than 5 years. Performance awards may be valued by reference to a designated number of shares (in which case they are referred to as performance shares) or by reference to a designated amount of property including cash (in which case they are referred to as performance units). Performance awards may be settled by delivery of cash, shares or other property, or any combination thereof, as determined by the Compensation Committee. Performance awards granted to persons whom the Compensation Committee expects will, for the year in which a deduction arises, be “covered employees” (as defined below), and will, if and to the extent intended by the Compensation Committee, be subject to provisions that should qualify such awards as “performance-based compensation” not subject to the limitation on tax deductibility by our Company under Code</w:t>
      </w:r>
    </w:p>
    <w:p>
      <w:pPr>
        <w:spacing w:after="0" w:line="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Section 162(m). For purposes of Section 162(m), the term “covered employee” means our Company’s chief executive officer and each other person whose compensation is required to be disclosed in our Company’s filings with the SEC by reason of that person being among the five highest compensated officers of our Company as of the end of a taxable year. If and to the extent required under Section 162(m) of the Code, any power or authority relating to a performance award intended to qualify under Section 162(m) of the Code is to be exercised by the Compensation Committee and not our Board of Directors.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47" w:name="page48"/>
    <w:bookmarkEnd w:id="47"/>
    <w:p>
      <w:pPr>
        <w:ind w:right="80"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and to the extent that the Compensation Committee determines that these provisions of the Plan are to be applicable to any performance award, one or more of the following business criteria for our Company, on a consolidated basis, and/or for related entities, or for business or geographical units of our Company and/or a related entity (except with respect to the total stockholder return and earnings per share criteria), shall be used by the Compensation Committee in establishing performance goals for performance awards under the Plan: (1) earnings per share; (2) revenues or margins;</w:t>
      </w:r>
    </w:p>
    <w:p>
      <w:pPr>
        <w:spacing w:after="0" w:line="2" w:lineRule="exact"/>
        <w:rPr>
          <w:sz w:val="20"/>
          <w:szCs w:val="20"/>
          <w:color w:val="auto"/>
        </w:rPr>
      </w:pPr>
    </w:p>
    <w:p>
      <w:pPr>
        <w:ind w:firstLine="4"/>
        <w:spacing w:after="0" w:line="281" w:lineRule="auto"/>
        <w:tabs>
          <w:tab w:leader="none" w:pos="2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flow; (4) operating margin; (5) return on assets, net assets, investment, capital, operating revenue or equity; (6) economic value added; (7) direct contribution; (8) income; net income; pretax earnings; earnings before interest and taxes; earnings before interest, taxes, depreciation and amortization; earnings after interest expense and before extraordinary or special items; operating income; net operating income; income before interest income or expense, unusual items and income taxes, local, state or federal and excluding budgeted and actual bonuses which might be paid under any ongoing bonus plans of our Company; (9) working capital or working capital management, including inventory turnover and days sales outstanding;</w:t>
      </w:r>
    </w:p>
    <w:p>
      <w:pPr>
        <w:spacing w:after="0" w:line="3" w:lineRule="exact"/>
        <w:rPr>
          <w:rFonts w:ascii="Arial" w:cs="Arial" w:eastAsia="Arial" w:hAnsi="Arial"/>
          <w:sz w:val="16"/>
          <w:szCs w:val="16"/>
          <w:color w:val="auto"/>
        </w:rPr>
      </w:pPr>
    </w:p>
    <w:p>
      <w:pPr>
        <w:ind w:right="60" w:firstLine="4"/>
        <w:spacing w:after="0" w:line="281" w:lineRule="auto"/>
        <w:tabs>
          <w:tab w:leader="none" w:pos="3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management of fixed costs or variable costs; (11) identification or consummation of investment opportunities or completion of specified projects in accordance with corporate business plans, including strategic mergers, acquisitions or divestitures; (12) total stockholder return; (13) debt reduction;</w:t>
      </w:r>
    </w:p>
    <w:p>
      <w:pPr>
        <w:spacing w:after="0" w:line="1" w:lineRule="exact"/>
        <w:rPr>
          <w:rFonts w:ascii="Arial" w:cs="Arial" w:eastAsia="Arial" w:hAnsi="Arial"/>
          <w:sz w:val="16"/>
          <w:szCs w:val="16"/>
          <w:color w:val="auto"/>
        </w:rPr>
      </w:pPr>
    </w:p>
    <w:p>
      <w:pPr>
        <w:ind w:firstLine="4"/>
        <w:spacing w:after="0" w:line="281" w:lineRule="auto"/>
        <w:tabs>
          <w:tab w:leader="none" w:pos="3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market share; (15) entry into new markets, either geographically or by business unit; (16) customer retention and satisfaction; (17) strategic plan development and implementation, including turnaround plans; and (18) stock price. Any of the above goals may be determined on an absolute or relative basis (e.g. growth in earnings per share) or as compared to the performance of a published or special index deemed applicable by the Compensation Committee including, but not limited to, the Standard &amp; Poor’s 500 Stock Index or a group of companies that are comparable to our Company. The Compensation Committee may exclude the impact of an event or occurrence which the Compensation Committee determines should appropriately be excluded, including without limitation (i) restructurings, discontinued operations, extraordinary items, and other unusual or non-recurring charges,</w:t>
      </w:r>
    </w:p>
    <w:p>
      <w:pPr>
        <w:spacing w:after="0" w:line="4" w:lineRule="exact"/>
        <w:rPr>
          <w:rFonts w:ascii="Arial" w:cs="Arial" w:eastAsia="Arial" w:hAnsi="Arial"/>
          <w:sz w:val="16"/>
          <w:szCs w:val="16"/>
          <w:color w:val="auto"/>
        </w:rPr>
      </w:pP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(ii) an event either not directly related to the operations of our Company or not within the reasonable control of our Company’s management, or (iii) a change in accounting standards required by generally accepted accounting principles.</w:t>
      </w:r>
    </w:p>
    <w:p>
      <w:pPr>
        <w:spacing w:after="0" w:line="184"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Compensation Committee may, in its discretion, determine that the amount payable as a performance award will be reduced from the amount of any potential award.</w:t>
      </w:r>
    </w:p>
    <w:p>
      <w:pPr>
        <w:spacing w:after="0" w:line="170"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i w:val="1"/>
          <w:iCs w:val="1"/>
          <w:color w:val="auto"/>
        </w:rPr>
        <w:t xml:space="preserve">Other Terms of Awards. </w:t>
      </w:r>
      <w:r>
        <w:rPr>
          <w:rFonts w:ascii="Arial" w:cs="Arial" w:eastAsia="Arial" w:hAnsi="Arial"/>
          <w:sz w:val="16"/>
          <w:szCs w:val="16"/>
          <w:color w:val="auto"/>
        </w:rPr>
        <w:t>Awards may be settled in the form of cash, shares of common stock, other awards or other property, in the discretion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The Compensation Committee may require or permit participants to defer the settlement of all or part of an award in accordance with such terms and conditions as the Compensation Committee may establish, including payment or crediting of interest or dividend equivalents on deferred amounts, and the crediting of earnings, gains and losses based on deemed investment of deferred amounts in specified investment vehicles. The Compensation Committee is authorized to place cash, shares of common stock or other property in trusts or make other arrangements to provide for payment of our Company’s obligations under the Plan. The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Plan generally may not be pledged or otherwise encumbered and are not transferable except by will or by the laws of descent and distribution, or to a designated beneficiary upon the participant’s death, except that the Compensation Committee may, in its discretion, permit transfers for estate planning or other purposes subject to any applicable restrictions under Rule 16b-3.</w:t>
      </w:r>
    </w:p>
    <w:p>
      <w:pPr>
        <w:spacing w:after="0" w:line="173"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Awards under the Plan are generally granted without a requirement that the participant pay consideration in the form of cash or property for the grant (as distinguished from the exercise), except to the extent required by law. The Compensation Committee may, however, grant awards in exchange for other awards under the Plan, awards under other Company plans, or other rights to payment from our Company, and may grant awards in addition to and in tandem with such other awards, rights or other awards.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48" w:name="page49"/>
    <w:bookmarkEnd w:id="48"/>
    <w:p>
      <w:pPr>
        <w:ind w:right="120" w:firstLine="441"/>
        <w:spacing w:after="0" w:line="272"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Acceleration of Vesting; Change in Control. </w:t>
      </w:r>
      <w:r>
        <w:rPr>
          <w:rFonts w:ascii="Arial" w:cs="Arial" w:eastAsia="Arial" w:hAnsi="Arial"/>
          <w:sz w:val="17"/>
          <w:szCs w:val="17"/>
          <w:color w:val="auto"/>
        </w:rPr>
        <w:t>The Compensation Committee may, in its discretion, accelerate the exercisability, the lapsing of</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or the expiration of deferral or vesting periods of any award, and such accelerated exercisability, lapse, expiration and, vesting shall occur automatically in the case of a “change in control” of our Company (including the cash settlement of stock appreciation rights which may be exercisable in the event of a change in control), if so provided in the award agreement or otherwise determined by the Compensation Committee,. In addition, the Compensation Committee may provide in an award agreement that the performance goals relating to any performance award will be deemed to have been met upon the occurrence of any “change in control.” For purposes of the Plan, unless otherwise specified in an award agreement, a change in control means the occurrence of any of the following:</w:t>
      </w:r>
    </w:p>
    <w:p>
      <w:pPr>
        <w:spacing w:after="0" w:line="70" w:lineRule="exact"/>
        <w:rPr>
          <w:sz w:val="20"/>
          <w:szCs w:val="20"/>
          <w:color w:val="auto"/>
        </w:rPr>
      </w:pPr>
    </w:p>
    <w:p>
      <w:pPr>
        <w:ind w:left="440" w:right="40" w:firstLine="4"/>
        <w:spacing w:after="0" w:line="284"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acquisition by any person (as that term is used in the Exchange Act) of Beneficial Ownership (within the meaning of Rule 13d-3 promulgated under the Exchange Act) of more than 50% of either (A) the then outstanding shares of common stock of our Company (the “Outstanding Company Common Stock”) or (B) the combined voting power of our then outstanding voting securities entitled to vote generally in the election of directors (the “Outstanding Company Voting Securities”) (the foregoing Beneficial Ownership hereinafter being referred to as a “Controlling Interest”); provided, however, that the following acquisitions shall not constitute or result in a Change of Control: (v) any acquisition directly from our Company; (w) any acquisition by our Company; (x) any acquisition by any person that as of the effective date owns Beneficial Ownership of a Controlling Interest; (y) any acquisition by any employee benefit plan (or related trust) sponsored or maintained by our Company or any subsidiary; or (z) any acquisition by any corporation pursuant to a transaction which complies with clauses (A), (B) and (C) of subsection</w:t>
      </w:r>
    </w:p>
    <w:p>
      <w:pPr>
        <w:spacing w:after="0" w:line="1" w:lineRule="exact"/>
        <w:rPr>
          <w:rFonts w:ascii="Arial" w:cs="Arial" w:eastAsia="Arial" w:hAnsi="Arial"/>
          <w:sz w:val="16"/>
          <w:szCs w:val="16"/>
          <w:color w:val="auto"/>
        </w:rPr>
      </w:pPr>
    </w:p>
    <w:p>
      <w:pPr>
        <w:ind w:left="760" w:hanging="31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below; or</w:t>
      </w:r>
    </w:p>
    <w:p>
      <w:pPr>
        <w:spacing w:after="0" w:line="102" w:lineRule="exact"/>
        <w:rPr>
          <w:rFonts w:ascii="Arial" w:cs="Arial" w:eastAsia="Arial" w:hAnsi="Arial"/>
          <w:sz w:val="18"/>
          <w:szCs w:val="18"/>
          <w:color w:val="auto"/>
        </w:rPr>
      </w:pPr>
    </w:p>
    <w:p>
      <w:pPr>
        <w:ind w:left="440" w:firstLine="4"/>
        <w:spacing w:after="0" w:line="272" w:lineRule="auto"/>
        <w:tabs>
          <w:tab w:leader="none" w:pos="705" w:val="left"/>
        </w:tabs>
        <w:numPr>
          <w:ilvl w:val="0"/>
          <w:numId w:val="42"/>
        </w:numPr>
        <w:rPr>
          <w:rFonts w:ascii="Arial" w:cs="Arial" w:eastAsia="Arial" w:hAnsi="Arial"/>
          <w:sz w:val="17"/>
          <w:szCs w:val="17"/>
          <w:color w:val="auto"/>
        </w:rPr>
      </w:pPr>
      <w:r>
        <w:rPr>
          <w:rFonts w:ascii="Arial" w:cs="Arial" w:eastAsia="Arial" w:hAnsi="Arial"/>
          <w:sz w:val="17"/>
          <w:szCs w:val="17"/>
          <w:color w:val="auto"/>
        </w:rPr>
        <w:t>During any period of three (3) consecutive years (not including any period prior to the effective date of the Plan) individuals who constitute our board on the effective date (the “Incumbent Board”) cease for any reason to constitute at least a majority of our board; provided, however, that any individual becoming a director subsequent to the effective date whose election, or nomination for election by our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our board; or</w:t>
      </w:r>
    </w:p>
    <w:p>
      <w:pPr>
        <w:spacing w:after="0" w:line="69" w:lineRule="exact"/>
        <w:rPr>
          <w:rFonts w:ascii="Arial" w:cs="Arial" w:eastAsia="Arial" w:hAnsi="Arial"/>
          <w:sz w:val="17"/>
          <w:szCs w:val="17"/>
          <w:color w:val="auto"/>
        </w:rPr>
      </w:pPr>
    </w:p>
    <w:p>
      <w:pPr>
        <w:ind w:left="440" w:right="20" w:firstLine="4"/>
        <w:spacing w:after="0" w:line="283" w:lineRule="auto"/>
        <w:tabs>
          <w:tab w:leader="none" w:pos="7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our Company or any of its subsidiaries, a sale or other disposition of all or substantially all of the assets of our Company, or the acquisition of assets or stock of another entity by our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our Company or all or substantially all of our Company’s assets either directly or through one or more subsidiaries) in substantially the same proportions as their ownership, immediately prior to such Business Combination of the Outstanding Company common stock and Outstanding Company Voting Securities, as the case may be,</w:t>
      </w:r>
    </w:p>
    <w:p>
      <w:pPr>
        <w:spacing w:after="0" w:line="5" w:lineRule="exact"/>
        <w:rPr>
          <w:rFonts w:ascii="Arial" w:cs="Arial" w:eastAsia="Arial" w:hAnsi="Arial"/>
          <w:sz w:val="16"/>
          <w:szCs w:val="16"/>
          <w:color w:val="auto"/>
        </w:rPr>
      </w:pPr>
    </w:p>
    <w:p>
      <w:pPr>
        <w:ind w:left="440" w:right="120"/>
        <w:spacing w:after="0" w:line="252" w:lineRule="auto"/>
        <w:rPr>
          <w:rFonts w:ascii="Arial" w:cs="Arial" w:eastAsia="Arial" w:hAnsi="Arial"/>
          <w:sz w:val="16"/>
          <w:szCs w:val="16"/>
          <w:color w:val="auto"/>
        </w:rPr>
      </w:pPr>
      <w:r>
        <w:rPr>
          <w:rFonts w:ascii="Arial" w:cs="Arial" w:eastAsia="Arial" w:hAnsi="Arial"/>
          <w:sz w:val="18"/>
          <w:szCs w:val="18"/>
          <w:color w:val="auto"/>
        </w:rPr>
        <w:t>(B) no person (excluding any employee benefit plan (or related trust) of our Company or such corporation resulting from such Business Combination or any person that as of the effective date owns Beneficial Ownership of a Controlling Interest) beneficially owns, directly or indirectly,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Approval by our stockholders of a complete liquidation or dissolution of our Company.</w:t>
      </w:r>
    </w:p>
    <w:p>
      <w:pPr>
        <w:spacing w:after="0" w:line="225"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may amend, alter, suspend, discontinue or terminate the Plan or the Compensation Committee’s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to grant awards without further stockholder approval, except that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Plan which might increase the cost of the Plan or alter the eligibility of persons to receive awards. Stockholder approval will not be deemed to be required under laws or regulations, such as those relating to ISOs, that condition favorable treatment of participants on such approval, although our Board may, in its discretion, seek stockholder approval in any circumstance in which it deems such approval advisable. Unless earlier terminated by our board, the Plan will terminate at the earliest of</w:t>
      </w:r>
    </w:p>
    <w:p>
      <w:pPr>
        <w:spacing w:after="0" w:line="3" w:lineRule="exact"/>
        <w:rPr>
          <w:sz w:val="20"/>
          <w:szCs w:val="20"/>
          <w:color w:val="auto"/>
        </w:rPr>
      </w:pPr>
    </w:p>
    <w:p>
      <w:pPr>
        <w:ind w:right="340" w:firstLine="4"/>
        <w:spacing w:after="0" w:line="255"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time as no shares of common stock remain available for issuance under the Plan, (b) termination of the Plan by our board, or (c) the tenth anniversary of the effective date of the Plan. Awards outstanding upon expiration of the Plan shall remain in effect until they have been exercised or terminated, or have expired.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Awards</w:t>
      </w:r>
    </w:p>
    <w:p>
      <w:pPr>
        <w:spacing w:after="0" w:line="12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i w:val="1"/>
          <w:iCs w:val="1"/>
          <w:color w:val="auto"/>
        </w:rPr>
        <w:t xml:space="preserve">IRS Circular 230 Notice </w:t>
      </w:r>
      <w:r>
        <w:rPr>
          <w:rFonts w:ascii="Arial" w:cs="Arial" w:eastAsia="Arial" w:hAnsi="Arial"/>
          <w:sz w:val="18"/>
          <w:szCs w:val="18"/>
          <w:color w:val="auto"/>
        </w:rPr>
        <w:t>To ensure compliance with requirements imposed by the Internal Revenue Service, you are hereby notified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tax matters set forth in this Summary was written in connection with the promotion or marketing (within the meaning of IRS Circular 230) of awards made under the Plan, and was not intended or written to be used, and cannot be used, by any taxpayer for the purpose of avoiding any tax-related penalties under federal law. Each recipient of an award under the Plan should seek advice based on his or her particular circumstances from an independent tax advisor.</w:t>
      </w:r>
    </w:p>
    <w:p>
      <w:pPr>
        <w:spacing w:after="0" w:line="188"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The Plan is not qualified under the provisions of Code Section 401(a) and is not subject to any of the provisions of the Employee Retirement Income Security Act of 1974.</w:t>
      </w:r>
    </w:p>
    <w:p>
      <w:pPr>
        <w:spacing w:after="0" w:line="17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On exercise of a nonqualified stock option granted under the Plan an optionee will recognize ordinary income equal</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excess, if any, of the fair market value on the date of exercise of the shares of stock acquired due to the exercise of the option over the exercise price. If the optionee is an employee of our Company or a related entity, that income will be subject to the withholding of Federal income tax. The optionee’s tax basis in those shares will be equal to their fair market value on the date of exercise of the option, and his holding period for those shares will begin on that date. If an optionee pays for shares of stock on exercise of an option by delivering shares of our Company’s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73" w:lineRule="exact"/>
        <w:rPr>
          <w:sz w:val="20"/>
          <w:szCs w:val="20"/>
          <w:color w:val="auto"/>
        </w:rPr>
      </w:pPr>
    </w:p>
    <w:p>
      <w:pPr>
        <w:jc w:val="both"/>
        <w:ind w:right="280" w:firstLine="441"/>
        <w:spacing w:after="0" w:line="286" w:lineRule="auto"/>
        <w:rPr>
          <w:sz w:val="20"/>
          <w:szCs w:val="20"/>
          <w:color w:val="auto"/>
        </w:rPr>
      </w:pPr>
      <w:r>
        <w:rPr>
          <w:rFonts w:ascii="Arial" w:cs="Arial" w:eastAsia="Arial" w:hAnsi="Arial"/>
          <w:sz w:val="17"/>
          <w:szCs w:val="17"/>
          <w:color w:val="auto"/>
        </w:rPr>
        <w:t>Our Company will be entitled to a deduction for Federal income tax purposes equal to the amount of ordinary income taxable to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66"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The Plan provides for the grant of stock options that qualify as “incentive stock options” as defined in section 422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(which we refer to as “ISO”s). Under the Code, an optionee generally is not subject to tax upon the grant or exercise of an ISO. In addition, if the optionee holds a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0" w:name="page51"/>
    <w:bookmarkEnd w:id="50"/>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8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6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89"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Our Company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our Company is allowed a deduction in an amount equal to the ordinary income includible in income by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73" w:lineRule="exact"/>
        <w:rPr>
          <w:sz w:val="20"/>
          <w:szCs w:val="20"/>
          <w:color w:val="auto"/>
        </w:rPr>
      </w:pPr>
    </w:p>
    <w:p>
      <w:pPr>
        <w:ind w:right="80" w:firstLine="441"/>
        <w:spacing w:after="0" w:line="290"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Generally, the recipient of a stock award will recognize ordinary compensation income at the time the stock is received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if any, of the fair market value of the stock received over any amount paid by the recipient in exchange for the stock. If, however, the stock is non-vested when it is received under the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his or her receipt of the stock award, to recognize ordinary compensation income, as of the date the recipient receives the award, equal to the excess of the fair market value of the stock on the date the award is granted over any amount paid by the recipient in exchange for the stock, if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1" w:name="page52"/>
    <w:bookmarkEnd w:id="51"/>
    <w:p>
      <w:pPr>
        <w:ind w:right="6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73"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Our Company may grant stock appreciation rights (“SARs”) separate from any other award (which we refer to as</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SARs”) or in tandem with options (which we refer to as “Tandem SARs”), under the Plan. Generally, the recipient of a Stand-Alone SAR will not recognize any taxable income at the time the Stand-Alone SAR is granted.</w:t>
      </w:r>
    </w:p>
    <w:p>
      <w:pPr>
        <w:spacing w:after="0" w:line="18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88" w:lineRule="exact"/>
        <w:rPr>
          <w:sz w:val="20"/>
          <w:szCs w:val="20"/>
          <w:color w:val="auto"/>
        </w:rPr>
      </w:pPr>
    </w:p>
    <w:p>
      <w:pPr>
        <w:jc w:val="both"/>
        <w:ind w:right="60" w:firstLine="441"/>
        <w:spacing w:after="0" w:line="259" w:lineRule="auto"/>
        <w:rPr>
          <w:sz w:val="20"/>
          <w:szCs w:val="20"/>
          <w:color w:val="auto"/>
        </w:rPr>
      </w:pPr>
      <w:r>
        <w:rPr>
          <w:rFonts w:ascii="Arial" w:cs="Arial" w:eastAsia="Arial" w:hAnsi="Arial"/>
          <w:sz w:val="18"/>
          <w:szCs w:val="18"/>
          <w:color w:val="auto"/>
        </w:rPr>
        <w:t>In general, there will be no federal income tax deduction allowed to our Company upon the grant or termination of Stand-Alone SARs or Tandem SARs. Upon the exercise of either a Stand-Alone SAR or a Tandem SAR, however, our Company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87"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Generally, the recipient of a dividend equivalent award will recognize ordinary compensation income at the time the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equivalent award is received equal to the fair market value dividend equivalent award received. Our Company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71" w:lineRule="exact"/>
        <w:rPr>
          <w:sz w:val="20"/>
          <w:szCs w:val="20"/>
          <w:color w:val="auto"/>
        </w:rPr>
      </w:pPr>
    </w:p>
    <w:p>
      <w:pPr>
        <w:ind w:right="160" w:firstLine="441"/>
        <w:spacing w:after="0" w:line="284" w:lineRule="auto"/>
        <w:rPr>
          <w:sz w:val="20"/>
          <w:szCs w:val="20"/>
          <w:color w:val="auto"/>
        </w:rPr>
      </w:pPr>
      <w:r>
        <w:rPr>
          <w:rFonts w:ascii="Arial" w:cs="Arial" w:eastAsia="Arial" w:hAnsi="Arial"/>
          <w:sz w:val="16"/>
          <w:szCs w:val="16"/>
          <w:i w:val="1"/>
          <w:iCs w:val="1"/>
          <w:color w:val="auto"/>
        </w:rPr>
        <w:t>Limitation on Company Deductions</w:t>
      </w:r>
      <w:r>
        <w:rPr>
          <w:rFonts w:ascii="Arial" w:cs="Arial" w:eastAsia="Arial" w:hAnsi="Arial"/>
          <w:sz w:val="16"/>
          <w:szCs w:val="16"/>
          <w:color w:val="auto"/>
        </w:rPr>
        <w:t>. No federal income tax deduction is allowed for the Company for any compensation paid to a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in any taxable year of the Company to the extent that his or her compensation exceeds $1,000,000. For this purpose, “covered employees” are generally the chief executive officer of the Company and the three other most highly compensated officers of the Company other than the principal financial officer for the taxable year, and the term “compensation” generally includes amounts includable in gross income as a result of the exercise of stock options or SARs, payments pursuant to performance awards or other-based awards, or the receipt of restricted or deferred stock. This deduction limitation, however, does not apply to compensation that is (1) commission-based compensation, (2) performance-based compensation,</w:t>
      </w:r>
    </w:p>
    <w:p>
      <w:pPr>
        <w:spacing w:after="0" w:line="5" w:lineRule="exact"/>
        <w:rPr>
          <w:sz w:val="20"/>
          <w:szCs w:val="20"/>
          <w:color w:val="auto"/>
        </w:rPr>
      </w:pPr>
    </w:p>
    <w:p>
      <w:pPr>
        <w:ind w:right="240" w:firstLine="4"/>
        <w:spacing w:after="0" w:line="255"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compensation which would not be includable in an employee’s gross income, and (4) compensation payable under a written binding contract in existence on February 17, 1993, and not materially modified after that date. The Compensation Committee intends to administer the Plan in a manner that maximizes the Company’s tax deductions under Code Section 162(m).</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52" w:name="page53"/>
    <w:bookmarkEnd w:id="52"/>
    <w:p>
      <w:pPr>
        <w:ind w:firstLine="441"/>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Code Section 409A. </w:t>
      </w:r>
      <w:r>
        <w:rPr>
          <w:rFonts w:ascii="Arial" w:cs="Arial" w:eastAsia="Arial" w:hAnsi="Arial"/>
          <w:sz w:val="17"/>
          <w:szCs w:val="17"/>
          <w:color w:val="auto"/>
        </w:rPr>
        <w:t>Section 409A of the Code imposes certain requirements applicable to “nonqualified deferred compensation plans,”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rules relating to the timing of deferral elections and elections with regard to the form and timing of benefit distributions, prohibitions against the acceleration of the timing of distributions, and the times when distributions may be made, as well as rules that generally prohibit the funding of nonqualified deferred compensation plans in offshore trusts or upon the occurrence of a change in the employer’s financial health. If a nonqualified deferred compensation plan subject to Code Section 409A fails to meet, or is not operated in accordance with, these requirements, then all compensation deferred under the plan is or becomes immediately taxable to the extent that it is not subject to a substantial risk of forfeiture and was not previously taxable. The tax imposed as a result of these rules would be increased by interest at a rate equal to the rate imposed upon tax underpayments plus one percentage point, and an additional tax equal to 20% of the compensation required to be included in income. Some of the awards to be granted under this Plan may constitute deferred compensation subject to the Code Section 409A requirements, including, without limitation, discounted stock options, deferred stock and SARs that are not payable in shares of our Company stock. It is our intention that any award agreement that will govern awards subject to Code Section 409A will comply with these rules.</w:t>
      </w:r>
    </w:p>
    <w:p>
      <w:pPr>
        <w:spacing w:after="0" w:line="183" w:lineRule="exact"/>
        <w:rPr>
          <w:sz w:val="20"/>
          <w:szCs w:val="20"/>
          <w:color w:val="auto"/>
        </w:rPr>
      </w:pPr>
    </w:p>
    <w:p>
      <w:pPr>
        <w:ind w:right="280" w:firstLine="441"/>
        <w:spacing w:after="0" w:line="302" w:lineRule="auto"/>
        <w:rPr>
          <w:sz w:val="20"/>
          <w:szCs w:val="20"/>
          <w:color w:val="auto"/>
        </w:rPr>
      </w:pPr>
      <w:r>
        <w:rPr>
          <w:rFonts w:ascii="Arial" w:cs="Arial" w:eastAsia="Arial" w:hAnsi="Arial"/>
          <w:sz w:val="16"/>
          <w:szCs w:val="16"/>
          <w:i w:val="1"/>
          <w:iCs w:val="1"/>
          <w:color w:val="auto"/>
        </w:rPr>
        <w:t xml:space="preserve">Importance of Consulting Tax Adviser. </w:t>
      </w:r>
      <w:r>
        <w:rPr>
          <w:rFonts w:ascii="Arial" w:cs="Arial" w:eastAsia="Arial" w:hAnsi="Arial"/>
          <w:sz w:val="16"/>
          <w:szCs w:val="16"/>
          <w:color w:val="auto"/>
        </w:rPr>
        <w:t>The information set forth above is a summary only and does not purport to be complete.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Interests of Directors</w:t>
      </w:r>
    </w:p>
    <w:p>
      <w:pPr>
        <w:spacing w:after="0" w:line="12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In considering the recommendation of the Board with respect to the Plan, stockholders of the Company should be aware that members of the Board may from time to time have interests that present them with conflicts of interest in connection with the proposal to approve the amendment to the Plan. Specifically, the amended Plan would add shares that are eligible for grant under the Plan, and directors, including members of the Compensation Committee, could be recipients of awards with respect to these additional shares. The Board believes that approval of the amendment to the Plan will advance the interests of the Company and its shareholders by encouraging employees and directors to make significant contributions to the long-term success of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of the Company</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Information about the securities issued, or authorized for future issuance, under our equity compensation plans is set forth in the table under the heading “Equity Compensation Plan Information”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The affirmative vote of a majority of the votes cast, either for, against or abstain, by the holders of the shares of common stock voting is required to approve this proposal. Accordingly, broker non-votes will have no effect. Additionally, under the Series B Designation Certificate, the consent of the holder of our Series B Preferred Stock is required for an amendment to increase the number of shares of common stock reserved under our Amended and Restated 2009 Incentive Compensation Plan. 10X Fund, as the holder of all issued and outstanding shares of Series B Preferred, has consented to the proposed amendment.</w:t>
      </w:r>
    </w:p>
    <w:p>
      <w:pPr>
        <w:spacing w:after="0" w:line="184" w:lineRule="exact"/>
        <w:rPr>
          <w:sz w:val="20"/>
          <w:szCs w:val="20"/>
          <w:color w:val="auto"/>
        </w:rPr>
      </w:pPr>
    </w:p>
    <w:p>
      <w:pPr>
        <w:ind w:right="800" w:firstLine="441"/>
        <w:spacing w:after="0" w:line="282" w:lineRule="auto"/>
        <w:rPr>
          <w:sz w:val="20"/>
          <w:szCs w:val="20"/>
          <w:color w:val="auto"/>
        </w:rPr>
      </w:pPr>
      <w:r>
        <w:rPr>
          <w:rFonts w:ascii="Arial" w:cs="Arial" w:eastAsia="Arial" w:hAnsi="Arial"/>
          <w:sz w:val="18"/>
          <w:szCs w:val="18"/>
          <w:b w:val="1"/>
          <w:bCs w:val="1"/>
          <w:i w:val="1"/>
          <w:iCs w:val="1"/>
          <w:color w:val="auto"/>
        </w:rPr>
        <w:t xml:space="preserve">OUR BOARD OF DIRECTORS RECOMMENDS A VOTE “FOR” </w:t>
      </w:r>
      <w:r>
        <w:rPr>
          <w:rFonts w:ascii="Arial" w:cs="Arial" w:eastAsia="Arial" w:hAnsi="Arial"/>
          <w:sz w:val="18"/>
          <w:szCs w:val="18"/>
          <w:b w:val="1"/>
          <w:bCs w:val="1"/>
          <w:color w:val="auto"/>
        </w:rPr>
        <w:t>APPROVAL OF THE PROPOSED AMENDMENT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AMENDED AND RESTATED 2009 INCENTIVE COMPENSATION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53" w:name="page54"/>
    <w:bookmarkEnd w:id="53"/>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5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BARBARA K. CEGAVSKE</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-104775</wp:posOffset>
            </wp:positionV>
            <wp:extent cx="651510" cy="668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1510" cy="66865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202 North Carson Street</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Carson City, Nevada 89701-4201</w:t>
      </w:r>
    </w:p>
    <w:p>
      <w:pPr>
        <w:spacing w:after="0" w:line="9" w:lineRule="exact"/>
        <w:rPr>
          <w:sz w:val="20"/>
          <w:szCs w:val="20"/>
          <w:color w:val="auto"/>
        </w:rPr>
      </w:pPr>
    </w:p>
    <w:p>
      <w:pPr>
        <w:ind w:left="2060" w:right="7160" w:hanging="3"/>
        <w:spacing w:after="0" w:line="323" w:lineRule="auto"/>
        <w:tabs>
          <w:tab w:leader="none" w:pos="24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684-5708 Website: www.nvsos.gov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4776470" cy="754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76470" cy="7543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520"/>
        <w:spacing w:after="0"/>
        <w:rPr>
          <w:sz w:val="20"/>
          <w:szCs w:val="20"/>
          <w:color w:val="auto"/>
        </w:rPr>
      </w:pPr>
      <w:r>
        <w:rPr>
          <w:rFonts w:ascii="Arial" w:cs="Arial" w:eastAsia="Arial" w:hAnsi="Arial"/>
          <w:sz w:val="32"/>
          <w:szCs w:val="32"/>
          <w:b w:val="1"/>
          <w:bCs w:val="1"/>
          <w:color w:val="auto"/>
        </w:rPr>
        <w:t>Certificate of Amendment</w:t>
      </w:r>
    </w:p>
    <w:p>
      <w:pPr>
        <w:spacing w:after="0" w:line="31"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(PURSUANT TO NRS 78.385 AND 78.390)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8140" w:val="left"/>
        </w:tabs>
        <w:rPr>
          <w:sz w:val="20"/>
          <w:szCs w:val="20"/>
          <w:color w:val="auto"/>
        </w:rPr>
      </w:pPr>
      <w:r>
        <w:rPr>
          <w:rFonts w:ascii="Arial" w:cs="Arial" w:eastAsia="Arial" w:hAnsi="Arial"/>
          <w:sz w:val="14"/>
          <w:szCs w:val="14"/>
          <w:b w:val="1"/>
          <w:bCs w:val="1"/>
          <w:color w:val="auto"/>
        </w:rPr>
        <w:t>USE BLACK INK ONLY • DO NOT HIGHLIGHT</w:t>
      </w:r>
      <w:r>
        <w:rPr>
          <w:sz w:val="20"/>
          <w:szCs w:val="20"/>
          <w:color w:val="auto"/>
        </w:rPr>
        <w:tab/>
      </w:r>
      <w:r>
        <w:rPr>
          <w:rFonts w:ascii="Arial" w:cs="Arial" w:eastAsia="Arial" w:hAnsi="Arial"/>
          <w:sz w:val="14"/>
          <w:szCs w:val="14"/>
          <w:b w:val="1"/>
          <w:bCs w:val="1"/>
          <w:color w:val="auto"/>
        </w:rPr>
        <w:t>ABOVE SPACE IS FOR OFFICE USE ONLY</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Certificate of Amendment to Articles of Incorporation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 Nevada Profit Corporations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Name of corporation:</w:t>
      </w:r>
    </w:p>
    <w:p>
      <w:pPr>
        <w:spacing w:after="0" w:line="26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Galectin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06590" cy="3943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2. The articles have been amended as follows: (provide article numbers, if available)</w:t>
      </w:r>
    </w:p>
    <w:p>
      <w:pPr>
        <w:spacing w:after="0" w:line="144" w:lineRule="exact"/>
        <w:rPr>
          <w:sz w:val="20"/>
          <w:szCs w:val="20"/>
          <w:color w:val="auto"/>
        </w:rPr>
      </w:pPr>
    </w:p>
    <w:p>
      <w:pPr>
        <w:ind w:left="260" w:right="160"/>
        <w:spacing w:after="0" w:line="259" w:lineRule="auto"/>
        <w:rPr>
          <w:sz w:val="20"/>
          <w:szCs w:val="20"/>
          <w:color w:val="auto"/>
        </w:rPr>
      </w:pPr>
      <w:r>
        <w:rPr>
          <w:rFonts w:ascii="Arial" w:cs="Arial" w:eastAsia="Arial" w:hAnsi="Arial"/>
          <w:sz w:val="18"/>
          <w:szCs w:val="18"/>
          <w:color w:val="auto"/>
        </w:rPr>
        <w:t>This Certificate of Amendment amends the Restated Articles of Incorporation by deleting the first sentence of Article III of the Restated Articles of Incorporation and replacing such sentence in its entirety with the following: “The corporation shall have authority to issue an aggregate of 100,000,000 shares, which shall be common voting shares having a par value of $0.001 per share, and 20,000,000 undesignated shares having a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006590" cy="8489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06590" cy="84899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both"/>
        <w:ind w:right="560" w:firstLine="4"/>
        <w:spacing w:after="0" w:line="264"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-12065</wp:posOffset>
            </wp:positionV>
            <wp:extent cx="134620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6200" cy="15430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4760" w:type="dxa"/>
            <w:vAlign w:val="bottom"/>
          </w:tcPr>
          <w:p>
            <w:pPr>
              <w:ind w:left="20"/>
              <w:spacing w:after="0"/>
              <w:rPr>
                <w:sz w:val="20"/>
                <w:szCs w:val="20"/>
                <w:color w:val="auto"/>
              </w:rPr>
            </w:pPr>
            <w:r>
              <w:rPr>
                <w:rFonts w:ascii="Arial" w:cs="Arial" w:eastAsia="Arial" w:hAnsi="Arial"/>
                <w:sz w:val="18"/>
                <w:szCs w:val="18"/>
                <w:color w:val="auto"/>
              </w:rPr>
              <w:t>Effective date and time of filing: (optional)</w:t>
            </w:r>
          </w:p>
        </w:tc>
        <w:tc>
          <w:tcPr>
            <w:tcW w:w="22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Date:</w:t>
            </w:r>
          </w:p>
        </w:tc>
        <w:tc>
          <w:tcPr>
            <w:tcW w:w="1240" w:type="dxa"/>
            <w:vAlign w:val="bottom"/>
            <w:tcBorders>
              <w:top w:val="single" w:sz="8" w:color="auto"/>
              <w:bottom w:val="single" w:sz="8" w:color="auto"/>
              <w:right w:val="single" w:sz="8" w:color="auto"/>
            </w:tcBorders>
          </w:tcPr>
          <w:p>
            <w:pPr>
              <w:spacing w:after="0"/>
              <w:rPr>
                <w:sz w:val="19"/>
                <w:szCs w:val="19"/>
                <w:color w:val="auto"/>
              </w:rPr>
            </w:pPr>
          </w:p>
        </w:tc>
        <w:tc>
          <w:tcPr>
            <w:tcW w:w="10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Time:</w:t>
            </w:r>
          </w:p>
        </w:tc>
        <w:tc>
          <w:tcPr>
            <w:tcW w:w="1680" w:type="dxa"/>
            <w:vAlign w:val="bottom"/>
            <w:tcBorders>
              <w:top w:val="single" w:sz="8" w:color="auto"/>
              <w:bottom w:val="single" w:sz="8" w:color="auto"/>
              <w:right w:val="single" w:sz="8" w:color="auto"/>
            </w:tcBorders>
          </w:tcPr>
          <w:p>
            <w:pPr>
              <w:spacing w:after="0"/>
              <w:rPr>
                <w:sz w:val="19"/>
                <w:szCs w:val="19"/>
                <w:color w:val="auto"/>
              </w:rPr>
            </w:pPr>
          </w:p>
        </w:tc>
      </w:tr>
      <w:tr>
        <w:trPr>
          <w:trHeight w:val="176"/>
        </w:trPr>
        <w:tc>
          <w:tcPr>
            <w:tcW w:w="1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920" w:type="dxa"/>
            <w:vAlign w:val="bottom"/>
            <w:gridSpan w:val="3"/>
          </w:tcPr>
          <w:p>
            <w:pPr>
              <w:ind w:left="500"/>
              <w:spacing w:after="0"/>
              <w:rPr>
                <w:sz w:val="20"/>
                <w:szCs w:val="20"/>
                <w:color w:val="auto"/>
              </w:rPr>
            </w:pPr>
            <w:r>
              <w:rPr>
                <w:rFonts w:ascii="Arial" w:cs="Arial" w:eastAsia="Arial" w:hAnsi="Arial"/>
                <w:sz w:val="14"/>
                <w:szCs w:val="14"/>
                <w:color w:val="auto"/>
                <w:w w:val="93"/>
              </w:rPr>
              <w:t>(must not be later than 90 days after the certificate is filed)</w:t>
            </w:r>
          </w:p>
        </w:tc>
      </w:tr>
      <w:tr>
        <w:trPr>
          <w:trHeight w:val="290"/>
        </w:trPr>
        <w:tc>
          <w:tcPr>
            <w:tcW w:w="16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4760" w:type="dxa"/>
            <w:vAlign w:val="bottom"/>
          </w:tcPr>
          <w:p>
            <w:pPr>
              <w:ind w:left="20"/>
              <w:spacing w:after="0"/>
              <w:rPr>
                <w:sz w:val="20"/>
                <w:szCs w:val="20"/>
                <w:color w:val="auto"/>
              </w:rPr>
            </w:pPr>
            <w:r>
              <w:rPr>
                <w:rFonts w:ascii="Arial" w:cs="Arial" w:eastAsia="Arial" w:hAnsi="Arial"/>
                <w:sz w:val="18"/>
                <w:szCs w:val="18"/>
                <w:color w:val="auto"/>
              </w:rPr>
              <w:t>Signature: (required)</w:t>
            </w:r>
          </w:p>
        </w:tc>
        <w:tc>
          <w:tcPr>
            <w:tcW w:w="2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27959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107" w:lineRule="exact"/>
        <w:rPr>
          <w:sz w:val="20"/>
          <w:szCs w:val="20"/>
          <w:color w:val="auto"/>
        </w:rPr>
      </w:pPr>
    </w:p>
    <w:p>
      <w:pPr>
        <w:ind w:right="20" w:firstLine="4"/>
        <w:spacing w:after="0" w:line="238" w:lineRule="auto"/>
        <w:tabs>
          <w:tab w:leader="none" w:pos="108" w:val="left"/>
        </w:tabs>
        <w:numPr>
          <w:ilvl w:val="0"/>
          <w:numId w:val="47"/>
        </w:numPr>
        <w:rPr>
          <w:rFonts w:ascii="Arial" w:cs="Arial" w:eastAsia="Arial" w:hAnsi="Arial"/>
          <w:sz w:val="14"/>
          <w:szCs w:val="14"/>
          <w:color w:val="auto"/>
        </w:rPr>
      </w:pPr>
      <w:r>
        <w:rPr>
          <w:rFonts w:ascii="Arial" w:cs="Arial" w:eastAsia="Arial" w:hAnsi="Arial"/>
          <w:sz w:val="14"/>
          <w:szCs w:val="14"/>
          <w:color w:val="auto"/>
        </w:rPr>
        <w:t>If any proposed amendment would alter or change any preference or any relative or other right given to any class or series of outstanding shares, then the amendment must be approved by the vote, in addition to the alternative vote otherwise required, of the holders of shares representing a majority of the voting power of each class or series affected by the amendment regardless to limitations or restrictions on the voting power threof.</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Failure to Include any of the above information and submit with the proper fees may cause this filing to be rejected.</w:t>
      </w:r>
    </w:p>
    <w:p>
      <w:pPr>
        <w:sectPr>
          <w:pgSz w:w="11900" w:h="16838" w:orient="portrait"/>
          <w:cols w:equalWidth="0" w:num="1">
            <w:col w:w="11040"/>
          </w:cols>
          <w:pgMar w:left="440" w:top="270" w:right="4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This form must be accompanied by appropriate fees.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Nevada Secretary of State Amend Profit-After</w:t>
      </w:r>
    </w:p>
    <w:p>
      <w:pPr>
        <w:spacing w:after="0" w:line="1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Revised:1-5-15</w:t>
      </w:r>
    </w:p>
    <w:p>
      <w:pPr>
        <w:spacing w:after="0" w:line="200" w:lineRule="exact"/>
        <w:rPr>
          <w:sz w:val="20"/>
          <w:szCs w:val="20"/>
          <w:color w:val="auto"/>
        </w:rPr>
      </w:pPr>
    </w:p>
    <w:p>
      <w:pPr>
        <w:sectPr>
          <w:pgSz w:w="11900" w:h="16838" w:orient="portrait"/>
          <w:cols w:equalWidth="0" w:num="2">
            <w:col w:w="7640" w:space="720"/>
            <w:col w:w="2680"/>
          </w:cols>
          <w:pgMar w:left="440" w:top="270" w:right="419" w:bottom="1440" w:gutter="0" w:footer="0" w:header="0"/>
          <w:type w:val="continuous"/>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040"/>
          </w:cols>
          <w:pgMar w:left="440" w:top="270" w:right="41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BY PROPOSAL NO. 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229" w:lineRule="exact"/>
        <w:rPr>
          <w:sz w:val="20"/>
          <w:szCs w:val="20"/>
          <w:color w:val="auto"/>
        </w:rPr>
      </w:pPr>
    </w:p>
    <w:p>
      <w:pPr>
        <w:ind w:right="60" w:firstLine="444"/>
        <w:spacing w:after="0" w:line="273" w:lineRule="auto"/>
        <w:tabs>
          <w:tab w:leader="none" w:pos="621"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Purpose</w:t>
      </w:r>
      <w:r>
        <w:rPr>
          <w:rFonts w:ascii="Arial" w:cs="Arial" w:eastAsia="Arial" w:hAnsi="Arial"/>
          <w:sz w:val="17"/>
          <w:szCs w:val="17"/>
          <w:color w:val="auto"/>
        </w:rPr>
        <w:t>. The purpose of this GALECTIN THERAPEUTICS, INC. AMENDED AND RESTATED 2009 INCENTIVE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(the “Plan”) is to assist Galectin Therapeutics,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178" w:lineRule="exact"/>
        <w:rPr>
          <w:rFonts w:ascii="Arial" w:cs="Arial" w:eastAsia="Arial" w:hAnsi="Arial"/>
          <w:sz w:val="17"/>
          <w:szCs w:val="17"/>
          <w:color w:val="auto"/>
        </w:rPr>
      </w:pPr>
    </w:p>
    <w:p>
      <w:pPr>
        <w:ind w:right="360" w:firstLine="444"/>
        <w:spacing w:after="0" w:line="277" w:lineRule="auto"/>
        <w:tabs>
          <w:tab w:leader="none" w:pos="621"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 Section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and elsewhere herein.</w:t>
      </w:r>
    </w:p>
    <w:p>
      <w:pPr>
        <w:spacing w:after="0" w:line="170" w:lineRule="exact"/>
        <w:rPr>
          <w:rFonts w:ascii="Arial" w:cs="Arial" w:eastAsia="Arial" w:hAnsi="Arial"/>
          <w:sz w:val="18"/>
          <w:szCs w:val="18"/>
          <w:color w:val="auto"/>
        </w:rPr>
      </w:pPr>
    </w:p>
    <w:p>
      <w:pPr>
        <w:ind w:right="220" w:firstLine="885"/>
        <w:spacing w:after="0" w:line="264" w:lineRule="auto"/>
        <w:tabs>
          <w:tab w:leader="none" w:pos="1126"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81" w:lineRule="exact"/>
        <w:rPr>
          <w:rFonts w:ascii="Arial" w:cs="Arial" w:eastAsia="Arial" w:hAnsi="Arial"/>
          <w:sz w:val="18"/>
          <w:szCs w:val="18"/>
          <w:color w:val="auto"/>
        </w:rPr>
      </w:pPr>
    </w:p>
    <w:p>
      <w:pPr>
        <w:ind w:right="460" w:firstLine="885"/>
        <w:spacing w:after="0" w:line="277" w:lineRule="auto"/>
        <w:tabs>
          <w:tab w:leader="none" w:pos="11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ind w:right="100" w:firstLine="885"/>
        <w:spacing w:after="0" w:line="257" w:lineRule="auto"/>
        <w:tabs>
          <w:tab w:leader="none" w:pos="1126"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88" w:lineRule="exact"/>
        <w:rPr>
          <w:rFonts w:ascii="Arial" w:cs="Arial" w:eastAsia="Arial" w:hAnsi="Arial"/>
          <w:sz w:val="18"/>
          <w:szCs w:val="18"/>
          <w:color w:val="auto"/>
        </w:rPr>
      </w:pPr>
    </w:p>
    <w:p>
      <w:pPr>
        <w:ind w:right="160" w:firstLine="885"/>
        <w:spacing w:after="0" w:line="277" w:lineRule="auto"/>
        <w:tabs>
          <w:tab w:leader="none" w:pos="11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right="140" w:firstLine="885"/>
        <w:spacing w:after="0" w:line="271" w:lineRule="auto"/>
        <w:tabs>
          <w:tab w:leader="none" w:pos="1106" w:val="left"/>
        </w:tabs>
        <w:numPr>
          <w:ilvl w:val="1"/>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55" w:name="page56"/>
    <w:bookmarkEnd w:id="5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87" w:lineRule="exact"/>
        <w:rPr>
          <w:sz w:val="20"/>
          <w:szCs w:val="20"/>
          <w:color w:val="auto"/>
        </w:rPr>
      </w:pPr>
    </w:p>
    <w:p>
      <w:pPr>
        <w:ind w:left="1140" w:hanging="25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225" w:lineRule="exact"/>
        <w:rPr>
          <w:rFonts w:ascii="Arial" w:cs="Arial" w:eastAsia="Arial" w:hAnsi="Arial"/>
          <w:sz w:val="18"/>
          <w:szCs w:val="18"/>
          <w:color w:val="auto"/>
        </w:rPr>
      </w:pPr>
    </w:p>
    <w:p>
      <w:pPr>
        <w:ind w:right="560" w:firstLine="885"/>
        <w:spacing w:after="0" w:line="277" w:lineRule="auto"/>
        <w:tabs>
          <w:tab w:leader="none" w:pos="11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ind w:firstLine="885"/>
        <w:spacing w:after="0" w:line="272" w:lineRule="auto"/>
        <w:tabs>
          <w:tab w:leader="none" w:pos="1096"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178" w:lineRule="exact"/>
        <w:rPr>
          <w:sz w:val="20"/>
          <w:szCs w:val="20"/>
          <w:color w:val="auto"/>
        </w:rPr>
      </w:pPr>
    </w:p>
    <w:p>
      <w:pPr>
        <w:ind w:right="120" w:firstLine="885"/>
        <w:spacing w:after="0" w:line="264" w:lineRule="auto"/>
        <w:tabs>
          <w:tab w:leader="none" w:pos="9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j)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81" w:lineRule="exact"/>
        <w:rPr>
          <w:sz w:val="20"/>
          <w:szCs w:val="20"/>
          <w:color w:val="auto"/>
        </w:rPr>
      </w:pPr>
    </w:p>
    <w:p>
      <w:pPr>
        <w:ind w:right="20" w:firstLine="885"/>
        <w:spacing w:after="0" w:line="273" w:lineRule="auto"/>
        <w:tabs>
          <w:tab w:leader="none" w:pos="11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78" w:lineRule="exact"/>
        <w:rPr>
          <w:rFonts w:ascii="Arial" w:cs="Arial" w:eastAsia="Arial" w:hAnsi="Arial"/>
          <w:sz w:val="17"/>
          <w:szCs w:val="17"/>
          <w:color w:val="auto"/>
        </w:rPr>
      </w:pPr>
    </w:p>
    <w:p>
      <w:pPr>
        <w:ind w:right="60" w:firstLine="885"/>
        <w:spacing w:after="0" w:line="302" w:lineRule="auto"/>
        <w:tabs>
          <w:tab w:leader="none" w:pos="1096"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154" w:lineRule="exact"/>
        <w:rPr>
          <w:rFonts w:ascii="Arial" w:cs="Arial" w:eastAsia="Arial" w:hAnsi="Arial"/>
          <w:sz w:val="16"/>
          <w:szCs w:val="16"/>
          <w:color w:val="auto"/>
        </w:rPr>
      </w:pPr>
    </w:p>
    <w:p>
      <w:pPr>
        <w:ind w:right="520" w:firstLine="885"/>
        <w:spacing w:after="0" w:line="277" w:lineRule="auto"/>
        <w:tabs>
          <w:tab w:leader="none" w:pos="11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right="480" w:firstLine="885"/>
        <w:spacing w:after="0" w:line="277" w:lineRule="auto"/>
        <w:tabs>
          <w:tab w:leader="none" w:pos="11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0"/>
          </w:cols>
          <w:pgMar w:left="440" w:top="274" w:right="439" w:bottom="1440" w:gutter="0" w:footer="0" w:header="0"/>
        </w:sectPr>
      </w:pPr>
    </w:p>
    <w:bookmarkStart w:id="56" w:name="page57"/>
    <w:bookmarkEnd w:id="56"/>
    <w:p>
      <w:pPr>
        <w:ind w:right="140" w:firstLine="885"/>
        <w:spacing w:after="0" w:line="277"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70" w:lineRule="exact"/>
        <w:rPr>
          <w:rFonts w:ascii="Arial" w:cs="Arial" w:eastAsia="Arial" w:hAnsi="Arial"/>
          <w:sz w:val="18"/>
          <w:szCs w:val="18"/>
          <w:color w:val="auto"/>
        </w:rPr>
      </w:pPr>
    </w:p>
    <w:p>
      <w:pPr>
        <w:ind w:left="1120" w:hanging="235"/>
        <w:spacing w:after="0"/>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225" w:lineRule="exact"/>
        <w:rPr>
          <w:rFonts w:ascii="Arial" w:cs="Arial" w:eastAsia="Arial" w:hAnsi="Arial"/>
          <w:sz w:val="18"/>
          <w:szCs w:val="18"/>
          <w:color w:val="auto"/>
        </w:rPr>
      </w:pPr>
    </w:p>
    <w:p>
      <w:pPr>
        <w:ind w:firstLine="885"/>
        <w:spacing w:after="0" w:line="257" w:lineRule="auto"/>
        <w:tabs>
          <w:tab w:leader="none" w:pos="1116"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188" w:lineRule="exact"/>
        <w:rPr>
          <w:rFonts w:ascii="Arial" w:cs="Arial" w:eastAsia="Arial" w:hAnsi="Arial"/>
          <w:sz w:val="18"/>
          <w:szCs w:val="18"/>
          <w:color w:val="auto"/>
        </w:rPr>
      </w:pPr>
    </w:p>
    <w:p>
      <w:pPr>
        <w:ind w:right="20" w:firstLine="885"/>
        <w:spacing w:after="0" w:line="277" w:lineRule="auto"/>
        <w:tabs>
          <w:tab w:leader="none" w:pos="10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70" w:lineRule="exact"/>
        <w:rPr>
          <w:rFonts w:ascii="Arial" w:cs="Arial" w:eastAsia="Arial" w:hAnsi="Arial"/>
          <w:sz w:val="18"/>
          <w:szCs w:val="18"/>
          <w:color w:val="auto"/>
        </w:rPr>
      </w:pPr>
    </w:p>
    <w:p>
      <w:pPr>
        <w:ind w:right="220" w:firstLine="885"/>
        <w:spacing w:after="0" w:line="277"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ind w:firstLine="885"/>
        <w:spacing w:after="0" w:line="291" w:lineRule="auto"/>
        <w:tabs>
          <w:tab w:leader="none" w:pos="1136" w:val="left"/>
        </w:tabs>
        <w:numPr>
          <w:ilvl w:val="1"/>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w:t>
      </w:r>
    </w:p>
    <w:p>
      <w:pPr>
        <w:ind w:right="80" w:firstLine="4"/>
        <w:spacing w:after="0" w:line="277" w:lineRule="auto"/>
        <w:tabs>
          <w:tab w:leader="none" w:pos="2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173" w:lineRule="exact"/>
        <w:rPr>
          <w:rFonts w:ascii="Arial" w:cs="Arial" w:eastAsia="Arial" w:hAnsi="Arial"/>
          <w:sz w:val="17"/>
          <w:szCs w:val="17"/>
          <w:color w:val="auto"/>
        </w:rPr>
      </w:pPr>
    </w:p>
    <w:p>
      <w:pPr>
        <w:ind w:right="20" w:firstLine="885"/>
        <w:spacing w:after="0" w:line="269" w:lineRule="auto"/>
        <w:tabs>
          <w:tab w:leader="none" w:pos="1176" w:val="left"/>
        </w:tabs>
        <w:numPr>
          <w:ilvl w:val="1"/>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79" w:lineRule="exact"/>
        <w:rPr>
          <w:rFonts w:ascii="Arial" w:cs="Arial" w:eastAsia="Arial" w:hAnsi="Arial"/>
          <w:sz w:val="17"/>
          <w:szCs w:val="17"/>
          <w:color w:val="auto"/>
        </w:rPr>
      </w:pPr>
    </w:p>
    <w:p>
      <w:pPr>
        <w:ind w:right="20" w:firstLine="885"/>
        <w:spacing w:after="0" w:line="277" w:lineRule="auto"/>
        <w:tabs>
          <w:tab w:leader="none" w:pos="1136"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w:t>
      </w:r>
      <w:r>
        <w:rPr>
          <w:rFonts w:ascii="Arial" w:cs="Arial" w:eastAsia="Arial" w:hAnsi="Arial"/>
          <w:sz w:val="16"/>
          <w:szCs w:val="16"/>
          <w:color w:val="auto"/>
        </w:rPr>
        <w:t>”, when referring to either the Board or members of the Committee, shall have the same meaning as used in the rules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Listing Market.</w:t>
      </w:r>
    </w:p>
    <w:p>
      <w:pPr>
        <w:spacing w:after="0" w:line="210" w:lineRule="exact"/>
        <w:rPr>
          <w:rFonts w:ascii="Arial" w:cs="Arial" w:eastAsia="Arial" w:hAnsi="Arial"/>
          <w:sz w:val="16"/>
          <w:szCs w:val="16"/>
          <w:color w:val="auto"/>
        </w:rPr>
      </w:pPr>
    </w:p>
    <w:p>
      <w:pPr>
        <w:ind w:left="1140" w:hanging="255"/>
        <w:spacing w:after="0"/>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20"/>
          </w:cols>
          <w:pgMar w:left="440" w:top="274" w:right="439" w:bottom="1440" w:gutter="0" w:footer="0" w:header="0"/>
        </w:sectPr>
      </w:pPr>
    </w:p>
    <w:bookmarkStart w:id="57" w:name="page58"/>
    <w:bookmarkEnd w:id="57"/>
    <w:p>
      <w:pPr>
        <w:ind w:firstLine="885"/>
        <w:spacing w:after="0" w:line="277" w:lineRule="auto"/>
        <w:tabs>
          <w:tab w:leader="none" w:pos="1206"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“Listing Market” </w:t>
      </w:r>
      <w:r>
        <w:rPr>
          <w:rFonts w:ascii="Arial" w:cs="Arial" w:eastAsia="Arial" w:hAnsi="Arial"/>
          <w:sz w:val="18"/>
          <w:szCs w:val="18"/>
          <w:color w:val="auto"/>
        </w:rPr>
        <w:t>means the OTC Bulletin Board or any other national securities exchange on which any securities of the Company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listed for trading, and if not listed for trading, by the rules of the Nasdaq Market.</w:t>
      </w:r>
    </w:p>
    <w:p>
      <w:pPr>
        <w:spacing w:after="0" w:line="170" w:lineRule="exact"/>
        <w:rPr>
          <w:rFonts w:ascii="Arial" w:cs="Arial" w:eastAsia="Arial" w:hAnsi="Arial"/>
          <w:sz w:val="18"/>
          <w:szCs w:val="18"/>
          <w:color w:val="auto"/>
        </w:rPr>
      </w:pPr>
    </w:p>
    <w:p>
      <w:pPr>
        <w:ind w:right="420" w:firstLine="885"/>
        <w:spacing w:after="0" w:line="277" w:lineRule="auto"/>
        <w:tabs>
          <w:tab w:leader="none" w:pos="12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1220" w:hanging="335"/>
        <w:spacing w:after="0"/>
        <w:tabs>
          <w:tab w:leader="none" w:pos="1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this Plan.</w:t>
      </w:r>
    </w:p>
    <w:p>
      <w:pPr>
        <w:spacing w:after="0" w:line="210" w:lineRule="exact"/>
        <w:rPr>
          <w:rFonts w:ascii="Arial" w:cs="Arial" w:eastAsia="Arial" w:hAnsi="Arial"/>
          <w:sz w:val="16"/>
          <w:szCs w:val="16"/>
          <w:color w:val="auto"/>
        </w:rPr>
      </w:pPr>
    </w:p>
    <w:p>
      <w:pPr>
        <w:ind w:left="1240" w:hanging="355"/>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225" w:lineRule="exact"/>
        <w:rPr>
          <w:rFonts w:ascii="Arial" w:cs="Arial" w:eastAsia="Arial" w:hAnsi="Arial"/>
          <w:sz w:val="18"/>
          <w:szCs w:val="18"/>
          <w:color w:val="auto"/>
        </w:rPr>
      </w:pPr>
    </w:p>
    <w:p>
      <w:pPr>
        <w:ind w:right="40" w:firstLine="885"/>
        <w:spacing w:after="0" w:line="277" w:lineRule="auto"/>
        <w:tabs>
          <w:tab w:leader="none" w:pos="12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1160" w:hanging="275"/>
        <w:spacing w:after="0"/>
        <w:tabs>
          <w:tab w:leader="none" w:pos="1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Award</w:t>
      </w:r>
      <w:r>
        <w:rPr>
          <w:rFonts w:ascii="Arial" w:cs="Arial" w:eastAsia="Arial" w:hAnsi="Arial"/>
          <w:sz w:val="17"/>
          <w:szCs w:val="17"/>
          <w:color w:val="auto"/>
        </w:rPr>
        <w:t>” means any Award of Performance Shares or Performance Units granted pursuant to Section 6(h) hereof.</w:t>
      </w:r>
    </w:p>
    <w:p>
      <w:pPr>
        <w:spacing w:after="0" w:line="236" w:lineRule="exact"/>
        <w:rPr>
          <w:rFonts w:ascii="Arial" w:cs="Arial" w:eastAsia="Arial" w:hAnsi="Arial"/>
          <w:sz w:val="17"/>
          <w:szCs w:val="17"/>
          <w:color w:val="auto"/>
        </w:rPr>
      </w:pPr>
    </w:p>
    <w:p>
      <w:pPr>
        <w:ind w:right="200" w:firstLine="885"/>
        <w:spacing w:after="0" w:line="308" w:lineRule="auto"/>
        <w:tabs>
          <w:tab w:leader="none" w:pos="1226"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jc w:val="both"/>
        <w:ind w:right="20" w:firstLine="885"/>
        <w:spacing w:after="0" w:line="259" w:lineRule="auto"/>
        <w:tabs>
          <w:tab w:leader="none" w:pos="12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20" w:firstLine="885"/>
        <w:spacing w:after="0" w:line="259" w:lineRule="auto"/>
        <w:tabs>
          <w:tab w:leader="none" w:pos="11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340" w:firstLine="885"/>
        <w:spacing w:after="0" w:line="277" w:lineRule="auto"/>
        <w:tabs>
          <w:tab w:leader="none" w:pos="11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firstLine="885"/>
        <w:spacing w:after="0" w:line="277" w:lineRule="auto"/>
        <w:tabs>
          <w:tab w:leader="none" w:pos="12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170" w:lineRule="exact"/>
        <w:rPr>
          <w:rFonts w:ascii="Arial" w:cs="Arial" w:eastAsia="Arial" w:hAnsi="Arial"/>
          <w:sz w:val="18"/>
          <w:szCs w:val="18"/>
          <w:color w:val="auto"/>
        </w:rPr>
      </w:pPr>
    </w:p>
    <w:p>
      <w:pPr>
        <w:ind w:right="600" w:firstLine="885"/>
        <w:spacing w:after="0" w:line="277" w:lineRule="auto"/>
        <w:tabs>
          <w:tab w:leader="none" w:pos="1146"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on transferability, risk of forfeiture and other restrictions, if any, as the Committee may impose.</w:t>
      </w:r>
    </w:p>
    <w:p>
      <w:pPr>
        <w:spacing w:after="0" w:line="170" w:lineRule="exact"/>
        <w:rPr>
          <w:rFonts w:ascii="Arial" w:cs="Arial" w:eastAsia="Arial" w:hAnsi="Arial"/>
          <w:sz w:val="18"/>
          <w:szCs w:val="18"/>
          <w:color w:val="auto"/>
        </w:rPr>
      </w:pPr>
    </w:p>
    <w:p>
      <w:pPr>
        <w:ind w:right="100" w:firstLine="885"/>
        <w:spacing w:after="0" w:line="259" w:lineRule="auto"/>
        <w:tabs>
          <w:tab w:leader="none" w:pos="13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86" w:lineRule="exact"/>
        <w:rPr>
          <w:rFonts w:ascii="Arial" w:cs="Arial" w:eastAsia="Arial" w:hAnsi="Arial"/>
          <w:sz w:val="18"/>
          <w:szCs w:val="18"/>
          <w:color w:val="auto"/>
        </w:rPr>
      </w:pPr>
    </w:p>
    <w:p>
      <w:pPr>
        <w:ind w:left="1240" w:hanging="355"/>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80"/>
          </w:cols>
          <w:pgMar w:left="440" w:top="274" w:right="479" w:bottom="1440" w:gutter="0" w:footer="0" w:header="0"/>
        </w:sectPr>
      </w:pPr>
    </w:p>
    <w:bookmarkStart w:id="58" w:name="page59"/>
    <w:bookmarkEnd w:id="58"/>
    <w:p>
      <w:pPr>
        <w:ind w:right="680" w:firstLine="885"/>
        <w:spacing w:after="0" w:line="277" w:lineRule="auto"/>
        <w:tabs>
          <w:tab w:leader="none" w:pos="1226" w:val="left"/>
        </w:tabs>
        <w:numPr>
          <w:ilvl w:val="2"/>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ind w:right="740" w:firstLine="885"/>
        <w:spacing w:after="0" w:line="277" w:lineRule="auto"/>
        <w:tabs>
          <w:tab w:leader="none" w:pos="1226" w:val="left"/>
        </w:tabs>
        <w:numPr>
          <w:ilvl w:val="2"/>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170" w:lineRule="exact"/>
        <w:rPr>
          <w:rFonts w:ascii="Arial" w:cs="Arial" w:eastAsia="Arial" w:hAnsi="Arial"/>
          <w:sz w:val="18"/>
          <w:szCs w:val="18"/>
          <w:color w:val="auto"/>
        </w:rPr>
      </w:pPr>
    </w:p>
    <w:p>
      <w:pPr>
        <w:ind w:left="1240" w:hanging="355"/>
        <w:spacing w:after="0"/>
        <w:tabs>
          <w:tab w:leader="none" w:pos="1240" w:val="left"/>
        </w:tabs>
        <w:numPr>
          <w:ilvl w:val="2"/>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225" w:lineRule="exact"/>
        <w:rPr>
          <w:rFonts w:ascii="Arial" w:cs="Arial" w:eastAsia="Arial" w:hAnsi="Arial"/>
          <w:sz w:val="18"/>
          <w:szCs w:val="18"/>
          <w:color w:val="auto"/>
        </w:rPr>
      </w:pPr>
    </w:p>
    <w:p>
      <w:pPr>
        <w:ind w:firstLine="885"/>
        <w:spacing w:after="0" w:line="259" w:lineRule="auto"/>
        <w:tabs>
          <w:tab w:leader="none" w:pos="1166" w:val="left"/>
        </w:tabs>
        <w:numPr>
          <w:ilvl w:val="2"/>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6" w:lineRule="exact"/>
        <w:rPr>
          <w:rFonts w:ascii="Arial" w:cs="Arial" w:eastAsia="Arial" w:hAnsi="Arial"/>
          <w:sz w:val="18"/>
          <w:szCs w:val="18"/>
          <w:color w:val="auto"/>
        </w:rPr>
      </w:pPr>
    </w:p>
    <w:p>
      <w:pPr>
        <w:ind w:right="440" w:firstLine="885"/>
        <w:spacing w:after="0" w:line="291" w:lineRule="auto"/>
        <w:tabs>
          <w:tab w:leader="none" w:pos="1186" w:val="left"/>
        </w:tabs>
        <w:numPr>
          <w:ilvl w:val="2"/>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means Awards granted or Shares issued by the Company in assumption of, or in substitution or exchange for, Awards previously granted, or the right or obligation to make future Awards, by a company (i) acquired by the Company or any Related Entity,</w:t>
      </w:r>
    </w:p>
    <w:p>
      <w:pPr>
        <w:ind w:left="260" w:hanging="256"/>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which becomes a Related Entity after the date hereof, or (iii) with which the Company or any Related Entity combines.</w:t>
      </w:r>
    </w:p>
    <w:p>
      <w:pPr>
        <w:spacing w:after="0" w:line="210" w:lineRule="exact"/>
        <w:rPr>
          <w:rFonts w:ascii="Arial" w:cs="Arial" w:eastAsia="Arial" w:hAnsi="Arial"/>
          <w:sz w:val="18"/>
          <w:szCs w:val="18"/>
          <w:color w:val="auto"/>
        </w:rPr>
      </w:pPr>
    </w:p>
    <w:p>
      <w:pPr>
        <w:ind w:left="620" w:hanging="176"/>
        <w:spacing w:after="0"/>
        <w:tabs>
          <w:tab w:leader="none" w:pos="620" w:val="left"/>
        </w:tabs>
        <w:numPr>
          <w:ilvl w:val="1"/>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right="40" w:firstLine="885"/>
        <w:spacing w:after="0" w:line="288" w:lineRule="auto"/>
        <w:tabs>
          <w:tab w:leader="none" w:pos="1126" w:val="left"/>
        </w:tabs>
        <w:numPr>
          <w:ilvl w:val="2"/>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(and subject to the limitations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imposed by 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169" w:lineRule="exact"/>
        <w:rPr>
          <w:rFonts w:ascii="Arial" w:cs="Arial" w:eastAsia="Arial" w:hAnsi="Arial"/>
          <w:sz w:val="16"/>
          <w:szCs w:val="16"/>
          <w:color w:val="auto"/>
        </w:rPr>
      </w:pPr>
    </w:p>
    <w:p>
      <w:pPr>
        <w:ind w:right="40" w:firstLine="885"/>
        <w:spacing w:after="0" w:line="283" w:lineRule="auto"/>
        <w:tabs>
          <w:tab w:leader="none" w:pos="1136" w:val="left"/>
        </w:tabs>
        <w:numPr>
          <w:ilvl w:val="2"/>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Manner of Exercise of Committee Authority</w:t>
      </w:r>
      <w:r>
        <w:rPr>
          <w:rFonts w:ascii="Arial" w:cs="Arial" w:eastAsia="Arial" w:hAnsi="Arial"/>
          <w:sz w:val="16"/>
          <w:szCs w:val="16"/>
          <w:color w:val="auto"/>
        </w:rPr>
        <w:t>. The Committee, and not the Board, shall exercise sole and exclusive discretion (i) on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w:t>
      </w:r>
    </w:p>
    <w:p>
      <w:pPr>
        <w:spacing w:after="0" w:line="5"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20"/>
          </w:cols>
          <w:pgMar w:left="440" w:top="274" w:right="439" w:bottom="1440" w:gutter="0" w:footer="0" w:header="0"/>
        </w:sectPr>
      </w:pPr>
    </w:p>
    <w:bookmarkStart w:id="59" w:name="page60"/>
    <w:bookmarkEnd w:id="59"/>
    <w:p>
      <w:pPr>
        <w:ind w:right="20" w:firstLine="885"/>
        <w:spacing w:after="0" w:line="297" w:lineRule="auto"/>
        <w:tabs>
          <w:tab w:leader="none" w:pos="1126"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of Liability</w:t>
      </w:r>
      <w:r>
        <w:rPr>
          <w:rFonts w:ascii="Arial" w:cs="Arial" w:eastAsia="Arial" w:hAnsi="Arial"/>
          <w:sz w:val="16"/>
          <w:szCs w:val="16"/>
          <w:color w:val="auto"/>
        </w:rPr>
        <w:t>. The Committee and the Board, and each member thereof, shall be entitled to, in good faith, rely or act upon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58" w:lineRule="exact"/>
        <w:rPr>
          <w:rFonts w:ascii="Arial" w:cs="Arial" w:eastAsia="Arial" w:hAnsi="Arial"/>
          <w:sz w:val="16"/>
          <w:szCs w:val="16"/>
          <w:color w:val="auto"/>
        </w:rPr>
      </w:pPr>
    </w:p>
    <w:p>
      <w:pPr>
        <w:ind w:left="620" w:hanging="176"/>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885"/>
        <w:spacing w:after="0" w:line="264" w:lineRule="auto"/>
        <w:tabs>
          <w:tab w:leader="none" w:pos="1126" w:val="left"/>
        </w:tabs>
        <w:numPr>
          <w:ilvl w:val="1"/>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 Section 10(c)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total number of Shares reserved and available for delivery under the Plan shall be 6,733,334. Any Shares delivered under the Plan may consist, in whole or in part, of authorized and unissued shares or treasury shares.</w:t>
      </w:r>
    </w:p>
    <w:p>
      <w:pPr>
        <w:spacing w:after="0" w:line="181" w:lineRule="exact"/>
        <w:rPr>
          <w:rFonts w:ascii="Arial" w:cs="Arial" w:eastAsia="Arial" w:hAnsi="Arial"/>
          <w:sz w:val="18"/>
          <w:szCs w:val="18"/>
          <w:color w:val="auto"/>
        </w:rPr>
      </w:pPr>
    </w:p>
    <w:p>
      <w:pPr>
        <w:ind w:firstLine="885"/>
        <w:spacing w:after="0" w:line="257" w:lineRule="auto"/>
        <w:tabs>
          <w:tab w:leader="none" w:pos="1136" w:val="left"/>
        </w:tabs>
        <w:numPr>
          <w:ilvl w:val="1"/>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Awards</w:t>
      </w:r>
      <w:r>
        <w:rPr>
          <w:rFonts w:ascii="Arial" w:cs="Arial" w:eastAsia="Arial" w:hAnsi="Arial"/>
          <w:sz w:val="18"/>
          <w:szCs w:val="18"/>
          <w:color w:val="auto"/>
        </w:rPr>
        <w:t>. No Award may be granted if the number of Shares to be delivered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an 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88" w:lineRule="exact"/>
        <w:rPr>
          <w:rFonts w:ascii="Arial" w:cs="Arial" w:eastAsia="Arial" w:hAnsi="Arial"/>
          <w:sz w:val="18"/>
          <w:szCs w:val="18"/>
          <w:color w:val="auto"/>
        </w:rPr>
      </w:pPr>
    </w:p>
    <w:p>
      <w:pPr>
        <w:ind w:left="1120" w:hanging="235"/>
        <w:spacing w:after="0"/>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436"/>
        <w:spacing w:after="0" w:line="259" w:lineRule="auto"/>
        <w:tabs>
          <w:tab w:leader="none" w:pos="1648"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4(c)(iv) below.</w:t>
      </w:r>
    </w:p>
    <w:p>
      <w:pPr>
        <w:spacing w:after="0" w:line="186" w:lineRule="exact"/>
        <w:rPr>
          <w:rFonts w:ascii="Arial" w:cs="Arial" w:eastAsia="Arial" w:hAnsi="Arial"/>
          <w:sz w:val="18"/>
          <w:szCs w:val="18"/>
          <w:color w:val="auto"/>
        </w:rPr>
      </w:pPr>
    </w:p>
    <w:p>
      <w:pPr>
        <w:ind w:right="80" w:firstLine="1436"/>
        <w:spacing w:after="0" w:line="302" w:lineRule="auto"/>
        <w:tabs>
          <w:tab w:leader="none" w:pos="1698" w:val="left"/>
        </w:tabs>
        <w:numPr>
          <w:ilvl w:val="2"/>
          <w:numId w:val="58"/>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54" w:lineRule="exact"/>
        <w:rPr>
          <w:rFonts w:ascii="Arial" w:cs="Arial" w:eastAsia="Arial" w:hAnsi="Arial"/>
          <w:sz w:val="16"/>
          <w:szCs w:val="16"/>
          <w:color w:val="auto"/>
        </w:rPr>
      </w:pPr>
    </w:p>
    <w:p>
      <w:pPr>
        <w:ind w:firstLine="1436"/>
        <w:spacing w:after="0" w:line="291" w:lineRule="auto"/>
        <w:tabs>
          <w:tab w:leader="none" w:pos="1748" w:val="left"/>
        </w:tabs>
        <w:numPr>
          <w:ilvl w:val="2"/>
          <w:numId w:val="58"/>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167" w:lineRule="exact"/>
        <w:rPr>
          <w:rFonts w:ascii="Arial" w:cs="Arial" w:eastAsia="Arial" w:hAnsi="Arial"/>
          <w:sz w:val="16"/>
          <w:szCs w:val="16"/>
          <w:color w:val="auto"/>
        </w:rPr>
      </w:pPr>
    </w:p>
    <w:p>
      <w:pPr>
        <w:ind w:left="1740" w:hanging="304"/>
        <w:spacing w:after="0"/>
        <w:tabs>
          <w:tab w:leader="none" w:pos="1740" w:val="left"/>
        </w:tabs>
        <w:numPr>
          <w:ilvl w:val="2"/>
          <w:numId w:val="58"/>
        </w:numPr>
        <w:rPr>
          <w:rFonts w:ascii="Arial" w:cs="Arial" w:eastAsia="Arial" w:hAnsi="Arial"/>
          <w:sz w:val="17"/>
          <w:szCs w:val="17"/>
          <w:color w:val="auto"/>
        </w:rPr>
      </w:pPr>
      <w:r>
        <w:rPr>
          <w:rFonts w:ascii="Arial" w:cs="Arial" w:eastAsia="Arial" w:hAnsi="Arial"/>
          <w:sz w:val="17"/>
          <w:szCs w:val="17"/>
          <w:color w:val="auto"/>
        </w:rPr>
        <w:t>Any Share that again becomes available for delivery pursuant to this Section 4(c) shall be added back as one (1) Share.</w:t>
      </w:r>
    </w:p>
    <w:p>
      <w:pPr>
        <w:spacing w:after="0" w:line="236" w:lineRule="exact"/>
        <w:rPr>
          <w:rFonts w:ascii="Arial" w:cs="Arial" w:eastAsia="Arial" w:hAnsi="Arial"/>
          <w:sz w:val="17"/>
          <w:szCs w:val="17"/>
          <w:color w:val="auto"/>
        </w:rPr>
      </w:pPr>
    </w:p>
    <w:p>
      <w:pPr>
        <w:ind w:right="80" w:firstLine="1436"/>
        <w:spacing w:after="0" w:line="264" w:lineRule="auto"/>
        <w:tabs>
          <w:tab w:leader="none" w:pos="1688" w:val="left"/>
        </w:tabs>
        <w:numPr>
          <w:ilvl w:val="2"/>
          <w:numId w:val="58"/>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6,533,334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20"/>
          </w:cols>
          <w:pgMar w:left="440" w:top="274" w:right="439" w:bottom="1440" w:gutter="0" w:footer="0" w:header="0"/>
        </w:sectPr>
      </w:pPr>
    </w:p>
    <w:bookmarkStart w:id="60" w:name="page61"/>
    <w:bookmarkEnd w:id="60"/>
    <w:p>
      <w:pPr>
        <w:ind w:left="-20" w:right="80" w:firstLine="444"/>
        <w:spacing w:after="0" w:line="255" w:lineRule="auto"/>
        <w:tabs>
          <w:tab w:leader="none" w:pos="601"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Eligibility; Per-Person Award Limitations</w:t>
      </w:r>
      <w:r>
        <w:rPr>
          <w:rFonts w:ascii="Arial" w:cs="Arial" w:eastAsia="Arial" w:hAnsi="Arial"/>
          <w:sz w:val="18"/>
          <w:szCs w:val="18"/>
          <w:color w:val="auto"/>
        </w:rPr>
        <w:t>. Awards may be granted under the Plan only to Eligible Persons. Subject to adjustment as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pacing w:after="0" w:line="193" w:lineRule="exact"/>
        <w:rPr>
          <w:rFonts w:ascii="Arial" w:cs="Arial" w:eastAsia="Arial" w:hAnsi="Arial"/>
          <w:sz w:val="18"/>
          <w:szCs w:val="18"/>
          <w:color w:val="auto"/>
        </w:rPr>
      </w:pPr>
    </w:p>
    <w:p>
      <w:pPr>
        <w:ind w:left="600" w:hanging="176"/>
        <w:spacing w:after="0"/>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885"/>
        <w:spacing w:after="0" w:line="271" w:lineRule="auto"/>
        <w:tabs>
          <w:tab w:leader="none" w:pos="1106"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Awards may be granted on the terms and conditions set forth in this Section 6. In addition, the Committee may impose on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178" w:lineRule="exact"/>
        <w:rPr>
          <w:rFonts w:ascii="Arial" w:cs="Arial" w:eastAsia="Arial" w:hAnsi="Arial"/>
          <w:sz w:val="17"/>
          <w:szCs w:val="17"/>
          <w:color w:val="auto"/>
        </w:rPr>
      </w:pPr>
    </w:p>
    <w:p>
      <w:pPr>
        <w:ind w:left="1120" w:hanging="255"/>
        <w:spacing w:after="0"/>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225" w:lineRule="exact"/>
        <w:rPr>
          <w:rFonts w:ascii="Arial" w:cs="Arial" w:eastAsia="Arial" w:hAnsi="Arial"/>
          <w:sz w:val="18"/>
          <w:szCs w:val="18"/>
          <w:color w:val="auto"/>
        </w:rPr>
      </w:pPr>
    </w:p>
    <w:p>
      <w:pPr>
        <w:ind w:left="-20" w:firstLine="1436"/>
        <w:spacing w:after="0" w:line="291" w:lineRule="auto"/>
        <w:tabs>
          <w:tab w:leader="none" w:pos="1627" w:val="left"/>
        </w:tabs>
        <w:numPr>
          <w:ilvl w:val="2"/>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167" w:lineRule="exact"/>
        <w:rPr>
          <w:rFonts w:ascii="Arial" w:cs="Arial" w:eastAsia="Arial" w:hAnsi="Arial"/>
          <w:sz w:val="16"/>
          <w:szCs w:val="16"/>
          <w:color w:val="auto"/>
        </w:rPr>
      </w:pPr>
    </w:p>
    <w:p>
      <w:pPr>
        <w:ind w:left="-20" w:firstLine="1436"/>
        <w:spacing w:after="0" w:line="270" w:lineRule="auto"/>
        <w:tabs>
          <w:tab w:leader="none" w:pos="1678" w:val="left"/>
        </w:tabs>
        <w:numPr>
          <w:ilvl w:val="2"/>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The Committee shall determine the time or times at which or the circumstances under which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81" w:lineRule="exact"/>
        <w:rPr>
          <w:rFonts w:ascii="Arial" w:cs="Arial" w:eastAsia="Arial" w:hAnsi="Arial"/>
          <w:sz w:val="17"/>
          <w:szCs w:val="17"/>
          <w:color w:val="auto"/>
        </w:rPr>
      </w:pPr>
    </w:p>
    <w:p>
      <w:pPr>
        <w:ind w:left="-20" w:right="160" w:firstLine="1436"/>
        <w:spacing w:after="0" w:line="312" w:lineRule="auto"/>
        <w:tabs>
          <w:tab w:leader="none" w:pos="1728" w:val="left"/>
        </w:tabs>
        <w:numPr>
          <w:ilvl w:val="2"/>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000"/>
          </w:cols>
          <w:pgMar w:left="460" w:top="274" w:right="439" w:bottom="1440" w:gutter="0" w:footer="0" w:header="0"/>
        </w:sectPr>
      </w:pPr>
    </w:p>
    <w:bookmarkStart w:id="61" w:name="page62"/>
    <w:bookmarkEnd w:id="61"/>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66" w:lineRule="exact"/>
        <w:rPr>
          <w:sz w:val="20"/>
          <w:szCs w:val="20"/>
          <w:color w:val="auto"/>
        </w:rPr>
      </w:pPr>
    </w:p>
    <w:p>
      <w:pPr>
        <w:ind w:right="40" w:firstLine="1877"/>
        <w:spacing w:after="0" w:line="297" w:lineRule="auto"/>
        <w:tabs>
          <w:tab w:leader="none" w:pos="2168"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58" w:lineRule="exact"/>
        <w:rPr>
          <w:rFonts w:ascii="Arial" w:cs="Arial" w:eastAsia="Arial" w:hAnsi="Arial"/>
          <w:sz w:val="16"/>
          <w:szCs w:val="16"/>
          <w:color w:val="auto"/>
        </w:rPr>
      </w:pPr>
    </w:p>
    <w:p>
      <w:pPr>
        <w:ind w:right="20" w:firstLine="1877"/>
        <w:spacing w:after="0" w:line="302" w:lineRule="auto"/>
        <w:tabs>
          <w:tab w:leader="none" w:pos="2158"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154" w:lineRule="exact"/>
        <w:rPr>
          <w:rFonts w:ascii="Arial" w:cs="Arial" w:eastAsia="Arial" w:hAnsi="Arial"/>
          <w:sz w:val="16"/>
          <w:szCs w:val="16"/>
          <w:color w:val="auto"/>
        </w:rPr>
      </w:pPr>
    </w:p>
    <w:p>
      <w:pPr>
        <w:ind w:right="180" w:firstLine="885"/>
        <w:spacing w:after="0" w:line="259" w:lineRule="auto"/>
        <w:tabs>
          <w:tab w:leader="none" w:pos="1126"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86" w:lineRule="exact"/>
        <w:rPr>
          <w:rFonts w:ascii="Arial" w:cs="Arial" w:eastAsia="Arial" w:hAnsi="Arial"/>
          <w:sz w:val="18"/>
          <w:szCs w:val="18"/>
          <w:color w:val="auto"/>
        </w:rPr>
      </w:pPr>
    </w:p>
    <w:p>
      <w:pPr>
        <w:ind w:right="40" w:firstLine="1436"/>
        <w:spacing w:after="0" w:line="257" w:lineRule="auto"/>
        <w:tabs>
          <w:tab w:leader="none" w:pos="1647"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Right to Payment</w:t>
      </w:r>
      <w:r>
        <w:rPr>
          <w:rFonts w:ascii="Arial" w:cs="Arial" w:eastAsia="Arial" w:hAnsi="Arial"/>
          <w:sz w:val="18"/>
          <w:szCs w:val="18"/>
          <w:color w:val="auto"/>
        </w:rPr>
        <w:t>. A Stock Appreciation Right shall confer on the Participant to whom it is granted a right to receive,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188" w:lineRule="exact"/>
        <w:rPr>
          <w:rFonts w:ascii="Arial" w:cs="Arial" w:eastAsia="Arial" w:hAnsi="Arial"/>
          <w:sz w:val="18"/>
          <w:szCs w:val="18"/>
          <w:color w:val="auto"/>
        </w:rPr>
      </w:pPr>
    </w:p>
    <w:p>
      <w:pPr>
        <w:ind w:right="120" w:firstLine="1436"/>
        <w:spacing w:after="0" w:line="293" w:lineRule="auto"/>
        <w:tabs>
          <w:tab w:leader="none" w:pos="1698"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Terms</w:t>
      </w:r>
      <w:r>
        <w:rPr>
          <w:rFonts w:ascii="Arial" w:cs="Arial" w:eastAsia="Arial" w:hAnsi="Arial"/>
          <w:sz w:val="16"/>
          <w:szCs w:val="16"/>
          <w:color w:val="auto"/>
        </w:rPr>
        <w:t>. The Committee shall determine at the date of grant or thereafter, the time or times at which and the circumstances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64" w:lineRule="exact"/>
        <w:rPr>
          <w:rFonts w:ascii="Arial" w:cs="Arial" w:eastAsia="Arial" w:hAnsi="Arial"/>
          <w:sz w:val="16"/>
          <w:szCs w:val="16"/>
          <w:color w:val="auto"/>
        </w:rPr>
      </w:pPr>
    </w:p>
    <w:p>
      <w:pPr>
        <w:ind w:firstLine="1436"/>
        <w:spacing w:after="0" w:line="270" w:lineRule="auto"/>
        <w:tabs>
          <w:tab w:leader="none" w:pos="1748"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Tandem Stock Appreciation Rights</w:t>
      </w:r>
      <w:r>
        <w:rPr>
          <w:rFonts w:ascii="Arial" w:cs="Arial" w:eastAsia="Arial" w:hAnsi="Arial"/>
          <w:sz w:val="17"/>
          <w:szCs w:val="17"/>
          <w:color w:val="auto"/>
        </w:rPr>
        <w:t>. Any Tandem Stock Appreciation Right may be granted at the same time as the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is 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020"/>
          </w:cols>
          <w:pgMar w:left="440" w:top="274" w:right="439" w:bottom="1440" w:gutter="0" w:footer="0" w:header="0"/>
        </w:sectPr>
      </w:pPr>
    </w:p>
    <w:bookmarkStart w:id="62" w:name="page63"/>
    <w:bookmarkEnd w:id="62"/>
    <w:p>
      <w:pPr>
        <w:ind w:left="1140" w:hanging="255"/>
        <w:spacing w:after="0"/>
        <w:tabs>
          <w:tab w:leader="none" w:pos="114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Awards</w:t>
      </w:r>
      <w:r>
        <w:rPr>
          <w:rFonts w:ascii="Arial" w:cs="Arial" w:eastAsia="Arial" w:hAnsi="Arial"/>
          <w:sz w:val="16"/>
          <w:szCs w:val="16"/>
          <w:color w:val="auto"/>
        </w:rPr>
        <w:t>. The Committee is authorized to grant Restricted Stock Awards to any Eligible Person on the following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conditions:</w:t>
      </w:r>
    </w:p>
    <w:p>
      <w:pPr>
        <w:spacing w:after="0" w:line="210" w:lineRule="exact"/>
        <w:rPr>
          <w:rFonts w:ascii="Arial" w:cs="Arial" w:eastAsia="Arial" w:hAnsi="Arial"/>
          <w:sz w:val="16"/>
          <w:szCs w:val="16"/>
          <w:color w:val="auto"/>
        </w:rPr>
      </w:pPr>
    </w:p>
    <w:p>
      <w:pPr>
        <w:ind w:firstLine="1436"/>
        <w:spacing w:after="0" w:line="288" w:lineRule="auto"/>
        <w:tabs>
          <w:tab w:leader="none" w:pos="1647"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during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169" w:lineRule="exact"/>
        <w:rPr>
          <w:rFonts w:ascii="Arial" w:cs="Arial" w:eastAsia="Arial" w:hAnsi="Arial"/>
          <w:sz w:val="16"/>
          <w:szCs w:val="16"/>
          <w:color w:val="auto"/>
        </w:rPr>
      </w:pPr>
    </w:p>
    <w:p>
      <w:pPr>
        <w:ind w:firstLine="1436"/>
        <w:spacing w:after="0" w:line="255" w:lineRule="auto"/>
        <w:tabs>
          <w:tab w:leader="none" w:pos="1698"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93" w:lineRule="exact"/>
        <w:rPr>
          <w:rFonts w:ascii="Arial" w:cs="Arial" w:eastAsia="Arial" w:hAnsi="Arial"/>
          <w:sz w:val="18"/>
          <w:szCs w:val="18"/>
          <w:color w:val="auto"/>
        </w:rPr>
      </w:pPr>
    </w:p>
    <w:p>
      <w:pPr>
        <w:ind w:right="320" w:firstLine="1436"/>
        <w:spacing w:after="0" w:line="302" w:lineRule="auto"/>
        <w:tabs>
          <w:tab w:leader="none" w:pos="1748"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 Committee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4" w:lineRule="exact"/>
        <w:rPr>
          <w:rFonts w:ascii="Arial" w:cs="Arial" w:eastAsia="Arial" w:hAnsi="Arial"/>
          <w:sz w:val="16"/>
          <w:szCs w:val="16"/>
          <w:color w:val="auto"/>
        </w:rPr>
      </w:pPr>
    </w:p>
    <w:p>
      <w:pPr>
        <w:ind w:right="60" w:firstLine="1436"/>
        <w:spacing w:after="0" w:line="276" w:lineRule="auto"/>
        <w:tabs>
          <w:tab w:leader="none" w:pos="1737" w:val="left"/>
        </w:tabs>
        <w:numPr>
          <w:ilvl w:val="1"/>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 permit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to 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72" w:lineRule="exact"/>
        <w:rPr>
          <w:rFonts w:ascii="Arial" w:cs="Arial" w:eastAsia="Arial" w:hAnsi="Arial"/>
          <w:sz w:val="17"/>
          <w:szCs w:val="17"/>
          <w:color w:val="auto"/>
        </w:rPr>
      </w:pPr>
    </w:p>
    <w:p>
      <w:pPr>
        <w:ind w:left="1120" w:hanging="235"/>
        <w:spacing w:after="0"/>
        <w:tabs>
          <w:tab w:leader="none" w:pos="112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Deferred Stock Award</w:t>
      </w:r>
      <w:r>
        <w:rPr>
          <w:rFonts w:ascii="Arial" w:cs="Arial" w:eastAsia="Arial" w:hAnsi="Arial"/>
          <w:sz w:val="16"/>
          <w:szCs w:val="16"/>
          <w:color w:val="auto"/>
        </w:rPr>
        <w:t>. The Committee is authorized to grant Deferred Stock Awards to any Eligible Person on the following terms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210" w:lineRule="exact"/>
        <w:rPr>
          <w:rFonts w:ascii="Arial" w:cs="Arial" w:eastAsia="Arial" w:hAnsi="Arial"/>
          <w:sz w:val="16"/>
          <w:szCs w:val="16"/>
          <w:color w:val="auto"/>
        </w:rPr>
      </w:pPr>
    </w:p>
    <w:p>
      <w:pPr>
        <w:ind w:right="100" w:firstLine="1436"/>
        <w:spacing w:after="0" w:line="255" w:lineRule="auto"/>
        <w:tabs>
          <w:tab w:leader="none" w:pos="1647"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Award and Restrictions</w:t>
      </w:r>
      <w:r>
        <w:rPr>
          <w:rFonts w:ascii="Arial" w:cs="Arial" w:eastAsia="Arial" w:hAnsi="Arial"/>
          <w:sz w:val="18"/>
          <w:szCs w:val="18"/>
          <w:color w:val="auto"/>
        </w:rPr>
        <w:t>. Satisfaction of a Deferred Stock Award shall occur upon expiration of the deferral period specified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020"/>
          </w:cols>
          <w:pgMar w:left="440" w:top="274" w:right="439" w:bottom="1440" w:gutter="0" w:footer="0" w:header="0"/>
        </w:sectPr>
      </w:pPr>
    </w:p>
    <w:bookmarkStart w:id="63" w:name="page64"/>
    <w:bookmarkEnd w:id="63"/>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81" w:lineRule="exact"/>
        <w:rPr>
          <w:sz w:val="20"/>
          <w:szCs w:val="20"/>
          <w:color w:val="auto"/>
        </w:rPr>
      </w:pPr>
    </w:p>
    <w:p>
      <w:pPr>
        <w:ind w:firstLine="1436"/>
        <w:spacing w:after="0" w:line="255" w:lineRule="auto"/>
        <w:tabs>
          <w:tab w:leader="none" w:pos="1698"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89" w:lineRule="exact"/>
        <w:rPr>
          <w:rFonts w:ascii="Arial" w:cs="Arial" w:eastAsia="Arial" w:hAnsi="Arial"/>
          <w:sz w:val="18"/>
          <w:szCs w:val="18"/>
          <w:color w:val="auto"/>
        </w:rPr>
      </w:pPr>
    </w:p>
    <w:p>
      <w:pPr>
        <w:ind w:right="20" w:firstLine="1436"/>
        <w:spacing w:after="0" w:line="271" w:lineRule="auto"/>
        <w:tabs>
          <w:tab w:leader="none" w:pos="1748"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Unless otherwise determined by the Committee at the date of grant, any Dividend Equivalents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178" w:lineRule="exact"/>
        <w:rPr>
          <w:rFonts w:ascii="Arial" w:cs="Arial" w:eastAsia="Arial" w:hAnsi="Arial"/>
          <w:sz w:val="17"/>
          <w:szCs w:val="17"/>
          <w:color w:val="auto"/>
        </w:rPr>
      </w:pPr>
    </w:p>
    <w:p>
      <w:pPr>
        <w:ind w:right="140" w:firstLine="885"/>
        <w:spacing w:after="0" w:line="297" w:lineRule="auto"/>
        <w:tabs>
          <w:tab w:leader="none" w:pos="1106"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58" w:lineRule="exact"/>
        <w:rPr>
          <w:rFonts w:ascii="Arial" w:cs="Arial" w:eastAsia="Arial" w:hAnsi="Arial"/>
          <w:sz w:val="16"/>
          <w:szCs w:val="16"/>
          <w:color w:val="auto"/>
        </w:rPr>
      </w:pPr>
    </w:p>
    <w:p>
      <w:pPr>
        <w:ind w:firstLine="885"/>
        <w:spacing w:after="0" w:line="273" w:lineRule="auto"/>
        <w:tabs>
          <w:tab w:leader="none" w:pos="1136"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Committee is authorized to grant Dividend Equivalents to any Eligible Person entitling the Eligible Person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pacing w:after="0" w:line="178" w:lineRule="exact"/>
        <w:rPr>
          <w:rFonts w:ascii="Arial" w:cs="Arial" w:eastAsia="Arial" w:hAnsi="Arial"/>
          <w:sz w:val="17"/>
          <w:szCs w:val="17"/>
          <w:color w:val="auto"/>
        </w:rPr>
      </w:pPr>
    </w:p>
    <w:p>
      <w:pPr>
        <w:ind w:right="60" w:firstLine="885"/>
        <w:spacing w:after="0" w:line="293" w:lineRule="auto"/>
        <w:tabs>
          <w:tab w:leader="none" w:pos="1136"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020"/>
          </w:cols>
          <w:pgMar w:left="440" w:top="274" w:right="439" w:bottom="1440" w:gutter="0" w:footer="0" w:header="0"/>
        </w:sectPr>
      </w:pPr>
    </w:p>
    <w:bookmarkStart w:id="64" w:name="page65"/>
    <w:bookmarkEnd w:id="64"/>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88" w:lineRule="exact"/>
        <w:rPr>
          <w:sz w:val="20"/>
          <w:szCs w:val="20"/>
          <w:color w:val="auto"/>
        </w:rPr>
      </w:pPr>
    </w:p>
    <w:p>
      <w:pPr>
        <w:ind w:firstLine="885"/>
        <w:spacing w:after="0" w:line="270" w:lineRule="auto"/>
        <w:tabs>
          <w:tab w:leader="none" w:pos="1096" w:val="left"/>
        </w:tabs>
        <w:numPr>
          <w:ilvl w:val="1"/>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The Committee is authorized, subject to limitations under applicable law, to grant to any Eligible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181" w:lineRule="exact"/>
        <w:rPr>
          <w:rFonts w:ascii="Arial" w:cs="Arial" w:eastAsia="Arial" w:hAnsi="Arial"/>
          <w:sz w:val="17"/>
          <w:szCs w:val="17"/>
          <w:color w:val="auto"/>
        </w:rPr>
      </w:pPr>
    </w:p>
    <w:p>
      <w:pPr>
        <w:ind w:left="620" w:hanging="176"/>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885"/>
        <w:spacing w:after="0" w:line="269" w:lineRule="auto"/>
        <w:tabs>
          <w:tab w:leader="none" w:pos="1126" w:val="left"/>
        </w:tabs>
        <w:numPr>
          <w:ilvl w:val="1"/>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 Committee,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179" w:lineRule="exact"/>
        <w:rPr>
          <w:rFonts w:ascii="Arial" w:cs="Arial" w:eastAsia="Arial" w:hAnsi="Arial"/>
          <w:sz w:val="17"/>
          <w:szCs w:val="17"/>
          <w:color w:val="auto"/>
        </w:rPr>
      </w:pPr>
    </w:p>
    <w:p>
      <w:pPr>
        <w:ind w:right="180" w:firstLine="885"/>
        <w:spacing w:after="0" w:line="264" w:lineRule="auto"/>
        <w:tabs>
          <w:tab w:leader="none" w:pos="1136" w:val="left"/>
        </w:tabs>
        <w:numPr>
          <w:ilvl w:val="1"/>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 no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the term of any Option or Stock Appreciation Right exceed a period of ten years (or in the case of an Incentive Stock Option such shorter term as may be required under Section 422 of the Code).</w:t>
      </w:r>
    </w:p>
    <w:p>
      <w:pPr>
        <w:spacing w:after="0" w:line="181" w:lineRule="exact"/>
        <w:rPr>
          <w:rFonts w:ascii="Arial" w:cs="Arial" w:eastAsia="Arial" w:hAnsi="Arial"/>
          <w:sz w:val="18"/>
          <w:szCs w:val="18"/>
          <w:color w:val="auto"/>
        </w:rPr>
      </w:pPr>
    </w:p>
    <w:p>
      <w:pPr>
        <w:ind w:firstLine="885"/>
        <w:spacing w:after="0" w:line="272" w:lineRule="auto"/>
        <w:tabs>
          <w:tab w:leader="none" w:pos="1126" w:val="left"/>
        </w:tabs>
        <w:numPr>
          <w:ilvl w:val="1"/>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Form and Timing of Payment Under Awards; Deferrals</w:t>
      </w:r>
      <w:r>
        <w:rPr>
          <w:rFonts w:ascii="Arial" w:cs="Arial" w:eastAsia="Arial" w:hAnsi="Arial"/>
          <w:sz w:val="17"/>
          <w:szCs w:val="17"/>
          <w:color w:val="auto"/>
        </w:rPr>
        <w:t>. Subject to the terms of the Plan and any applicable Award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020"/>
          </w:cols>
          <w:pgMar w:left="440" w:top="274" w:right="439" w:bottom="1440" w:gutter="0" w:footer="0" w:header="0"/>
        </w:sectPr>
      </w:pPr>
    </w:p>
    <w:bookmarkStart w:id="65" w:name="page66"/>
    <w:bookmarkEnd w:id="6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 on installment or deferred payments or the grant or crediting of Dividend Equivalents or other amounts in respect of installment or deferred payments denominated in Shares.</w:t>
      </w:r>
    </w:p>
    <w:p>
      <w:pPr>
        <w:spacing w:after="0" w:line="166" w:lineRule="exact"/>
        <w:rPr>
          <w:sz w:val="20"/>
          <w:szCs w:val="20"/>
          <w:color w:val="auto"/>
        </w:rPr>
      </w:pPr>
    </w:p>
    <w:p>
      <w:pPr>
        <w:ind w:firstLine="885"/>
        <w:spacing w:after="0" w:line="297" w:lineRule="auto"/>
        <w:tabs>
          <w:tab w:leader="none" w:pos="1136"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 If the It is the intent of the Company that the grant of any Awards to or other transaction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58" w:lineRule="exact"/>
        <w:rPr>
          <w:rFonts w:ascii="Arial" w:cs="Arial" w:eastAsia="Arial" w:hAnsi="Arial"/>
          <w:sz w:val="16"/>
          <w:szCs w:val="16"/>
          <w:color w:val="auto"/>
        </w:rPr>
      </w:pPr>
    </w:p>
    <w:p>
      <w:pPr>
        <w:ind w:left="1120" w:hanging="235"/>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436"/>
        <w:spacing w:after="0" w:line="257" w:lineRule="auto"/>
        <w:tabs>
          <w:tab w:leader="none" w:pos="1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88" w:lineRule="exact"/>
        <w:rPr>
          <w:rFonts w:ascii="Arial" w:cs="Arial" w:eastAsia="Arial" w:hAnsi="Arial"/>
          <w:sz w:val="18"/>
          <w:szCs w:val="18"/>
          <w:color w:val="auto"/>
        </w:rPr>
      </w:pPr>
    </w:p>
    <w:p>
      <w:pPr>
        <w:ind w:right="40" w:firstLine="1436"/>
        <w:spacing w:after="0" w:line="342" w:lineRule="auto"/>
        <w:tabs>
          <w:tab w:leader="none" w:pos="1698"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123" w:lineRule="exact"/>
        <w:rPr>
          <w:rFonts w:ascii="Arial" w:cs="Arial" w:eastAsia="Arial" w:hAnsi="Arial"/>
          <w:sz w:val="16"/>
          <w:szCs w:val="16"/>
          <w:color w:val="auto"/>
        </w:rPr>
      </w:pPr>
    </w:p>
    <w:p>
      <w:pPr>
        <w:ind w:right="120" w:firstLine="1877"/>
        <w:spacing w:after="0" w:line="302" w:lineRule="auto"/>
        <w:tabs>
          <w:tab w:leader="none" w:pos="2168" w:val="left"/>
        </w:tabs>
        <w:numPr>
          <w:ilvl w:val="2"/>
          <w:numId w:val="67"/>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54" w:lineRule="exact"/>
        <w:rPr>
          <w:rFonts w:ascii="Arial" w:cs="Arial" w:eastAsia="Arial" w:hAnsi="Arial"/>
          <w:sz w:val="16"/>
          <w:szCs w:val="16"/>
          <w:color w:val="auto"/>
        </w:rPr>
      </w:pPr>
    </w:p>
    <w:p>
      <w:pPr>
        <w:ind w:right="80" w:firstLine="1877"/>
        <w:spacing w:after="0" w:line="277" w:lineRule="auto"/>
        <w:tabs>
          <w:tab w:leader="none" w:pos="2158"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70" w:lineRule="exact"/>
        <w:rPr>
          <w:rFonts w:ascii="Arial" w:cs="Arial" w:eastAsia="Arial" w:hAnsi="Arial"/>
          <w:sz w:val="18"/>
          <w:szCs w:val="18"/>
          <w:color w:val="auto"/>
        </w:rPr>
      </w:pPr>
    </w:p>
    <w:p>
      <w:pPr>
        <w:ind w:right="440" w:firstLine="1877"/>
        <w:spacing w:after="0" w:line="277" w:lineRule="auto"/>
        <w:tabs>
          <w:tab w:leader="none" w:pos="2158" w:val="left"/>
        </w:tabs>
        <w:numPr>
          <w:ilvl w:val="2"/>
          <w:numId w:val="67"/>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70" w:lineRule="exact"/>
        <w:rPr>
          <w:rFonts w:ascii="Arial" w:cs="Arial" w:eastAsia="Arial" w:hAnsi="Arial"/>
          <w:sz w:val="18"/>
          <w:szCs w:val="18"/>
          <w:color w:val="auto"/>
        </w:rPr>
      </w:pPr>
    </w:p>
    <w:p>
      <w:pPr>
        <w:ind w:right="180" w:firstLine="1877"/>
        <w:spacing w:after="0" w:line="264" w:lineRule="auto"/>
        <w:tabs>
          <w:tab w:leader="none" w:pos="2168" w:val="left"/>
        </w:tabs>
        <w:numPr>
          <w:ilvl w:val="2"/>
          <w:numId w:val="67"/>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000"/>
          </w:cols>
          <w:pgMar w:left="440" w:top="274" w:right="459" w:bottom="1440" w:gutter="0" w:footer="0" w:header="0"/>
        </w:sectPr>
      </w:pPr>
    </w:p>
    <w:bookmarkStart w:id="66" w:name="page67"/>
    <w:bookmarkEnd w:id="66"/>
    <w:p>
      <w:pPr>
        <w:ind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 Section 409A.</w:t>
      </w:r>
    </w:p>
    <w:p>
      <w:pPr>
        <w:spacing w:after="0" w:line="178" w:lineRule="exact"/>
        <w:rPr>
          <w:sz w:val="20"/>
          <w:szCs w:val="20"/>
          <w:color w:val="auto"/>
        </w:rPr>
      </w:pPr>
    </w:p>
    <w:p>
      <w:pPr>
        <w:ind w:right="240" w:firstLine="1436"/>
        <w:spacing w:after="0" w:line="276" w:lineRule="auto"/>
        <w:tabs>
          <w:tab w:leader="none" w:pos="1748" w:val="left"/>
        </w:tabs>
        <w:numPr>
          <w:ilvl w:val="3"/>
          <w:numId w:val="68"/>
        </w:numPr>
        <w:rPr>
          <w:rFonts w:ascii="Arial" w:cs="Arial" w:eastAsia="Arial" w:hAnsi="Arial"/>
          <w:sz w:val="17"/>
          <w:szCs w:val="17"/>
          <w:color w:val="auto"/>
        </w:rPr>
      </w:pPr>
      <w:r>
        <w:rPr>
          <w:rFonts w:ascii="Arial" w:cs="Arial" w:eastAsia="Arial" w:hAnsi="Arial"/>
          <w:sz w:val="17"/>
          <w:szCs w:val="17"/>
          <w:color w:val="auto"/>
        </w:rPr>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72" w:lineRule="exact"/>
        <w:rPr>
          <w:rFonts w:ascii="Arial" w:cs="Arial" w:eastAsia="Arial" w:hAnsi="Arial"/>
          <w:sz w:val="17"/>
          <w:szCs w:val="17"/>
          <w:color w:val="auto"/>
        </w:rPr>
      </w:pPr>
    </w:p>
    <w:p>
      <w:pPr>
        <w:ind w:left="620" w:hanging="176"/>
        <w:spacing w:after="0"/>
        <w:tabs>
          <w:tab w:leader="none" w:pos="620" w:val="left"/>
        </w:tabs>
        <w:numPr>
          <w:ilvl w:val="1"/>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20" w:firstLine="885"/>
        <w:spacing w:after="0" w:line="264" w:lineRule="auto"/>
        <w:tabs>
          <w:tab w:leader="none" w:pos="1126" w:val="left"/>
        </w:tabs>
        <w:numPr>
          <w:ilvl w:val="2"/>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Unless otherwise specified by the Committee,] the provisions of this Section 8 shall be applicable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Award granted to an Eligible Person who is, or is likely to be, as of the end of the tax year in which the Company would claim a tax deduction in connection with such Award, a Covered Employee.</w:t>
      </w:r>
    </w:p>
    <w:p>
      <w:pPr>
        <w:spacing w:after="0" w:line="181" w:lineRule="exact"/>
        <w:rPr>
          <w:rFonts w:ascii="Arial" w:cs="Arial" w:eastAsia="Arial" w:hAnsi="Arial"/>
          <w:sz w:val="18"/>
          <w:szCs w:val="18"/>
          <w:color w:val="auto"/>
        </w:rPr>
      </w:pPr>
    </w:p>
    <w:p>
      <w:pPr>
        <w:ind w:firstLine="885"/>
        <w:spacing w:after="0" w:line="284" w:lineRule="auto"/>
        <w:tabs>
          <w:tab w:leader="none" w:pos="1136" w:val="left"/>
        </w:tabs>
        <w:numPr>
          <w:ilvl w:val="2"/>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 Performance Award is subject to this Section 8, then the payment or distribution thereof or the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w:t>
      </w:r>
    </w:p>
    <w:p>
      <w:pPr>
        <w:spacing w:after="0" w:line="1" w:lineRule="exact"/>
        <w:rPr>
          <w:rFonts w:ascii="Arial" w:cs="Arial" w:eastAsia="Arial" w:hAnsi="Arial"/>
          <w:sz w:val="16"/>
          <w:szCs w:val="16"/>
          <w:color w:val="auto"/>
        </w:rPr>
      </w:pPr>
    </w:p>
    <w:p>
      <w:pPr>
        <w:ind w:right="40" w:firstLine="4"/>
        <w:spacing w:after="0" w:line="267" w:lineRule="auto"/>
        <w:tabs>
          <w:tab w:leader="none" w:pos="2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0960"/>
          </w:cols>
          <w:pgMar w:left="440" w:top="274" w:right="499" w:bottom="1440" w:gutter="0" w:footer="0" w:header="0"/>
        </w:sectPr>
      </w:pPr>
    </w:p>
    <w:bookmarkStart w:id="67" w:name="page68"/>
    <w:bookmarkEnd w:id="67"/>
    <w:p>
      <w:pPr>
        <w:ind w:left="-4" w:right="20" w:firstLine="885"/>
        <w:spacing w:after="0" w:line="302" w:lineRule="auto"/>
        <w:tabs>
          <w:tab w:leader="none" w:pos="1122" w:val="left"/>
        </w:tabs>
        <w:numPr>
          <w:ilvl w:val="2"/>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Period; Timing For Establishing Performance Goals</w:t>
      </w:r>
      <w:r>
        <w:rPr>
          <w:rFonts w:ascii="Arial" w:cs="Arial" w:eastAsia="Arial" w:hAnsi="Arial"/>
          <w:sz w:val="16"/>
          <w:szCs w:val="16"/>
          <w:color w:val="auto"/>
        </w:rPr>
        <w:t>. Achievement of performance goals in respect of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154" w:lineRule="exact"/>
        <w:rPr>
          <w:rFonts w:ascii="Arial" w:cs="Arial" w:eastAsia="Arial" w:hAnsi="Arial"/>
          <w:sz w:val="16"/>
          <w:szCs w:val="16"/>
          <w:color w:val="auto"/>
        </w:rPr>
      </w:pPr>
    </w:p>
    <w:p>
      <w:pPr>
        <w:jc w:val="both"/>
        <w:ind w:left="-4" w:right="80" w:firstLine="885"/>
        <w:spacing w:after="0" w:line="279" w:lineRule="auto"/>
        <w:tabs>
          <w:tab w:leader="none" w:pos="1132" w:val="left"/>
        </w:tabs>
        <w:numPr>
          <w:ilvl w:val="2"/>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Committee may, in its discretion, reduce the amount of a settlement otherwise to be made in connection with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71" w:lineRule="exact"/>
        <w:rPr>
          <w:rFonts w:ascii="Arial" w:cs="Arial" w:eastAsia="Arial" w:hAnsi="Arial"/>
          <w:sz w:val="17"/>
          <w:szCs w:val="17"/>
          <w:color w:val="auto"/>
        </w:rPr>
      </w:pPr>
    </w:p>
    <w:p>
      <w:pPr>
        <w:ind w:left="-4" w:firstLine="885"/>
        <w:spacing w:after="0" w:line="259" w:lineRule="auto"/>
        <w:tabs>
          <w:tab w:leader="none" w:pos="1122" w:val="left"/>
        </w:tabs>
        <w:numPr>
          <w:ilvl w:val="2"/>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8 unless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616" w:hanging="176"/>
        <w:spacing w:after="0"/>
        <w:tabs>
          <w:tab w:leader="none" w:pos="616" w:val="left"/>
        </w:tabs>
        <w:numPr>
          <w:ilvl w:val="1"/>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60" w:firstLine="885"/>
        <w:spacing w:after="0" w:line="312" w:lineRule="auto"/>
        <w:tabs>
          <w:tab w:leader="none" w:pos="1122" w:val="left"/>
        </w:tabs>
        <w:numPr>
          <w:ilvl w:val="2"/>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“Change in Control.” </w:t>
      </w:r>
      <w:r>
        <w:rPr>
          <w:rFonts w:ascii="Arial" w:cs="Arial" w:eastAsia="Arial" w:hAnsi="Arial"/>
          <w:sz w:val="16"/>
          <w:szCs w:val="16"/>
          <w:color w:val="auto"/>
        </w:rPr>
        <w:t>If and only to the extent provided in any employment or other agreement between the Participant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146" w:lineRule="exact"/>
        <w:rPr>
          <w:rFonts w:ascii="Arial" w:cs="Arial" w:eastAsia="Arial" w:hAnsi="Arial"/>
          <w:sz w:val="16"/>
          <w:szCs w:val="16"/>
          <w:color w:val="auto"/>
        </w:rPr>
      </w:pPr>
    </w:p>
    <w:p>
      <w:pPr>
        <w:ind w:left="-4" w:right="160" w:firstLine="1436"/>
        <w:spacing w:after="0" w:line="277" w:lineRule="auto"/>
        <w:tabs>
          <w:tab w:leader="none" w:pos="1644" w:val="left"/>
        </w:tabs>
        <w:numPr>
          <w:ilvl w:val="3"/>
          <w:numId w:val="72"/>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70" w:lineRule="exact"/>
        <w:rPr>
          <w:rFonts w:ascii="Arial" w:cs="Arial" w:eastAsia="Arial" w:hAnsi="Arial"/>
          <w:sz w:val="18"/>
          <w:szCs w:val="18"/>
          <w:color w:val="auto"/>
        </w:rPr>
      </w:pPr>
    </w:p>
    <w:p>
      <w:pPr>
        <w:ind w:left="-4" w:right="120" w:firstLine="1436"/>
        <w:spacing w:after="0" w:line="259" w:lineRule="auto"/>
        <w:tabs>
          <w:tab w:leader="none" w:pos="1694" w:val="left"/>
        </w:tabs>
        <w:numPr>
          <w:ilvl w:val="3"/>
          <w:numId w:val="72"/>
        </w:numPr>
        <w:rPr>
          <w:rFonts w:ascii="Arial" w:cs="Arial" w:eastAsia="Arial" w:hAnsi="Arial"/>
          <w:sz w:val="18"/>
          <w:szCs w:val="18"/>
          <w:color w:val="auto"/>
        </w:rPr>
      </w:pPr>
      <w:r>
        <w:rPr>
          <w:rFonts w:ascii="Arial" w:cs="Arial" w:eastAsia="Arial" w:hAnsi="Arial"/>
          <w:sz w:val="18"/>
          <w:szCs w:val="18"/>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186" w:lineRule="exact"/>
        <w:rPr>
          <w:rFonts w:ascii="Arial" w:cs="Arial" w:eastAsia="Arial" w:hAnsi="Arial"/>
          <w:sz w:val="18"/>
          <w:szCs w:val="18"/>
          <w:color w:val="auto"/>
        </w:rPr>
      </w:pPr>
    </w:p>
    <w:p>
      <w:pPr>
        <w:ind w:left="-4" w:right="700" w:firstLine="1436"/>
        <w:spacing w:after="0" w:line="342" w:lineRule="auto"/>
        <w:tabs>
          <w:tab w:leader="none" w:pos="1744" w:val="left"/>
        </w:tabs>
        <w:numPr>
          <w:ilvl w:val="3"/>
          <w:numId w:val="72"/>
        </w:numPr>
        <w:rPr>
          <w:rFonts w:ascii="Arial" w:cs="Arial" w:eastAsia="Arial" w:hAnsi="Arial"/>
          <w:sz w:val="16"/>
          <w:szCs w:val="16"/>
          <w:color w:val="auto"/>
        </w:rPr>
      </w:pPr>
      <w:r>
        <w:rPr>
          <w:rFonts w:ascii="Arial" w:cs="Arial" w:eastAsia="Arial" w:hAnsi="Arial"/>
          <w:sz w:val="16"/>
          <w:szCs w:val="16"/>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23" w:lineRule="exact"/>
        <w:rPr>
          <w:rFonts w:ascii="Arial" w:cs="Arial" w:eastAsia="Arial" w:hAnsi="Arial"/>
          <w:sz w:val="16"/>
          <w:szCs w:val="16"/>
          <w:color w:val="auto"/>
        </w:rPr>
      </w:pPr>
    </w:p>
    <w:p>
      <w:pPr>
        <w:ind w:left="-4" w:right="20" w:firstLine="885"/>
        <w:spacing w:after="0" w:line="277" w:lineRule="auto"/>
        <w:tabs>
          <w:tab w:leader="none" w:pos="1132" w:val="left"/>
        </w:tabs>
        <w:numPr>
          <w:ilvl w:val="2"/>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agreement between the Participant and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Related Entity, or in an Award Agreement, a “Change in Control” shall mean the occurrence of any of the following:</w:t>
      </w:r>
    </w:p>
    <w:p>
      <w:pPr>
        <w:spacing w:after="0" w:line="170" w:lineRule="exact"/>
        <w:rPr>
          <w:rFonts w:ascii="Arial" w:cs="Arial" w:eastAsia="Arial" w:hAnsi="Arial"/>
          <w:sz w:val="18"/>
          <w:szCs w:val="18"/>
          <w:color w:val="auto"/>
        </w:rPr>
      </w:pPr>
    </w:p>
    <w:p>
      <w:pPr>
        <w:ind w:left="-4" w:right="40" w:firstLine="1436"/>
        <w:spacing w:after="0" w:line="291" w:lineRule="auto"/>
        <w:tabs>
          <w:tab w:leader="none" w:pos="1644" w:val="left"/>
        </w:tabs>
        <w:numPr>
          <w:ilvl w:val="3"/>
          <w:numId w:val="72"/>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w:t>
      </w:r>
    </w:p>
    <w:p>
      <w:pPr>
        <w:ind w:left="-4" w:right="60" w:firstLine="4"/>
        <w:spacing w:after="0" w:line="290" w:lineRule="auto"/>
        <w:tabs>
          <w:tab w:leader="none" w:pos="281"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9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016"/>
          </w:cols>
          <w:pgMar w:left="444" w:top="274" w:right="439" w:bottom="1440" w:gutter="0" w:footer="0" w:header="0"/>
        </w:sectPr>
      </w:pPr>
    </w:p>
    <w:bookmarkStart w:id="68" w:name="page69"/>
    <w:bookmarkEnd w:id="68"/>
    <w:p>
      <w:pPr>
        <w:ind w:left="-20" w:firstLine="1436"/>
        <w:spacing w:after="0" w:line="255" w:lineRule="auto"/>
        <w:tabs>
          <w:tab w:leader="none" w:pos="1678" w:val="left"/>
        </w:tabs>
        <w:numPr>
          <w:ilvl w:val="2"/>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9" w:lineRule="exact"/>
        <w:rPr>
          <w:rFonts w:ascii="Arial" w:cs="Arial" w:eastAsia="Arial" w:hAnsi="Arial"/>
          <w:sz w:val="18"/>
          <w:szCs w:val="18"/>
          <w:color w:val="auto"/>
        </w:rPr>
      </w:pPr>
    </w:p>
    <w:p>
      <w:pPr>
        <w:ind w:left="-20" w:firstLine="1436"/>
        <w:spacing w:after="0" w:line="267" w:lineRule="auto"/>
        <w:tabs>
          <w:tab w:leader="none" w:pos="1728" w:val="left"/>
        </w:tabs>
        <w:numPr>
          <w:ilvl w:val="2"/>
          <w:numId w:val="74"/>
        </w:numPr>
        <w:rPr>
          <w:rFonts w:ascii="Arial" w:cs="Arial" w:eastAsia="Arial" w:hAnsi="Arial"/>
          <w:sz w:val="17"/>
          <w:szCs w:val="17"/>
          <w:color w:val="auto"/>
        </w:rPr>
      </w:pPr>
      <w:r>
        <w:rPr>
          <w:rFonts w:ascii="Arial" w:cs="Arial" w:eastAsia="Arial" w:hAnsi="Arial"/>
          <w:sz w:val="17"/>
          <w:szCs w:val="17"/>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2" w:lineRule="exact"/>
        <w:rPr>
          <w:rFonts w:ascii="Arial" w:cs="Arial" w:eastAsia="Arial" w:hAnsi="Arial"/>
          <w:sz w:val="17"/>
          <w:szCs w:val="17"/>
          <w:color w:val="auto"/>
        </w:rPr>
      </w:pPr>
    </w:p>
    <w:p>
      <w:pPr>
        <w:ind w:left="1720" w:hanging="304"/>
        <w:spacing w:after="0"/>
        <w:tabs>
          <w:tab w:leader="none" w:pos="17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left="700" w:hanging="27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40" w:firstLine="885"/>
        <w:spacing w:after="0" w:line="255" w:lineRule="auto"/>
        <w:tabs>
          <w:tab w:leader="none" w:pos="1106"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Compliance With Legal and Other Requirements.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89" w:lineRule="exact"/>
        <w:rPr>
          <w:rFonts w:ascii="Arial" w:cs="Arial" w:eastAsia="Arial" w:hAnsi="Arial"/>
          <w:sz w:val="18"/>
          <w:szCs w:val="18"/>
          <w:color w:val="auto"/>
        </w:rPr>
      </w:pPr>
    </w:p>
    <w:p>
      <w:pPr>
        <w:ind w:left="-20" w:right="200" w:firstLine="885"/>
        <w:spacing w:after="0" w:line="264" w:lineRule="auto"/>
        <w:tabs>
          <w:tab w:leader="none" w:pos="1116"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Limits on Transferability; Beneficiaries</w:t>
      </w:r>
      <w:r>
        <w:rPr>
          <w:rFonts w:ascii="Arial" w:cs="Arial" w:eastAsia="Arial" w:hAnsi="Arial"/>
          <w:sz w:val="18"/>
          <w:szCs w:val="18"/>
          <w:color w:val="auto"/>
        </w:rPr>
        <w:t>. No Award or other right or interest granted under the Plan shall be pledged, hypothecated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encumbered or subject to any lien, obligation or liability of such Participant to any party, or assigned or transferred by such Participant otherwise than by will or the laws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0980"/>
          </w:cols>
          <w:pgMar w:left="460" w:top="274" w:right="459" w:bottom="1440" w:gutter="0" w:footer="0" w:header="0"/>
        </w:sectPr>
      </w:pPr>
    </w:p>
    <w:bookmarkStart w:id="69" w:name="page70"/>
    <w:bookmarkEnd w:id="69"/>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79" w:lineRule="exact"/>
        <w:rPr>
          <w:sz w:val="20"/>
          <w:szCs w:val="20"/>
          <w:color w:val="auto"/>
        </w:rPr>
      </w:pPr>
    </w:p>
    <w:p>
      <w:pPr>
        <w:ind w:left="1140" w:hanging="255"/>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36"/>
        <w:spacing w:after="0" w:line="270" w:lineRule="auto"/>
        <w:tabs>
          <w:tab w:leader="none" w:pos="1647" w:val="left"/>
        </w:tabs>
        <w:numPr>
          <w:ilvl w:val="1"/>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 of cash, Shares,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81" w:lineRule="exact"/>
        <w:rPr>
          <w:rFonts w:ascii="Arial" w:cs="Arial" w:eastAsia="Arial" w:hAnsi="Arial"/>
          <w:sz w:val="17"/>
          <w:szCs w:val="17"/>
          <w:color w:val="auto"/>
        </w:rPr>
      </w:pPr>
    </w:p>
    <w:p>
      <w:pPr>
        <w:ind w:firstLine="1436"/>
        <w:spacing w:after="0" w:line="286" w:lineRule="auto"/>
        <w:tabs>
          <w:tab w:leader="none" w:pos="1698"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in Case of Certain Transactions</w:t>
      </w:r>
      <w:r>
        <w:rPr>
          <w:rFonts w:ascii="Arial" w:cs="Arial" w:eastAsia="Arial" w:hAnsi="Arial"/>
          <w:sz w:val="16"/>
          <w:szCs w:val="16"/>
          <w:color w:val="auto"/>
        </w:rPr>
        <w:t>. In the event of any merger, consolidation or other reorganization in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74" w:lineRule="exact"/>
        <w:rPr>
          <w:rFonts w:ascii="Arial" w:cs="Arial" w:eastAsia="Arial" w:hAnsi="Arial"/>
          <w:sz w:val="16"/>
          <w:szCs w:val="16"/>
          <w:color w:val="auto"/>
        </w:rPr>
      </w:pPr>
    </w:p>
    <w:p>
      <w:pPr>
        <w:ind w:right="20" w:firstLine="1436"/>
        <w:spacing w:after="0" w:line="257" w:lineRule="auto"/>
        <w:tabs>
          <w:tab w:leader="none" w:pos="1748" w:val="left"/>
        </w:tabs>
        <w:numPr>
          <w:ilvl w:val="1"/>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Other Adjustments</w:t>
      </w:r>
      <w:r>
        <w:rPr>
          <w:rFonts w:ascii="Arial" w:cs="Arial" w:eastAsia="Arial" w:hAnsi="Arial"/>
          <w:sz w:val="18"/>
          <w:szCs w:val="18"/>
          <w:color w:val="auto"/>
        </w:rPr>
        <w:t>. The Committee (and the Board if and only to the extent such authority is not required to be exercised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020"/>
          </w:cols>
          <w:pgMar w:left="440" w:top="274" w:right="439" w:bottom="1440" w:gutter="0" w:footer="0" w:header="0"/>
        </w:sectPr>
      </w:pPr>
    </w:p>
    <w:bookmarkStart w:id="70" w:name="page71"/>
    <w:bookmarkEnd w:id="7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pacing w:after="0" w:line="166" w:lineRule="exact"/>
        <w:rPr>
          <w:sz w:val="20"/>
          <w:szCs w:val="20"/>
          <w:color w:val="auto"/>
        </w:rPr>
      </w:pPr>
    </w:p>
    <w:p>
      <w:pPr>
        <w:ind w:right="80" w:firstLine="885"/>
        <w:spacing w:after="0" w:line="293" w:lineRule="auto"/>
        <w:tabs>
          <w:tab w:leader="none" w:pos="1136" w:val="left"/>
        </w:tabs>
        <w:numPr>
          <w:ilvl w:val="1"/>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 an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64" w:lineRule="exact"/>
        <w:rPr>
          <w:rFonts w:ascii="Arial" w:cs="Arial" w:eastAsia="Arial" w:hAnsi="Arial"/>
          <w:sz w:val="16"/>
          <w:szCs w:val="16"/>
          <w:color w:val="auto"/>
        </w:rPr>
      </w:pPr>
    </w:p>
    <w:p>
      <w:pPr>
        <w:ind w:right="20" w:firstLine="885"/>
        <w:spacing w:after="0" w:line="288" w:lineRule="auto"/>
        <w:tabs>
          <w:tab w:leader="none" w:pos="1126" w:val="left"/>
        </w:tabs>
        <w:numPr>
          <w:ilvl w:val="1"/>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 Committee’s authority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169" w:lineRule="exact"/>
        <w:rPr>
          <w:rFonts w:ascii="Arial" w:cs="Arial" w:eastAsia="Arial" w:hAnsi="Arial"/>
          <w:sz w:val="16"/>
          <w:szCs w:val="16"/>
          <w:color w:val="auto"/>
        </w:rPr>
      </w:pPr>
    </w:p>
    <w:p>
      <w:pPr>
        <w:ind w:left="1120" w:hanging="235"/>
        <w:spacing w:after="0"/>
        <w:tabs>
          <w:tab w:leader="none" w:pos="1120" w:val="left"/>
        </w:tabs>
        <w:numPr>
          <w:ilvl w:val="1"/>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 construed as</w:t>
      </w:r>
    </w:p>
    <w:p>
      <w:pPr>
        <w:spacing w:after="0" w:line="46" w:lineRule="exact"/>
        <w:rPr>
          <w:rFonts w:ascii="Arial" w:cs="Arial" w:eastAsia="Arial" w:hAnsi="Arial"/>
          <w:sz w:val="16"/>
          <w:szCs w:val="16"/>
          <w:color w:val="auto"/>
        </w:rPr>
      </w:pPr>
    </w:p>
    <w:p>
      <w:pPr>
        <w:ind w:firstLine="4"/>
        <w:spacing w:after="0" w:line="267" w:lineRule="auto"/>
        <w:tabs>
          <w:tab w:leader="none" w:pos="215" w:val="left"/>
        </w:tabs>
        <w:numPr>
          <w:ilvl w:val="0"/>
          <w:numId w:val="78"/>
        </w:numPr>
        <w:rPr>
          <w:rFonts w:ascii="Arial" w:cs="Arial" w:eastAsia="Arial" w:hAnsi="Arial"/>
          <w:sz w:val="17"/>
          <w:szCs w:val="17"/>
          <w:color w:val="auto"/>
        </w:rPr>
      </w:pPr>
      <w:r>
        <w:rPr>
          <w:rFonts w:ascii="Arial" w:cs="Arial" w:eastAsia="Arial" w:hAnsi="Arial"/>
          <w:sz w:val="17"/>
          <w:szCs w:val="17"/>
          <w:color w:val="auto"/>
        </w:rPr>
        <w:t>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020"/>
          </w:cols>
          <w:pgMar w:left="440" w:top="274" w:right="439" w:bottom="1440" w:gutter="0" w:footer="0" w:header="0"/>
        </w:sectPr>
      </w:pPr>
    </w:p>
    <w:bookmarkStart w:id="71" w:name="page72"/>
    <w:bookmarkEnd w:id="71"/>
    <w:p>
      <w:pPr>
        <w:ind w:left="-20" w:firstLine="885"/>
        <w:spacing w:after="0" w:line="254" w:lineRule="auto"/>
        <w:tabs>
          <w:tab w:leader="none" w:pos="1116"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Unfunded Status of Awards; Creation of Trusts</w:t>
      </w:r>
      <w:r>
        <w:rPr>
          <w:rFonts w:ascii="Arial" w:cs="Arial" w:eastAsia="Arial" w:hAnsi="Arial"/>
          <w:sz w:val="18"/>
          <w:szCs w:val="18"/>
          <w:color w:val="auto"/>
        </w:rPr>
        <w:t>. The Plan is intended to constitute an “unfunded” plan for incentive and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92" w:lineRule="exact"/>
        <w:rPr>
          <w:rFonts w:ascii="Arial" w:cs="Arial" w:eastAsia="Arial" w:hAnsi="Arial"/>
          <w:sz w:val="18"/>
          <w:szCs w:val="18"/>
          <w:color w:val="auto"/>
        </w:rPr>
      </w:pPr>
    </w:p>
    <w:p>
      <w:pPr>
        <w:ind w:left="-20" w:firstLine="885"/>
        <w:spacing w:after="0" w:line="286" w:lineRule="auto"/>
        <w:tabs>
          <w:tab w:leader="none" w:pos="1116"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Nonexclusivity of the Plan</w:t>
      </w:r>
      <w:r>
        <w:rPr>
          <w:rFonts w:ascii="Arial" w:cs="Arial" w:eastAsia="Arial" w:hAnsi="Arial"/>
          <w:sz w:val="17"/>
          <w:szCs w:val="17"/>
          <w:color w:val="auto"/>
        </w:rPr>
        <w:t>. Neither the adoption of the Plan by the Board nor its submission to the shareholders of the Company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65" w:lineRule="exact"/>
        <w:rPr>
          <w:rFonts w:ascii="Arial" w:cs="Arial" w:eastAsia="Arial" w:hAnsi="Arial"/>
          <w:sz w:val="17"/>
          <w:szCs w:val="17"/>
          <w:color w:val="auto"/>
        </w:rPr>
      </w:pPr>
    </w:p>
    <w:p>
      <w:pPr>
        <w:ind w:left="-20" w:right="20" w:firstLine="885"/>
        <w:spacing w:after="0" w:line="257" w:lineRule="auto"/>
        <w:tabs>
          <w:tab w:leader="none" w:pos="1076"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 forfeiture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8" w:lineRule="exact"/>
        <w:rPr>
          <w:rFonts w:ascii="Arial" w:cs="Arial" w:eastAsia="Arial" w:hAnsi="Arial"/>
          <w:sz w:val="18"/>
          <w:szCs w:val="18"/>
          <w:color w:val="auto"/>
        </w:rPr>
      </w:pPr>
    </w:p>
    <w:p>
      <w:pPr>
        <w:ind w:left="-20" w:right="240" w:firstLine="885"/>
        <w:spacing w:after="0" w:line="264" w:lineRule="auto"/>
        <w:tabs>
          <w:tab w:leader="none" w:pos="1076"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validity, construction and effect of the Plan, any rules and regulations under the Plan, and any Award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determined in accordance with the laws of the Commonwealth of Massachusetts without giving effect to principles of conflict of laws, and applicable federal law.</w:t>
      </w:r>
    </w:p>
    <w:p>
      <w:pPr>
        <w:spacing w:after="0" w:line="181" w:lineRule="exact"/>
        <w:rPr>
          <w:rFonts w:ascii="Arial" w:cs="Arial" w:eastAsia="Arial" w:hAnsi="Arial"/>
          <w:sz w:val="18"/>
          <w:szCs w:val="18"/>
          <w:color w:val="auto"/>
        </w:rPr>
      </w:pPr>
    </w:p>
    <w:p>
      <w:pPr>
        <w:jc w:val="both"/>
        <w:ind w:left="-20" w:right="120" w:firstLine="885"/>
        <w:spacing w:after="0" w:line="312" w:lineRule="auto"/>
        <w:tabs>
          <w:tab w:leader="none" w:pos="1116"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Non-U.S. Laws</w:t>
      </w:r>
      <w:r>
        <w:rPr>
          <w:rFonts w:ascii="Arial" w:cs="Arial" w:eastAsia="Arial" w:hAnsi="Arial"/>
          <w:sz w:val="16"/>
          <w:szCs w:val="16"/>
          <w:color w:val="auto"/>
        </w:rPr>
        <w:t>. The Committee shall have the authority to adopt such modifications, procedures, and subplans as may be necessary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146" w:lineRule="exact"/>
        <w:rPr>
          <w:rFonts w:ascii="Arial" w:cs="Arial" w:eastAsia="Arial" w:hAnsi="Arial"/>
          <w:sz w:val="16"/>
          <w:szCs w:val="16"/>
          <w:color w:val="auto"/>
        </w:rPr>
      </w:pPr>
    </w:p>
    <w:p>
      <w:pPr>
        <w:ind w:left="-20" w:right="20" w:firstLine="885"/>
        <w:spacing w:after="0" w:line="290" w:lineRule="auto"/>
        <w:tabs>
          <w:tab w:leader="none" w:pos="1076"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Plan Effective Date and Shareholder Approval; Termination of Plan</w:t>
      </w:r>
      <w:r>
        <w:rPr>
          <w:rFonts w:ascii="Arial" w:cs="Arial" w:eastAsia="Arial" w:hAnsi="Arial"/>
          <w:sz w:val="16"/>
          <w:szCs w:val="16"/>
          <w:color w:val="auto"/>
        </w:rPr>
        <w:t>. The Plan shall become effective on the Effective Date,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0980"/>
          </w:cols>
          <w:pgMar w:left="460" w:top="274" w:right="459" w:bottom="1440" w:gutter="0" w:footer="0" w:header="0"/>
        </w:sectPr>
      </w:pPr>
    </w:p>
    <w:bookmarkStart w:id="72" w:name="page73"/>
    <w:bookmarkEnd w:id="72"/>
    <w:p>
      <w:pPr>
        <w:jc w:val="center"/>
        <w:spacing w:after="0"/>
        <w:rPr>
          <w:sz w:val="20"/>
          <w:szCs w:val="20"/>
          <w:color w:val="auto"/>
        </w:rPr>
      </w:pPr>
      <w:r>
        <w:rPr>
          <w:rFonts w:ascii="Arial" w:cs="Arial" w:eastAsia="Arial" w:hAnsi="Arial"/>
          <w:sz w:val="23"/>
          <w:szCs w:val="23"/>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VOTE IS IMPORTANT. PLEASE VOTE TODAY.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500" w:type="dxa"/>
        <w:tblCellMar>
          <w:top w:w="0" w:type="dxa"/>
          <w:left w:w="0" w:type="dxa"/>
          <w:bottom w:w="0" w:type="dxa"/>
          <w:right w:w="0" w:type="dxa"/>
        </w:tblCellMar>
      </w:tblPr>
      <w:tr>
        <w:trPr>
          <w:trHeight w:val="368"/>
        </w:trPr>
        <w:tc>
          <w:tcPr>
            <w:tcW w:w="4260" w:type="dxa"/>
            <w:vAlign w:val="bottom"/>
          </w:tcPr>
          <w:p>
            <w:pPr>
              <w:jc w:val="center"/>
              <w:ind w:right="778"/>
              <w:spacing w:after="0"/>
              <w:rPr>
                <w:sz w:val="20"/>
                <w:szCs w:val="20"/>
                <w:color w:val="auto"/>
              </w:rPr>
            </w:pPr>
            <w:r>
              <w:rPr>
                <w:rFonts w:ascii="Arial" w:cs="Arial" w:eastAsia="Arial" w:hAnsi="Arial"/>
                <w:sz w:val="32"/>
                <w:szCs w:val="32"/>
                <w:b w:val="1"/>
                <w:bCs w:val="1"/>
                <w:color w:val="auto"/>
              </w:rPr>
              <w:t>GALECTIN</w:t>
            </w: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90"/>
              </w:rPr>
              <w:t>2018 Annual Meeting of</w:t>
            </w:r>
          </w:p>
        </w:tc>
      </w:tr>
      <w:tr>
        <w:trPr>
          <w:trHeight w:val="439"/>
        </w:trPr>
        <w:tc>
          <w:tcPr>
            <w:tcW w:w="4260" w:type="dxa"/>
            <w:vAlign w:val="bottom"/>
          </w:tcPr>
          <w:p>
            <w:pPr>
              <w:jc w:val="center"/>
              <w:ind w:right="778"/>
              <w:spacing w:after="0"/>
              <w:rPr>
                <w:sz w:val="20"/>
                <w:szCs w:val="20"/>
                <w:color w:val="auto"/>
              </w:rPr>
            </w:pPr>
            <w:r>
              <w:rPr>
                <w:rFonts w:ascii="Arial" w:cs="Arial" w:eastAsia="Arial" w:hAnsi="Arial"/>
                <w:sz w:val="32"/>
                <w:szCs w:val="32"/>
                <w:b w:val="1"/>
                <w:bCs w:val="1"/>
                <w:color w:val="auto"/>
              </w:rPr>
              <w:t>THERAPEUTICS INC.</w:t>
            </w:r>
          </w:p>
        </w:tc>
        <w:tc>
          <w:tcPr>
            <w:tcW w:w="5020" w:type="dxa"/>
            <w:vAlign w:val="bottom"/>
          </w:tcPr>
          <w:p>
            <w:pPr>
              <w:jc w:val="center"/>
              <w:ind w:left="796"/>
              <w:spacing w:after="0"/>
              <w:rPr>
                <w:sz w:val="20"/>
                <w:szCs w:val="20"/>
                <w:color w:val="auto"/>
              </w:rPr>
            </w:pPr>
            <w:r>
              <w:rPr>
                <w:rFonts w:ascii="Arial" w:cs="Arial" w:eastAsia="Arial" w:hAnsi="Arial"/>
                <w:sz w:val="29"/>
                <w:szCs w:val="29"/>
                <w:b w:val="1"/>
                <w:bCs w:val="1"/>
                <w:color w:val="auto"/>
                <w:w w:val="87"/>
              </w:rPr>
              <w:t>Stockholders</w:t>
            </w:r>
          </w:p>
        </w:tc>
      </w:tr>
      <w:tr>
        <w:trPr>
          <w:trHeight w:val="547"/>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91"/>
              </w:rPr>
              <w:t>May 22, 2018,</w:t>
            </w:r>
          </w:p>
        </w:tc>
      </w:tr>
      <w:tr>
        <w:trPr>
          <w:trHeight w:val="375"/>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92"/>
              </w:rPr>
              <w:t>9:00 A.M. local time</w:t>
            </w:r>
          </w:p>
        </w:tc>
      </w:tr>
      <w:tr>
        <w:trPr>
          <w:trHeight w:val="557"/>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89"/>
              </w:rPr>
              <w:t>This Proxy is Solicited On Behalf</w:t>
            </w:r>
          </w:p>
        </w:tc>
      </w:tr>
      <w:tr>
        <w:trPr>
          <w:trHeight w:val="375"/>
        </w:trPr>
        <w:tc>
          <w:tcPr>
            <w:tcW w:w="4260" w:type="dxa"/>
            <w:vAlign w:val="bottom"/>
          </w:tcPr>
          <w:p>
            <w:pPr>
              <w:spacing w:after="0"/>
              <w:rPr>
                <w:sz w:val="24"/>
                <w:szCs w:val="24"/>
                <w:color w:val="auto"/>
              </w:rPr>
            </w:pPr>
          </w:p>
        </w:tc>
        <w:tc>
          <w:tcPr>
            <w:tcW w:w="5020" w:type="dxa"/>
            <w:vAlign w:val="bottom"/>
          </w:tcPr>
          <w:p>
            <w:pPr>
              <w:jc w:val="center"/>
              <w:ind w:left="796"/>
              <w:spacing w:after="0"/>
              <w:rPr>
                <w:sz w:val="20"/>
                <w:szCs w:val="20"/>
                <w:color w:val="auto"/>
              </w:rPr>
            </w:pPr>
            <w:r>
              <w:rPr>
                <w:rFonts w:ascii="Arial" w:cs="Arial" w:eastAsia="Arial" w:hAnsi="Arial"/>
                <w:sz w:val="29"/>
                <w:szCs w:val="29"/>
                <w:b w:val="1"/>
                <w:bCs w:val="1"/>
                <w:color w:val="auto"/>
                <w:w w:val="92"/>
              </w:rPr>
              <w:t>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322580</wp:posOffset>
            </wp:positionV>
            <wp:extent cx="4742180" cy="540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42180" cy="54038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Please Be Sure To Mark, Sign, Date and Return Your Proxy Card</w:t>
      </w:r>
    </w:p>
    <w:p>
      <w:pPr>
        <w:spacing w:after="0" w:line="45"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in the Envelope Provided</w:t>
      </w:r>
    </w:p>
    <w:p>
      <w:pPr>
        <w:sectPr>
          <w:pgSz w:w="11900" w:h="16838" w:orient="portrait"/>
          <w:cols w:equalWidth="0" w:num="1">
            <w:col w:w="11060"/>
          </w:cols>
          <w:pgMar w:left="420" w:top="32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1. ELECTION OF DIRECTORS</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2"/>
          <w:szCs w:val="12"/>
          <w:b w:val="1"/>
          <w:bCs w:val="1"/>
          <w:color w:val="auto"/>
        </w:rPr>
        <w:t>The Board of Directors recommends a vote “FOR” the listed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p>
      <w:pPr>
        <w:spacing w:after="0" w:line="200" w:lineRule="exact"/>
        <w:rPr>
          <w:sz w:val="20"/>
          <w:szCs w:val="20"/>
          <w:color w:val="auto"/>
        </w:rPr>
      </w:pPr>
    </w:p>
    <w:p>
      <w:pPr>
        <w:spacing w:after="0" w:line="372"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ind w:left="80"/>
              <w:spacing w:after="0"/>
              <w:rPr>
                <w:sz w:val="20"/>
                <w:szCs w:val="20"/>
                <w:color w:val="auto"/>
              </w:rPr>
            </w:pPr>
            <w:r>
              <w:rPr>
                <w:rFonts w:ascii="Arial" w:cs="Arial" w:eastAsia="Arial" w:hAnsi="Arial"/>
                <w:sz w:val="13"/>
                <w:szCs w:val="13"/>
                <w:b w:val="1"/>
                <w:bCs w:val="1"/>
                <w:color w:val="auto"/>
              </w:rPr>
              <w:t>VOTE FOR</w:t>
            </w: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line="135" w:lineRule="exact"/>
              <w:rPr>
                <w:sz w:val="20"/>
                <w:szCs w:val="20"/>
                <w:color w:val="auto"/>
              </w:rPr>
            </w:pPr>
            <w:r>
              <w:rPr>
                <w:rFonts w:ascii="Arial" w:cs="Arial" w:eastAsia="Arial" w:hAnsi="Arial"/>
                <w:sz w:val="13"/>
                <w:szCs w:val="13"/>
                <w:b w:val="1"/>
                <w:bCs w:val="1"/>
                <w:color w:val="auto"/>
              </w:rPr>
              <w:t>VOTE</w:t>
            </w:r>
          </w:p>
        </w:tc>
        <w:tc>
          <w:tcPr>
            <w:tcW w:w="900" w:type="dxa"/>
            <w:vAlign w:val="bottom"/>
          </w:tcPr>
          <w:p>
            <w:pPr>
              <w:spacing w:after="0"/>
              <w:rPr>
                <w:sz w:val="11"/>
                <w:szCs w:val="11"/>
                <w:color w:val="auto"/>
              </w:rPr>
            </w:pPr>
          </w:p>
        </w:tc>
        <w:tc>
          <w:tcPr>
            <w:tcW w:w="10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ALL EXCEPT</w:t>
            </w:r>
          </w:p>
        </w:tc>
        <w:tc>
          <w:tcPr>
            <w:tcW w:w="2940" w:type="dxa"/>
            <w:vAlign w:val="bottom"/>
            <w:vMerge w:val="restart"/>
          </w:tcPr>
          <w:p>
            <w:pPr>
              <w:ind w:left="80"/>
              <w:spacing w:after="0"/>
              <w:rPr>
                <w:sz w:val="20"/>
                <w:szCs w:val="20"/>
                <w:color w:val="auto"/>
              </w:rPr>
            </w:pPr>
            <w:r>
              <w:rPr>
                <w:rFonts w:ascii="Arial" w:cs="Arial" w:eastAsia="Arial" w:hAnsi="Arial"/>
                <w:sz w:val="14"/>
                <w:szCs w:val="14"/>
                <w:color w:val="auto"/>
                <w:w w:val="97"/>
              </w:rPr>
              <w:t>4.  To approve an amendment to our Amended</w:t>
            </w:r>
          </w:p>
        </w:tc>
        <w:tc>
          <w:tcPr>
            <w:tcW w:w="0" w:type="dxa"/>
            <w:vAlign w:val="bottom"/>
          </w:tcPr>
          <w:p>
            <w:pPr>
              <w:spacing w:after="0"/>
              <w:rPr>
                <w:sz w:val="1"/>
                <w:szCs w:val="1"/>
                <w:color w:val="auto"/>
              </w:rPr>
            </w:pPr>
          </w:p>
        </w:tc>
      </w:tr>
      <w:tr>
        <w:trPr>
          <w:trHeight w:val="94"/>
        </w:trPr>
        <w:tc>
          <w:tcPr>
            <w:tcW w:w="780" w:type="dxa"/>
            <w:vAlign w:val="bottom"/>
            <w:vMerge w:val="restart"/>
          </w:tcPr>
          <w:p>
            <w:pPr>
              <w:spacing w:after="0" w:line="140" w:lineRule="exact"/>
              <w:rPr>
                <w:sz w:val="20"/>
                <w:szCs w:val="20"/>
                <w:color w:val="auto"/>
              </w:rPr>
            </w:pPr>
            <w:r>
              <w:rPr>
                <w:rFonts w:ascii="Arial" w:cs="Arial" w:eastAsia="Arial" w:hAnsi="Arial"/>
                <w:sz w:val="13"/>
                <w:szCs w:val="13"/>
                <w:b w:val="1"/>
                <w:bCs w:val="1"/>
                <w:color w:val="auto"/>
              </w:rPr>
              <w:t>FOR ALL</w:t>
            </w:r>
          </w:p>
        </w:tc>
        <w:tc>
          <w:tcPr>
            <w:tcW w:w="900" w:type="dxa"/>
            <w:vAlign w:val="bottom"/>
            <w:vMerge w:val="restart"/>
          </w:tcPr>
          <w:p>
            <w:pPr>
              <w:ind w:left="100"/>
              <w:spacing w:after="0" w:line="140" w:lineRule="exact"/>
              <w:rPr>
                <w:sz w:val="20"/>
                <w:szCs w:val="20"/>
                <w:color w:val="auto"/>
              </w:rPr>
            </w:pPr>
            <w:r>
              <w:rPr>
                <w:rFonts w:ascii="Arial" w:cs="Arial" w:eastAsia="Arial" w:hAnsi="Arial"/>
                <w:sz w:val="13"/>
                <w:szCs w:val="13"/>
                <w:b w:val="1"/>
                <w:bCs w:val="1"/>
                <w:color w:val="auto"/>
              </w:rPr>
              <w:t>WITHHOLD</w:t>
            </w:r>
          </w:p>
        </w:tc>
        <w:tc>
          <w:tcPr>
            <w:tcW w:w="1040" w:type="dxa"/>
            <w:vAlign w:val="bottom"/>
            <w:vMerge w:val="restart"/>
          </w:tcPr>
          <w:p>
            <w:pPr>
              <w:ind w:left="80"/>
              <w:spacing w:after="0" w:line="140" w:lineRule="exact"/>
              <w:rPr>
                <w:sz w:val="20"/>
                <w:szCs w:val="20"/>
                <w:color w:val="auto"/>
              </w:rPr>
            </w:pPr>
            <w:r>
              <w:rPr>
                <w:rFonts w:ascii="Arial" w:cs="Arial" w:eastAsia="Arial" w:hAnsi="Arial"/>
                <w:sz w:val="13"/>
                <w:szCs w:val="13"/>
                <w:b w:val="1"/>
                <w:bCs w:val="1"/>
                <w:color w:val="auto"/>
                <w:w w:val="90"/>
              </w:rPr>
              <w:t>(see instructions</w:t>
            </w: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940" w:type="dxa"/>
            <w:vAlign w:val="bottom"/>
            <w:vMerge w:val="restart"/>
          </w:tcPr>
          <w:p>
            <w:pPr>
              <w:ind w:left="300"/>
              <w:spacing w:after="0"/>
              <w:rPr>
                <w:sz w:val="20"/>
                <w:szCs w:val="20"/>
                <w:color w:val="auto"/>
              </w:rPr>
            </w:pPr>
            <w:r>
              <w:rPr>
                <w:rFonts w:ascii="Arial" w:cs="Arial" w:eastAsia="Arial" w:hAnsi="Arial"/>
                <w:sz w:val="14"/>
                <w:szCs w:val="14"/>
                <w:color w:val="auto"/>
                <w:w w:val="96"/>
              </w:rPr>
              <w:t>and Restated 2009 Incentive Compensation</w:t>
            </w:r>
          </w:p>
        </w:tc>
        <w:tc>
          <w:tcPr>
            <w:tcW w:w="0" w:type="dxa"/>
            <w:vAlign w:val="bottom"/>
          </w:tcPr>
          <w:p>
            <w:pPr>
              <w:spacing w:after="0"/>
              <w:rPr>
                <w:sz w:val="1"/>
                <w:szCs w:val="1"/>
                <w:color w:val="auto"/>
              </w:rPr>
            </w:pPr>
          </w:p>
        </w:tc>
      </w:tr>
      <w:tr>
        <w:trPr>
          <w:trHeight w:val="122"/>
        </w:trPr>
        <w:tc>
          <w:tcPr>
            <w:tcW w:w="780" w:type="dxa"/>
            <w:vAlign w:val="bottom"/>
          </w:tcPr>
          <w:p>
            <w:pPr>
              <w:spacing w:after="0" w:line="122" w:lineRule="exact"/>
              <w:rPr>
                <w:sz w:val="20"/>
                <w:szCs w:val="20"/>
                <w:color w:val="auto"/>
              </w:rPr>
            </w:pPr>
            <w:r>
              <w:rPr>
                <w:rFonts w:ascii="Arial" w:cs="Arial" w:eastAsia="Arial" w:hAnsi="Arial"/>
                <w:sz w:val="13"/>
                <w:szCs w:val="13"/>
                <w:b w:val="1"/>
                <w:bCs w:val="1"/>
                <w:color w:val="auto"/>
              </w:rPr>
              <w:t>NOMINEES</w:t>
            </w:r>
          </w:p>
        </w:tc>
        <w:tc>
          <w:tcPr>
            <w:tcW w:w="900" w:type="dxa"/>
            <w:vAlign w:val="bottom"/>
          </w:tcPr>
          <w:p>
            <w:pPr>
              <w:ind w:left="100"/>
              <w:spacing w:after="0" w:line="122" w:lineRule="exact"/>
              <w:rPr>
                <w:sz w:val="20"/>
                <w:szCs w:val="20"/>
                <w:color w:val="auto"/>
              </w:rPr>
            </w:pPr>
            <w:r>
              <w:rPr>
                <w:rFonts w:ascii="Arial" w:cs="Arial" w:eastAsia="Arial" w:hAnsi="Arial"/>
                <w:sz w:val="13"/>
                <w:szCs w:val="13"/>
                <w:b w:val="1"/>
                <w:bCs w:val="1"/>
                <w:color w:val="auto"/>
              </w:rPr>
              <w:t>ALL</w:t>
            </w:r>
          </w:p>
        </w:tc>
        <w:tc>
          <w:tcPr>
            <w:tcW w:w="1040" w:type="dxa"/>
            <w:vAlign w:val="bottom"/>
          </w:tcPr>
          <w:p>
            <w:pPr>
              <w:ind w:left="80"/>
              <w:spacing w:after="0" w:line="122" w:lineRule="exact"/>
              <w:rPr>
                <w:sz w:val="20"/>
                <w:szCs w:val="20"/>
                <w:color w:val="auto"/>
              </w:rPr>
            </w:pPr>
            <w:r>
              <w:rPr>
                <w:rFonts w:ascii="Arial" w:cs="Arial" w:eastAsia="Arial" w:hAnsi="Arial"/>
                <w:sz w:val="13"/>
                <w:szCs w:val="13"/>
                <w:b w:val="1"/>
                <w:bCs w:val="1"/>
                <w:color w:val="auto"/>
              </w:rPr>
              <w:t>below)</w:t>
            </w: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vMerge w:val="restart"/>
          </w:tcPr>
          <w:p>
            <w:pPr>
              <w:spacing w:after="0" w:line="270" w:lineRule="exact"/>
              <w:rPr>
                <w:sz w:val="20"/>
                <w:szCs w:val="20"/>
                <w:color w:val="auto"/>
              </w:rPr>
            </w:pPr>
            <w:r>
              <w:rPr>
                <w:rFonts w:ascii="MS PGothic" w:cs="MS PGothic" w:eastAsia="MS PGothic" w:hAnsi="MS PGothic"/>
                <w:sz w:val="32"/>
                <w:szCs w:val="32"/>
                <w:color w:val="auto"/>
              </w:rPr>
              <w:t>☐</w:t>
            </w:r>
          </w:p>
        </w:tc>
        <w:tc>
          <w:tcPr>
            <w:tcW w:w="900" w:type="dxa"/>
            <w:vAlign w:val="bottom"/>
            <w:vMerge w:val="restart"/>
          </w:tcPr>
          <w:p>
            <w:pPr>
              <w:ind w:left="100"/>
              <w:spacing w:after="0" w:line="270" w:lineRule="exact"/>
              <w:rPr>
                <w:sz w:val="20"/>
                <w:szCs w:val="20"/>
                <w:color w:val="auto"/>
              </w:rPr>
            </w:pPr>
            <w:r>
              <w:rPr>
                <w:rFonts w:ascii="MS PGothic" w:cs="MS PGothic" w:eastAsia="MS PGothic" w:hAnsi="MS PGothic"/>
                <w:sz w:val="32"/>
                <w:szCs w:val="32"/>
                <w:color w:val="auto"/>
              </w:rPr>
              <w:t>☐</w:t>
            </w:r>
          </w:p>
        </w:tc>
        <w:tc>
          <w:tcPr>
            <w:tcW w:w="1040" w:type="dxa"/>
            <w:vAlign w:val="bottom"/>
            <w:vMerge w:val="restart"/>
          </w:tcPr>
          <w:p>
            <w:pPr>
              <w:ind w:left="80"/>
              <w:spacing w:after="0" w:line="270" w:lineRule="exact"/>
              <w:rPr>
                <w:sz w:val="20"/>
                <w:szCs w:val="20"/>
                <w:color w:val="auto"/>
              </w:rPr>
            </w:pPr>
            <w:r>
              <w:rPr>
                <w:rFonts w:ascii="MS PGothic" w:cs="MS PGothic" w:eastAsia="MS PGothic" w:hAnsi="MS PGothic"/>
                <w:sz w:val="32"/>
                <w:szCs w:val="32"/>
                <w:color w:val="auto"/>
              </w:rPr>
              <w:t>☐</w:t>
            </w:r>
          </w:p>
        </w:tc>
        <w:tc>
          <w:tcPr>
            <w:tcW w:w="2940" w:type="dxa"/>
            <w:vAlign w:val="bottom"/>
          </w:tcPr>
          <w:p>
            <w:pPr>
              <w:ind w:left="300"/>
              <w:spacing w:after="0" w:line="130" w:lineRule="exact"/>
              <w:rPr>
                <w:sz w:val="20"/>
                <w:szCs w:val="20"/>
                <w:color w:val="auto"/>
              </w:rPr>
            </w:pPr>
            <w:r>
              <w:rPr>
                <w:rFonts w:ascii="Arial" w:cs="Arial" w:eastAsia="Arial" w:hAnsi="Arial"/>
                <w:sz w:val="14"/>
                <w:szCs w:val="14"/>
                <w:color w:val="auto"/>
                <w:w w:val="90"/>
              </w:rPr>
              <w:t>Plan to reserve an additional 1,000,000 shares</w:t>
            </w:r>
          </w:p>
        </w:tc>
        <w:tc>
          <w:tcPr>
            <w:tcW w:w="0" w:type="dxa"/>
            <w:vAlign w:val="bottom"/>
          </w:tcPr>
          <w:p>
            <w:pPr>
              <w:spacing w:after="0"/>
              <w:rPr>
                <w:sz w:val="1"/>
                <w:szCs w:val="1"/>
                <w:color w:val="auto"/>
              </w:rPr>
            </w:pPr>
          </w:p>
        </w:tc>
      </w:tr>
      <w:tr>
        <w:trPr>
          <w:trHeight w:val="140"/>
        </w:trPr>
        <w:tc>
          <w:tcPr>
            <w:tcW w:w="7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940" w:type="dxa"/>
            <w:vAlign w:val="bottom"/>
            <w:vMerge w:val="restart"/>
          </w:tcPr>
          <w:p>
            <w:pPr>
              <w:ind w:left="300"/>
              <w:spacing w:after="0"/>
              <w:rPr>
                <w:sz w:val="20"/>
                <w:szCs w:val="20"/>
                <w:color w:val="auto"/>
              </w:rPr>
            </w:pPr>
            <w:r>
              <w:rPr>
                <w:rFonts w:ascii="Arial" w:cs="Arial" w:eastAsia="Arial" w:hAnsi="Arial"/>
                <w:sz w:val="14"/>
                <w:szCs w:val="14"/>
                <w:color w:val="auto"/>
              </w:rPr>
              <w:t>for issuance under the plan.</w:t>
            </w:r>
          </w:p>
        </w:tc>
        <w:tc>
          <w:tcPr>
            <w:tcW w:w="0" w:type="dxa"/>
            <w:vAlign w:val="bottom"/>
          </w:tcPr>
          <w:p>
            <w:pPr>
              <w:spacing w:after="0"/>
              <w:rPr>
                <w:sz w:val="1"/>
                <w:szCs w:val="1"/>
                <w:color w:val="auto"/>
              </w:rPr>
            </w:pPr>
          </w:p>
        </w:tc>
      </w:tr>
      <w:tr>
        <w:trPr>
          <w:trHeight w:val="42"/>
        </w:trPr>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91"/>
        </w:trPr>
        <w:tc>
          <w:tcPr>
            <w:tcW w:w="600" w:type="dxa"/>
            <w:vAlign w:val="bottom"/>
          </w:tcPr>
          <w:p>
            <w:pPr>
              <w:jc w:val="center"/>
              <w:ind w:right="32"/>
              <w:spacing w:after="0"/>
              <w:rPr>
                <w:sz w:val="20"/>
                <w:szCs w:val="20"/>
                <w:color w:val="auto"/>
              </w:rPr>
            </w:pPr>
            <w:r>
              <w:rPr>
                <w:rFonts w:ascii="Arial" w:cs="Arial" w:eastAsia="Arial" w:hAnsi="Arial"/>
                <w:sz w:val="11"/>
                <w:szCs w:val="11"/>
                <w:color w:val="auto"/>
                <w:w w:val="84"/>
              </w:rPr>
              <w:t>Please mark</w:t>
            </w:r>
          </w:p>
        </w:tc>
        <w:tc>
          <w:tcPr>
            <w:tcW w:w="400" w:type="dxa"/>
            <w:vAlign w:val="bottom"/>
            <w:vMerge w:val="restart"/>
          </w:tcPr>
          <w:p>
            <w:pPr>
              <w:ind w:left="10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319"/>
        </w:trPr>
        <w:tc>
          <w:tcPr>
            <w:tcW w:w="600" w:type="dxa"/>
            <w:vAlign w:val="bottom"/>
          </w:tcPr>
          <w:p>
            <w:pPr>
              <w:jc w:val="center"/>
              <w:ind w:right="52"/>
              <w:spacing w:after="0"/>
              <w:rPr>
                <w:sz w:val="20"/>
                <w:szCs w:val="20"/>
                <w:color w:val="auto"/>
              </w:rPr>
            </w:pPr>
            <w:r>
              <w:rPr>
                <w:rFonts w:ascii="Arial" w:cs="Arial" w:eastAsia="Arial" w:hAnsi="Arial"/>
                <w:sz w:val="8"/>
                <w:szCs w:val="8"/>
                <w:color w:val="auto"/>
                <w:w w:val="70"/>
              </w:rPr>
              <w:t>your</w:t>
            </w:r>
            <w:r>
              <w:rPr>
                <w:rFonts w:ascii="Arial" w:cs="Arial" w:eastAsia="Arial" w:hAnsi="Arial"/>
                <w:sz w:val="14"/>
                <w:szCs w:val="14"/>
                <w:color w:val="auto"/>
                <w:w w:val="70"/>
                <w:vertAlign w:val="subscript"/>
              </w:rPr>
              <w:t>like</w:t>
            </w:r>
            <w:r>
              <w:rPr>
                <w:rFonts w:ascii="Arial" w:cs="Arial" w:eastAsia="Arial" w:hAnsi="Arial"/>
                <w:sz w:val="8"/>
                <w:szCs w:val="8"/>
                <w:color w:val="auto"/>
                <w:w w:val="70"/>
              </w:rPr>
              <w:t xml:space="preserve"> votes</w:t>
            </w:r>
            <w:r>
              <w:rPr>
                <w:rFonts w:ascii="Arial" w:cs="Arial" w:eastAsia="Arial" w:hAnsi="Arial"/>
                <w:sz w:val="14"/>
                <w:szCs w:val="14"/>
                <w:color w:val="auto"/>
                <w:w w:val="70"/>
                <w:vertAlign w:val="subscript"/>
              </w:rPr>
              <w:t>this</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tabs>
          <w:tab w:leader="none" w:pos="380" w:val="left"/>
          <w:tab w:leader="none" w:pos="10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321" w:lineRule="exact"/>
        <w:rPr>
          <w:sz w:val="20"/>
          <w:szCs w:val="20"/>
          <w:color w:val="auto"/>
        </w:rPr>
      </w:pPr>
      <w:r>
        <w:rPr>
          <w:rFonts w:ascii="MS PGothic" w:cs="MS PGothic" w:eastAsia="MS PGothic" w:hAnsi="MS PGothic"/>
          <w:sz w:val="32"/>
          <w:szCs w:val="32"/>
          <w:color w:val="auto"/>
        </w:rPr>
        <w:t>☐ ☐  ☐</w:t>
      </w:r>
    </w:p>
    <w:p>
      <w:pPr>
        <w:spacing w:after="0" w:line="200" w:lineRule="exact"/>
        <w:rPr>
          <w:sz w:val="20"/>
          <w:szCs w:val="20"/>
          <w:color w:val="auto"/>
        </w:rPr>
      </w:pPr>
    </w:p>
    <w:p>
      <w:pPr>
        <w:spacing w:after="0" w:line="262" w:lineRule="exact"/>
        <w:rPr>
          <w:sz w:val="20"/>
          <w:szCs w:val="20"/>
          <w:color w:val="auto"/>
        </w:rPr>
      </w:pPr>
    </w:p>
    <w:p>
      <w:pPr>
        <w:spacing w:after="0"/>
        <w:tabs>
          <w:tab w:leader="none" w:pos="380" w:val="left"/>
          <w:tab w:leader="none" w:pos="10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1" w:lineRule="exact"/>
        <w:rPr>
          <w:sz w:val="20"/>
          <w:szCs w:val="20"/>
          <w:color w:val="auto"/>
        </w:rPr>
      </w:pPr>
    </w:p>
    <w:p>
      <w:pPr>
        <w:sectPr>
          <w:pgSz w:w="11900" w:h="16838" w:orient="portrait"/>
          <w:cols w:equalWidth="0" w:num="3">
            <w:col w:w="2240" w:space="720"/>
            <w:col w:w="6020" w:space="440"/>
            <w:col w:w="1640"/>
          </w:cols>
          <w:pgMar w:left="420" w:top="324" w:right="419" w:bottom="1440" w:gutter="0" w:footer="0" w:header="0"/>
          <w:type w:val="continuous"/>
        </w:sectPr>
      </w:pPr>
    </w:p>
    <w:p>
      <w:pPr>
        <w:spacing w:after="0" w:line="61" w:lineRule="exact"/>
        <w:rPr>
          <w:sz w:val="20"/>
          <w:szCs w:val="20"/>
          <w:color w:val="auto"/>
        </w:rPr>
      </w:pPr>
    </w:p>
    <w:p>
      <w:pPr>
        <w:spacing w:after="0"/>
        <w:tabs>
          <w:tab w:leader="none" w:pos="6100" w:val="left"/>
        </w:tabs>
        <w:rPr>
          <w:sz w:val="20"/>
          <w:szCs w:val="20"/>
          <w:color w:val="auto"/>
        </w:rPr>
      </w:pPr>
      <w:r>
        <w:rPr>
          <w:rFonts w:ascii="Arial" w:cs="Arial" w:eastAsia="Arial" w:hAnsi="Arial"/>
          <w:sz w:val="14"/>
          <w:szCs w:val="14"/>
          <w:b w:val="1"/>
          <w:bCs w:val="1"/>
          <w:color w:val="auto"/>
        </w:rPr>
        <w:t>To withhold authority to vote for any individual nominee, strike a line through that nominee’s</w:t>
      </w:r>
      <w:r>
        <w:rPr>
          <w:sz w:val="20"/>
          <w:szCs w:val="20"/>
          <w:color w:val="auto"/>
        </w:rPr>
        <w:tab/>
      </w:r>
      <w:r>
        <w:rPr>
          <w:rFonts w:ascii="Arial" w:cs="Arial" w:eastAsia="Arial" w:hAnsi="Arial"/>
          <w:sz w:val="13"/>
          <w:szCs w:val="13"/>
          <w:color w:val="auto"/>
        </w:rPr>
        <w:t>5.  To authorize the adjournment of the annual</w:t>
      </w:r>
    </w:p>
    <w:p>
      <w:pPr>
        <w:spacing w:after="0"/>
        <w:tabs>
          <w:tab w:leader="none" w:pos="6320" w:val="left"/>
        </w:tabs>
        <w:rPr>
          <w:sz w:val="20"/>
          <w:szCs w:val="20"/>
          <w:color w:val="auto"/>
        </w:rPr>
      </w:pPr>
      <w:r>
        <w:rPr>
          <w:rFonts w:ascii="Arial" w:cs="Arial" w:eastAsia="Arial" w:hAnsi="Arial"/>
          <w:sz w:val="14"/>
          <w:szCs w:val="14"/>
          <w:b w:val="1"/>
          <w:bCs w:val="1"/>
          <w:color w:val="auto"/>
        </w:rPr>
        <w:t>name below:</w:t>
      </w:r>
      <w:r>
        <w:rPr>
          <w:sz w:val="20"/>
          <w:szCs w:val="20"/>
          <w:color w:val="auto"/>
        </w:rPr>
        <w:tab/>
      </w:r>
      <w:r>
        <w:rPr>
          <w:rFonts w:ascii="Arial" w:cs="Arial" w:eastAsia="Arial" w:hAnsi="Arial"/>
          <w:sz w:val="13"/>
          <w:szCs w:val="13"/>
          <w:color w:val="auto"/>
        </w:rPr>
        <w:t>meeting if necessary or appropriate, including to</w:t>
      </w:r>
    </w:p>
    <w:p>
      <w:pPr>
        <w:ind w:left="6340"/>
        <w:spacing w:after="0"/>
        <w:rPr>
          <w:sz w:val="20"/>
          <w:szCs w:val="20"/>
          <w:color w:val="auto"/>
        </w:rPr>
      </w:pPr>
      <w:r>
        <w:rPr>
          <w:rFonts w:ascii="Arial" w:cs="Arial" w:eastAsia="Arial" w:hAnsi="Arial"/>
          <w:sz w:val="13"/>
          <w:szCs w:val="13"/>
          <w:color w:val="auto"/>
        </w:rPr>
        <w:t>solicit additional proxies if there are not sufficient</w:t>
      </w:r>
    </w:p>
    <w:p>
      <w:pPr>
        <w:ind w:left="6340"/>
        <w:spacing w:after="0" w:line="221" w:lineRule="auto"/>
        <w:rPr>
          <w:sz w:val="20"/>
          <w:szCs w:val="20"/>
          <w:color w:val="auto"/>
        </w:rPr>
      </w:pPr>
      <w:r>
        <w:rPr>
          <w:rFonts w:ascii="Arial" w:cs="Arial" w:eastAsia="Arial" w:hAnsi="Arial"/>
          <w:sz w:val="14"/>
          <w:szCs w:val="14"/>
          <w:color w:val="auto"/>
        </w:rPr>
        <w:t>votes at the time of the annual meeting or</w:t>
      </w:r>
    </w:p>
    <w:p>
      <w:pPr>
        <w:ind w:left="6340"/>
        <w:spacing w:after="0"/>
        <w:rPr>
          <w:sz w:val="20"/>
          <w:szCs w:val="20"/>
          <w:color w:val="auto"/>
        </w:rPr>
      </w:pPr>
      <w:r>
        <w:rPr>
          <w:rFonts w:ascii="Arial" w:cs="Arial" w:eastAsia="Arial" w:hAnsi="Arial"/>
          <w:sz w:val="13"/>
          <w:szCs w:val="13"/>
          <w:color w:val="auto"/>
        </w:rPr>
        <w:t>adjournment or postponement thereof to approve</w:t>
      </w:r>
    </w:p>
    <w:p>
      <w:pPr>
        <w:ind w:left="6340"/>
        <w:spacing w:after="0"/>
        <w:rPr>
          <w:sz w:val="20"/>
          <w:szCs w:val="20"/>
          <w:color w:val="auto"/>
        </w:rPr>
      </w:pPr>
      <w:r>
        <w:rPr>
          <w:rFonts w:ascii="Arial" w:cs="Arial" w:eastAsia="Arial" w:hAnsi="Arial"/>
          <w:sz w:val="14"/>
          <w:szCs w:val="14"/>
          <w:color w:val="auto"/>
        </w:rPr>
        <w:t>any of the foregoing proposals.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r>
        <w:rPr>
          <w:rFonts w:ascii="MS PGothic" w:cs="MS PGothic" w:eastAsia="MS PGothic" w:hAnsi="MS PGothic"/>
          <w:sz w:val="32"/>
          <w:szCs w:val="32"/>
          <w:color w:val="auto"/>
        </w:rPr>
        <w:t>☐ ☐  ☐</w:t>
      </w:r>
    </w:p>
    <w:p>
      <w:pPr>
        <w:spacing w:after="0" w:line="854" w:lineRule="exact"/>
        <w:rPr>
          <w:sz w:val="20"/>
          <w:szCs w:val="20"/>
          <w:color w:val="auto"/>
        </w:rPr>
      </w:pPr>
    </w:p>
    <w:p>
      <w:pPr>
        <w:sectPr>
          <w:pgSz w:w="11900" w:h="16838" w:orient="portrait"/>
          <w:cols w:equalWidth="0" w:num="2">
            <w:col w:w="9220" w:space="200"/>
            <w:col w:w="1640"/>
          </w:cols>
          <w:pgMar w:left="420" w:top="324" w:right="419" w:bottom="1440" w:gutter="0" w:footer="0" w:header="0"/>
          <w:type w:val="continuous"/>
        </w:sectPr>
      </w:pPr>
    </w:p>
    <w:tbl>
      <w:tblPr>
        <w:tblLayout w:type="fixed"/>
        <w:tblInd w:w="14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Arial" w:cs="Arial" w:eastAsia="Arial" w:hAnsi="Arial"/>
                <w:sz w:val="14"/>
                <w:szCs w:val="14"/>
                <w:color w:val="auto"/>
                <w:w w:val="85"/>
              </w:rPr>
              <w:t>1.</w:t>
            </w:r>
          </w:p>
        </w:tc>
        <w:tc>
          <w:tcPr>
            <w:tcW w:w="4100" w:type="dxa"/>
            <w:vAlign w:val="bottom"/>
            <w:gridSpan w:val="2"/>
          </w:tcPr>
          <w:p>
            <w:pPr>
              <w:ind w:left="20"/>
              <w:spacing w:after="0"/>
              <w:rPr>
                <w:sz w:val="20"/>
                <w:szCs w:val="20"/>
                <w:color w:val="auto"/>
              </w:rPr>
            </w:pPr>
            <w:r>
              <w:rPr>
                <w:rFonts w:ascii="Arial" w:cs="Arial" w:eastAsia="Arial" w:hAnsi="Arial"/>
                <w:sz w:val="14"/>
                <w:szCs w:val="14"/>
                <w:color w:val="auto"/>
              </w:rPr>
              <w:t>Gilbert F. Amelio, Ph.D.  2. Kary Eldred  3. Kevin D. Freeman</w:t>
            </w:r>
          </w:p>
        </w:tc>
      </w:tr>
      <w:tr>
        <w:trPr>
          <w:trHeight w:val="149"/>
        </w:trPr>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85"/>
              </w:rPr>
              <w:t>4.</w:t>
            </w: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Marc Rubin, M.D.</w:t>
            </w:r>
          </w:p>
        </w:tc>
        <w:tc>
          <w:tcPr>
            <w:tcW w:w="2920" w:type="dxa"/>
            <w:vAlign w:val="bottom"/>
          </w:tcPr>
          <w:p>
            <w:pPr>
              <w:ind w:left="80"/>
              <w:spacing w:after="0" w:line="149" w:lineRule="exact"/>
              <w:rPr>
                <w:sz w:val="20"/>
                <w:szCs w:val="20"/>
                <w:color w:val="auto"/>
              </w:rPr>
            </w:pPr>
            <w:r>
              <w:rPr>
                <w:rFonts w:ascii="Arial" w:cs="Arial" w:eastAsia="Arial" w:hAnsi="Arial"/>
                <w:sz w:val="14"/>
                <w:szCs w:val="14"/>
                <w:color w:val="auto"/>
                <w:w w:val="96"/>
              </w:rPr>
              <w:t>5. Gilbert S. Omenn, M.D., Ph.D.  6. Joel Lewis</w:t>
            </w:r>
          </w:p>
        </w:tc>
      </w:tr>
      <w:tr>
        <w:trPr>
          <w:trHeight w:val="182"/>
        </w:trPr>
        <w:tc>
          <w:tcPr>
            <w:tcW w:w="140" w:type="dxa"/>
            <w:vAlign w:val="bottom"/>
          </w:tcPr>
          <w:p>
            <w:pPr>
              <w:jc w:val="right"/>
              <w:spacing w:after="0"/>
              <w:rPr>
                <w:sz w:val="20"/>
                <w:szCs w:val="20"/>
                <w:color w:val="auto"/>
              </w:rPr>
            </w:pPr>
            <w:r>
              <w:rPr>
                <w:rFonts w:ascii="Arial" w:cs="Arial" w:eastAsia="Arial" w:hAnsi="Arial"/>
                <w:sz w:val="14"/>
                <w:szCs w:val="14"/>
                <w:color w:val="auto"/>
                <w:w w:val="85"/>
              </w:rPr>
              <w:t>7.</w:t>
            </w:r>
          </w:p>
        </w:tc>
        <w:tc>
          <w:tcPr>
            <w:tcW w:w="1180" w:type="dxa"/>
            <w:vAlign w:val="bottom"/>
          </w:tcPr>
          <w:p>
            <w:pPr>
              <w:ind w:left="20"/>
              <w:spacing w:after="0"/>
              <w:rPr>
                <w:sz w:val="20"/>
                <w:szCs w:val="20"/>
                <w:color w:val="auto"/>
              </w:rPr>
            </w:pPr>
            <w:r>
              <w:rPr>
                <w:rFonts w:ascii="Arial" w:cs="Arial" w:eastAsia="Arial" w:hAnsi="Arial"/>
                <w:sz w:val="14"/>
                <w:szCs w:val="14"/>
                <w:color w:val="auto"/>
              </w:rPr>
              <w:t>Richard E. Uihlein</w:t>
            </w:r>
          </w:p>
        </w:tc>
        <w:tc>
          <w:tcPr>
            <w:tcW w:w="2920" w:type="dxa"/>
            <w:vAlign w:val="bottom"/>
          </w:tcPr>
          <w:p>
            <w:pPr>
              <w:ind w:left="100"/>
              <w:spacing w:after="0"/>
              <w:rPr>
                <w:sz w:val="20"/>
                <w:szCs w:val="20"/>
                <w:color w:val="auto"/>
              </w:rPr>
            </w:pPr>
            <w:r>
              <w:rPr>
                <w:rFonts w:ascii="Arial" w:cs="Arial" w:eastAsia="Arial" w:hAnsi="Arial"/>
                <w:sz w:val="14"/>
                <w:szCs w:val="14"/>
                <w:color w:val="auto"/>
              </w:rPr>
              <w:t>8. Stephen Shulman</w:t>
            </w:r>
          </w:p>
        </w:tc>
      </w:tr>
    </w:tbl>
    <w:p>
      <w:pPr>
        <w:spacing w:after="0" w:line="20" w:lineRule="exact"/>
        <w:rPr>
          <w:sz w:val="20"/>
          <w:szCs w:val="20"/>
          <w:color w:val="auto"/>
        </w:rPr>
      </w:pPr>
      <w:r>
        <w:rPr>
          <w:sz w:val="20"/>
          <w:szCs w:val="20"/>
          <w:color w:val="auto"/>
        </w:rPr>
        <w:br w:type="column"/>
      </w:r>
    </w:p>
    <w:p>
      <w:pPr>
        <w:jc w:val="both"/>
        <w:ind w:left="219" w:right="1980" w:hanging="219"/>
        <w:spacing w:after="0" w:line="264" w:lineRule="auto"/>
        <w:tabs>
          <w:tab w:leader="none" w:pos="219" w:val="left"/>
        </w:tabs>
        <w:numPr>
          <w:ilvl w:val="0"/>
          <w:numId w:val="80"/>
        </w:numPr>
        <w:rPr>
          <w:rFonts w:ascii="Arial" w:cs="Arial" w:eastAsia="Arial" w:hAnsi="Arial"/>
          <w:sz w:val="13"/>
          <w:szCs w:val="13"/>
          <w:color w:val="auto"/>
        </w:rPr>
      </w:pPr>
      <w:r>
        <w:rPr>
          <w:rFonts w:ascii="Arial" w:cs="Arial" w:eastAsia="Arial" w:hAnsi="Arial"/>
          <w:sz w:val="13"/>
          <w:szCs w:val="13"/>
          <w:color w:val="auto"/>
        </w:rPr>
        <w:t>In their discretion, the proxies are authorized to vote upon such other business as may properly come before the annual meeting</w:t>
      </w:r>
    </w:p>
    <w:p>
      <w:pPr>
        <w:spacing w:after="0" w:line="92" w:lineRule="exact"/>
        <w:rPr>
          <w:sz w:val="20"/>
          <w:szCs w:val="20"/>
          <w:color w:val="auto"/>
        </w:rPr>
      </w:pPr>
    </w:p>
    <w:p>
      <w:pPr>
        <w:sectPr>
          <w:pgSz w:w="11900" w:h="16838" w:orient="portrait"/>
          <w:cols w:equalWidth="0" w:num="2">
            <w:col w:w="5401" w:space="720"/>
            <w:col w:w="4939"/>
          </w:cols>
          <w:pgMar w:left="420" w:top="324" w:right="419" w:bottom="1440" w:gutter="0" w:footer="0" w:header="0"/>
          <w:type w:val="continuous"/>
        </w:sectPr>
      </w:pPr>
    </w:p>
    <w:p>
      <w:pPr>
        <w:spacing w:after="0" w:line="22" w:lineRule="exact"/>
        <w:rPr>
          <w:sz w:val="20"/>
          <w:szCs w:val="20"/>
          <w:color w:val="auto"/>
        </w:rPr>
      </w:pPr>
    </w:p>
    <w:p>
      <w:pPr>
        <w:ind w:left="140" w:hanging="137"/>
        <w:spacing w:after="0" w:line="251" w:lineRule="auto"/>
        <w:tabs>
          <w:tab w:leader="none" w:pos="125" w:val="left"/>
        </w:tabs>
        <w:numPr>
          <w:ilvl w:val="0"/>
          <w:numId w:val="81"/>
        </w:numPr>
        <w:rPr>
          <w:rFonts w:ascii="Arial" w:cs="Arial" w:eastAsia="Arial" w:hAnsi="Arial"/>
          <w:sz w:val="13"/>
          <w:szCs w:val="13"/>
          <w:color w:val="auto"/>
        </w:rPr>
      </w:pPr>
      <w:r>
        <w:rPr>
          <w:rFonts w:ascii="Arial" w:cs="Arial" w:eastAsia="Arial" w:hAnsi="Arial"/>
          <w:sz w:val="13"/>
          <w:szCs w:val="13"/>
          <w:color w:val="auto"/>
        </w:rPr>
        <w:t>A proposal to ratify the appointment of Cherry Bekaert LLP as the independent registered public accounting firm to audit the financial statements for the 2018 fiscal year. The Board of Directors recommends a vote “FOR” this proposal.</w:t>
      </w:r>
    </w:p>
    <w:p>
      <w:pPr>
        <w:spacing w:after="0" w:line="200" w:lineRule="exact"/>
        <w:rPr>
          <w:rFonts w:ascii="Arial" w:cs="Arial" w:eastAsia="Arial" w:hAnsi="Arial"/>
          <w:sz w:val="13"/>
          <w:szCs w:val="13"/>
          <w:color w:val="auto"/>
        </w:rPr>
      </w:pPr>
    </w:p>
    <w:p>
      <w:pPr>
        <w:spacing w:after="0" w:line="206" w:lineRule="exact"/>
        <w:rPr>
          <w:rFonts w:ascii="Arial" w:cs="Arial" w:eastAsia="Arial" w:hAnsi="Arial"/>
          <w:sz w:val="13"/>
          <w:szCs w:val="13"/>
          <w:color w:val="auto"/>
        </w:rPr>
      </w:pPr>
    </w:p>
    <w:p>
      <w:pPr>
        <w:ind w:left="140" w:right="200" w:hanging="137"/>
        <w:spacing w:after="0" w:line="231" w:lineRule="auto"/>
        <w:tabs>
          <w:tab w:leader="none" w:pos="13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 adopt and approve an amendment to our Restated Articles of Incorporation increasing the number of authorized common voting shares (“common stock”) from 50,000,000 to 100,000,000.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20"/>
                <w:szCs w:val="20"/>
                <w:color w:val="auto"/>
              </w:rPr>
            </w:pPr>
            <w:r>
              <w:rPr>
                <w:rFonts w:ascii="Arial" w:cs="Arial" w:eastAsia="Arial" w:hAnsi="Arial"/>
                <w:sz w:val="13"/>
                <w:szCs w:val="13"/>
                <w:b w:val="1"/>
                <w:bCs w:val="1"/>
                <w:color w:val="auto"/>
              </w:rPr>
              <w:t>FOR</w:t>
            </w:r>
          </w:p>
        </w:tc>
        <w:tc>
          <w:tcPr>
            <w:tcW w:w="1020" w:type="dxa"/>
            <w:vAlign w:val="bottom"/>
          </w:tcPr>
          <w:p>
            <w:pPr>
              <w:ind w:left="300"/>
              <w:spacing w:after="0"/>
              <w:rPr>
                <w:sz w:val="20"/>
                <w:szCs w:val="20"/>
                <w:color w:val="auto"/>
              </w:rPr>
            </w:pPr>
            <w:r>
              <w:rPr>
                <w:rFonts w:ascii="Arial" w:cs="Arial" w:eastAsia="Arial" w:hAnsi="Arial"/>
                <w:sz w:val="13"/>
                <w:szCs w:val="13"/>
                <w:b w:val="1"/>
                <w:bCs w:val="1"/>
                <w:color w:val="auto"/>
              </w:rPr>
              <w:t>AGAINST</w:t>
            </w:r>
          </w:p>
        </w:tc>
        <w:tc>
          <w:tcPr>
            <w:tcW w:w="720" w:type="dxa"/>
            <w:vAlign w:val="bottom"/>
          </w:tcPr>
          <w:p>
            <w:pPr>
              <w:ind w:left="160"/>
              <w:spacing w:after="0"/>
              <w:rPr>
                <w:sz w:val="20"/>
                <w:szCs w:val="20"/>
                <w:color w:val="auto"/>
              </w:rPr>
            </w:pPr>
            <w:r>
              <w:rPr>
                <w:rFonts w:ascii="Arial" w:cs="Arial" w:eastAsia="Arial" w:hAnsi="Arial"/>
                <w:sz w:val="13"/>
                <w:szCs w:val="13"/>
                <w:b w:val="1"/>
                <w:bCs w:val="1"/>
                <w:color w:val="auto"/>
                <w:w w:val="93"/>
              </w:rPr>
              <w:t>ABSTAIN</w:t>
            </w:r>
          </w:p>
        </w:tc>
      </w:tr>
      <w:tr>
        <w:trPr>
          <w:trHeight w:val="511"/>
        </w:trPr>
        <w:tc>
          <w:tcPr>
            <w:tcW w:w="580" w:type="dxa"/>
            <w:vAlign w:val="bottom"/>
          </w:tcPr>
          <w:p>
            <w:pPr>
              <w:spacing w:after="0" w:line="321" w:lineRule="exact"/>
              <w:rPr>
                <w:sz w:val="20"/>
                <w:szCs w:val="20"/>
                <w:color w:val="auto"/>
              </w:rPr>
            </w:pPr>
            <w:r>
              <w:rPr>
                <w:rFonts w:ascii="MS PGothic" w:cs="MS PGothic" w:eastAsia="MS PGothic" w:hAnsi="MS PGothic"/>
                <w:sz w:val="32"/>
                <w:szCs w:val="32"/>
                <w:color w:val="auto"/>
              </w:rPr>
              <w:t>☐</w:t>
            </w:r>
          </w:p>
        </w:tc>
        <w:tc>
          <w:tcPr>
            <w:tcW w:w="1020" w:type="dxa"/>
            <w:vAlign w:val="bottom"/>
          </w:tcPr>
          <w:p>
            <w:pPr>
              <w:ind w:left="300"/>
              <w:spacing w:after="0" w:line="321" w:lineRule="exact"/>
              <w:rPr>
                <w:sz w:val="20"/>
                <w:szCs w:val="20"/>
                <w:color w:val="auto"/>
              </w:rPr>
            </w:pPr>
            <w:r>
              <w:rPr>
                <w:rFonts w:ascii="MS PGothic" w:cs="MS PGothic" w:eastAsia="MS PGothic" w:hAnsi="MS PGothic"/>
                <w:sz w:val="32"/>
                <w:szCs w:val="32"/>
                <w:color w:val="auto"/>
              </w:rPr>
              <w:t>☐</w:t>
            </w:r>
          </w:p>
        </w:tc>
        <w:tc>
          <w:tcPr>
            <w:tcW w:w="720" w:type="dxa"/>
            <w:vAlign w:val="bottom"/>
          </w:tcPr>
          <w:p>
            <w:pPr>
              <w:ind w:left="160"/>
              <w:spacing w:after="0" w:line="321" w:lineRule="exact"/>
              <w:rPr>
                <w:sz w:val="20"/>
                <w:szCs w:val="20"/>
                <w:color w:val="auto"/>
              </w:rPr>
            </w:pPr>
            <w:r>
              <w:rPr>
                <w:rFonts w:ascii="MS PGothic" w:cs="MS PGothic" w:eastAsia="MS PGothic" w:hAnsi="MS PGothic"/>
                <w:sz w:val="32"/>
                <w:szCs w:val="32"/>
                <w:color w:val="auto"/>
              </w:rPr>
              <w:t>☐</w:t>
            </w:r>
          </w:p>
        </w:tc>
      </w:tr>
      <w:tr>
        <w:trPr>
          <w:trHeight w:val="678"/>
        </w:trPr>
        <w:tc>
          <w:tcPr>
            <w:tcW w:w="580" w:type="dxa"/>
            <w:vAlign w:val="bottom"/>
          </w:tcPr>
          <w:p>
            <w:pPr>
              <w:spacing w:after="0"/>
              <w:rPr>
                <w:sz w:val="20"/>
                <w:szCs w:val="20"/>
                <w:color w:val="auto"/>
              </w:rPr>
            </w:pPr>
            <w:r>
              <w:rPr>
                <w:rFonts w:ascii="Arial" w:cs="Arial" w:eastAsia="Arial" w:hAnsi="Arial"/>
                <w:sz w:val="13"/>
                <w:szCs w:val="13"/>
                <w:b w:val="1"/>
                <w:bCs w:val="1"/>
                <w:color w:val="auto"/>
              </w:rPr>
              <w:t>FOR</w:t>
            </w:r>
          </w:p>
        </w:tc>
        <w:tc>
          <w:tcPr>
            <w:tcW w:w="1020" w:type="dxa"/>
            <w:vAlign w:val="bottom"/>
          </w:tcPr>
          <w:p>
            <w:pPr>
              <w:ind w:left="300"/>
              <w:spacing w:after="0"/>
              <w:rPr>
                <w:sz w:val="20"/>
                <w:szCs w:val="20"/>
                <w:color w:val="auto"/>
              </w:rPr>
            </w:pPr>
            <w:r>
              <w:rPr>
                <w:rFonts w:ascii="Arial" w:cs="Arial" w:eastAsia="Arial" w:hAnsi="Arial"/>
                <w:sz w:val="13"/>
                <w:szCs w:val="13"/>
                <w:b w:val="1"/>
                <w:bCs w:val="1"/>
                <w:color w:val="auto"/>
              </w:rPr>
              <w:t>AGAINST</w:t>
            </w:r>
          </w:p>
        </w:tc>
        <w:tc>
          <w:tcPr>
            <w:tcW w:w="720" w:type="dxa"/>
            <w:vAlign w:val="bottom"/>
          </w:tcPr>
          <w:p>
            <w:pPr>
              <w:ind w:left="160"/>
              <w:spacing w:after="0"/>
              <w:rPr>
                <w:sz w:val="20"/>
                <w:szCs w:val="20"/>
                <w:color w:val="auto"/>
              </w:rPr>
            </w:pPr>
            <w:r>
              <w:rPr>
                <w:rFonts w:ascii="Arial" w:cs="Arial" w:eastAsia="Arial" w:hAnsi="Arial"/>
                <w:sz w:val="13"/>
                <w:szCs w:val="13"/>
                <w:b w:val="1"/>
                <w:bCs w:val="1"/>
                <w:color w:val="auto"/>
                <w:w w:val="93"/>
              </w:rPr>
              <w:t>ABSTAIN</w:t>
            </w:r>
          </w:p>
        </w:tc>
      </w:tr>
      <w:tr>
        <w:trPr>
          <w:trHeight w:val="511"/>
        </w:trPr>
        <w:tc>
          <w:tcPr>
            <w:tcW w:w="580" w:type="dxa"/>
            <w:vAlign w:val="bottom"/>
          </w:tcPr>
          <w:p>
            <w:pPr>
              <w:spacing w:after="0" w:line="321" w:lineRule="exact"/>
              <w:rPr>
                <w:sz w:val="20"/>
                <w:szCs w:val="20"/>
                <w:color w:val="auto"/>
              </w:rPr>
            </w:pPr>
            <w:r>
              <w:rPr>
                <w:rFonts w:ascii="MS PGothic" w:cs="MS PGothic" w:eastAsia="MS PGothic" w:hAnsi="MS PGothic"/>
                <w:sz w:val="32"/>
                <w:szCs w:val="32"/>
                <w:color w:val="auto"/>
              </w:rPr>
              <w:t>☐</w:t>
            </w:r>
          </w:p>
        </w:tc>
        <w:tc>
          <w:tcPr>
            <w:tcW w:w="1020" w:type="dxa"/>
            <w:vAlign w:val="bottom"/>
          </w:tcPr>
          <w:p>
            <w:pPr>
              <w:ind w:left="300"/>
              <w:spacing w:after="0" w:line="321" w:lineRule="exact"/>
              <w:rPr>
                <w:sz w:val="20"/>
                <w:szCs w:val="20"/>
                <w:color w:val="auto"/>
              </w:rPr>
            </w:pPr>
            <w:r>
              <w:rPr>
                <w:rFonts w:ascii="MS PGothic" w:cs="MS PGothic" w:eastAsia="MS PGothic" w:hAnsi="MS PGothic"/>
                <w:sz w:val="32"/>
                <w:szCs w:val="32"/>
                <w:color w:val="auto"/>
              </w:rPr>
              <w:t>☐</w:t>
            </w:r>
          </w:p>
        </w:tc>
        <w:tc>
          <w:tcPr>
            <w:tcW w:w="720" w:type="dxa"/>
            <w:vAlign w:val="bottom"/>
          </w:tcPr>
          <w:p>
            <w:pPr>
              <w:ind w:left="160"/>
              <w:spacing w:after="0" w:line="321" w:lineRule="exact"/>
              <w:rPr>
                <w:sz w:val="20"/>
                <w:szCs w:val="20"/>
                <w:color w:val="auto"/>
              </w:rPr>
            </w:pPr>
            <w:r>
              <w:rPr>
                <w:rFonts w:ascii="MS PGothic" w:cs="MS PGothic" w:eastAsia="MS PGothic" w:hAnsi="MS PGothic"/>
                <w:sz w:val="32"/>
                <w:szCs w:val="32"/>
                <w:color w:val="auto"/>
              </w:rPr>
              <w:t>☐</w:t>
            </w: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40"/>
        <w:spacing w:after="0"/>
        <w:rPr>
          <w:sz w:val="20"/>
          <w:szCs w:val="20"/>
          <w:color w:val="auto"/>
        </w:rPr>
      </w:pPr>
      <w:r>
        <w:rPr>
          <w:rFonts w:ascii="Arial" w:cs="Arial" w:eastAsia="Arial" w:hAnsi="Arial"/>
          <w:sz w:val="14"/>
          <w:szCs w:val="14"/>
          <w:b w:val="1"/>
          <w:bCs w:val="1"/>
          <w:color w:val="auto"/>
        </w:rPr>
        <w:t>THIS PROXY WILL BE VOTED AS DIRECTED. IF NO DIRECTION IS INDICATED FOR THE PROPOSALS, EACH PROPOSAL WILL BE VOTED “FOR” THE PROPOSAL.</w:t>
      </w:r>
    </w:p>
    <w:p>
      <w:pPr>
        <w:spacing w:after="0" w:line="1535" w:lineRule="exact"/>
        <w:rPr>
          <w:sz w:val="20"/>
          <w:szCs w:val="20"/>
          <w:color w:val="auto"/>
        </w:rPr>
      </w:pPr>
    </w:p>
    <w:p>
      <w:pPr>
        <w:sectPr>
          <w:pgSz w:w="11900" w:h="16838" w:orient="portrait"/>
          <w:cols w:equalWidth="0" w:num="3">
            <w:col w:w="3140" w:space="180"/>
            <w:col w:w="2320" w:space="480"/>
            <w:col w:w="4940"/>
          </w:cols>
          <w:pgMar w:left="420" w:top="324" w:right="419" w:bottom="1440" w:gutter="0" w:footer="0" w:header="0"/>
          <w:type w:val="continuous"/>
        </w:sectPr>
      </w:pPr>
    </w:p>
    <w:p>
      <w:pPr>
        <w:spacing w:after="0" w:line="13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48895</wp:posOffset>
            </wp:positionV>
            <wp:extent cx="2400935"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009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440" w:val="left"/>
          <w:tab w:leader="none" w:pos="8840" w:val="left"/>
          <w:tab w:leader="none" w:pos="1060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Date</w:t>
      </w:r>
      <w:r>
        <w:rPr>
          <w:sz w:val="20"/>
          <w:szCs w:val="20"/>
          <w:color w:val="auto"/>
        </w:rPr>
        <w:tab/>
      </w:r>
      <w:r>
        <w:rPr>
          <w:rFonts w:ascii="Arial" w:cs="Arial" w:eastAsia="Arial" w:hAnsi="Arial"/>
          <w:sz w:val="14"/>
          <w:szCs w:val="14"/>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12065</wp:posOffset>
            </wp:positionV>
            <wp:extent cx="61747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74740" cy="17145"/>
                    </a:xfrm>
                    <a:prstGeom prst="rect">
                      <a:avLst/>
                    </a:prstGeom>
                    <a:noFill/>
                  </pic:spPr>
                </pic:pic>
              </a:graphicData>
            </a:graphic>
          </wp:anchor>
        </w:drawing>
      </w:r>
    </w:p>
    <w:p>
      <w:pPr>
        <w:spacing w:after="0" w:line="12" w:lineRule="exact"/>
        <w:rPr>
          <w:sz w:val="20"/>
          <w:szCs w:val="20"/>
          <w:color w:val="auto"/>
        </w:rPr>
      </w:pPr>
    </w:p>
    <w:p>
      <w:pPr>
        <w:ind w:right="220"/>
        <w:spacing w:after="0" w:line="237" w:lineRule="auto"/>
        <w:rPr>
          <w:sz w:val="20"/>
          <w:szCs w:val="20"/>
          <w:color w:val="auto"/>
        </w:rPr>
      </w:pPr>
      <w:r>
        <w:rPr>
          <w:rFonts w:ascii="Arial" w:cs="Arial" w:eastAsia="Arial" w:hAnsi="Arial"/>
          <w:sz w:val="13"/>
          <w:szCs w:val="13"/>
          <w:color w:val="auto"/>
        </w:rPr>
        <w:t>Note: Please sign exactly as name appears hereon. When shares are held by joint owners, both should sign. When signing as attorney, executor, administrator, trustee, guardian, or corporate officer, please give title as such.</w:t>
      </w:r>
    </w:p>
    <w:p>
      <w:pPr>
        <w:sectPr>
          <w:pgSz w:w="11900" w:h="16838" w:orient="portrait"/>
          <w:cols w:equalWidth="0" w:num="1">
            <w:col w:w="11060"/>
          </w:cols>
          <w:pgMar w:left="420" w:top="324" w:right="419" w:bottom="1440" w:gutter="0" w:footer="0" w:header="0"/>
          <w:type w:val="continuous"/>
        </w:sectPr>
      </w:pPr>
    </w:p>
    <w:bookmarkStart w:id="73" w:name="page74"/>
    <w:bookmarkEnd w:id="73"/>
    <w:p>
      <w:pPr>
        <w:jc w:val="center"/>
        <w:ind w:left="300" w:right="440"/>
        <w:spacing w:after="0" w:line="298"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Important Notice Regarding the Availability of Proxy Materials for the 2018 annual meeting of stockholders of Galectin Therapeutics Inc. to be held at the offices of Dentons LLP, located at 303 Peachtree Street NE, Suite 5300, Atlanta, GA 30308 on May 22, 2018 at 9:00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The Proxy Statement and Annual Report to Stockholders are available at:</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http://www.galectintherapeutics.com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7"/>
          <w:szCs w:val="27"/>
          <w:b w:val="1"/>
          <w:bCs w:val="1"/>
          <w:i w:val="1"/>
          <w:iCs w:val="1"/>
          <w:u w:val="single" w:color="auto"/>
          <w:color w:val="auto"/>
        </w:rPr>
        <w:t>To Vote Your Proxy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Mark, sign and date your Proxy Card on the reverse side, and return it in the</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GALECTIN THERAPEUTICS INC.</w:t>
      </w:r>
    </w:p>
    <w:p>
      <w:pPr>
        <w:spacing w:after="0" w:line="314" w:lineRule="exact"/>
        <w:rPr>
          <w:sz w:val="20"/>
          <w:szCs w:val="20"/>
          <w:color w:val="auto"/>
        </w:rPr>
      </w:pPr>
    </w:p>
    <w:p>
      <w:pPr>
        <w:ind w:firstLine="571"/>
        <w:spacing w:after="0" w:line="282" w:lineRule="auto"/>
        <w:rPr>
          <w:sz w:val="20"/>
          <w:szCs w:val="20"/>
          <w:color w:val="auto"/>
        </w:rPr>
      </w:pPr>
      <w:r>
        <w:rPr>
          <w:rFonts w:ascii="Arial" w:cs="Arial" w:eastAsia="Arial" w:hAnsi="Arial"/>
          <w:sz w:val="19"/>
          <w:szCs w:val="19"/>
          <w:color w:val="auto"/>
        </w:rPr>
        <w:t>The undersigned appoints Peter G. Traber, M.D., Jack W. Callicutt and Harold Shlevin, Ph.D. and each of them, as proxies, each with the power of substitution, and authorizes each of them to represent and to vote, as designated on the reverse hereof, all of the shares of common stock of Galectin Therapeutics Inc. held of record by the undersigned at the close of business on March 26, 2018 at the 2018 annual meeting of stockholders to be held at the offices of Dentons LLP, located at 303 Peachtree Street NE, Suite 5300, Atlanta, GA 30308 on May 22, 2018 at 9:00 a.m. (local time) or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(Continued and to be marked, dated and signed, on the other side)</w:t>
      </w:r>
    </w:p>
    <w:sectPr>
      <w:pgSz w:w="11900" w:h="16838" w:orient="portrait"/>
      <w:cols w:equalWidth="0" w:num="1">
        <w:col w:w="11380"/>
      </w:cols>
      <w:pgMar w:left="240" w:top="26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lvl w:ilvl="1">
      <w:lvlJc w:val="left"/>
      <w:lvlText w:val="(%2)"/>
      <w:numFmt w:val="decimal"/>
      <w:start w:val="1"/>
    </w:lvl>
  </w:abstractNum>
  <w:abstractNum w:abstractNumId="5">
    <w:nsid w:val="1D4ED43B"/>
    <w:multiLevelType w:val="hybridMultilevel"/>
    <w:lvl w:ilvl="0">
      <w:lvlJc w:val="left"/>
      <w:lvlText w:val="(%1)"/>
      <w:numFmt w:val="decimal"/>
      <w:start w:val="3"/>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decimal"/>
      <w:start w:val="2"/>
    </w:lvl>
  </w:abstractNum>
  <w:abstractNum w:abstractNumId="15">
    <w:nsid w:val="32FFF902"/>
    <w:multiLevelType w:val="hybridMultilevel"/>
    <w:lvl w:ilvl="0">
      <w:lvlJc w:val="left"/>
      <w:lvlText w:val="(%1)"/>
      <w:numFmt w:val="decimal"/>
      <w:start w:val="3"/>
    </w:lvl>
  </w:abstractNum>
  <w:abstractNum w:abstractNumId="16">
    <w:nsid w:val="684A481A"/>
    <w:multiLevelType w:val="hybridMultilevel"/>
    <w:lvl w:ilvl="0">
      <w:lvlJc w:val="left"/>
      <w:lvlText w:val="(%1)"/>
      <w:numFmt w:val="decimal"/>
      <w:start w:val="9"/>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lowerRoman"/>
      <w:start w:val="5"/>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8"/>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upperLetter"/>
      <w:start w:val="1"/>
    </w:lvl>
  </w:abstractNum>
  <w:abstractNum w:abstractNumId="33">
    <w:nsid w:val="180115BE"/>
    <w:multiLevelType w:val="hybridMultilevel"/>
    <w:lvl w:ilvl="0">
      <w:lvlJc w:val="left"/>
      <w:lvlText w:val="(%1)"/>
      <w:numFmt w:val="upperLetter"/>
      <w:start w:val="3"/>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3"/>
    </w:lvl>
  </w:abstractNum>
  <w:abstractNum w:abstractNumId="37">
    <w:nsid w:val="15B5AF5C"/>
    <w:multiLevelType w:val="hybridMultilevel"/>
    <w:lvl w:ilvl="0">
      <w:lvlJc w:val="left"/>
      <w:lvlText w:val="(%1)"/>
      <w:numFmt w:val="decimal"/>
      <w:start w:val="10"/>
    </w:lvl>
  </w:abstractNum>
  <w:abstractNum w:abstractNumId="38">
    <w:nsid w:val="741226BB"/>
    <w:multiLevelType w:val="hybridMultilevel"/>
    <w:lvl w:ilvl="0">
      <w:lvlJc w:val="left"/>
      <w:lvlText w:val="(%1)"/>
      <w:numFmt w:val="decimal"/>
      <w:start w:val="14"/>
    </w:lvl>
  </w:abstractNum>
  <w:abstractNum w:abstractNumId="39">
    <w:nsid w:val="D34B6A8"/>
    <w:multiLevelType w:val="hybridMultilevel"/>
    <w:lvl w:ilvl="0">
      <w:lvlJc w:val="left"/>
      <w:lvlText w:val="(%1)"/>
      <w:numFmt w:val="lowerRoman"/>
      <w:start w:val="1"/>
    </w:lvl>
  </w:abstractNum>
  <w:abstractNum w:abstractNumId="40">
    <w:nsid w:val="10233C99"/>
    <w:multiLevelType w:val="hybridMultilevel"/>
    <w:lvl w:ilvl="0">
      <w:lvlJc w:val="left"/>
      <w:lvlText w:val="(%1)"/>
      <w:numFmt w:val="lowerRoman"/>
      <w:start w:val="3"/>
    </w:lvl>
  </w:abstractNum>
  <w:abstractNum w:abstractNumId="41">
    <w:nsid w:val="3F6AB60F"/>
    <w:multiLevelType w:val="hybridMultilevel"/>
    <w:lvl w:ilvl="0">
      <w:lvlJc w:val="left"/>
      <w:lvlText w:val="(%1)"/>
      <w:numFmt w:val="lowerRoman"/>
      <w:start w:val="2"/>
    </w:lvl>
  </w:abstractNum>
  <w:abstractNum w:abstractNumId="42">
    <w:nsid w:val="61574095"/>
    <w:multiLevelType w:val="hybridMultilevel"/>
    <w:lvl w:ilvl="0">
      <w:lvlJc w:val="left"/>
      <w:lvlText w:val="(%1)"/>
      <w:numFmt w:val="lowerLetter"/>
      <w:start w:val="1"/>
    </w:lvl>
  </w:abstractNum>
  <w:abstractNum w:abstractNumId="43">
    <w:nsid w:val="7E0C57B1"/>
    <w:multiLevelType w:val="hybridMultilevel"/>
    <w:lvl w:ilvl="0">
      <w:lvlJc w:val="left"/>
      <w:lvlText w:val="(%1)"/>
      <w:numFmt w:val="decimal"/>
      <w:start w:val="3"/>
    </w:lvl>
  </w:abstractNum>
  <w:abstractNum w:abstractNumId="44">
    <w:nsid w:val="77AE35EB"/>
    <w:multiLevelType w:val="hybridMultilevel"/>
    <w:lvl w:ilvl="0">
      <w:lvlJc w:val="left"/>
      <w:lvlText w:val="(%1)"/>
      <w:numFmt w:val="decimal"/>
      <w:start w:val="775"/>
    </w:lvl>
  </w:abstractNum>
  <w:abstractNum w:abstractNumId="45">
    <w:nsid w:val="579BE4F1"/>
    <w:multiLevelType w:val="hybridMultilevel"/>
    <w:lvl w:ilvl="0">
      <w:lvlJc w:val="left"/>
      <w:lvlText w:val="%1."/>
      <w:numFmt w:val="decimal"/>
      <w:start w:val="3"/>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lvl w:ilvl="1">
      <w:lvlJc w:val="left"/>
      <w:lvlText w:val="(%2)"/>
      <w:numFmt w:val="lowerLetter"/>
      <w:start w:val="1"/>
    </w:lvl>
  </w:abstractNum>
  <w:abstractNum w:abstractNumId="48">
    <w:nsid w:val="2F305DEF"/>
    <w:multiLevelType w:val="hybridMultilevel"/>
    <w:lvl w:ilvl="0">
      <w:lvlJc w:val="left"/>
      <w:lvlText w:val="(%1)"/>
      <w:numFmt w:val="lowerLetter"/>
      <w:start w:val="7"/>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1)"/>
      <w:numFmt w:val="lowerLetter"/>
      <w:start w:val="11"/>
    </w:lvl>
  </w:abstractNum>
  <w:abstractNum w:abstractNumId="51">
    <w:nsid w:val="4AD084E9"/>
    <w:multiLevelType w:val="hybridMultilevel"/>
    <w:lvl w:ilvl="0">
      <w:lvlJc w:val="left"/>
      <w:lvlText w:val="%1"/>
      <w:numFmt w:val="lowerLetter"/>
      <w:start w:val="1"/>
    </w:lvl>
    <w:lvl w:ilvl="1">
      <w:lvlJc w:val="left"/>
      <w:lvlText w:val="(%2)"/>
      <w:numFmt w:val="lowerLetter"/>
      <w:start w:val="17"/>
    </w:lvl>
  </w:abstractNum>
  <w:abstractNum w:abstractNumId="52">
    <w:nsid w:val="1F48EAA1"/>
    <w:multiLevelType w:val="hybridMultilevel"/>
    <w:lvl w:ilvl="0">
      <w:lvlJc w:val="left"/>
      <w:lvlText w:val="(%1)"/>
      <w:numFmt w:val="lowerLetter"/>
      <w:start w:val="9"/>
    </w:lvl>
    <w:lvl w:ilvl="1">
      <w:lvlJc w:val="left"/>
      <w:lvlText w:val="(%2)"/>
      <w:numFmt w:val="lowerLetter"/>
      <w:start w:val="23"/>
    </w:lvl>
  </w:abstractNum>
  <w:abstractNum w:abstractNumId="53">
    <w:nsid w:val="1381823A"/>
    <w:multiLevelType w:val="hybridMultilevel"/>
    <w:lvl w:ilvl="0">
      <w:lvlJc w:val="left"/>
      <w:lvlText w:val="(%1)"/>
      <w:numFmt w:val="lowerLetter"/>
      <w:start w:val="27"/>
    </w:lvl>
  </w:abstractNum>
  <w:abstractNum w:abstractNumId="54">
    <w:nsid w:val="5DB70A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1"/>
    </w:lvl>
  </w:abstractNum>
  <w:abstractNum w:abstractNumId="55">
    <w:nsid w:val="100F8FCA"/>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56">
    <w:nsid w:val="6590700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7">
    <w:nsid w:val="15014AC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8">
    <w:nsid w:val="5F5E7FD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9">
    <w:nsid w:val="98A31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
    <w:nsid w:val="799D024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1">
    <w:nsid w:val="6B94764"/>
    <w:multiLevelType w:val="hybridMultilevel"/>
    <w:lvl w:ilvl="0">
      <w:lvlJc w:val="left"/>
      <w:lvlText w:val="(%1)"/>
      <w:numFmt w:val="lowerLetter"/>
      <w:start w:val="4"/>
    </w:lvl>
    <w:lvl w:ilvl="1">
      <w:lvlJc w:val="left"/>
      <w:lvlText w:val="(%2)"/>
      <w:numFmt w:val="lowerRoman"/>
      <w:start w:val="1"/>
    </w:lvl>
  </w:abstractNum>
  <w:abstractNum w:abstractNumId="62">
    <w:nsid w:val="42C296BD"/>
    <w:multiLevelType w:val="hybridMultilevel"/>
    <w:lvl w:ilvl="0">
      <w:lvlJc w:val="left"/>
      <w:lvlText w:val="%1"/>
      <w:numFmt w:val="lowerLetter"/>
      <w:start w:val="1"/>
    </w:lvl>
    <w:lvl w:ilvl="1">
      <w:lvlJc w:val="left"/>
      <w:lvlText w:val="(%2)"/>
      <w:numFmt w:val="lowerRoman"/>
      <w:start w:val="2"/>
    </w:lvl>
  </w:abstractNum>
  <w:abstractNum w:abstractNumId="63">
    <w:nsid w:val="168E121F"/>
    <w:multiLevelType w:val="hybridMultilevel"/>
    <w:lvl w:ilvl="0">
      <w:lvlJc w:val="left"/>
      <w:lvlText w:val="(%1)"/>
      <w:numFmt w:val="lowerLetter"/>
      <w:start w:val="6"/>
    </w:lvl>
    <w:lvl w:ilvl="1">
      <w:lvlJc w:val="left"/>
      <w:lvlText w:val="%2"/>
      <w:numFmt w:val="lowerRoman"/>
      <w:start w:val="1"/>
    </w:lvl>
  </w:abstractNum>
  <w:abstractNum w:abstractNumId="64">
    <w:nsid w:val="1EBA5D23"/>
    <w:multiLevelType w:val="hybridMultilevel"/>
    <w:lvl w:ilvl="0">
      <w:lvlJc w:val="left"/>
      <w:lvlText w:val="%1"/>
      <w:numFmt w:val="decimal"/>
      <w:start w:val="1"/>
    </w:lvl>
    <w:lvl w:ilvl="1">
      <w:lvlJc w:val="left"/>
      <w:lvlText w:val="(%2)"/>
      <w:numFmt w:val="lowerLetter"/>
      <w:start w:val="9"/>
    </w:lvl>
  </w:abstractNum>
  <w:abstractNum w:abstractNumId="65">
    <w:nsid w:val="661E3F1E"/>
    <w:multiLevelType w:val="hybridMultilevel"/>
    <w:lvl w:ilvl="0">
      <w:lvlJc w:val="left"/>
      <w:lvlText w:val="%1."/>
      <w:numFmt w:val="decimal"/>
      <w:start w:val="7"/>
    </w:lvl>
    <w:lvl w:ilvl="1">
      <w:lvlJc w:val="left"/>
      <w:lvlText w:val="(%2)"/>
      <w:numFmt w:val="lowerLetter"/>
      <w:start w:val="1"/>
    </w:lvl>
  </w:abstractNum>
  <w:abstractNum w:abstractNumId="66">
    <w:nsid w:val="5DC79EA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7">
    <w:nsid w:val="540A47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68">
    <w:nsid w:val="7BD3EE7B"/>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69">
    <w:nsid w:val="51D9C564"/>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0">
    <w:nsid w:val="613EFDC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71">
    <w:nsid w:val="BF72B14"/>
    <w:multiLevelType w:val="hybridMultilevel"/>
    <w:lvl w:ilvl="0">
      <w:lvlJc w:val="left"/>
      <w:lvlText w:val="%1"/>
      <w:numFmt w:val="upperLetter"/>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72">
    <w:nsid w:val="11447B7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3">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4">
    <w:nsid w:val="A0382C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5">
    <w:nsid w:val="8F2B15E"/>
    <w:multiLevelType w:val="hybridMultilevel"/>
    <w:lvl w:ilvl="0">
      <w:lvlJc w:val="left"/>
      <w:lvlText w:val="(%1)"/>
      <w:numFmt w:val="lowerLetter"/>
      <w:start w:val="3"/>
    </w:lvl>
    <w:lvl w:ilvl="1">
      <w:lvlJc w:val="left"/>
      <w:lvlText w:val="(%2)"/>
      <w:numFmt w:val="lowerRoman"/>
      <w:start w:val="1"/>
    </w:lvl>
  </w:abstractNum>
  <w:abstractNum w:abstractNumId="76">
    <w:nsid w:val="1A32234B"/>
    <w:multiLevelType w:val="hybridMultilevel"/>
    <w:lvl w:ilvl="0">
      <w:lvlJc w:val="left"/>
      <w:lvlText w:val="%1"/>
      <w:numFmt w:val="lowerLetter"/>
      <w:start w:val="1"/>
    </w:lvl>
    <w:lvl w:ilvl="1">
      <w:lvlJc w:val="left"/>
      <w:lvlText w:val="(%2)"/>
      <w:numFmt w:val="lowerLetter"/>
      <w:start w:val="4"/>
    </w:lvl>
  </w:abstractNum>
  <w:abstractNum w:abstractNumId="77">
    <w:nsid w:val="3B0FD379"/>
    <w:multiLevelType w:val="hybridMultilevel"/>
    <w:lvl w:ilvl="0">
      <w:lvlJc w:val="left"/>
      <w:lvlText w:val="(%1)"/>
      <w:numFmt w:val="lowerLetter"/>
      <w:start w:val="9"/>
    </w:lvl>
    <w:lvl w:ilvl="1">
      <w:lvlJc w:val="left"/>
      <w:lvlText w:val="%2"/>
      <w:numFmt w:val="lowerLetter"/>
      <w:start w:val="1"/>
    </w:lvl>
  </w:abstractNum>
  <w:abstractNum w:abstractNumId="78">
    <w:nsid w:val="68EB2F63"/>
    <w:multiLevelType w:val="hybridMultilevel"/>
    <w:lvl w:ilvl="0">
      <w:lvlJc w:val="left"/>
      <w:lvlText w:val="(%1)"/>
      <w:numFmt w:val="lowerLetter"/>
      <w:start w:val="7"/>
    </w:lvl>
  </w:abstractNum>
  <w:abstractNum w:abstractNumId="79">
    <w:nsid w:val="4962813B"/>
    <w:multiLevelType w:val="hybridMultilevel"/>
    <w:lvl w:ilvl="0">
      <w:lvlJc w:val="left"/>
      <w:lvlText w:val="%1."/>
      <w:numFmt w:val="decimal"/>
      <w:start w:val="6"/>
    </w:lvl>
  </w:abstractNum>
  <w:abstractNum w:abstractNumId="80">
    <w:nsid w:val="60B6DF7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2019-12-06T18:01:32Z</dcterms:created>
  <dcterms:modified xsi:type="dcterms:W3CDTF">2019-12-06T18:01:32Z</dcterms:modified>
</cp:coreProperties>
</file>