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25" w:right="1440" w:bottom="1440" w:gutter="0" w:footer="0" w:header="0"/>
        </w:sectPr>
      </w:pPr>
    </w:p>
    <w:bookmarkStart w:id="2" w:name="page3"/>
    <w:bookmarkEnd w:id="2"/>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2298065"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98065" cy="523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April 7,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You are cordially invited to attend the annual meeting of stockholders of Galectin Therapeutics Inc. The meeting will be held on Wednesday, May 14, 2014 at 9:00 a.m., local time, at the offices of Arnall Golden Gregory LLP, located at 171 17</w:t>
      </w:r>
      <w:r>
        <w:rPr>
          <w:rFonts w:ascii="Arial" w:cs="Arial" w:eastAsia="Arial" w:hAnsi="Arial"/>
          <w:sz w:val="10"/>
          <w:szCs w:val="10"/>
          <w:color w:val="auto"/>
        </w:rPr>
        <w:t>th</w:t>
      </w:r>
      <w:r>
        <w:rPr>
          <w:rFonts w:ascii="Arial" w:cs="Arial" w:eastAsia="Arial" w:hAnsi="Arial"/>
          <w:sz w:val="16"/>
          <w:szCs w:val="16"/>
          <w:color w:val="auto"/>
        </w:rPr>
        <w:t xml:space="preserve"> Street NW, Suite 2100, Atlanta, GA 30363, for the following purposes:</w:t>
      </w:r>
    </w:p>
    <w:p>
      <w:pPr>
        <w:spacing w:after="0" w:line="4" w:lineRule="exact"/>
        <w:rPr>
          <w:sz w:val="20"/>
          <w:szCs w:val="20"/>
          <w:color w:val="auto"/>
        </w:rPr>
      </w:pPr>
    </w:p>
    <w:p>
      <w:pPr>
        <w:ind w:left="900" w:right="1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nine nominees named in this proxy statement for director to hold office for a one-year term, expiring at the 2015 annual meeting of our stockholders.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an amendment to the 2009 Incentive Compensation Plan to reserve an additional 1,400,000 shares for issuance under the plan.</w:t>
      </w:r>
    </w:p>
    <w:p>
      <w:pPr>
        <w:spacing w:after="0" w:line="113"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McGladrey LLP as our independent registered public accounting firm for the fiscal year ending December 31, 2014.</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vote is very important. Whether or not you plan to attend the annual meeting in person, please complete and return the enclosed proxy card.</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30365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G. Traber, M.D.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President, Chief Executive Officer and Chief Medical Officer</w:t>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80" w:type="dxa"/>
            <w:vAlign w:val="bottom"/>
            <w:gridSpan w:val="3"/>
          </w:tcPr>
          <w:p>
            <w:pPr>
              <w:jc w:val="center"/>
              <w:ind w:right="2300"/>
              <w:spacing w:after="0"/>
              <w:rPr>
                <w:sz w:val="20"/>
                <w:szCs w:val="20"/>
                <w:color w:val="auto"/>
              </w:rPr>
            </w:pPr>
            <w:r>
              <w:rPr>
                <w:rFonts w:ascii="Arial" w:cs="Arial" w:eastAsia="Arial" w:hAnsi="Arial"/>
                <w:sz w:val="22"/>
                <w:szCs w:val="22"/>
                <w:b w:val="1"/>
                <w:bCs w:val="1"/>
                <w:color w:val="auto"/>
              </w:rPr>
              <w:t>GALECTIN THERAPEUTICS INC.</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80" w:type="dxa"/>
            <w:vAlign w:val="bottom"/>
            <w:gridSpan w:val="3"/>
          </w:tcPr>
          <w:p>
            <w:pPr>
              <w:jc w:val="center"/>
              <w:ind w:right="2300"/>
              <w:spacing w:after="0"/>
              <w:rPr>
                <w:sz w:val="20"/>
                <w:szCs w:val="20"/>
                <w:color w:val="auto"/>
              </w:rPr>
            </w:pPr>
            <w:r>
              <w:rPr>
                <w:rFonts w:ascii="Arial" w:cs="Arial" w:eastAsia="Arial" w:hAnsi="Arial"/>
                <w:sz w:val="22"/>
                <w:szCs w:val="22"/>
                <w:b w:val="1"/>
                <w:bCs w:val="1"/>
                <w:color w:val="auto"/>
                <w:w w:val="88"/>
              </w:rPr>
              <w:t>4960 Peachtree Industrial Blvd., Suite 240</w:t>
            </w:r>
          </w:p>
        </w:tc>
        <w:tc>
          <w:tcPr>
            <w:tcW w:w="0" w:type="dxa"/>
            <w:vAlign w:val="bottom"/>
          </w:tcPr>
          <w:p>
            <w:pPr>
              <w:spacing w:after="0"/>
              <w:rPr>
                <w:sz w:val="1"/>
                <w:szCs w:val="1"/>
                <w:color w:val="auto"/>
              </w:rPr>
            </w:pPr>
          </w:p>
        </w:tc>
      </w:tr>
      <w:tr>
        <w:trPr>
          <w:trHeight w:val="228"/>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86"/>
              </w:rPr>
              <w:t>Norcross, Georgia 30071</w:t>
            </w:r>
          </w:p>
        </w:tc>
        <w:tc>
          <w:tcPr>
            <w:tcW w:w="0" w:type="dxa"/>
            <w:vAlign w:val="bottom"/>
          </w:tcPr>
          <w:p>
            <w:pPr>
              <w:spacing w:after="0"/>
              <w:rPr>
                <w:sz w:val="1"/>
                <w:szCs w:val="1"/>
                <w:color w:val="auto"/>
              </w:rPr>
            </w:pPr>
          </w:p>
        </w:tc>
      </w:tr>
      <w:tr>
        <w:trPr>
          <w:trHeight w:val="417"/>
        </w:trPr>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gridSpan w:val="3"/>
          </w:tcPr>
          <w:p>
            <w:pPr>
              <w:jc w:val="center"/>
              <w:ind w:right="2300"/>
              <w:spacing w:after="0"/>
              <w:rPr>
                <w:sz w:val="20"/>
                <w:szCs w:val="20"/>
                <w:color w:val="auto"/>
              </w:rPr>
            </w:pPr>
            <w:r>
              <w:rPr>
                <w:rFonts w:ascii="Arial" w:cs="Arial" w:eastAsia="Arial" w:hAnsi="Arial"/>
                <w:sz w:val="22"/>
                <w:szCs w:val="22"/>
                <w:b w:val="1"/>
                <w:bCs w:val="1"/>
                <w:color w:val="auto"/>
                <w:w w:val="98"/>
              </w:rPr>
              <w:t>NOTICE OF THE 2014 ANNUAL MEETING OF STOCKHOLDERS</w:t>
            </w:r>
          </w:p>
        </w:tc>
        <w:tc>
          <w:tcPr>
            <w:tcW w:w="0" w:type="dxa"/>
            <w:vAlign w:val="bottom"/>
          </w:tcPr>
          <w:p>
            <w:pPr>
              <w:spacing w:after="0"/>
              <w:rPr>
                <w:sz w:val="1"/>
                <w:szCs w:val="1"/>
                <w:color w:val="auto"/>
              </w:rPr>
            </w:pPr>
          </w:p>
        </w:tc>
      </w:tr>
      <w:tr>
        <w:trPr>
          <w:trHeight w:val="407"/>
        </w:trPr>
        <w:tc>
          <w:tcPr>
            <w:tcW w:w="17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9:00 a.m. on Wednesday, May 14, 2014</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Arnall Golden Gregory LLP</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171 17</w:t>
            </w:r>
            <w:r>
              <w:rPr>
                <w:rFonts w:ascii="Arial" w:cs="Arial" w:eastAsia="Arial" w:hAnsi="Arial"/>
                <w:sz w:val="11"/>
                <w:szCs w:val="11"/>
                <w:color w:val="auto"/>
              </w:rPr>
              <w:t>th</w:t>
            </w:r>
            <w:r>
              <w:rPr>
                <w:rFonts w:ascii="Arial" w:cs="Arial" w:eastAsia="Arial" w:hAnsi="Arial"/>
                <w:sz w:val="18"/>
                <w:szCs w:val="18"/>
                <w:color w:val="auto"/>
              </w:rPr>
              <w:t xml:space="preserve"> Street NW, Suite 2100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Atlanta, GA 30363</w:t>
            </w: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640" w:type="dxa"/>
            <w:vAlign w:val="bottom"/>
          </w:tcPr>
          <w:p>
            <w:pPr>
              <w:ind w:left="400"/>
              <w:spacing w:after="0"/>
              <w:rPr>
                <w:sz w:val="20"/>
                <w:szCs w:val="20"/>
                <w:color w:val="auto"/>
              </w:rPr>
            </w:pPr>
            <w:r>
              <w:rPr>
                <w:rFonts w:ascii="Arial" w:cs="Arial" w:eastAsia="Arial" w:hAnsi="Arial"/>
                <w:sz w:val="18"/>
                <w:szCs w:val="18"/>
                <w:color w:val="auto"/>
                <w:w w:val="99"/>
              </w:rPr>
              <w:t>(1)</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w w:val="89"/>
              </w:rPr>
              <w:t>To elect the nine (9) nominees named in this proxy statement to serve for one-year terms, expiring at our 2015 annual</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meeting of stockholders.</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(2)</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w w:val="92"/>
              </w:rPr>
              <w:t>To approve an amendment to the 2009 Incentive Compensation Plan to reserve an additional 1,400,000 shares for</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issuance under the plan.</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(3)</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w w:val="96"/>
              </w:rPr>
              <w:t>To ratify the selection by the Audit Committee of the Board of Directors of McGladrey LLP as our independent</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registered public accounting firm for the fiscal year ending December 31, 2014.</w:t>
            </w: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(4)</w:t>
            </w:r>
          </w:p>
        </w:tc>
        <w:tc>
          <w:tcPr>
            <w:tcW w:w="8880" w:type="dxa"/>
            <w:vAlign w:val="bottom"/>
            <w:gridSpan w:val="3"/>
          </w:tcPr>
          <w:p>
            <w:pPr>
              <w:ind w:left="460"/>
              <w:spacing w:after="0"/>
              <w:rPr>
                <w:sz w:val="20"/>
                <w:szCs w:val="20"/>
                <w:color w:val="auto"/>
              </w:rPr>
            </w:pPr>
            <w:r>
              <w:rPr>
                <w:rFonts w:ascii="Arial" w:cs="Arial" w:eastAsia="Arial" w:hAnsi="Arial"/>
                <w:sz w:val="18"/>
                <w:szCs w:val="18"/>
                <w:color w:val="auto"/>
              </w:rPr>
              <w:t>To transact such other business as may properly come before the meeting.</w:t>
            </w:r>
          </w:p>
        </w:tc>
        <w:tc>
          <w:tcPr>
            <w:tcW w:w="0" w:type="dxa"/>
            <w:vAlign w:val="bottom"/>
          </w:tcPr>
          <w:p>
            <w:pPr>
              <w:spacing w:after="0"/>
              <w:rPr>
                <w:sz w:val="1"/>
                <w:szCs w:val="1"/>
                <w:color w:val="auto"/>
              </w:rPr>
            </w:pPr>
          </w:p>
        </w:tc>
      </w:tr>
      <w:tr>
        <w:trPr>
          <w:trHeight w:val="318"/>
        </w:trPr>
        <w:tc>
          <w:tcPr>
            <w:tcW w:w="178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w w:val="88"/>
              </w:rPr>
              <w:t>You can vote if you were a shareholder of record of our common stock, our Series A 12% Convertible Preferred Stock, our Series</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w w:val="90"/>
              </w:rPr>
              <w:t>B-1 Convertible Preferred Stock or our Series B-2 Convertible Preferred Stock, as of the close of business on March 19, 2014.</w:t>
            </w: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rPr>
              <w:t>A copy of our 2013 Annual Report on Form 10-K is included with this proxy statement.</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w w:val="92"/>
              </w:rPr>
              <w:t xml:space="preserve">You may also read our Annual Report and this Notice and proxy statement on our website at </w:t>
            </w:r>
            <w:r>
              <w:rPr>
                <w:rFonts w:ascii="Arial" w:cs="Arial" w:eastAsia="Arial" w:hAnsi="Arial"/>
                <w:sz w:val="18"/>
                <w:szCs w:val="18"/>
                <w:i w:val="1"/>
                <w:iCs w:val="1"/>
                <w:color w:val="auto"/>
                <w:w w:val="92"/>
              </w:rPr>
              <w:t>www.galectintherapeutics.com</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Date of Mailing:</w:t>
            </w:r>
          </w:p>
        </w:tc>
        <w:tc>
          <w:tcPr>
            <w:tcW w:w="6940" w:type="dxa"/>
            <w:vAlign w:val="bottom"/>
            <w:gridSpan w:val="2"/>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780" w:type="dxa"/>
            <w:vAlign w:val="bottom"/>
            <w:vMerge w:val="continue"/>
          </w:tcPr>
          <w:p>
            <w:pPr>
              <w:spacing w:after="0"/>
              <w:rPr>
                <w:sz w:val="24"/>
                <w:szCs w:val="24"/>
                <w:color w:val="auto"/>
              </w:rPr>
            </w:pPr>
          </w:p>
        </w:tc>
        <w:tc>
          <w:tcPr>
            <w:tcW w:w="9520" w:type="dxa"/>
            <w:vAlign w:val="bottom"/>
            <w:gridSpan w:val="4"/>
          </w:tcPr>
          <w:p>
            <w:pPr>
              <w:ind w:left="400"/>
              <w:spacing w:after="0"/>
              <w:rPr>
                <w:sz w:val="20"/>
                <w:szCs w:val="20"/>
                <w:color w:val="auto"/>
              </w:rPr>
            </w:pPr>
            <w:r>
              <w:rPr>
                <w:rFonts w:ascii="Arial" w:cs="Arial" w:eastAsia="Arial" w:hAnsi="Arial"/>
                <w:sz w:val="18"/>
                <w:szCs w:val="18"/>
                <w:color w:val="auto"/>
                <w:w w:val="96"/>
              </w:rPr>
              <w:t>This Notice, the proxy statement and the form of proxy are first being mailed to shareholders on or about April 7, 2014.</w:t>
            </w:r>
          </w:p>
        </w:tc>
        <w:tc>
          <w:tcPr>
            <w:tcW w:w="0" w:type="dxa"/>
            <w:vAlign w:val="bottom"/>
          </w:tcPr>
          <w:p>
            <w:pPr>
              <w:spacing w:after="0"/>
              <w:rPr>
                <w:sz w:val="1"/>
                <w:szCs w:val="1"/>
                <w:color w:val="auto"/>
              </w:rPr>
            </w:pPr>
          </w:p>
        </w:tc>
      </w:tr>
      <w:tr>
        <w:trPr>
          <w:trHeight w:val="419"/>
        </w:trPr>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gridSpan w:val="3"/>
          </w:tcPr>
          <w:p>
            <w:pPr>
              <w:ind w:left="4440"/>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138430</wp:posOffset>
            </wp:positionV>
            <wp:extent cx="198120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Shlevin,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300"/>
          </w:cols>
          <w:pgMar w:left="240" w:top="251" w:right="3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Norcross, Georgia 30071</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2014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14, 2014</w:t>
      </w:r>
    </w:p>
    <w:p>
      <w:pPr>
        <w:spacing w:after="0" w:line="16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This proxy statement contains information about our 2014 annual meeting of stockholders. The meeting will be held on Wednesday, May 14, 2014, beginning at 9:00 a.m. local time, at the offices of Arnall Golden Gregory LLP, located at 171 17</w:t>
      </w:r>
      <w:r>
        <w:rPr>
          <w:rFonts w:ascii="Arial" w:cs="Arial" w:eastAsia="Arial" w:hAnsi="Arial"/>
          <w:sz w:val="10"/>
          <w:szCs w:val="10"/>
          <w:color w:val="auto"/>
        </w:rPr>
        <w:t>th</w:t>
      </w:r>
      <w:r>
        <w:rPr>
          <w:rFonts w:ascii="Arial" w:cs="Arial" w:eastAsia="Arial" w:hAnsi="Arial"/>
          <w:sz w:val="16"/>
          <w:szCs w:val="16"/>
          <w:color w:val="auto"/>
        </w:rPr>
        <w:t xml:space="preserve"> Street NW, Suite 2100, Atlanta, GA 30363.</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These proxy materials, together with our annual report to stockholders for our 2013 fiscal year, are first being mailed to stockholders on or about April 7, 2014 and may also be found at www.galectintherapeutics.com.</w:t>
      </w:r>
    </w:p>
    <w:p>
      <w:pPr>
        <w:spacing w:after="0" w:line="28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stockholders will consider and vote on the following matters:</w:t>
      </w:r>
    </w:p>
    <w:p>
      <w:pPr>
        <w:spacing w:after="0" w:line="90" w:lineRule="exact"/>
        <w:rPr>
          <w:sz w:val="20"/>
          <w:szCs w:val="20"/>
          <w:color w:val="auto"/>
        </w:rPr>
      </w:pPr>
    </w:p>
    <w:p>
      <w:pPr>
        <w:ind w:left="900" w:right="1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the nine nominees named in this proxy statement for director to hold office for a one-year term, expiring at the 2015 annual meeting of our stockholders.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an amendment to the 2009 Incentive Compensation Plan to reserve an additional 1,400,000 shares for issuance under the plan.</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McGladrey LLP as our independent registered public accounting firm for the fiscal year ending December 31, 2014.</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You may vote if you were a shareholder of Galectin Therapeutics as of the close of business on the record date, March 19, 2014. Shares outstanding on the record date are the following: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21,932,775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1,452,500 shares of Series A 12% Convertible Preferred Stock (“Series A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900,000 shares of Series B-1 Convertible Preferred Stock (“Series B-1 preferred stock”), and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2,100,000 shares of Series B-2 Convertible Preferred Stock (“Series B-2 preferred stock”, and together with the Series B-1 preferred stock, the “Series B preferred stock”).</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shares of Series A preferred stock and Series B preferred stock vote on an as-converted basis with the shares of common stock. The shares of our Series C Super Dividend Convertible Preferred Stock (“Series C preferred stock, and together with the Series A preferred stock and Series B preferred stock, the “Preferred Stock”) do not have voting rights prior to conversion to common stock.</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many votes do I have?</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Each share of our Series B preferred stock entitles you to two-thirds of a vote (i.e. three shares of Series B preferred stock equals two votes) on each matter that is submitted to a vote of holders of our common stock.</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6,194,748 shares of common stock or the common equivalent of voting preferred stock, representing approximately 26% of the total outstanding voting shares at the record date. We expect all of these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proposals as described in this proxy statement.</w:t>
      </w:r>
    </w:p>
    <w:p>
      <w:pPr>
        <w:spacing w:after="0" w:line="21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What is the difference between the Galectin Therapeutics securities that are traded under the NASDAQ trading symbols “GALT”, “GALTU”, and “GALTW” and how is each voted?</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common stock is listed and trades on the NASDAQ Capital Markets under the symbol “GALT”. The units of securities that we sold in our public offering that was closed on March 28, 2012, are listed and trade on the NASDAQ Capital Markets under the symbol “GALTU”. Each Unit consists of two shares of our common stock and one warrant to purchase one share of our common stock. A holder of Units has one vote for each of the two shares in the Unit. The warrants we sold in the public offering are listed and now trade on the NASDAQ Capital Markets under the symbol “GALTW”. The warrants do not have voting rights.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45" w:lineRule="exact"/>
        <w:rPr>
          <w:sz w:val="20"/>
          <w:szCs w:val="20"/>
          <w:color w:val="auto"/>
        </w:rPr>
      </w:pPr>
    </w:p>
    <w:p>
      <w:pPr>
        <w:ind w:left="900" w:right="18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You may vote by completing and signing the proxy card enclosed with this proxy statement and promptly mailing 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57" w:lineRule="exact"/>
        <w:rPr>
          <w:rFonts w:ascii="Arial" w:cs="Arial" w:eastAsia="Arial" w:hAnsi="Arial"/>
          <w:sz w:val="18"/>
          <w:szCs w:val="18"/>
          <w:color w:val="auto"/>
        </w:rPr>
      </w:pPr>
    </w:p>
    <w:p>
      <w:pPr>
        <w:ind w:left="900" w:right="340" w:hanging="446"/>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Ballots will be available at the meeting.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84" w:lineRule="exact"/>
        <w:rPr>
          <w:sz w:val="20"/>
          <w:szCs w:val="20"/>
          <w:color w:val="auto"/>
        </w:rPr>
      </w:pPr>
    </w:p>
    <w:p>
      <w:pPr>
        <w:ind w:left="460" w:right="320"/>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nine nominees to serve as directors on the Board of Directors, each for a term of one year, expiring at our 2015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approving an amendment to the 2009 Incentive Compensation Plan to reserve an additional 1,400,000 shares for issuance under the plan.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McGladrey LLP, as our independent registered public accounting firm for the 2014 fiscal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vote is important no matter how many shares you own. Please take the time to vote. Take a moment to read the instructions in this proxy statement.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Choose the way to vote that is the easiest and most convenient for you and cast your vote as soon as possible.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if I return a proxy card but do not make specific choices?</w:t>
      </w:r>
    </w:p>
    <w:p>
      <w:pPr>
        <w:spacing w:after="0" w:line="90" w:lineRule="exact"/>
        <w:rPr>
          <w:sz w:val="20"/>
          <w:szCs w:val="20"/>
          <w:color w:val="auto"/>
        </w:rPr>
      </w:pPr>
    </w:p>
    <w:p>
      <w:pPr>
        <w:ind w:right="160" w:firstLine="456"/>
        <w:spacing w:after="0" w:line="309" w:lineRule="auto"/>
        <w:rPr>
          <w:sz w:val="20"/>
          <w:szCs w:val="20"/>
          <w:color w:val="auto"/>
        </w:rPr>
      </w:pPr>
      <w:r>
        <w:rPr>
          <w:rFonts w:ascii="Arial" w:cs="Arial" w:eastAsia="Arial" w:hAnsi="Arial"/>
          <w:sz w:val="15"/>
          <w:szCs w:val="15"/>
          <w:color w:val="auto"/>
        </w:rPr>
        <w:t>Any Proxy Card returned without directions given will be voted (1) “</w:t>
      </w:r>
      <w:r>
        <w:rPr>
          <w:rFonts w:ascii="Arial" w:cs="Arial" w:eastAsia="Arial" w:hAnsi="Arial"/>
          <w:sz w:val="15"/>
          <w:szCs w:val="15"/>
          <w:b w:val="1"/>
          <w:bCs w:val="1"/>
          <w:color w:val="auto"/>
        </w:rPr>
        <w:t>FOR</w:t>
      </w:r>
      <w:r>
        <w:rPr>
          <w:rFonts w:ascii="Arial" w:cs="Arial" w:eastAsia="Arial" w:hAnsi="Arial"/>
          <w:sz w:val="15"/>
          <w:szCs w:val="15"/>
          <w:color w:val="auto"/>
        </w:rPr>
        <w:t>” the election of directors presented in this Proxy Statement to the Board of Directors, (2) “</w:t>
      </w:r>
      <w:r>
        <w:rPr>
          <w:rFonts w:ascii="Arial" w:cs="Arial" w:eastAsia="Arial" w:hAnsi="Arial"/>
          <w:sz w:val="15"/>
          <w:szCs w:val="15"/>
          <w:b w:val="1"/>
          <w:bCs w:val="1"/>
          <w:color w:val="auto"/>
        </w:rPr>
        <w:t>FOR</w:t>
      </w:r>
      <w:r>
        <w:rPr>
          <w:rFonts w:ascii="Arial" w:cs="Arial" w:eastAsia="Arial" w:hAnsi="Arial"/>
          <w:sz w:val="15"/>
          <w:szCs w:val="15"/>
          <w:color w:val="auto"/>
        </w:rPr>
        <w:t>” approving an amendment to the 2009 Incentive Compensation Plan to reserve an additional 1,400,000 shares for issuance under the plan.,</w:t>
      </w:r>
    </w:p>
    <w:p>
      <w:pPr>
        <w:jc w:val="both"/>
        <w:ind w:right="220" w:firstLine="8"/>
        <w:spacing w:after="0" w:line="255"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McGladrey LLP as our independent registered public accounting firm to audit the financial statements for our 2014 fiscal year, and (4) as to any other business that may come before the annual meeting, in accordance with the judgment of the person or persons named in the proxy.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shares may be voted if they are held in the name of a brokerage firm, even if you do not provide the brokerage firm with voting instructions.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proposal to ratify the selection of McGladrey LLP as our independent auditors for fiscal year 2014 is considered a routine matter for which brokerage firms may vote shares for which they have not received voting instructions. The other proposals to be voted on at our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1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giving our corporate secretary, Dr. Harold Shlevin, Ph.D., written notice to that effect. He may be contacted at 4960 Peachtree Industrial Blvd., Suite 240, Norcross, GA 30071; telephone: 678-620-3186; e-mail: shlevin@galectintherapeutics.com;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You may view and also download our proxy materials, including the 2013 Annual Report, our Form 10-K for the year ended December 31, 2013, and the Notice on our website at www.galectintherapeutics.com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24,174,859 shares of common stock outstanding or deemed outstanding based on voting rights of Series A preferred stock or Series B preferred stock on an as-converted basis. Thus, 8,057,481 shares must be represented by stockholders present at the meeting or by proxy to have a quorum.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Under our bylaws, directors are elected by a plurality of the votes cast by the holders of shares entitled to vote in the election.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nine nominees and nine positions to be filled, this means that the nine individuals receiving the most votes will be elected. Abstentions and broker non-votes will therefore not be relevant to the outcome. If the shares you own are held in “street name” by a brokerage firm, your brokerage firm, as the record holder of your shares, is required to vote your shares according to your instructions. One director, whom we refer to as the Series B director, is nominated and elected by the holder(s) of the Series B preferred stock voting as a separate class.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Approval of Amendment to the 2009 Incentive Compensation Plan. </w:t>
      </w:r>
      <w:r>
        <w:rPr>
          <w:rFonts w:ascii="Arial" w:cs="Arial" w:eastAsia="Arial" w:hAnsi="Arial"/>
          <w:sz w:val="18"/>
          <w:szCs w:val="18"/>
          <w:color w:val="auto"/>
        </w:rPr>
        <w:t>Under applicable NASDAQ rules, the approval of our shareholders is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an amendment of the 2009 Incentive Compensation Plan. The affirmative vote of a majority of the votes cast, either for, against or abstain, by the holders of the shares of common stock voting is required to approve this proposal. Accordingly, abstentions will have the effect of a vote against this proposal and broker non-votes will have no effect.</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Under our bylaws, the votes cast “for” must exceed the votes cast “against” in order to ratify</w:t>
      </w:r>
      <w:r>
        <w:rPr>
          <w:rFonts w:ascii="Arial" w:cs="Arial" w:eastAsia="Arial" w:hAnsi="Arial"/>
          <w:sz w:val="18"/>
          <w:szCs w:val="18"/>
          <w:i w:val="1"/>
          <w:iCs w:val="1"/>
          <w:color w:val="auto"/>
        </w:rPr>
        <w:t xml:space="preserve"> </w:t>
      </w:r>
      <w:r>
        <w:rPr>
          <w:rFonts w:ascii="Arial" w:cs="Arial" w:eastAsia="Arial" w:hAnsi="Arial"/>
          <w:sz w:val="18"/>
          <w:szCs w:val="18"/>
          <w:color w:val="auto"/>
        </w:rPr>
        <w:t>the selection of McGladrey LLP, as our independent registered public accounting firm. Accordingly, abstentions and broker non-votes will not be relevant to the outcome.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your shares are held in street name and you do not provide voting instructions to your broker, bank or other nominee, they will be treated as broker non-votes and will not be counted for purposes of determining the outcome of a proposal. Abstentions and votes “withheld” are counted for the purpose of establishing a quorum.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has ten members. Why are only nine elected at the annual meeting?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holder(s) of our Series B preferred stock have the right, as long as any shares of Series B preferred stock are outstanding, to vote as a separate class to nominate and elect two of our directors, referred to as the Series B directors, and to nominate three directors, referred to as the Series B nominees, who must be recommended for election by holders of all of our securities entitled to vote on election of directors. The holder(s) of the Series B preferred stock declined to exercise their right to designate the three Series B nominees for purposes of the 2014 annual meeting. Mr. Czirr is the Series B directors who, if elected by the holder(s) of the Series B preferred stock at the 2014 annual meeting, will serve on our Board as the Series B director. As of March 19, 2014, 10X Fund L.P. is the owner of all of the issued and outstanding shares of the Series B preferred stock. For additional information, please see “Security Ownership of Certain Beneficial Owners and Management” below. Also, one director position is being held open this year and an appointment may be made later in the year to be approved by stockholders at the 2015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appoint an Inspector of Elections for the 2014 Annual Meeting who will not be an officer, director or nominee.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to our Corporate Secretary at 4960 Peachtree Industrial Blvd., Suite 240, Norcross, GA 30071. With respect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right="3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proposals made pursuant to Rule 14a-8 promulgated under the Securities Exchange Act of 1934, the proposal must be received by Galectin by December 12, 2014 for inclusion in its proxy statement and form of proxy. In addition, all stockholder proposals submitted outside of the stockholder proposal rules promulgated pursuant to Rule 14a-8 under the Exchange Act, including nominations of director candidates, must be received by Galectin by no later than February 23, 2015 but no earlier than January 24, 2015, in order to be considered timely.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are also advised to review our Bylaws, which contain additional requirements about advance notice of stockholder proposals and director nominations.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report the voting results on Form 8-K within four business days after the end of our annual meeting of stockholders.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additional current report on Form 8-K to publish the final results.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as of March 19, 2014, certain information concerning the beneficial ownership of our common stock, our Series A preferred stock and Series B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March 19, 2014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4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On March 23, 2012, we effected a one-for-six reverse split of our outstanding shares of common stock as well as the authorized but unissued shares of common stock. The reverse split by the same ratio affects the number of shares of our common stock issuable upon conversion of the shares of each series of Preferred Stock. All common share, common equivalent share ratios and per share amounts have been adjusted to reflect this reverse split.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of</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Series A</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Series B</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Preferred</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2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Stock</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Series A</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Series B</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Address(1)</w:t>
            </w:r>
          </w:p>
        </w:tc>
        <w:tc>
          <w:tcPr>
            <w:tcW w:w="3180" w:type="dxa"/>
            <w:vAlign w:val="bottom"/>
            <w:vMerge w:val="restart"/>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Common</w:t>
            </w: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68"/>
        </w:trPr>
        <w:tc>
          <w:tcPr>
            <w:tcW w:w="134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11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Owned(2)</w:t>
            </w:r>
          </w:p>
        </w:tc>
        <w:tc>
          <w:tcPr>
            <w:tcW w:w="380" w:type="dxa"/>
            <w:vAlign w:val="bottom"/>
          </w:tcPr>
          <w:p>
            <w:pPr>
              <w:spacing w:after="0"/>
              <w:rPr>
                <w:sz w:val="14"/>
                <w:szCs w:val="14"/>
                <w:color w:val="auto"/>
              </w:rPr>
            </w:pPr>
          </w:p>
        </w:tc>
        <w:tc>
          <w:tcPr>
            <w:tcW w:w="8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Stock(3)</w:t>
            </w:r>
          </w:p>
        </w:tc>
        <w:tc>
          <w:tcPr>
            <w:tcW w:w="120" w:type="dxa"/>
            <w:vAlign w:val="bottom"/>
          </w:tcPr>
          <w:p>
            <w:pPr>
              <w:spacing w:after="0"/>
              <w:rPr>
                <w:sz w:val="14"/>
                <w:szCs w:val="14"/>
                <w:color w:val="auto"/>
              </w:rPr>
            </w:pPr>
          </w:p>
        </w:tc>
        <w:tc>
          <w:tcPr>
            <w:tcW w:w="132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9"/>
              </w:rPr>
              <w:t>Owned</w:t>
            </w:r>
          </w:p>
        </w:tc>
        <w:tc>
          <w:tcPr>
            <w:tcW w:w="11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6"/>
              </w:rPr>
              <w:t>Stock(4)</w:t>
            </w:r>
          </w:p>
        </w:tc>
        <w:tc>
          <w:tcPr>
            <w:tcW w:w="11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Owned(5)</w:t>
            </w: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90"/>
        </w:trPr>
        <w:tc>
          <w:tcPr>
            <w:tcW w:w="4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10,062,335(6)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35.4%</w:t>
            </w: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3,000,000</w:t>
            </w:r>
          </w:p>
        </w:tc>
        <w:tc>
          <w:tcPr>
            <w:tcW w:w="4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(12)</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8,776,186(7)</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8,978,766(8)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3,000,000</w:t>
            </w:r>
          </w:p>
        </w:tc>
        <w:tc>
          <w:tcPr>
            <w:tcW w:w="4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Smith (13)</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175,000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Fivex LLC (13)</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100,000(11)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Other Named Executive Officers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10,062,335(6)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35.4%</w:t>
            </w: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3,000,000</w:t>
            </w:r>
          </w:p>
        </w:tc>
        <w:tc>
          <w:tcPr>
            <w:tcW w:w="4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 D. Martin, J.D.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8,978,766(10)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840" w:type="dxa"/>
            <w:vAlign w:val="bottom"/>
          </w:tcPr>
          <w:p>
            <w:pPr>
              <w:jc w:val="center"/>
              <w:ind w:left="197"/>
              <w:spacing w:after="0"/>
              <w:rPr>
                <w:sz w:val="20"/>
                <w:szCs w:val="20"/>
                <w:color w:val="auto"/>
              </w:rPr>
            </w:pPr>
            <w:r>
              <w:rPr>
                <w:rFonts w:ascii="Arial" w:cs="Arial" w:eastAsia="Arial" w:hAnsi="Arial"/>
                <w:sz w:val="18"/>
                <w:szCs w:val="18"/>
                <w:color w:val="auto"/>
                <w:w w:val="86"/>
              </w:rPr>
              <w:t>112,542</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Freeman</w:t>
            </w:r>
          </w:p>
        </w:tc>
        <w:tc>
          <w:tcPr>
            <w:tcW w:w="84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87"/>
              </w:rPr>
              <w:t>28,178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840" w:type="dxa"/>
            <w:vAlign w:val="bottom"/>
          </w:tcPr>
          <w:p>
            <w:pPr>
              <w:jc w:val="center"/>
              <w:ind w:left="197"/>
              <w:spacing w:after="0"/>
              <w:rPr>
                <w:sz w:val="20"/>
                <w:szCs w:val="20"/>
                <w:color w:val="auto"/>
              </w:rPr>
            </w:pPr>
            <w:r>
              <w:rPr>
                <w:rFonts w:ascii="Arial" w:cs="Arial" w:eastAsia="Arial" w:hAnsi="Arial"/>
                <w:sz w:val="18"/>
                <w:szCs w:val="18"/>
                <w:color w:val="auto"/>
                <w:w w:val="86"/>
              </w:rPr>
              <w:t>123,848</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84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87"/>
              </w:rPr>
              <w:t>31,479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840" w:type="dxa"/>
            <w:vAlign w:val="bottom"/>
          </w:tcPr>
          <w:p>
            <w:pPr>
              <w:jc w:val="center"/>
              <w:ind w:left="277"/>
              <w:spacing w:after="0"/>
              <w:rPr>
                <w:sz w:val="20"/>
                <w:szCs w:val="20"/>
                <w:color w:val="auto"/>
              </w:rPr>
            </w:pPr>
            <w:r>
              <w:rPr>
                <w:rFonts w:ascii="Arial" w:cs="Arial" w:eastAsia="Arial" w:hAnsi="Arial"/>
                <w:sz w:val="18"/>
                <w:szCs w:val="18"/>
                <w:color w:val="auto"/>
                <w:w w:val="87"/>
              </w:rPr>
              <w:t>97,398</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Pressler</w:t>
            </w:r>
          </w:p>
        </w:tc>
        <w:tc>
          <w:tcPr>
            <w:tcW w:w="84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87"/>
              </w:rPr>
              <w:t>34,761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Marc Rubin</w:t>
            </w:r>
          </w:p>
        </w:tc>
        <w:tc>
          <w:tcPr>
            <w:tcW w:w="840" w:type="dxa"/>
            <w:vAlign w:val="bottom"/>
          </w:tcPr>
          <w:p>
            <w:pPr>
              <w:jc w:val="center"/>
              <w:ind w:left="277"/>
              <w:spacing w:after="0"/>
              <w:rPr>
                <w:sz w:val="20"/>
                <w:szCs w:val="20"/>
                <w:color w:val="auto"/>
              </w:rPr>
            </w:pPr>
            <w:r>
              <w:rPr>
                <w:rFonts w:ascii="Arial" w:cs="Arial" w:eastAsia="Arial" w:hAnsi="Arial"/>
                <w:sz w:val="18"/>
                <w:szCs w:val="18"/>
                <w:color w:val="auto"/>
                <w:w w:val="87"/>
              </w:rPr>
              <w:t>33,275</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1,140,541(9)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840" w:type="dxa"/>
            <w:vAlign w:val="bottom"/>
          </w:tcPr>
          <w:p>
            <w:pPr>
              <w:jc w:val="center"/>
              <w:ind w:left="197"/>
              <w:spacing w:after="0"/>
              <w:rPr>
                <w:sz w:val="20"/>
                <w:szCs w:val="20"/>
                <w:color w:val="auto"/>
              </w:rPr>
            </w:pPr>
            <w:r>
              <w:rPr>
                <w:rFonts w:ascii="Arial" w:cs="Arial" w:eastAsia="Arial" w:hAnsi="Arial"/>
                <w:sz w:val="18"/>
                <w:szCs w:val="18"/>
                <w:color w:val="auto"/>
                <w:w w:val="86"/>
              </w:rPr>
              <w:t>132,189</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84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87"/>
              </w:rPr>
              <w:t>33,383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All executive officers and</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20" w:type="dxa"/>
            <w:vAlign w:val="bottom"/>
            <w:gridSpan w:val="2"/>
          </w:tcPr>
          <w:p>
            <w:pPr>
              <w:ind w:left="220"/>
              <w:spacing w:after="0"/>
              <w:rPr>
                <w:sz w:val="20"/>
                <w:szCs w:val="20"/>
                <w:color w:val="auto"/>
              </w:rPr>
            </w:pPr>
            <w:r>
              <w:rPr>
                <w:rFonts w:ascii="Arial" w:cs="Arial" w:eastAsia="Arial" w:hAnsi="Arial"/>
                <w:sz w:val="18"/>
                <w:szCs w:val="18"/>
                <w:b w:val="1"/>
                <w:bCs w:val="1"/>
                <w:color w:val="auto"/>
              </w:rPr>
              <w:t>directors as a group (12 persons)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12,032,509(10)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40.4%</w:t>
            </w: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3,000,000</w:t>
            </w:r>
          </w:p>
        </w:tc>
        <w:tc>
          <w:tcPr>
            <w:tcW w:w="420" w:type="dxa"/>
            <w:vAlign w:val="bottom"/>
          </w:tcPr>
          <w:p>
            <w:pPr>
              <w:spacing w:after="0"/>
              <w:rPr>
                <w:sz w:val="19"/>
                <w:szCs w:val="19"/>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6</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ind w:left="452" w:hanging="408"/>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t>Less than 1%.</w:t>
      </w:r>
    </w:p>
    <w:p>
      <w:pPr>
        <w:spacing w:after="0" w:line="15" w:lineRule="exact"/>
        <w:rPr>
          <w:sz w:val="20"/>
          <w:szCs w:val="20"/>
          <w:color w:val="auto"/>
        </w:rPr>
      </w:pPr>
    </w:p>
    <w:p>
      <w:pPr>
        <w:ind w:left="452" w:right="200"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ind w:left="452" w:right="80" w:hanging="452"/>
        <w:spacing w:after="0" w:line="261"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March 19, 2014,</w:t>
      </w:r>
    </w:p>
    <w:p>
      <w:pPr>
        <w:spacing w:after="0" w:line="174"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8320" w:type="dxa"/>
            <w:vAlign w:val="bottom"/>
            <w:gridSpan w:val="3"/>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w w:val="90"/>
              </w:rPr>
              <w:t>Options Exercisable Within 60 Days</w:t>
            </w:r>
          </w:p>
        </w:tc>
      </w:tr>
      <w:tr>
        <w:trPr>
          <w:trHeight w:val="203"/>
        </w:trPr>
        <w:tc>
          <w:tcPr>
            <w:tcW w:w="20" w:type="dxa"/>
            <w:vAlign w:val="bottom"/>
          </w:tcPr>
          <w:p>
            <w:pPr>
              <w:spacing w:after="0"/>
              <w:rPr>
                <w:sz w:val="17"/>
                <w:szCs w:val="17"/>
                <w:color w:val="auto"/>
              </w:rPr>
            </w:pPr>
          </w:p>
        </w:tc>
        <w:tc>
          <w:tcPr>
            <w:tcW w:w="24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Mr. Czirr</w:t>
            </w:r>
          </w:p>
        </w:tc>
        <w:tc>
          <w:tcPr>
            <w:tcW w:w="582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460,727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Martin</w:t>
            </w:r>
          </w:p>
        </w:tc>
        <w:tc>
          <w:tcPr>
            <w:tcW w:w="2080" w:type="dxa"/>
            <w:vAlign w:val="bottom"/>
          </w:tcPr>
          <w:p>
            <w:pPr>
              <w:jc w:val="right"/>
              <w:spacing w:after="0"/>
              <w:rPr>
                <w:sz w:val="20"/>
                <w:szCs w:val="20"/>
                <w:color w:val="auto"/>
              </w:rPr>
            </w:pPr>
            <w:r>
              <w:rPr>
                <w:rFonts w:ascii="Arial" w:cs="Arial" w:eastAsia="Arial" w:hAnsi="Arial"/>
                <w:sz w:val="18"/>
                <w:szCs w:val="18"/>
                <w:color w:val="auto"/>
              </w:rPr>
              <w:t>111,092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Amelio</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Freeman</w:t>
            </w:r>
          </w:p>
        </w:tc>
        <w:tc>
          <w:tcPr>
            <w:tcW w:w="2080" w:type="dxa"/>
            <w:vAlign w:val="bottom"/>
          </w:tcPr>
          <w:p>
            <w:pPr>
              <w:jc w:val="right"/>
              <w:spacing w:after="0"/>
              <w:rPr>
                <w:sz w:val="20"/>
                <w:szCs w:val="20"/>
                <w:color w:val="auto"/>
              </w:rPr>
            </w:pPr>
            <w:r>
              <w:rPr>
                <w:rFonts w:ascii="Arial" w:cs="Arial" w:eastAsia="Arial" w:hAnsi="Arial"/>
                <w:sz w:val="18"/>
                <w:szCs w:val="18"/>
                <w:color w:val="auto"/>
              </w:rPr>
              <w:t>25,261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Greenburg</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Mauldin</w:t>
            </w:r>
          </w:p>
        </w:tc>
        <w:tc>
          <w:tcPr>
            <w:tcW w:w="2080" w:type="dxa"/>
            <w:vAlign w:val="bottom"/>
          </w:tcPr>
          <w:p>
            <w:pPr>
              <w:jc w:val="right"/>
              <w:spacing w:after="0"/>
              <w:rPr>
                <w:sz w:val="20"/>
                <w:szCs w:val="20"/>
                <w:color w:val="auto"/>
              </w:rPr>
            </w:pPr>
            <w:r>
              <w:rPr>
                <w:rFonts w:ascii="Arial" w:cs="Arial" w:eastAsia="Arial" w:hAnsi="Arial"/>
                <w:sz w:val="18"/>
                <w:szCs w:val="18"/>
                <w:color w:val="auto"/>
              </w:rPr>
              <w:t>20,458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Prelack</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Pressler</w:t>
            </w:r>
          </w:p>
        </w:tc>
        <w:tc>
          <w:tcPr>
            <w:tcW w:w="2080" w:type="dxa"/>
            <w:vAlign w:val="bottom"/>
          </w:tcPr>
          <w:p>
            <w:pPr>
              <w:jc w:val="right"/>
              <w:spacing w:after="0"/>
              <w:rPr>
                <w:sz w:val="20"/>
                <w:szCs w:val="20"/>
                <w:color w:val="auto"/>
              </w:rPr>
            </w:pPr>
            <w:r>
              <w:rPr>
                <w:rFonts w:ascii="Arial" w:cs="Arial" w:eastAsia="Arial" w:hAnsi="Arial"/>
                <w:sz w:val="18"/>
                <w:szCs w:val="18"/>
                <w:color w:val="auto"/>
              </w:rPr>
              <w:t>25,261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Rubin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Dr. Traber</w:t>
            </w:r>
          </w:p>
        </w:tc>
        <w:tc>
          <w:tcPr>
            <w:tcW w:w="2080" w:type="dxa"/>
            <w:vAlign w:val="bottom"/>
          </w:tcPr>
          <w:p>
            <w:pPr>
              <w:jc w:val="right"/>
              <w:spacing w:after="0"/>
              <w:rPr>
                <w:sz w:val="20"/>
                <w:szCs w:val="20"/>
                <w:color w:val="auto"/>
              </w:rPr>
            </w:pPr>
            <w:r>
              <w:rPr>
                <w:rFonts w:ascii="Arial" w:cs="Arial" w:eastAsia="Arial" w:hAnsi="Arial"/>
                <w:sz w:val="18"/>
                <w:szCs w:val="18"/>
                <w:color w:val="auto"/>
              </w:rPr>
              <w:t>945,207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Shlevin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Mr. Callicutt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1,737,761</w:t>
            </w:r>
          </w:p>
        </w:tc>
        <w:tc>
          <w:tcPr>
            <w:tcW w:w="100" w:type="dxa"/>
            <w:vAlign w:val="bottom"/>
            <w:shd w:val="clear" w:color="auto" w:fill="CCEEFF"/>
          </w:tcPr>
          <w:p>
            <w:pPr>
              <w:spacing w:after="0"/>
              <w:rPr>
                <w:sz w:val="18"/>
                <w:szCs w:val="18"/>
                <w:color w:val="auto"/>
              </w:rPr>
            </w:pPr>
          </w:p>
        </w:tc>
      </w:tr>
    </w:tbl>
    <w:p>
      <w:pPr>
        <w:spacing w:after="0" w:line="86" w:lineRule="exact"/>
        <w:rPr>
          <w:sz w:val="20"/>
          <w:szCs w:val="20"/>
          <w:color w:val="auto"/>
        </w:rPr>
      </w:pPr>
    </w:p>
    <w:p>
      <w:pPr>
        <w:ind w:left="452" w:right="20" w:hanging="452"/>
        <w:spacing w:after="0" w:line="283"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21,852,108 shares of our common stock outstanding as of March 19, 2014 and (ii) the number of shares of our common stock that such person has the right to acquire within 60 days after March 19, 2014, which does not include any shares of common stock that may be issued in payment of dividends to holders of our preferred stock during that period.</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1,452,500 shares of Series A preferred stock outstanding as of March 19, 2014.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900,000 shares of Series B-1 preferred stock and 2,100,000 shares of Series B-2 preferred stock outstanding as of March 19, 2014.</w:t>
      </w:r>
    </w:p>
    <w:p>
      <w:pPr>
        <w:spacing w:after="0" w:line="32" w:lineRule="exact"/>
        <w:rPr>
          <w:rFonts w:ascii="Arial" w:cs="Arial" w:eastAsia="Arial" w:hAnsi="Arial"/>
          <w:sz w:val="16"/>
          <w:szCs w:val="16"/>
          <w:color w:val="auto"/>
        </w:rPr>
      </w:pPr>
    </w:p>
    <w:p>
      <w:pPr>
        <w:ind w:left="452" w:right="20" w:hanging="452"/>
        <w:spacing w:after="0" w:line="281"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(i) 600,000 common shares issuable upon conversion of 900,000 shares of Series B-1 preferred stock, (ii) 1,400,000 common shares issuable upon conversion of 2,100,000 shares of Series B-2 preferred stock; (iii) 4,000,000 common shares issuable upon exercise of warrants; (iv) 2,000,000 shares of common stock acquired upon exercise of warrants; and (v) 776,186 common shares issued as stock dividends paid on the Series B preferred stock, as to which Mr. Czirr, in his capacity as a managing member of 10X Capital Management Fund, LLC, a Florida limited liability company and general partner of 10X Fund, which we refer to as 10X Management, has shared voting and investment power, and disclaims beneficial ownership Also includes 16,667 shares of our common stock issuable upon conversion of Series A preferred stock owned by Mr. Czirr.</w:t>
      </w:r>
    </w:p>
    <w:p>
      <w:pPr>
        <w:spacing w:after="0" w:line="4"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(i) 600,000 common shares issuable upon conversion of 900,000 shares of Series B-1 preferred stock; (ii) 1,400,000 common shares issuable upon conversion of 2,100,000 shares of Series B-2 preferred stock; (iii) 4,000,000 common shares issuable upon exercise of warrants; (iv) 2,000,000 shares of common stock acquired upon exercise of warrants, and (v) 776,186 common shares issued as stock dividends paid on the Series B preferred stock, as to which Mr. Martin and Mr. Czirr, in his capacity as a managing member of 10X Management, its general partner, has shared voting and investment power, and disclaims beneficial ownership. Each of Mr. Czirr and Mr. Martin, in his capacity as a managing member of 10X Management, the general partner of 10X Fund, has voting and investment power, and disclaims beneficial ownership, of these securities.</w:t>
      </w:r>
    </w:p>
    <w:p>
      <w:pPr>
        <w:spacing w:after="0" w:line="4" w:lineRule="exact"/>
        <w:rPr>
          <w:rFonts w:ascii="Arial" w:cs="Arial" w:eastAsia="Arial" w:hAnsi="Arial"/>
          <w:sz w:val="16"/>
          <w:szCs w:val="16"/>
          <w:color w:val="auto"/>
        </w:rPr>
      </w:pPr>
    </w:p>
    <w:p>
      <w:pPr>
        <w:ind w:left="452" w:hanging="452"/>
        <w:spacing w:after="0" w:line="255"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600,000 common shares issuable upon conversion of 900,000 shares of Series B-1 preferred stock; (ii) 1,400,000 common shares issuable upon conversion of 2,100,000 shares of Series B-2 preferred stock; (iii) 4,000,000 common shares issuable upon exercise of warrants; (iv) 2,000,000 common shares</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428" w:right="259" w:bottom="1440" w:gutter="0" w:footer="0" w:header="0"/>
        </w:sectPr>
      </w:pPr>
    </w:p>
    <w:bookmarkStart w:id="11" w:name="page12"/>
    <w:bookmarkEnd w:id="11"/>
    <w:p>
      <w:pPr>
        <w:ind w:left="4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acquired upon exercise of warrants, and (iv) 776,186 common shares issued as stock dividends paid on the Series B preferred stock, all of which are held of record by 10X Fund as to which Mr. Martin, in his capacity as a managing member of 10X Management, has shared voting and investment power, and disclaims beneficial ownership.</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100,000 common shares issuable upon exercise of warrants.</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6,000,000 common shares issuable upon conversion of the shares of Series B preferred stock and exercise of warrants and (ii) 2,776,186 common shares issued upon exercise of warrants or paid as stock dividends on the Series B preferred stock, as to which Messrs. Czirr and Martin share voting and investment control but are counted one time for purposes of this total. For additional information about the beneficial ownership of our capital stock by Messrs. Czirr and Martin, see notes 7 and 10 respectively.</w:t>
      </w:r>
    </w:p>
    <w:p>
      <w:pPr>
        <w:spacing w:after="0" w:line="1"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10X Capital Management, LLC 1099 Forest Lake Terrace Niceville, FL 32578.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nine members currently serving on our Board to be re-elected at the annual meeting to serve one-year terms until the 2015 annual meeting of stockholders and until their respective successors are elected and qualified. Each nominee has agreed to serve if elected.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Nominating and Corporate Governance Committee is nominating nine directors to be elected to the Board of Directors because Mr. Czirr is the Series B director who is nominated and elected by the holder(s) of the Series B preferred stock voting as a separate class. Mr. Czirr serves as the Executive Chairman of the Board. Background information with respect to Mr. Czirr is provided below. If all of the nominees are elected at the annual meeting, our Board of Directors will continue to have ten members.</w:t>
      </w:r>
    </w:p>
    <w:p>
      <w:pPr>
        <w:spacing w:after="0" w:line="143"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March 19, 2013, including their ages, positions with Galectin Therapeutics, recent employment and other directorships.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272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8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Director Since</w:t>
            </w:r>
          </w:p>
        </w:tc>
      </w:tr>
      <w:tr>
        <w:trPr>
          <w:trHeight w:val="203"/>
        </w:trPr>
        <w:tc>
          <w:tcPr>
            <w:tcW w:w="1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Gilbert F. Amelio, Ph.D</w:t>
            </w:r>
          </w:p>
        </w:tc>
        <w:tc>
          <w:tcPr>
            <w:tcW w:w="1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8"/>
              </w:rPr>
              <w:t>71</w:t>
            </w:r>
          </w:p>
        </w:tc>
        <w:tc>
          <w:tcPr>
            <w:tcW w:w="280" w:type="dxa"/>
            <w:vAlign w:val="bottom"/>
            <w:tcBorders>
              <w:top w:val="single" w:sz="8" w:color="CCEEFF"/>
            </w:tcBorders>
            <w:shd w:val="clear" w:color="auto" w:fill="CCEEFF"/>
          </w:tcPr>
          <w:p>
            <w:pPr>
              <w:spacing w:after="0"/>
              <w:rPr>
                <w:sz w:val="17"/>
                <w:szCs w:val="17"/>
                <w:color w:val="auto"/>
              </w:rPr>
            </w:pPr>
          </w:p>
        </w:tc>
        <w:tc>
          <w:tcPr>
            <w:tcW w:w="6080" w:type="dxa"/>
            <w:vAlign w:val="bottom"/>
            <w:tcBorders>
              <w:top w:val="single" w:sz="8" w:color="CCEEFF"/>
            </w:tcBorders>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2480" w:type="dxa"/>
            <w:vAlign w:val="bottom"/>
            <w:gridSpan w:val="3"/>
          </w:tcPr>
          <w:p>
            <w:pPr>
              <w:ind w:left="2040"/>
              <w:spacing w:after="0"/>
              <w:rPr>
                <w:sz w:val="20"/>
                <w:szCs w:val="20"/>
                <w:color w:val="auto"/>
              </w:rPr>
            </w:pPr>
            <w:r>
              <w:rPr>
                <w:rFonts w:ascii="Arial" w:cs="Arial" w:eastAsia="Arial" w:hAnsi="Arial"/>
                <w:sz w:val="18"/>
                <w:szCs w:val="18"/>
                <w:color w:val="auto"/>
              </w:rPr>
              <w:t>52</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24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66</w:t>
            </w:r>
          </w:p>
        </w:tc>
        <w:tc>
          <w:tcPr>
            <w:tcW w:w="6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Rod D. Martin</w:t>
            </w:r>
          </w:p>
        </w:tc>
        <w:tc>
          <w:tcPr>
            <w:tcW w:w="2480" w:type="dxa"/>
            <w:vAlign w:val="bottom"/>
            <w:gridSpan w:val="3"/>
          </w:tcPr>
          <w:p>
            <w:pPr>
              <w:ind w:left="2040"/>
              <w:spacing w:after="0"/>
              <w:rPr>
                <w:sz w:val="20"/>
                <w:szCs w:val="20"/>
                <w:color w:val="auto"/>
              </w:rPr>
            </w:pPr>
            <w:r>
              <w:rPr>
                <w:rFonts w:ascii="Arial" w:cs="Arial" w:eastAsia="Arial" w:hAnsi="Arial"/>
                <w:sz w:val="18"/>
                <w:szCs w:val="18"/>
                <w:color w:val="auto"/>
              </w:rPr>
              <w:t>44</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24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64</w:t>
            </w:r>
          </w:p>
        </w:tc>
        <w:tc>
          <w:tcPr>
            <w:tcW w:w="6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480" w:type="dxa"/>
            <w:vAlign w:val="bottom"/>
            <w:gridSpan w:val="3"/>
          </w:tcPr>
          <w:p>
            <w:pPr>
              <w:ind w:left="2040"/>
              <w:spacing w:after="0"/>
              <w:rPr>
                <w:sz w:val="20"/>
                <w:szCs w:val="20"/>
                <w:color w:val="auto"/>
              </w:rPr>
            </w:pPr>
            <w:r>
              <w:rPr>
                <w:rFonts w:ascii="Arial" w:cs="Arial" w:eastAsia="Arial" w:hAnsi="Arial"/>
                <w:sz w:val="18"/>
                <w:szCs w:val="18"/>
                <w:color w:val="auto"/>
              </w:rPr>
              <w:t>56</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Paul Pressler</w:t>
            </w:r>
          </w:p>
        </w:tc>
        <w:tc>
          <w:tcPr>
            <w:tcW w:w="24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82</w:t>
            </w:r>
          </w:p>
        </w:tc>
        <w:tc>
          <w:tcPr>
            <w:tcW w:w="6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2480" w:type="dxa"/>
            <w:vAlign w:val="bottom"/>
            <w:gridSpan w:val="3"/>
          </w:tcPr>
          <w:p>
            <w:pPr>
              <w:ind w:left="2040"/>
              <w:spacing w:after="0"/>
              <w:rPr>
                <w:sz w:val="20"/>
                <w:szCs w:val="20"/>
                <w:color w:val="auto"/>
              </w:rPr>
            </w:pPr>
            <w:r>
              <w:rPr>
                <w:rFonts w:ascii="Arial" w:cs="Arial" w:eastAsia="Arial" w:hAnsi="Arial"/>
                <w:sz w:val="18"/>
                <w:szCs w:val="18"/>
                <w:color w:val="auto"/>
              </w:rPr>
              <w:t>59</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24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57</w:t>
            </w:r>
          </w:p>
        </w:tc>
        <w:tc>
          <w:tcPr>
            <w:tcW w:w="6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Executive Officer, President and Director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i w:val="1"/>
          <w:iCs w:val="1"/>
          <w:color w:val="auto"/>
        </w:rPr>
        <w:t>Gilbert F. Amelio, Ph.D</w:t>
      </w:r>
      <w:r>
        <w:rPr>
          <w:rFonts w:ascii="Arial" w:cs="Arial" w:eastAsia="Arial" w:hAnsi="Arial"/>
          <w:sz w:val="16"/>
          <w:szCs w:val="16"/>
          <w:color w:val="auto"/>
        </w:rPr>
        <w:t>. a director since February 2009, began his career at Bell Labs in Murray Hill, New Jersey. Since January 1, 2012, Dr. Amelio has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consulting and advisory services through GFA, LLC, a California limited liability company. He was a Senior Partner of Sienna Ventures (a privately-held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includes his executive leadership and management experience, as well as his extensive experience with global companies, his financial expertise and his years of experience providing strategic advisory services to organizations.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ind w:right="40"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C. Czirr</w:t>
      </w:r>
      <w:r>
        <w:rPr>
          <w:rFonts w:ascii="Arial" w:cs="Arial" w:eastAsia="Arial" w:hAnsi="Arial"/>
          <w:sz w:val="16"/>
          <w:szCs w:val="16"/>
          <w:color w:val="auto"/>
        </w:rPr>
        <w:t>, age 58, Chairman of the Board since February 2009 and Executive Chairman since February 2010, is a co-founder of l0X Fund, L.P. and is</w:t>
      </w:r>
      <w:r>
        <w:rPr>
          <w:rFonts w:ascii="Arial" w:cs="Arial" w:eastAsia="Arial" w:hAnsi="Arial"/>
          <w:sz w:val="16"/>
          <w:szCs w:val="16"/>
          <w:i w:val="1"/>
          <w:iCs w:val="1"/>
          <w:color w:val="auto"/>
        </w:rPr>
        <w:t xml:space="preserve"> </w:t>
      </w:r>
      <w:r>
        <w:rPr>
          <w:rFonts w:ascii="Arial" w:cs="Arial" w:eastAsia="Arial" w:hAnsi="Arial"/>
          <w:sz w:val="16"/>
          <w:szCs w:val="16"/>
          <w:color w:val="auto"/>
        </w:rPr>
        <w:t>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of Directors and serve as Chairman of the Board because he is the director who was a co-founder of the Company and is very familiar with our business and industry, and capable of effectively identifying sources of capital as well as strategic priorities.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Kevin D. Freeman</w:t>
      </w:r>
      <w:r>
        <w:rPr>
          <w:rFonts w:ascii="Arial" w:cs="Arial" w:eastAsia="Arial" w:hAnsi="Arial"/>
          <w:sz w:val="16"/>
          <w:szCs w:val="16"/>
          <w:color w:val="auto"/>
        </w:rPr>
        <w:t>, a director since May 2011, holds the Chartered Financial Analyst designation and is Chief Executive Officer of Cross Consulting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LLC, an investment advisory and consulting firm founded in 2004. He is also author of a New York Times best-selling book about the stock market and economy.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Arthur R. Greenberg</w:t>
      </w:r>
      <w:r>
        <w:rPr>
          <w:rFonts w:ascii="Arial" w:cs="Arial" w:eastAsia="Arial" w:hAnsi="Arial"/>
          <w:sz w:val="16"/>
          <w:szCs w:val="16"/>
          <w:color w:val="auto"/>
        </w:rPr>
        <w:t>, age 66, a director since August 2009, has more than 40 years in the semiconductor equipment and materials industries. He is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Founder and owner of Prism Technologies, Inc. since 1983, which provides professional sales and marketing services as well as business development and consulting services. Mr. Greenberg is a member of the board of UV Tech Systems, a designer and manufacturer of equipment used to fabricate semiconductor devices. Previously, he has been a founder of several successful companies in Silicon Valley and was the first President of SEMI, North America, a semiconductor equipment and materials industry trade association representing the interests, including public policy, of all SEMI members doing business in North America. Mr. Greenberg is also a member of the advisory board of the Salvation Army of Santa Clara County. Mr. Greenberg received his B.S.B.A. degree in Business Administration from Henderson State University. We believe Mr. Greenberg’s qualifications to sit on our Board of Directors includes his executive leadership and management experience, as well as his extensive experience with business development.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Rod D. Martin, </w:t>
      </w:r>
      <w:r>
        <w:rPr>
          <w:rFonts w:ascii="Arial" w:cs="Arial" w:eastAsia="Arial" w:hAnsi="Arial"/>
          <w:sz w:val="16"/>
          <w:szCs w:val="16"/>
          <w:color w:val="auto"/>
        </w:rPr>
        <w:t>a director since February 2009 and Vice Chair of the Board of Directors since February 2010, is a co-founder of 10X Capital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LLC, the general partner of 10X Fund, L.P. Dr. Martin is the Founder and Chief Executive Officer of the Martin Organization, which focuses on transformative technological advance Dr. Martin served as a senior advisor to PayPal, Inc. founder Peter Thiel, during the company’s startup phase, its initial public offering and its subsequent acquisition by eBay Inc.; and afterward, served at Clarium Capital, Thiel’s global macro hedge fund. Dr. Martin is co-founder and Executive Chairman of Advanced Search Laboratories, Inc., and also serves on several technology companies and nonprofit boards, including Agincourt Ventures, CapLinked, GORigger.net, and Hugh O’Brian Youth Leadership. He previously served as Policy Director for former Arkansas Governor Mike Huckabee, and is a widely noted author and speaker. Dr. Martin holds a J.D. from Baylor Law School, a B.A. from the University of Arkansas, and was a Sturgis Fellow at Cambridge University in Great Britain. We believe Dr. Martin’s qualifications to sit on our Board of Directors include his executive leadership experience, as well as his extensive experience with developing companies and organizations.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John Mauldin</w:t>
      </w:r>
      <w:r>
        <w:rPr>
          <w:rFonts w:ascii="Arial" w:cs="Arial" w:eastAsia="Arial" w:hAnsi="Arial"/>
          <w:sz w:val="18"/>
          <w:szCs w:val="18"/>
          <w:color w:val="auto"/>
        </w:rPr>
        <w:t>, a director since May 2011, is President of Millennium Wave Advisors LLC, an investment advisory firm founded in 1999, and a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 of Millennium Wave Securities, LLC, a FINRA registered broker-dealer which was founded in 2003. Previously he was Chief Executive Officer of the American Bureau of Economic Research. He has many publications on investments and financial topics, including a </w:t>
      </w:r>
      <w:r>
        <w:rPr>
          <w:rFonts w:ascii="Arial" w:cs="Arial" w:eastAsia="Arial" w:hAnsi="Arial"/>
          <w:sz w:val="18"/>
          <w:szCs w:val="18"/>
          <w:i w:val="1"/>
          <w:iCs w:val="1"/>
          <w:color w:val="auto"/>
        </w:rPr>
        <w:t>New York Times</w:t>
      </w:r>
      <w:r>
        <w:rPr>
          <w:rFonts w:ascii="Arial" w:cs="Arial" w:eastAsia="Arial" w:hAnsi="Arial"/>
          <w:sz w:val="18"/>
          <w:szCs w:val="18"/>
          <w:color w:val="auto"/>
        </w:rPr>
        <w:t xml:space="preserve"> bestseller and articles in the </w:t>
      </w:r>
      <w:r>
        <w:rPr>
          <w:rFonts w:ascii="Arial" w:cs="Arial" w:eastAsia="Arial" w:hAnsi="Arial"/>
          <w:sz w:val="18"/>
          <w:szCs w:val="18"/>
          <w:i w:val="1"/>
          <w:iCs w:val="1"/>
          <w:color w:val="auto"/>
        </w:rPr>
        <w:t>Financial Times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Daily Reckoning</w:t>
      </w:r>
      <w:r>
        <w:rPr>
          <w:rFonts w:ascii="Arial" w:cs="Arial" w:eastAsia="Arial" w:hAnsi="Arial"/>
          <w:sz w:val="18"/>
          <w:szCs w:val="18"/>
          <w:color w:val="auto"/>
        </w:rPr>
        <w:t>, and has been a frequent guest on CNBC, Yahoo Tech Ticker and Bloomberg TV. He holds a B.A. from Rice University and a M.Div. from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Southwestern Baptist Theological Seminary. We believe Mr. Mauldin’s qualifications to sit on our Board of Directors include his extensive financial management and advisory experience.</w:t>
      </w:r>
    </w:p>
    <w:p>
      <w:pPr>
        <w:spacing w:after="0" w:line="132"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i w:val="1"/>
          <w:iCs w:val="1"/>
          <w:color w:val="auto"/>
        </w:rPr>
        <w:t xml:space="preserve">Steven Prelack, </w:t>
      </w:r>
      <w:r>
        <w:rPr>
          <w:rFonts w:ascii="Arial" w:cs="Arial" w:eastAsia="Arial" w:hAnsi="Arial"/>
          <w:sz w:val="15"/>
          <w:szCs w:val="15"/>
          <w:color w:val="auto"/>
        </w:rPr>
        <w:t>a director since April 2003, is the currently Senior Vice President and Chief Operating Officer of VetCor which owns and operates 88</w:t>
      </w:r>
      <w:r>
        <w:rPr>
          <w:rFonts w:ascii="Arial" w:cs="Arial" w:eastAsia="Arial" w:hAnsi="Arial"/>
          <w:sz w:val="15"/>
          <w:szCs w:val="15"/>
          <w:i w:val="1"/>
          <w:iCs w:val="1"/>
          <w:color w:val="auto"/>
        </w:rPr>
        <w:t xml:space="preserve"> </w:t>
      </w:r>
      <w:r>
        <w:rPr>
          <w:rFonts w:ascii="Arial" w:cs="Arial" w:eastAsia="Arial" w:hAnsi="Arial"/>
          <w:sz w:val="15"/>
          <w:szCs w:val="15"/>
          <w:color w:val="auto"/>
        </w:rPr>
        <w:t>veterinary hospitals across the country. Mr. Prelack has held that position since May 2010. Previously, from 2001, he was Senior Vice President, Chief Financial Officer and Treasurer of VelQuest Corporation, a provider of automated compliance software solutions for the pharmaceutical industry. In this capacity,</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Mr. Prelack oversaw sales, business development, operations and finance. Mr. Prelack is also a director of Codeco Corporation, a designer and manufacturer of custom resisters and switches. Mr. Prelack served as Director and Audit Committee Chair for BioVex from 2007 through 2009. Mr. Prelack, a Certified Public Accountant, received a B.B.A. degree from the University of Massachusetts at Amherst in 1979 and is a member of the National Association of Corporate Directors. We believe Mr. Prelack’s qualifications to sit on our Board of Directors includes his extensive executive leadership experience, as well as his many years serving in senior financial management roles.</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H. Paul Pressler</w:t>
      </w:r>
      <w:r>
        <w:rPr>
          <w:rFonts w:ascii="Arial" w:cs="Arial" w:eastAsia="Arial" w:hAnsi="Arial"/>
          <w:sz w:val="16"/>
          <w:szCs w:val="16"/>
          <w:color w:val="auto"/>
        </w:rPr>
        <w:t>, a director since May 2011, is a graduate of Princeton University, cum laude, and of the University of Texas Law School. He was elected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Texas State Legislature while still in law school. From 1958 to 1970, he was associated with the law firm of Vinson &amp; Elkins. He was a District Judge from 1970 to 1978 and was Justice of the Texas Court of Appeals from 1978 until 1993. Prior to his retirement, Judge Pressler was a partner in the law firm Woodfill &amp; Pressler from 1995 until 2013 and served in private mediation practice for several years. Judge Pressler was a director of Salem Communications Corporation (Nasdaq GM:SALM) from March 2002 to June 2011. He is also a board member of the Liberty Institute and KHCB Network, a non-profit corporation which owns over 30 Christian radio stations in Texas, Louisiana, Oklahoma, and Florida, and is a board member of National Religious Broadcasters and a number of other charitable boards. We believe Mr. Pressler’s qualifications to sit on our Board of Directors include his extensive legal experience and expertise as well as his executive leadership experience.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is Executive Chairman of the Board of Directors of Titan Pharmaceuticals, Inc. (TTNP: OTC BB)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Mr. Rubin’s qualifications to sit on our Board of Directors include his extensive executive leadership and management experience in the pharmaceutical industry.</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Peter G. Traber, M.D., </w:t>
      </w:r>
      <w:r>
        <w:rPr>
          <w:rFonts w:ascii="Arial" w:cs="Arial" w:eastAsia="Arial" w:hAnsi="Arial"/>
          <w:sz w:val="16"/>
          <w:szCs w:val="16"/>
          <w:color w:val="auto"/>
        </w:rPr>
        <w:t>a director since February 2009, became President and Chief Executive Officer in March 2011, and is also our Chief Medical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Dr. Traber is President Emeritus, and from 2003 to 2008 was President and Chief Executive Officer, of Baylor College of Medicine. From 2000 to 2003 he was Senior Vice President Clinical Development and Medical Affairs and Chief Medical Officer of GlaxoSmithKline plc. Dr. Traber was the Chairman of the Board and Chief Executive Officer of TerraSep, LLC, a Mountain View, CA biotechnology company. He also has served as Chief Executive Officer of the University of Pennsylvania Health System, as well as Chair of the Department of Internal Medicine and Chief of Gastroenterology for the University of Pennsylvania School of Medicine. Dr. Traber received his M.D. from Wayne State School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Medicine and a B.S. in chemical engineering from the University of Michigan. We believe that Dr. Traber is best situated to sit on our Board of Directors because, in addition to serving as our Chief Executive Officer and President as well as serving as our Chief Medical Officer, he brings extensive industry and company-specific experience and expertise to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key consultants: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Peter G. Traber, MD</w:t>
      </w:r>
      <w:r>
        <w:rPr>
          <w:rFonts w:ascii="Arial" w:cs="Arial" w:eastAsia="Arial" w:hAnsi="Arial"/>
          <w:sz w:val="18"/>
          <w:szCs w:val="18"/>
          <w:color w:val="auto"/>
        </w:rPr>
        <w:t>. Chief Executive Officer and President (see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James C. Czirr</w:t>
      </w:r>
      <w:r>
        <w:rPr>
          <w:rFonts w:ascii="Arial" w:cs="Arial" w:eastAsia="Arial" w:hAnsi="Arial"/>
          <w:sz w:val="18"/>
          <w:szCs w:val="18"/>
          <w:color w:val="auto"/>
        </w:rPr>
        <w:t>, Executive Chairman and Chairman of the Board (see Board of Directors)</w:t>
      </w:r>
    </w:p>
    <w:p>
      <w:pPr>
        <w:spacing w:after="0" w:line="17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Harold Shlevin, Ph.D.</w:t>
      </w:r>
      <w:r>
        <w:rPr>
          <w:rFonts w:ascii="Arial" w:cs="Arial" w:eastAsia="Arial" w:hAnsi="Arial"/>
          <w:sz w:val="16"/>
          <w:szCs w:val="16"/>
          <w:color w:val="auto"/>
        </w:rPr>
        <w:t>, age 64, became our Chief Operating Officer and Secretary on October 1, 2012. Dr. Shlevin previously had been employed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Jack W. Callicutt</w:t>
      </w:r>
      <w:r>
        <w:rPr>
          <w:rFonts w:ascii="Arial" w:cs="Arial" w:eastAsia="Arial" w:hAnsi="Arial"/>
          <w:sz w:val="16"/>
          <w:szCs w:val="16"/>
          <w:color w:val="auto"/>
        </w:rPr>
        <w:t>, age 47, became our Chief Financial Officer on July 1, 2013. From August 2012 through June 2012, Mr. Callicutt was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44, became the Company’s Executive Director of Regulatory Affairs and Quality Assurance in January 2013. Mr. Horton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0"/>
          <w:szCs w:val="10"/>
          <w:color w:val="auto"/>
        </w:rPr>
        <w:t>®</w:t>
      </w:r>
      <w:r>
        <w:rPr>
          <w:rFonts w:ascii="Arial" w:cs="Arial" w:eastAsia="Arial" w:hAnsi="Arial"/>
          <w:sz w:val="16"/>
          <w:szCs w:val="16"/>
          <w:color w:val="auto"/>
        </w:rPr>
        <w:t xml:space="preserve"> Stickpack, Creon</w:t>
      </w:r>
      <w:r>
        <w:rPr>
          <w:rFonts w:ascii="Arial" w:cs="Arial" w:eastAsia="Arial" w:hAnsi="Arial"/>
          <w:sz w:val="10"/>
          <w:szCs w:val="10"/>
          <w:color w:val="auto"/>
        </w:rPr>
        <w:t>®</w:t>
      </w:r>
      <w:r>
        <w:rPr>
          <w:rFonts w:ascii="Arial" w:cs="Arial" w:eastAsia="Arial" w:hAnsi="Arial"/>
          <w:sz w:val="16"/>
          <w:szCs w:val="16"/>
          <w:color w:val="auto"/>
        </w:rPr>
        <w:t xml:space="preserve"> Capsules and Luvox</w:t>
      </w:r>
      <w:r>
        <w:rPr>
          <w:rFonts w:ascii="Arial" w:cs="Arial" w:eastAsia="Arial" w:hAnsi="Arial"/>
          <w:sz w:val="10"/>
          <w:szCs w:val="10"/>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0"/>
          <w:szCs w:val="10"/>
          <w:color w:val="auto"/>
        </w:rPr>
        <w:t>®</w:t>
      </w:r>
      <w:r>
        <w:rPr>
          <w:rFonts w:ascii="Arial" w:cs="Arial" w:eastAsia="Arial" w:hAnsi="Arial"/>
          <w:sz w:val="16"/>
          <w:szCs w:val="16"/>
          <w:color w:val="auto"/>
        </w:rPr>
        <w:t xml:space="preserve"> and Androgel</w:t>
      </w:r>
      <w:r>
        <w:rPr>
          <w:rFonts w:ascii="Arial" w:cs="Arial" w:eastAsia="Arial" w:hAnsi="Arial"/>
          <w:sz w:val="10"/>
          <w:szCs w:val="10"/>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 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Eliezer Zomer, Ph.D., </w:t>
      </w:r>
      <w:r>
        <w:rPr>
          <w:rFonts w:ascii="Arial" w:cs="Arial" w:eastAsia="Arial" w:hAnsi="Arial"/>
          <w:sz w:val="18"/>
          <w:szCs w:val="18"/>
          <w:color w:val="auto"/>
        </w:rPr>
        <w:t>age 67, has been our Executive Vice President of Manufacturing and Product Development since the company’s inception in 2000.</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our company, Dr. Zomer had been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280" w:right="49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Financial Officer and Chief Operating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currently consists of ten directors, eight of whom will stand for election at our 2014 annual meeting of stockholders and two of whom are nominated and elected by the holder of our Series B preferred stock voting as a separate class.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board of directors has standing Audit, Compensation, and Nominating and Corporate Governance Committees.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committee are available on the Company’s website at </w:t>
      </w:r>
      <w:r>
        <w:rPr>
          <w:rFonts w:ascii="Arial" w:cs="Arial" w:eastAsia="Arial" w:hAnsi="Arial"/>
          <w:sz w:val="16"/>
          <w:szCs w:val="16"/>
          <w:u w:val="single" w:color="auto"/>
          <w:color w:val="auto"/>
        </w:rPr>
        <w:t>www.galectintherapeutics.com</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Compensation Committee met 3 times in 2013. The members of this committee are Rod D. Martin (chair), Gilbert F. Amelio, Ph.D. and Arthur R. Greenberg.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and, as such, the Committee is responsible for administration of grants and awards to directors, officers, employees, consultants and advisors under our 2001 Stock Incentive Plan, 2003 Non-employee Director Stock Incentive Plan and the 2009 Incentive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Audit Committee met four times in 2013. The members of this committee are Steven Prelack (chair), Arthur Greenberg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4"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Nominating and Corporate Governance Committee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Corporate Governance Committee met once in 2013. The members of this committee were Rod D. Martin (chair), Paul Pressler and Gilbert F. Amelio, Ph.D.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SEC. Under its charter, the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Corporate Governance guidelines provides that a majority of the members of the Board, and each member of the Audit, Compensation and Nominating and Corporate Governance Committees, must meet certain criteria for independence. Under applicable NASDAQ rules, a director will only qualify as an “independent director” if, in the opinion of our board of directors, that person does not have a relationship which would interfere with the exercise of independent judgment in carrying out the responsibilities of a director.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the NASDAQ rules, Messrs. Freeman, Martin, Mauldin, Prelack, Pressler and Greenberg and Drs. Amelio and Rubin were determined by the Board to be independent. As employees of Galectin Therapeutics, Dr. Traber and Mr. Czirr are not considered independent. Also, none of the non-employee directors has any relationship with the Company other than being a director and stockholder, or any transaction or arrangement that interferes with each director’s independence.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 This committee also monitors the ethical behavior of our employees, officers and directors.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Since the beginning of fiscal 2013, we did not participate in any transactions in which any of the director nominees, Class B directors, executive officers, any beneficial owner of more than 5% of our common stock, nor any of their immediate family members, had a direct or indirect material interest.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Nominating and Corporate Governance, or Nominating Committee, is responsible for, among other things, selection of candidates for the annual slate of Directors.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Nominating and Corporate Governance Committee;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2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Nominating Committee’s nomination process is designed to ensure that the Nominating Committee fulfills its responsibility to recommend candidates that are properly qualified to serve the Company for the benefit of all of its stockholders, consistent with the standards established by the Nominating Committee under our corporate governance principles. The Nominating Committee did not receive any recommendations from shareholders for the 2014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Board and management encourage communication from our stockholders. Stockholders who wish to communicate with our management should direct their communication to the Secretary of the Board, Galectin Therapeutics Inc., 4960 Peachtree Industrial Blvd., Suite 240, Norcross, GA 30071. Stockholders, or other interested parties, who wish to communicate with the non-management directors or any individual director should direct their communication c/o the Secretary at the address above. The Secretary will forward communications intended for the Board to the Vice Chairman of the Board, currently Mr. Martin,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Leadership Structure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believes that our Executive Chairman is best situated to serve as Chairman of the Board because he is the director who was a co-founder of the Company and is very familiar with our business and industry, and capable of effectively identifying sources of capital as well as strategic priorities.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The Board believes that the separate roles of the Executive Chairman and Chief Executive Officer promotes strategy development and execution, and facilitates information flow between management and the Board, which are essential to effective governance.</w:t>
      </w:r>
    </w:p>
    <w:p>
      <w:pPr>
        <w:spacing w:after="0" w:line="12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One of the key responsibilities of the Board is to develop strategic direction and hold management accountable for the execution of strategy once it is developed. The Board believes the separate roles of the Executive Chairman and the Chief Executive Officer is in the best interest of stockholders because it provides the appropriate balance between strategy development and independent oversight of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Vice Chair of the Board generally chairs these sessions.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2013, there were 10 meetings of the Board. Each director, except for Mr. Amelio,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Executive Chairman and Chief Executive Officer and others regarding matters of interest and concern to the Company.</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do not have a formal policy requiring members of the Board to attend the annual meeting, although all directors are strongly encouraged to attend. At the 2013 annual meeting of stockholders, all of the then current board members were present.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and Diversity</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including candidates recommended by shareholders, the Nominating and Corporate Governance Committee will apply the criteria set forth in governance guidelines. These criteria include the candidate’s integrity, business acumen, age, experience, commitment, diligence, conflicts of interest and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1" w:name="page22"/>
    <w:bookmarkEnd w:id="2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ability to act in the interests of all shareholders.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McGladrey LLP the matters required to be discussed by the Statement on Auditing Standards No. 61, </w:t>
      </w:r>
      <w:r>
        <w:rPr>
          <w:rFonts w:ascii="Arial" w:cs="Arial" w:eastAsia="Arial" w:hAnsi="Arial"/>
          <w:sz w:val="16"/>
          <w:szCs w:val="16"/>
          <w:i w:val="1"/>
          <w:iCs w:val="1"/>
          <w:color w:val="auto"/>
        </w:rPr>
        <w:t>Communication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Audit Committees </w:t>
      </w:r>
      <w:r>
        <w:rPr>
          <w:rFonts w:ascii="Arial" w:cs="Arial" w:eastAsia="Arial" w:hAnsi="Arial"/>
          <w:sz w:val="16"/>
          <w:szCs w:val="16"/>
          <w:color w:val="auto"/>
        </w:rPr>
        <w:t>(as amended), which includes, among other items, matters related to the conduct of the annual audit of our company’s financial statements.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has also received and reviewed the written disclosures and the letter from McGladrey LLP, required by applicable requirements of the Public Company Accounting Oversight Board regarding the communications by McGladrey LLP with the Audit Committee concerning independence, and has discussed with McGladrey LLP, its independence from Galectin Therapeutics.</w:t>
      </w:r>
    </w:p>
    <w:p>
      <w:pPr>
        <w:spacing w:after="0" w:line="118"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Galectin Therapeutics for the 2013 fiscal year be included in the Annual Report filed on Form 10-K for the year ended December 31, 2013.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Greenberg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COMPENSATION</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2013. See “Executive Compensation” for a description of compensation for Mr. Czirr and Dr. Traber.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Fees Earned</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All 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280" w:type="dxa"/>
            <w:vAlign w:val="bottom"/>
            <w:vMerge w:val="restart"/>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or Paid in</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280" w:type="dxa"/>
            <w:vAlign w:val="bottom"/>
            <w:vMerge w:val="continue"/>
          </w:tcPr>
          <w:p>
            <w:pPr>
              <w:spacing w:after="0"/>
              <w:rPr>
                <w:sz w:val="14"/>
                <w:szCs w:val="14"/>
                <w:color w:val="auto"/>
              </w:rPr>
            </w:pPr>
          </w:p>
        </w:tc>
        <w:tc>
          <w:tcPr>
            <w:tcW w:w="148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6"/>
              </w:rPr>
              <w:t>Cash ($)</w:t>
            </w:r>
          </w:p>
        </w:tc>
        <w:tc>
          <w:tcPr>
            <w:tcW w:w="540" w:type="dxa"/>
            <w:vAlign w:val="bottom"/>
          </w:tcPr>
          <w:p>
            <w:pPr>
              <w:ind w:left="40"/>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)(1)(3)</w:t>
            </w:r>
          </w:p>
        </w:tc>
        <w:tc>
          <w:tcPr>
            <w:tcW w:w="56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620" w:type="dxa"/>
            <w:vAlign w:val="bottom"/>
          </w:tcPr>
          <w:p>
            <w:pPr>
              <w:spacing w:after="0"/>
              <w:rPr>
                <w:sz w:val="14"/>
                <w:szCs w:val="14"/>
                <w:color w:val="auto"/>
              </w:rPr>
            </w:pPr>
          </w:p>
        </w:tc>
        <w:tc>
          <w:tcPr>
            <w:tcW w:w="62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Gilbert F. Amelio, Ph.D.</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12,000</w:t>
            </w:r>
          </w:p>
        </w:tc>
        <w:tc>
          <w:tcPr>
            <w:tcW w:w="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39,020</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51,020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48,771</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48,771</w:t>
            </w: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Rod D. Martin</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84,000(4)</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48,771</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48,771</w:t>
            </w: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72,000(5)</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48,771</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Paul Pressler</w:t>
            </w:r>
          </w:p>
        </w:tc>
        <w:tc>
          <w:tcPr>
            <w:tcW w:w="14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48,771</w:t>
            </w: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7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48,771</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options granted in 2013, but not actual amounts paid to or realized during 2013. The value as of the grant date for stock options is recognized over the period of service required for the stock awards to vest in full.</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options awards – both exercisable and un-exercisable) at December 31, 2013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Shares Subject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Option</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Awards Held as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980" w:type="dxa"/>
            <w:vAlign w:val="bottom"/>
            <w:gridSpan w:val="2"/>
            <w:vMerge w:val="restart"/>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980" w:type="dxa"/>
            <w:vAlign w:val="bottom"/>
            <w:gridSpan w:val="2"/>
            <w:vMerge w:val="continue"/>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9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Gilbert F. Amelio, Ph.D.</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28,395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Kevin D. Freeman</w:t>
            </w:r>
          </w:p>
        </w:tc>
        <w:tc>
          <w:tcPr>
            <w:tcW w:w="1040" w:type="dxa"/>
            <w:vAlign w:val="bottom"/>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Rod D. Martin</w:t>
            </w:r>
          </w:p>
        </w:tc>
        <w:tc>
          <w:tcPr>
            <w:tcW w:w="1040" w:type="dxa"/>
            <w:vAlign w:val="bottom"/>
          </w:tcPr>
          <w:p>
            <w:pPr>
              <w:jc w:val="right"/>
              <w:spacing w:after="0"/>
              <w:rPr>
                <w:sz w:val="20"/>
                <w:szCs w:val="20"/>
                <w:color w:val="auto"/>
              </w:rPr>
            </w:pPr>
            <w:r>
              <w:rPr>
                <w:rFonts w:ascii="Arial" w:cs="Arial" w:eastAsia="Arial" w:hAnsi="Arial"/>
                <w:sz w:val="18"/>
                <w:szCs w:val="18"/>
                <w:color w:val="auto"/>
              </w:rPr>
              <w:t>114,236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Mauldin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1040" w:type="dxa"/>
            <w:vAlign w:val="bottom"/>
          </w:tcPr>
          <w:p>
            <w:pPr>
              <w:jc w:val="right"/>
              <w:spacing w:after="0"/>
              <w:rPr>
                <w:sz w:val="20"/>
                <w:szCs w:val="20"/>
                <w:color w:val="auto"/>
              </w:rPr>
            </w:pPr>
            <w:r>
              <w:rPr>
                <w:rFonts w:ascii="Arial" w:cs="Arial" w:eastAsia="Arial" w:hAnsi="Arial"/>
                <w:sz w:val="18"/>
                <w:szCs w:val="18"/>
                <w:color w:val="auto"/>
              </w:rPr>
              <w:t>118,450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 Paul Pressler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for service as Vice-Chairman.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for service as Audit Committee Chairman.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option grants to our board members (other than for employee board members for services unrelated to board duties) during fiscal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 grants were made to our current board members during fiscal 2013 which vest quarterly over a two year period.</w:t>
      </w:r>
    </w:p>
    <w:p>
      <w:pPr>
        <w:spacing w:after="0" w:line="165"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10 to the Financial Statements and “Management’s Discussion and Analysis of Financial Condition and Results of Operations — Critical Accounting Policies and Estimates — Stock-Based Compensation” included in the Form 10-K for the 2012 fiscal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travel and other related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provides information as of December 31, 2013 about the securities issued, or authorized for future issuance, under our equity compensation plans, consisting of our 2001 Stock Incentive Plan, our 2003 Non-Employee Director Stock Incentive Plan, and our 2009 Incentive Compensation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Weighted-</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 Securities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average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to be issued upon</w:t>
            </w:r>
          </w:p>
        </w:tc>
        <w:tc>
          <w:tcPr>
            <w:tcW w:w="100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of</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8"/>
        </w:trPr>
        <w:tc>
          <w:tcPr>
            <w:tcW w:w="5820" w:type="dxa"/>
            <w:vAlign w:val="bottom"/>
            <w:gridSpan w:val="3"/>
            <w:vMerge w:val="continue"/>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outstanding options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82"/>
              </w:rPr>
              <w:t>options</w:t>
            </w:r>
          </w:p>
        </w:tc>
        <w:tc>
          <w:tcPr>
            <w:tcW w:w="14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1,932,036</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w:t>
            </w:r>
          </w:p>
        </w:tc>
        <w:tc>
          <w:tcPr>
            <w:tcW w:w="10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709,638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1,416,669</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0" w:type="dxa"/>
            <w:vAlign w:val="bottom"/>
          </w:tcPr>
          <w:p>
            <w:pPr>
              <w:spacing w:after="0"/>
              <w:rPr>
                <w:sz w:val="19"/>
                <w:szCs w:val="19"/>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3,348,705</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4.70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grants by the Board of Directors for stock options granted to employees and consultants that are outside of the shareholder approved compensation plans. The shares underlying these grants are not registered upon exercise and have six month holding restrictions under Rule 144 of the SEC.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OF 2009 INCENTIVE COMPENSATION PLAN</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March 20, 2013, upon recommendation of the Compensation Committee, the Board of Directors approved, subject to shareholder approval, an amendment to the Company’s 2009 Incentive Compensation Plan (the “Plan”), to reserve an additional 1,400,000 shares for issuance under the Plan. Otherwise, the Plan remains unchanged. The Plan, as amended, is attached hereto as Appendix A, and we urge stockholders to review the Plan carefully.</w:t>
      </w:r>
    </w:p>
    <w:p>
      <w:pPr>
        <w:spacing w:after="0" w:line="10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Under applicable NASDAQ rules, the Company is required to obtain shareholder approval of the amendment to the Plan. Stockholder approval of the Plan is also required (i) to comply with certain exclusions from the limitations of Section 162(m) of the Internal Revenue Code of 1986, which we refer to as the Code, as described below, and (ii) to comply with the incentive stock options rules under Section 422 of the Code. On March 19, 2013, the closing price of our common stock as reported by NASDAQ was $15.75.</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We are currently authorized to issue up to 3,333,334 shares under the Plan, of which 414,923 remain available for issuance as March 19, 2014. If approved by the Company’s shareholders, the amendment to the Plan would authorize an additional 1,400,000 for issuance. The material terms of the Plan are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Purpose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February 12, 2009, our Board of Directors adopted the 2009 Incentive Compensation Plan, and our shareholders subsequently approved the Plan at the 2009 Annual Meeting.</w:t>
      </w:r>
    </w:p>
    <w:p>
      <w:pPr>
        <w:spacing w:after="0" w:line="13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purpose of the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long-term performance incentives to expend their maximum efforts in the creation of stockholder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Plan</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is a summary of certain principal features of the Plan. This summary is qualified in its entirety by reference to the complete text of the Plan, as amended. Stockholders are urged to read the actual text of the Plan in its entirety which is set forth as Exhibit A to this Proxy Statement.</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Shares Available for Awards; Annual Per-Person Limitations. </w:t>
      </w:r>
      <w:r>
        <w:rPr>
          <w:rFonts w:ascii="Arial" w:cs="Arial" w:eastAsia="Arial" w:hAnsi="Arial"/>
          <w:sz w:val="16"/>
          <w:szCs w:val="16"/>
          <w:color w:val="auto"/>
        </w:rPr>
        <w:t>Under the Plan, as amended, the total number of shares of common stock of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reserved and available for delivery under the Plan (the “awards”) at any time during the term of the Plan shall be equal to 4,733,334 shares. The foregoing limit shall be increased by the number of shares of common stock with respect to which awards previously granted under the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 Awards issued in substitution for awards previously granted by a company acquired by our company or a related entity, or with which our company or any related entity combines, do not reduce the limit on grants of awards under the Plan.</w:t>
      </w:r>
    </w:p>
    <w:p>
      <w:pPr>
        <w:spacing w:after="0" w:line="11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Plan imposes individual limitations on the amount of certain awards in part to comply with Code Section 162(m). Under these limitations, during any 12-month period, no participant may be granted (i) stock options or stock appreciation rights with respect to more than 2,000,000 shares of common stock, or</w:t>
      </w:r>
    </w:p>
    <w:p>
      <w:pPr>
        <w:ind w:left="5620" w:right="2600" w:hanging="5612"/>
        <w:spacing w:after="0" w:line="433"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restricted stock, shares of deferred stock, performance shares and other stock based-awards with respect to more 21</w:t>
      </w:r>
    </w:p>
    <w:p>
      <w:pPr>
        <w:sectPr>
          <w:pgSz w:w="11900" w:h="16838" w:orient="portrait"/>
          <w:cols w:equalWidth="0" w:num="1">
            <w:col w:w="11420"/>
          </w:cols>
          <w:pgMar w:left="240" w:top="274" w:right="239" w:bottom="1440" w:gutter="0" w:footer="0" w:header="0"/>
        </w:sectPr>
      </w:pPr>
    </w:p>
    <w:bookmarkStart w:id="25" w:name="page26"/>
    <w:bookmarkEnd w:id="25"/>
    <w:p>
      <w:pPr>
        <w:ind w:right="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Compensation Committee of our Board of Directors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The Compensation Committee is also authorized to adjust performance conditions and other terms of awards in response to these kinds of events or in response to changes in applicable laws, regulations or accounting principles.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persons eligible to receive awards under the Plan are the officers, directors, employees, consultants and other persons who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company or any related entity. An employee on leave of absence may be considered as still in the employ of our company or a related entity for purposes of eligibility for participation in the Plan.</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is to be administered by the Compensation Committee, provided, however, that except as otherwise expressly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our Board of Directors may exercise any power or authority granted to the Compensation Committee under the Plan. Subject to the terms of the Plan, the Compensation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the Compensation Committee may deem necessary or advisable for the administration of the Plan.</w:t>
      </w:r>
    </w:p>
    <w:p>
      <w:pPr>
        <w:spacing w:after="0" w:line="12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i w:val="1"/>
          <w:iCs w:val="1"/>
          <w:color w:val="auto"/>
        </w:rPr>
        <w:t xml:space="preserve">Stock Options and Stock Appreciation Rights. </w:t>
      </w:r>
      <w:r>
        <w:rPr>
          <w:rFonts w:ascii="Arial" w:cs="Arial" w:eastAsia="Arial" w:hAnsi="Arial"/>
          <w:sz w:val="15"/>
          <w:szCs w:val="15"/>
          <w:color w:val="auto"/>
        </w:rPr>
        <w:t>The Compensation Committee is authorized to grant stock options, including both incentive stock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For purposes of the Plan, the term “fair market value” means the fair market value of common stock, awards or other property as determined by the Compensation Committee or under procedures established by the Compensation Committee. Unless otherwise determined by the Compensation Committee, the fair market value of common stock as of any given date shall be the closing sales price per share of common stock as reported on the principal stock exchange or market on which common stock is traded on the date as of which such value is being determined or, if there is no sale on that date, then on the last previous day on which a sale was reported.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Compensation Committee, except that no option or stock appreciation right may have a term exceeding ten years. Methods of exercise and settlement and other terms of the stock appreciation right are determined by the Compensation Committee. The Compensation Committee, thus, may permit the exercise price of options awarded under the Plan to be paid in cash, shares, other awards or other property (including loans to participants). Options may be exercised by payment of the exercise price in cash, shares of common stock, outstanding awards or other property having a fair market value equal to the exercise price, as the Compensation Committee may determine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 w:name="page27"/>
    <w:bookmarkEnd w:id="26"/>
    <w:p>
      <w:pPr>
        <w:ind w:right="4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Restricted and Deferred Stock. </w:t>
      </w:r>
      <w:r>
        <w:rPr>
          <w:rFonts w:ascii="Arial" w:cs="Arial" w:eastAsia="Arial" w:hAnsi="Arial"/>
          <w:sz w:val="16"/>
          <w:szCs w:val="16"/>
          <w:color w:val="auto"/>
        </w:rPr>
        <w:t>The Compensation Committee is authorized to grant restricted stock and deferred stock. Restricted stock is a grant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 subject to such risks of forfeiture and other restrictions as the Compensation Committee may impose. Prior to settlement, an award of deferred stock carries no voting or dividend rights or other rights associated with share ownership, although dividend equivalents may be granted, as discussed below.</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Dividend Equivalents. </w:t>
      </w:r>
      <w:r>
        <w:rPr>
          <w:rFonts w:ascii="Arial" w:cs="Arial" w:eastAsia="Arial" w:hAnsi="Arial"/>
          <w:sz w:val="15"/>
          <w:szCs w:val="15"/>
          <w:color w:val="auto"/>
        </w:rPr>
        <w:t>The Compensation Committee is authorized to grant dividend equivalents conferring on participants the right to receive, currently or</w:t>
      </w:r>
      <w:r>
        <w:rPr>
          <w:rFonts w:ascii="Arial" w:cs="Arial" w:eastAsia="Arial" w:hAnsi="Arial"/>
          <w:sz w:val="15"/>
          <w:szCs w:val="15"/>
          <w:i w:val="1"/>
          <w:iCs w:val="1"/>
          <w:color w:val="auto"/>
        </w:rPr>
        <w:t xml:space="preserve"> </w:t>
      </w:r>
      <w:r>
        <w:rPr>
          <w:rFonts w:ascii="Arial" w:cs="Arial" w:eastAsia="Arial" w:hAnsi="Arial"/>
          <w:sz w:val="15"/>
          <w:szCs w:val="15"/>
          <w:color w:val="auto"/>
        </w:rPr>
        <w:t>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w:t>
      </w:r>
    </w:p>
    <w:p>
      <w:pPr>
        <w:spacing w:after="0" w:line="9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Bonus Stock and Awards in Lieu of Cash Obligations. </w:t>
      </w:r>
      <w:r>
        <w:rPr>
          <w:rFonts w:ascii="Arial" w:cs="Arial" w:eastAsia="Arial" w:hAnsi="Arial"/>
          <w:sz w:val="18"/>
          <w:szCs w:val="18"/>
          <w:color w:val="auto"/>
        </w:rPr>
        <w:t>The Compensation Committee is authorized to grant shares of common stock as a bonus free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to grant shares of common stock or other awards in lieu of company obligations to pay cash under the Plan or other plans or compensatory arrangements, subject to such terms as the Compensation Committee may specify.</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or our Board of Directors is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common stock. The Compensation Committee determines the terms and conditions of such awards.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Compensation Committee is authorized to grant performance awards to participants on terms and conditions established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will, if and to the extent intended by the Compensation Committee, be subject to provisions that should qualify such awards as “performance-based compensation” not subject to the limitation on tax deductibility by our company under Code Section 162(m). For purposes of Section 162(m), the term “covered employee” means our company’s chief executive officer and each other person whose compensation is required to be disclosed in our company’s filings with the SEC by reason of that person being among the five highest compensated officers of our company as of the end of a taxable year. If and to the extent required under Section 162(m) of the Code, any power or authority relating to a performance award intended to qualify under Section 162(m) of the Code is to be exercised by the Compensation Committee and not our Board of Directors.</w:t>
      </w:r>
    </w:p>
    <w:p>
      <w:pPr>
        <w:spacing w:after="0" w:line="12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and to the extent that the Compensation Committee determines that these provisions of the Plan are to be applicable to any award, one or more of the following business criteria for our company, on a consolidated basis, and/or for related entities, or for business or geographical units of our company and/or a related entity (except with respect to the total stockholder return and earnings per share criteria), shall be used by the Compensation Committee in establishing performance goals for awards under the Plan: (1) earnings per share; (2) revenues or margins; (3) cash flow; (4) operating margin; (5) return on assets, net assets, investment, capital, operating revenue or equity; (6) economic value added; (7) direct contribution; (8) income; net income; pretax earnings;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 w:name="page28"/>
    <w:bookmarkEnd w:id="2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before interest and taxes; earnings before interest, taxes, depreciation and amortization; earnings after interest expense and before extraordinary or special items; operating income; net operating income; income before interest income or expense, unusual items and income taxes, local, state or federal and excluding budgeted and actual bonuses which might be paid under any ongoing bonus plans of our company; (9) working capital or working capital management, including inventory turnover and days sales outstanding; (10) management of fixed costs or variable costs; (11) identification or consummation of investment opportunities or completion of specified projects in accordance with corporate business plans, including strategic mergers, acquisitions or divestitures; (12) total stockholder return; (13) debt reduction; (14) market share; (15) entry into new markets, either geographically or by business unit; (16) customer retention and satisfaction; (17) strategic plan development and implementation, including turnaround plans; and (18) stock price. 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comparable to our company. The Compensation Committee may exclude the impact of an event or occurrence which the Compensation Committee determines should appropriately be excluded, including without limitation (i) restructurings, discontinued operations, extraordinary items, and other unusual or non-recurring charges, (ii) an event either not directly related to the operations of our company or not within the reasonable control of our company’s management, or (iii) a change in accounting standards required by generally accepted accounting principles.</w:t>
      </w:r>
    </w:p>
    <w:p>
      <w:pPr>
        <w:spacing w:after="0" w:line="12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Compensation Committee may, in its discretion, determine that the amount payable as a performance award will be reduced from the amount of any potential award.</w:t>
      </w:r>
    </w:p>
    <w:p>
      <w:pPr>
        <w:spacing w:after="0" w:line="132"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i w:val="1"/>
          <w:iCs w:val="1"/>
          <w:color w:val="auto"/>
        </w:rPr>
        <w:t xml:space="preserve">Other Terms of Awards. </w:t>
      </w:r>
      <w:r>
        <w:rPr>
          <w:rFonts w:ascii="Arial" w:cs="Arial" w:eastAsia="Arial" w:hAnsi="Arial"/>
          <w:sz w:val="15"/>
          <w:szCs w:val="15"/>
          <w:color w:val="auto"/>
        </w:rPr>
        <w:t>Awards may be settled in the form of cash, shares of common stock, other awards or other property, in the discretion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our company’s obligations under the Plan. The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Plan generally may not be pledged or otherwise encumbered and are not transferable except by will or by the laws of descent and distribution, or to a designated beneficiary upon the participant’s death, except that the Compensation Committee may, in its discretion, permit transfers for estate planning or other purposes subject to any applicable restrictions under Rule 16b-3.</w:t>
      </w:r>
    </w:p>
    <w:p>
      <w:pPr>
        <w:spacing w:after="0" w:line="109"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Awards under the Plan are generally granted without a requirement that the participant pay consideration in the form of cash or property for the grant (as distinguished from the exercise), except to the extent required by law. The Compensation Committee may, however, grant awards in exchange for other awards under the Plan, awards under other company plans, or other rights to payment from our company, and may grant awards in addition to and in tandem with such other awards, rights or other awards.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Acceleration of Vesting; Change in Control. </w:t>
      </w:r>
      <w:r>
        <w:rPr>
          <w:rFonts w:ascii="Arial" w:cs="Arial" w:eastAsia="Arial" w:hAnsi="Arial"/>
          <w:sz w:val="16"/>
          <w:szCs w:val="16"/>
          <w:color w:val="auto"/>
        </w:rPr>
        <w:t>The Compensation Committee may, in its discretion, accelerate the exercisability, the lapsing of restrictions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expiration of deferral or vesting periods of any award, and such accelerated exercisability, lapse, expiration and if so provided in the award agreement or otherwise determined by the Compensation Committee, vesting shall occur automatically in the case of a “change in control” of our company (including the cash settlement of stock appreciation rights which may be exercisable in the event of a change in control). In addition, the Compensation Committee may provide in an award agreement that the performance goals relating to any performance award will be deemed to have been met upon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occurrence of any “change in control.” For purposes of the Plan, unless otherwise specified in an award agreement, a change in control means the occurrence of any of the following:</w:t>
      </w:r>
    </w:p>
    <w:p>
      <w:pPr>
        <w:spacing w:after="0" w:line="51" w:lineRule="exact"/>
        <w:rPr>
          <w:sz w:val="20"/>
          <w:szCs w:val="20"/>
          <w:color w:val="auto"/>
        </w:rPr>
      </w:pPr>
    </w:p>
    <w:p>
      <w:pPr>
        <w:ind w:left="460" w:right="40" w:firstLine="443"/>
        <w:spacing w:after="0" w:line="289" w:lineRule="auto"/>
        <w:tabs>
          <w:tab w:leader="none" w:pos="11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acquisition by any person (as that term is used in the Exchange Act) of Beneficial Ownership (within the meaning of Rule 13d-3 promulgated under the Exchange Act) of more than 50% of either (A) the then outstanding shares of common stock of our company (the “Outstanding Company Common Stock”) or (B) the combined voting power of our then outstanding voting securities entitled to vote generally in the election of directors (the “Outstanding Company Voting Securities”) (the foregoing Beneficial Ownership hereinafter being referred to as a “Controlling Interest”); provided, however, that the following acquisitions shall not constitute or result in a Change of Control: (v) any acquisition directly from our company; (w) any acquisition by our company; (x) any acquisition by any person that as of the effective date owns Beneficial Ownership of a Controlling Interest; (y) any acquisition by any employee benefit plan (or related trust) sponsored or maintained by our company or any subsidiary; or (z) any acquisition by any corporation pursuant to a transaction which complies with clauses (A), (B) and (C) of subsection (iii) below; or</w:t>
      </w:r>
    </w:p>
    <w:p>
      <w:pPr>
        <w:spacing w:after="0" w:line="37" w:lineRule="exact"/>
        <w:rPr>
          <w:rFonts w:ascii="Arial" w:cs="Arial" w:eastAsia="Arial" w:hAnsi="Arial"/>
          <w:sz w:val="16"/>
          <w:szCs w:val="16"/>
          <w:color w:val="auto"/>
        </w:rPr>
      </w:pPr>
    </w:p>
    <w:p>
      <w:pPr>
        <w:ind w:left="460" w:firstLine="443"/>
        <w:spacing w:after="0" w:line="253" w:lineRule="auto"/>
        <w:tabs>
          <w:tab w:leader="none" w:pos="11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any period of three (3) consecutive years (not including any period prior to the effective date of the Plan) individuals who constitute our board on the effective date (the “Incumbent Board”) cease for any reason to constitute at least a majority of our board; provided, however, that any individual becoming a director subsequent to the effective date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our board; or</w:t>
      </w:r>
    </w:p>
    <w:p>
      <w:pPr>
        <w:spacing w:after="0" w:line="66" w:lineRule="exact"/>
        <w:rPr>
          <w:rFonts w:ascii="Arial" w:cs="Arial" w:eastAsia="Arial" w:hAnsi="Arial"/>
          <w:sz w:val="18"/>
          <w:szCs w:val="18"/>
          <w:color w:val="auto"/>
        </w:rPr>
      </w:pPr>
    </w:p>
    <w:p>
      <w:pPr>
        <w:ind w:left="460" w:right="20" w:firstLine="443"/>
        <w:spacing w:after="0" w:line="285" w:lineRule="auto"/>
        <w:tabs>
          <w:tab w:leader="none" w:pos="12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our company or any of its subsidiaries, a sale or other disposition of all or substantially all of the assets of our company, or the acquisition of assets or stock of another entity by our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our company or all or substantially all of our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our company or such corporation resulting from such Business Combination or any person that as of the effective date owns Beneficial Ownership of a Controlling Interest) beneficially owns, directly or indirectly,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a</w:t>
      </w:r>
    </w:p>
    <w:p>
      <w:pPr>
        <w:spacing w:after="0" w:line="42" w:lineRule="exact"/>
        <w:rPr>
          <w:rFonts w:ascii="Arial" w:cs="Arial" w:eastAsia="Arial" w:hAnsi="Arial"/>
          <w:sz w:val="16"/>
          <w:szCs w:val="16"/>
          <w:color w:val="auto"/>
        </w:rPr>
      </w:pPr>
    </w:p>
    <w:p>
      <w:pPr>
        <w:ind w:left="1200" w:hanging="297"/>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by our stockholders of a complete liquidation or dissolution of our company.</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alter, suspend, discontinue or terminate the Plan or the Compensation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grant awards without further stockholder approval,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9" w:name="page30"/>
    <w:bookmarkEnd w:id="2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Plan which might increase the cost of the Plan or alter the eligibility of persons to receive awards. Stockholder approval will not be deemed to be required under laws or regulations, such as those relating to ISOs, that condition favorable treatment of participants on such approval, although our board may, in its discretion, seek stockholder approval in any circumstance in which it deems such approval advisable. Unless earlier terminated by our board, the Plan will terminate at the earliest of (a) such time as no shares of common stock remain available for issuance under the Plan, (b) termination of the Plan by our board, or (c) the tenth anniversary of the effective date of the Plan. Awards outstanding upon expiration of the Plan shall remain in effect until they have been exercised or terminated, or have expired.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 of Awards.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IRS Circular 230 Notice </w:t>
      </w:r>
      <w:r>
        <w:rPr>
          <w:rFonts w:ascii="Arial" w:cs="Arial" w:eastAsia="Arial" w:hAnsi="Arial"/>
          <w:sz w:val="15"/>
          <w:szCs w:val="15"/>
          <w:color w:val="auto"/>
        </w:rPr>
        <w:t>To ensure compliance with requirements imposed by the Internal Revenue Service, you are hereby notified that any discussion of</w:t>
      </w:r>
      <w:r>
        <w:rPr>
          <w:rFonts w:ascii="Arial" w:cs="Arial" w:eastAsia="Arial" w:hAnsi="Arial"/>
          <w:sz w:val="15"/>
          <w:szCs w:val="15"/>
          <w:i w:val="1"/>
          <w:iCs w:val="1"/>
          <w:color w:val="auto"/>
        </w:rPr>
        <w:t xml:space="preserve"> </w:t>
      </w:r>
      <w:r>
        <w:rPr>
          <w:rFonts w:ascii="Arial" w:cs="Arial" w:eastAsia="Arial" w:hAnsi="Arial"/>
          <w:sz w:val="15"/>
          <w:szCs w:val="15"/>
          <w:color w:val="auto"/>
        </w:rPr>
        <w:t>tax matters set forth in this prospectus was written in connection with the promotion or marketing (within the meaning of IRS Circular 230) of awards made under the Amended Plan, and was not intended or written to be used, and cannot be used, by any taxpayer for the purpose of avoiding any tax-related penalties under federal law. Each recipient of an award under the Amended Plan should seek advice based on his or her particular circumstances from an independent tax advisor.</w:t>
      </w:r>
    </w:p>
    <w:p>
      <w:pPr>
        <w:spacing w:after="0" w:line="9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Plan is not qualified under the provisions of section 401(a) of the Code and is not subject to any of the provisions of the Employee Retirement Income Security Act of 1974.</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On exercise of a nonqualified stock option granted under the Plan an optionee will recognize ordinary income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if any, of the fair market value on the date of exercise of the shares of stock acquired on exercise of the option over the exercise price. If the optionee is an employee of our company or a related entity, that income will be subject to the withholding of Federal income tax. The optionee’s tax basis in those shares will be equal to their fair market value on the date of exercise of the option, and his holding period for those shares will begin on that date. If an optionee pays for shares of stock on exercise of an option by delivering shares of our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2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company will be entitled to a deduction for Federal income tax purposes equal to the amount of ordinary income taxable to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The Plan provides for the grant of stock options that qualify as “incentive stock options” as defined in section 422 of the Code,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0" w:name="page31"/>
    <w:bookmarkEnd w:id="30"/>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company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our company is allowed a deduction in an amount equal to the ordinary income includible in income by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Generally, the recipient of a stock award will recognize ordinary compensation income at the time the stock is received equal to the excess, if</w:t>
      </w:r>
      <w:r>
        <w:rPr>
          <w:rFonts w:ascii="Arial" w:cs="Arial" w:eastAsia="Arial" w:hAnsi="Arial"/>
          <w:sz w:val="16"/>
          <w:szCs w:val="16"/>
          <w:i w:val="1"/>
          <w:iCs w:val="1"/>
          <w:color w:val="auto"/>
        </w:rPr>
        <w:t xml:space="preserve"> </w:t>
      </w:r>
      <w:r>
        <w:rPr>
          <w:rFonts w:ascii="Arial" w:cs="Arial" w:eastAsia="Arial" w:hAnsi="Arial"/>
          <w:sz w:val="16"/>
          <w:szCs w:val="16"/>
          <w:color w:val="auto"/>
        </w:rPr>
        <w:t>any, of the fair market value of the stock received over any amount paid by the recipient in exchange for the stock. If, however, the stock is non-vested when it is received under the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Plan the difference between the sale price and the recipient’s basis in the shares will be treated as a capital gain or loss and generally will be characterized as long-term capital gain or loss if the shares have been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held for more the one year from the date as of which he or she would be required to recognize any compensation income.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company may grant SARs separate from any other award, which we refer to as Stand-Alone SARs, or in tandem with</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which we refer to as Tandem SARs, under the Plan. Generally, the recipient of a Stand-Alone SAR will not recognize any taxable income at the time the Stand-Alone SAR is granted.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there will be no federal income tax deduction allowed to our company upon the grant or termination of Stand-Alone SARs or Tandem SARs. Upon the exercise of either a Stand-Alone SAR or a Tandem SAR, however, our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Generally, the recipient of a dividend equivalent award will recognize ordinary compensation income at the time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award is received equal to the fair market value dividend equivalent award received. Our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Section 162 Limitations. </w:t>
      </w:r>
      <w:r>
        <w:rPr>
          <w:rFonts w:ascii="Arial" w:cs="Arial" w:eastAsia="Arial" w:hAnsi="Arial"/>
          <w:sz w:val="16"/>
          <w:szCs w:val="16"/>
          <w:color w:val="auto"/>
        </w:rPr>
        <w:t>Section 162(m) to the Code, generally disallows a public company’s tax deduction for compensation to covered employees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$1 million in any tax year beginning on or after January 1, 1994. Compensation that qualifies as “performance-based compensation” is excluded from the $1 million deductibility cap, and therefore remains fully deductible by the company that pays it. We intend that awards granted to employees under the Plan whom the Compensation Committee expects to be covered employees at the time a deduction arises in connection with such options, may, if and to the extent so intended by the Compensation Committee, be granted in a manner that will qualify as such “performance-based compensation,” so that such awards would not be subject to the Section 162(m) deductibility cap of $1 million. Future changes in Section 162(m) or the regulations thereunder may adversely affect our ability to ensure that awards under the 2006 Plan will qualify as “performance-based compensation” that are fully deductible by us under Section 162(m).</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Code, enacted as part of the American Jobs Creation Act of 2004, imposes certain requirements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deferred compensation plans,” including 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These rules generally apply with respect to deferred compensation that becomes earned and vested on or after January 1, 2005. If a nonqualified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2" w:name="page33"/>
    <w:bookmarkEnd w:id="32"/>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deferred compensation plan subject to Section 409A fails to meet, or is not operated in accordance with, these new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 Some of the awards to be granted under this Plan may constitute deferred compensation subject to the Section 409A requirements, including, without limitation, discounted stock options, deferred stock and SARs that are not payable in shares of our company stock. It is our company’s intention that any award agreement that will govern awards subject to Section 409A will comply with these rules.</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Importance of Consulting Tax Adviser. </w:t>
      </w:r>
      <w:r>
        <w:rPr>
          <w:rFonts w:ascii="Arial" w:cs="Arial" w:eastAsia="Arial" w:hAnsi="Arial"/>
          <w:sz w:val="16"/>
          <w:szCs w:val="16"/>
          <w:color w:val="auto"/>
        </w:rPr>
        <w:t>The information set forth above is a summary only and does not purport to be complete. In addition,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Interests of Directors.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considering the recommendation of the Board of Directors with respect to the Plan, shareholders should be aware that members of the Board of Directors may from time to time have interests that present them with conflicts of interest in connection with the proposal to approve the amendment to the Plan. Specifically, the amended Plan would add shares that are eligible for grant under the Plan, and directors, including members of the Compensation Committee, could be recipients of awards with respect to these additional shares. The Board of Directors believes that approval of the amendment to the Plan will advance the interests of the company and its shareholders by encouraging employees and directors to make significant contributions to the long-term success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March 19, 2013, 2,918,411 shares had been issued or are subject to outstanding awards under the Plan. Because of the discretionary nature of any future awards under the Plan, the amount of such awards is not determinable at this time with respect to the company’s directors, executive officers, including the named executive officers, and the company’s other employees. Information regarding options and other grants in fiscal 2013 to certain executive officers of the company under the Plan is set forth in the table captioned “Summary Compensation Table,” and information regarding outstanding options and grants under this Plan is set forth in the table captioned “Outstanding Equity Awards at December 31, 2013.” Information regarding grants under the Plan in fiscal 2013 to the company’s non-employee directors is set forth under “Director Compensation.”</w:t>
      </w:r>
    </w:p>
    <w:p>
      <w:pPr>
        <w:spacing w:after="0" w:line="12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affirmative vote of a majority of the votes cast, either for, against or abstain, by the holders of the shares of common stock voting is required to approve this proposal. Accordingly, abstentions will have the effect of a vote against this proposal and broker non-votes will have no effect.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Board of Directors asks you to approve and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this proposed amendment to the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NAMED EXECUTIVE OFFICERS</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following table summarizes the compensation paid to our Named Executive Officers for the fiscal years ended December 31, 2013 and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All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6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Awards ($)</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4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rPr>
              <w:t>($) (2)</w:t>
            </w:r>
          </w:p>
        </w:tc>
        <w:tc>
          <w:tcPr>
            <w:tcW w:w="320" w:type="dxa"/>
            <w:vAlign w:val="bottom"/>
          </w:tcPr>
          <w:p>
            <w:pPr>
              <w:spacing w:after="0"/>
              <w:rPr>
                <w:sz w:val="12"/>
                <w:szCs w:val="12"/>
                <w:color w:val="auto"/>
              </w:rPr>
            </w:pP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2"/>
                <w:szCs w:val="12"/>
                <w:color w:val="auto"/>
              </w:rPr>
            </w:pPr>
          </w:p>
        </w:tc>
        <w:tc>
          <w:tcPr>
            <w:tcW w:w="88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2013</w:t>
            </w:r>
          </w:p>
        </w:tc>
        <w:tc>
          <w:tcPr>
            <w:tcW w:w="30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375,000</w:t>
            </w:r>
          </w:p>
        </w:tc>
        <w:tc>
          <w:tcPr>
            <w:tcW w:w="30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194,688</w:t>
            </w:r>
          </w:p>
        </w:tc>
        <w:tc>
          <w:tcPr>
            <w:tcW w:w="3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43,002(5)</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612,690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 &amp; President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314,946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713,332</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36,021(6)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1,089,299</w:t>
            </w: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240,000</w:t>
            </w:r>
          </w:p>
        </w:tc>
        <w:tc>
          <w:tcPr>
            <w:tcW w:w="3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120,025</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77,189(7)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437,214</w:t>
            </w:r>
          </w:p>
        </w:tc>
        <w:tc>
          <w:tcPr>
            <w:tcW w:w="0" w:type="dxa"/>
            <w:vAlign w:val="bottom"/>
          </w:tcPr>
          <w:p>
            <w:pPr>
              <w:spacing w:after="0"/>
              <w:rPr>
                <w:sz w:val="1"/>
                <w:szCs w:val="1"/>
                <w:color w:val="auto"/>
              </w:rPr>
            </w:pPr>
          </w:p>
        </w:tc>
      </w:tr>
      <w:tr>
        <w:trPr>
          <w:trHeight w:val="222"/>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Executive Chairman and Director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212,503</w:t>
            </w:r>
          </w:p>
        </w:tc>
        <w:tc>
          <w:tcPr>
            <w:tcW w:w="3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79,689(8)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292,192</w:t>
            </w:r>
          </w:p>
        </w:tc>
        <w:tc>
          <w:tcPr>
            <w:tcW w:w="0" w:type="dxa"/>
            <w:vAlign w:val="bottom"/>
          </w:tcPr>
          <w:p>
            <w:pPr>
              <w:spacing w:after="0"/>
              <w:rPr>
                <w:sz w:val="1"/>
                <w:szCs w:val="1"/>
                <w:color w:val="auto"/>
              </w:rPr>
            </w:pPr>
          </w:p>
        </w:tc>
      </w:tr>
      <w:tr>
        <w:trPr>
          <w:trHeight w:val="218"/>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59,975</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32,454(9)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292,429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Operating Officer (3)</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473,381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8,908(10)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557,289</w:t>
            </w: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87,500</w:t>
            </w:r>
          </w:p>
        </w:tc>
        <w:tc>
          <w:tcPr>
            <w:tcW w:w="3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39,803</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709,542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17,074(11)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853,919</w:t>
            </w:r>
          </w:p>
        </w:tc>
        <w:tc>
          <w:tcPr>
            <w:tcW w:w="0" w:type="dxa"/>
            <w:vAlign w:val="bottom"/>
          </w:tcPr>
          <w:p>
            <w:pPr>
              <w:spacing w:after="0"/>
              <w:rPr>
                <w:sz w:val="1"/>
                <w:szCs w:val="1"/>
                <w:color w:val="auto"/>
              </w:rPr>
            </w:pPr>
          </w:p>
        </w:tc>
      </w:tr>
      <w:tr>
        <w:trPr>
          <w:trHeight w:val="222"/>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(4)</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300" w:type="dxa"/>
            <w:vAlign w:val="bottom"/>
          </w:tcPr>
          <w:p>
            <w:pPr>
              <w:spacing w:after="0"/>
              <w:rPr>
                <w:sz w:val="19"/>
                <w:szCs w:val="19"/>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4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option awards for fiscal 2013 and 2012, respectively, but not the actual amounts paid to or realized by the named executive officer for the awards during 2013 and 2012. The value as of the grant date for stock options is recognized over the number of days of service required or the achievement of certain specified milestones for the grant to become vested.</w:t>
      </w:r>
    </w:p>
    <w:p>
      <w:pPr>
        <w:spacing w:after="0" w:line="10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following table includes the assumptions used to calculate the grant date fair value reported for fiscal years 2013 and 2012 on a grant-by-grant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Assumptions</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79"/>
              </w:rPr>
              <w:t>Exercise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3"/>
              </w:rPr>
              <w:t>Expected</w:t>
            </w:r>
          </w:p>
        </w:tc>
        <w:tc>
          <w:tcPr>
            <w:tcW w:w="8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Risk-Free</w:t>
            </w: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Dividend</w:t>
            </w:r>
          </w:p>
        </w:tc>
        <w:tc>
          <w:tcPr>
            <w:tcW w:w="280" w:type="dxa"/>
            <w:vAlign w:val="bottom"/>
          </w:tcPr>
          <w:p>
            <w:pPr>
              <w:spacing w:after="0"/>
              <w:rPr>
                <w:sz w:val="11"/>
                <w:szCs w:val="11"/>
                <w:color w:val="auto"/>
              </w:rPr>
            </w:pPr>
          </w:p>
        </w:tc>
        <w:tc>
          <w:tcPr>
            <w:tcW w:w="7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20" w:type="dxa"/>
            <w:vAlign w:val="bottom"/>
            <w:gridSpan w:val="2"/>
            <w:vMerge w:val="restart"/>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Grant</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Granted</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Price</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Volatility</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Life</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Interest</w:t>
            </w:r>
          </w:p>
        </w:tc>
        <w:tc>
          <w:tcPr>
            <w:tcW w:w="5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Yield</w:t>
            </w:r>
          </w:p>
        </w:tc>
        <w:tc>
          <w:tcPr>
            <w:tcW w:w="2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48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4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6"/>
              </w:rPr>
              <w:t>(Years)</w:t>
            </w:r>
          </w:p>
        </w:tc>
        <w:tc>
          <w:tcPr>
            <w:tcW w:w="8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Rate (%)</w:t>
            </w:r>
          </w:p>
        </w:tc>
        <w:tc>
          <w:tcPr>
            <w:tcW w:w="52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219"/>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Peter G. Traber, M.D.</w:t>
            </w: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05/23/2012</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420,000</w:t>
            </w: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0.78</w:t>
            </w: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Harold H. Shlevin, Ph.D.</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08/27/2012</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250,000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0.70</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07/01/2013</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200,000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Bonuses for 2013 were paid in January 2014, with the exception of $20,000 for Dr. Shlevin and $10,000 for Mr. Callicutt which were paid in 2013.</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Chief Operating Officer from October 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Chief Financial Officer from July 1,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$32,802 for health and other insurance and $10,200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$28,406 for health and other insurance and $7,615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$19,550 for health and other insurance, $9,639 for retirement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$26,139 for health and other insurance, $5,550 for retirement plan contributions and $48,000 for office and assistant services.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$24,403 for health and other insurance and $8,049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$7,059 for health and other insurance and $1,849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$14,744 for health and other insurance expenses and $2,920 for retirement plan contributions.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 Chief Executive Officer and President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May 26, 2011, we entered into an Employment Agreement with Dr. Traber for a three year term beginning March 17, 2011, which shall continue for up to two one-year additional terms unless either party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provides at least 6 months’ prior notice that the employment shall not continue. The Agreement provides for an annual salary during the initial year in the amount of $195,000, which may be adjusted beginning the second year based on industry surveys of executive compensation in comparable companies, but shall not be less than $300,000. Dr. Traber is entitled to (i) participate in incentive, retirement, profit-sharing, life, medical, disability and other plans generally available to our senior executives at our expense, (iv) an apartment and use of an automobile while he was in residence near our former Newton, Massachusetts offices, and (v) weekly air-fare from his family’s residence anywhere in the 48 contiguous states.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Agreement provides that Dr. Traber shall receive severance equal to one year of his then salary, two years’ medical coverage, and immediate vesting of all unvested warrants and options if his employment is terminated (i) by the Company “without cause,” (ii) by Dr. Traber for “good reason,” or (iii) following a “change of control” (as each term is defined in the Agreement). If Dr. Traber’s employment is terminated “for cause,” as defined in the Agreement, subject to “cure rights” in certain instances, he is not entitled to severance other than medical insurance coverage pursuant to COBRA.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provides that during its term Dr. Traber shall not engage in any business competitive with the Company, and thereafter he shall not</w:t>
      </w:r>
    </w:p>
    <w:p>
      <w:pPr>
        <w:spacing w:after="0" w:line="38" w:lineRule="exact"/>
        <w:rPr>
          <w:sz w:val="20"/>
          <w:szCs w:val="20"/>
          <w:color w:val="auto"/>
        </w:rPr>
      </w:pPr>
    </w:p>
    <w:p>
      <w:pPr>
        <w:ind w:right="340" w:firstLine="8"/>
        <w:spacing w:after="0" w:line="281" w:lineRule="auto"/>
        <w:tabs>
          <w:tab w:leader="none" w:pos="2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accept for 12 months business from of our customers or accounts relating to “competing products” or services of the Company, or (ii) render services for 6 months to any “competing organization” (as such terms are defined in the Agreement). The Agreement also contains provisions binding on Dr. Traber with respect to (i) protection of our confidential information; (ii) requirements to disclose and assign inventions or other intellectual property to the Company;</w:t>
      </w:r>
    </w:p>
    <w:p>
      <w:pPr>
        <w:spacing w:after="0" w:line="2" w:lineRule="exact"/>
        <w:rPr>
          <w:rFonts w:ascii="Arial" w:cs="Arial" w:eastAsia="Arial" w:hAnsi="Arial"/>
          <w:sz w:val="16"/>
          <w:szCs w:val="16"/>
          <w:color w:val="auto"/>
        </w:rPr>
      </w:pPr>
    </w:p>
    <w:p>
      <w:pPr>
        <w:ind w:right="40" w:firstLine="8"/>
        <w:spacing w:after="0" w:line="261" w:lineRule="auto"/>
        <w:tabs>
          <w:tab w:leader="none" w:pos="3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non-solicitation of our executives, or persons with whom we have a business relationship such as investors, suppliers and customers; and (iv) advance review and approval of all writings he proposes to publish.</w:t>
      </w:r>
    </w:p>
    <w:p>
      <w:pPr>
        <w:spacing w:after="0" w:line="1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contemplated by the Agreement, on May 26, 2011, our Board of Directors granted Dr. Traber 125,000 fully-vested stock options exercisable for 10 years at $7.50 per share. In addition, the Agreement (i) accelerates the vesting 100,000 warrants that we granted to Dr. Traber in consideration of his service to the Company as Chief Medical Officer on a consultant basis prior his becoming an executive officer, (ii) amends our prior grant of 833,334 stock options to include a cashless exercise provision, and (iii) limits the number of vested options under Dr. Traber’s prior grants to a maximum of 833,334 at any one time. The Agreement requires us to register the offer and sale of the shares underlying such options and warrants. Dr. Traber also agreed not to sell any securities of the Company until after his obligation to report transactions in our securities has expired.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C. Czirr, Executive Chairman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28, 2011, we entered into an employment agreement with James C. Czirr, Executive Chairman of the Company for a three year term beginning June 28, 2011, which may continue for up to two one-year additional terms. The agreement provides for an annual salary of $185,000 for the first year of the initial term and $240,000 for the second and third years. We will negotiate salary if Mr. Czirr’s employment continues during the one-year terms subsequent to the initial term. Mr. Czirr is entitled to (i) participate in incentive, retirement, profit-sharing, life, medical, disability and other plans generally available to senior executives of the Company, (ii) $2,000,000 life insurance coverage and long-term disability insurance at Company expense, and (iii) expense reimbursement including up to $4,000 per month, unless otherwise approved, for office expenses.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agreement provides that Mr. Czirr shall receive severance equal to one year of his then salary, two years’ medical coverage, and immediate vesting of all unvested options if his employment is terminated (i) by the Company “without cause,” (ii) by Mr. Czirr for “good reason,” or (iii) following a “change of control” (as defined in the Agreement). If his employment is terminated “for cause”, subject to “cure rights” in certain instances, he is not entitled to severance.</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agreement provides that during its term Mr. Czirr shall not engage in any business competitive with the Company. Following employment, Mr. Czirr shall not (i) accept for 12 months business from our customers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5" w:name="page36"/>
    <w:bookmarkEnd w:id="3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relating to “competing products” or services, or (ii) render services for 6 months to any “competing organization” (as such are defined in the agreement). The agreement also contains provisions binding on Mr. Czirr with respect to (i) protection of our confidential information; (ii) requirements to disclose and assign inventions or other intellectual property to us; (iii) non-solicitation of our executives, or persons with whom we have a business relationship; and (iv) advance review and approval of all writings he proposes to publish.</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contemplated by the agreement, our Board of Directors on June 28, 2011, granted Mr. Czirr 500,000 stock options exercisable at $7.02 per share of our common stock, which vest in twenty equal installments of 25,000 shares beginning 90 days after the grant date, provided Mr. Czirr is employed on the applicable vesting date. We also agreed to register the offer and sale of the shares underlying such options. Mr. Czirr agreed not to loan or pledge securities of the Company until after his obligation to report transactions in our securities has expired, and not to effect short sales of our securities for 5 years after termination of the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entered into an employment agreement with Dr. Shlevin on August 27, 2012 in conjunction with Dr. Shlevin’s appointment as our Chief Operating Officer. The Agreement provides for an initial term from October 1, 2012 through December 31, 2014, and automatically renews for additional one-year periods unless otherwise terminated pursuant to the terms of the Agreement by either party. In accordance with the terms of the Agreement, Dr. Shlevin will receive an initial base salary of $200,000 per year and will receive an annual performance bonus for calendar year 2013 between $20,000 and $40,000, based on the achievement of individual performance goals. He will be eligible for a performance bonus for calendar year 2014 of up to $50,000, based on individual and Company performance. The Agreement also provides for a one-time signing bonus of $25,000 and a grant of options to purchase 250,000 shares of the Company’s common stock. The exercise price of the options is equal to the closing price of the Company’s stock price on August 27, 2012, and 50,000 shares vested upon execution of the Agreement, 50,000 shares will vest on December 31, 2012, 75,000 shares will vest on December 31, 2013, and 75,000 shares will vest on December 31, 2014. The options were granted pursuant to the Company’s Amended and Restated 2009 Incentive Compensation Plan and expire ten years after the date of grant. Dr. Shlevin’s agreement also contains various provisions related to Termination for “Cause” and/or “Without Cause” and/or for “Good Reason” as well as various Change of Control provisions.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entered into an employment agreement with Mr. Callicutt dated July 1, 2013, in conjunction with Mr. Callicutt’s appointment as our Chief Financial Officer. Pursuant to the terms of the Agreement, Mr. Callicutt will receive an annual salary of $175,000 and will be eligible to receive a performance bonus equal to twenty percent of his salary. He also received a signing bonus of $10,000. In addition to his cash compensation, the Company awarded Mr. Callicutt a grant of options to purchase 200,000 shares of the Company’s common stock, with 25,000 shares vesting on December 31, 2013, 50,000 shares vesting on December 31, 2014, 50,000 shares vesting on December 31, 2015 and 75,000 shares vesting on December 31, 2016, at an exercise price equal to the closing price of the Company’s common stock on July 1, 2013. The options were granted pursuant to the Company’s Amended and Restated 2009 Incentive Compensation Plan and expire ten years after the date of grant. Mr. Callicutt’s agreement also contains various provisions related to Termination for “Cause” and/or “Without Cause” and/or for “Good Reason” as well as various Change of Control provisions.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Short-Term and Long-Term Incentive Program</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2013, upon recommendation by the Compensation Committee and approval by the Board of Directors, the Employee Short-Term and Long-Term Incentive Program (the “Program”) was adopted for officers and employees of the Company. The Program is a performance based program and was adopted in recognition of the importance of aligning officer and employee interests and that of our stockholders. Our Program is designed to reward the efforts of our officers and employees and to be competitive in attracting and retaining them. There 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6" w:name="page37"/>
    <w:bookmarkEnd w:id="36"/>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two elements of the Program: (1) a short-term incentive in the form of cash bonuses and (2) long-term incentive in the form of stock option grants. The cash bonus incentive is targeted to be up to 20% to 40% of base salary for officers and 5% to 15% of base salary for other employees. Half of the applicable cash bonus target is based upon achievement of individual documented objectives set for the year and the other half is based upon achievement of the Company’s documented objectives for the year. The Compensation Committee also has the discretion to adjust individual cash bonuses by up to 25%. The stock option grant incentive, also based upon the documented individual and the Company objectives, is targeted at 26,000 to 134,000 options for officers and non-specified but smaller amounts for other employees. Generally, stock option grants under the program vest 25% at the time of the award and the remainder monthly over 3 years and expire 10 years after grant. All stock option grants under this program are made under the 2009 Incentive Compensation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2013</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 provides information with respect to outstanding stock options held by the named executive officers in the Summary Compensation Table as of December 31, 2013. On March 23, 2012, we effected a one-for-six reverse split of our common stock. All common share and per share amounts shown in the table have been adjusted to reflect the reverse split.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60" w:type="dxa"/>
            <w:vAlign w:val="bottom"/>
            <w:gridSpan w:val="4"/>
          </w:tcPr>
          <w:p>
            <w:pPr>
              <w:jc w:val="right"/>
              <w:ind w:right="1800"/>
              <w:spacing w:after="0"/>
              <w:rPr>
                <w:sz w:val="20"/>
                <w:szCs w:val="20"/>
                <w:color w:val="auto"/>
              </w:rPr>
            </w:pPr>
            <w:r>
              <w:rPr>
                <w:rFonts w:ascii="Arial" w:cs="Arial" w:eastAsia="Arial" w:hAnsi="Arial"/>
                <w:sz w:val="14"/>
                <w:szCs w:val="14"/>
                <w:b w:val="1"/>
                <w:bCs w:val="1"/>
                <w:color w:val="auto"/>
              </w:rPr>
              <w:t>Stock Option Awards</w:t>
            </w:r>
          </w:p>
        </w:tc>
        <w:tc>
          <w:tcPr>
            <w:tcW w:w="11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20" w:type="dxa"/>
            <w:vAlign w:val="bottom"/>
            <w:tcBorders>
              <w:top w:val="single" w:sz="8" w:color="auto"/>
            </w:tcBorders>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20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Exercise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20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Unexercised Options;</w:t>
            </w:r>
          </w:p>
        </w:tc>
        <w:tc>
          <w:tcPr>
            <w:tcW w:w="20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5"/>
              </w:rPr>
              <w:t>Price Per</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48"/>
        </w:trPr>
        <w:tc>
          <w:tcPr>
            <w:tcW w:w="32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9"/>
              </w:rPr>
              <w:t>Grant Date</w:t>
            </w:r>
          </w:p>
        </w:tc>
        <w:tc>
          <w:tcPr>
            <w:tcW w:w="202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 Exercisable</w:t>
            </w:r>
          </w:p>
        </w:tc>
        <w:tc>
          <w:tcPr>
            <w:tcW w:w="204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6"/>
              </w:rPr>
              <w:t># Un-Exercisable</w:t>
            </w:r>
          </w:p>
        </w:tc>
        <w:tc>
          <w:tcPr>
            <w:tcW w:w="11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u w:val="single" w:color="auto"/>
                <w:color w:val="auto"/>
                <w:w w:val="85"/>
              </w:rPr>
              <w:t>Share($</w:t>
            </w:r>
            <w:r>
              <w:rPr>
                <w:rFonts w:ascii="Arial" w:cs="Arial" w:eastAsia="Arial" w:hAnsi="Arial"/>
                <w:sz w:val="14"/>
                <w:szCs w:val="14"/>
                <w:b w:val="1"/>
                <w:bCs w:val="1"/>
                <w:color w:val="auto"/>
                <w:w w:val="85"/>
              </w:rPr>
              <w:t>)</w:t>
            </w: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G. Traber, M.D. (2)</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03/07/2011</w:t>
            </w:r>
          </w:p>
        </w:tc>
        <w:tc>
          <w:tcPr>
            <w:tcW w:w="60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416,667(1)</w:t>
            </w:r>
          </w:p>
        </w:tc>
        <w:tc>
          <w:tcPr>
            <w:tcW w:w="204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416,668(1)</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6.96</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03/07/2021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05/26/2011</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83,334</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05/26/2021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05/23/2012</w:t>
            </w: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220,000(3)</w:t>
            </w: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200,000(3)</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05/23/2022</w:t>
            </w:r>
          </w:p>
        </w:tc>
        <w:tc>
          <w:tcPr>
            <w:tcW w:w="0" w:type="dxa"/>
            <w:vAlign w:val="bottom"/>
          </w:tcPr>
          <w:p>
            <w:pPr>
              <w:spacing w:after="0"/>
              <w:rPr>
                <w:sz w:val="1"/>
                <w:szCs w:val="1"/>
                <w:color w:val="auto"/>
              </w:rPr>
            </w:pPr>
          </w:p>
        </w:tc>
      </w:tr>
      <w:tr>
        <w:trPr>
          <w:trHeight w:val="316"/>
        </w:trPr>
        <w:tc>
          <w:tcPr>
            <w:tcW w:w="328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02/01/2010</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166,667</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1.80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02/01/2015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06/28/2011</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250,000(4)</w:t>
            </w: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250,000(4)</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7.02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06/28/2021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08/27/2012</w:t>
            </w: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75,000(5)</w:t>
            </w: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75,000(5)</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08/27/2022</w:t>
            </w: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Arial" w:cs="Arial" w:eastAsia="Arial" w:hAnsi="Arial"/>
                <w:sz w:val="18"/>
                <w:szCs w:val="18"/>
                <w:color w:val="auto"/>
              </w:rPr>
              <w:t>Jack W. Callicutt</w:t>
            </w: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07/01/2013</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25,000(6)</w:t>
            </w: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175,000(6)</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4.41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07/01/2023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80" w:hanging="452"/>
        <w:spacing w:after="0" w:line="25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125,000 options vested on the grant date, 104,667 options vest on the first and second anniversaries of the grant date, 83,333 options vest on the third and fourth anniversaries of the grant date and 166,667 options vest on the fifth anniversary of the grant date. The remaining 166,667 options vest upon the achievement of certain milestones. With respect to options that vest on anniversaries, exercise rights are accelerated upon achievement of certain milestones.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Also owns 100,000 fully vested warrants exercisable at $4.26 per share of common stock awarded as compensation for service as interim Chief Medical Officer.</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120,000 vested on May 23, 2012, 100,000 vest on the first, second and third anniversaries of the grant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vest at the rate of 25,000 per quarter for 20 quarters beginning September 28, 2011.</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50,000 options vested on the grant date, 50,000 options vested on December 31, 2012, 75,000 vested on December 31, 2013 and 75,0000 options vest on December 31, 2014. 100,000 options were exercised in 2013.</w:t>
      </w:r>
    </w:p>
    <w:p>
      <w:pPr>
        <w:ind w:left="460" w:right="12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25,000 options vested on December 31, 2013, 50,000 options vest on December 31, 2014, 50,000 vest on December 31, 2015 and 75,0000 options vest on December 31, 2016.</w:t>
      </w:r>
    </w:p>
    <w:p>
      <w:pPr>
        <w:spacing w:after="0" w:line="13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exercise price of the options is set at the closing price of our stock at the date prior to or as of the date of grant. Outstanding options have been recommended by the Compensation Committee and adopted by the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appointed McGladrey LLP as our independent auditors for the fiscal year ending December 31, 2014.</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that a representative from McGladrey will be present at the annual meeting, and accordingly, McGladrey will be given the opportunity to make a statement and respond to any questions.</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RATIFICATION OF THE APPOINTMENT OF MCGLADREY LLP, AS GALECTIN THERAPEUTICS’ INDEPENDENT PUBLIC ACCOUNTANTS FOR THE FISCAL YEAR ENDING DECEMBER 31, 2014.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80" w:type="dxa"/>
            <w:vAlign w:val="bottom"/>
            <w:gridSpan w:val="5"/>
          </w:tcPr>
          <w:p>
            <w:pPr>
              <w:ind w:left="1380"/>
              <w:spacing w:after="0"/>
              <w:rPr>
                <w:sz w:val="20"/>
                <w:szCs w:val="20"/>
                <w:color w:val="auto"/>
              </w:rPr>
            </w:pPr>
            <w:r>
              <w:rPr>
                <w:rFonts w:ascii="Arial" w:cs="Arial" w:eastAsia="Arial" w:hAnsi="Arial"/>
                <w:sz w:val="18"/>
                <w:szCs w:val="18"/>
                <w:b w:val="1"/>
                <w:bCs w:val="1"/>
                <w:color w:val="auto"/>
              </w:rPr>
              <w:t>FEES PAID TO MCGLADREY LLP</w:t>
            </w:r>
          </w:p>
        </w:tc>
      </w:tr>
      <w:tr>
        <w:trPr>
          <w:trHeight w:val="340"/>
        </w:trPr>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380" w:type="dxa"/>
            <w:vAlign w:val="bottom"/>
            <w:gridSpan w:val="3"/>
          </w:tcPr>
          <w:p>
            <w:pPr>
              <w:jc w:val="center"/>
              <w:ind w:left="7578"/>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7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$ 140,913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8400" w:type="dxa"/>
            <w:vAlign w:val="bottom"/>
            <w:gridSpan w:val="4"/>
          </w:tcPr>
          <w:p>
            <w:pPr>
              <w:jc w:val="right"/>
              <w:ind w:right="20"/>
              <w:spacing w:after="0"/>
              <w:rPr>
                <w:sz w:val="20"/>
                <w:szCs w:val="20"/>
                <w:color w:val="auto"/>
              </w:rPr>
            </w:pPr>
            <w:r>
              <w:rPr>
                <w:rFonts w:ascii="Arial" w:cs="Arial" w:eastAsia="Arial" w:hAnsi="Arial"/>
                <w:sz w:val="18"/>
                <w:szCs w:val="18"/>
                <w:color w:val="auto"/>
              </w:rPr>
              <w:t>42,300</w:t>
            </w:r>
          </w:p>
        </w:tc>
        <w:tc>
          <w:tcPr>
            <w:tcW w:w="8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294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400" w:type="dxa"/>
            <w:vAlign w:val="bottom"/>
            <w:gridSpan w:val="4"/>
          </w:tcPr>
          <w:p>
            <w:pPr>
              <w:jc w:val="right"/>
              <w:ind w:right="20"/>
              <w:spacing w:after="0"/>
              <w:rPr>
                <w:sz w:val="20"/>
                <w:szCs w:val="20"/>
                <w:color w:val="auto"/>
              </w:rPr>
            </w:pPr>
            <w:r>
              <w:rPr>
                <w:rFonts w:ascii="Arial" w:cs="Arial" w:eastAsia="Arial" w:hAnsi="Arial"/>
                <w:sz w:val="18"/>
                <w:szCs w:val="18"/>
                <w:color w:val="auto"/>
              </w:rPr>
              <w:t>$ 183,213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3"/>
        </w:trPr>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380" w:type="dxa"/>
            <w:vAlign w:val="bottom"/>
            <w:gridSpan w:val="3"/>
          </w:tcPr>
          <w:p>
            <w:pPr>
              <w:jc w:val="center"/>
              <w:ind w:left="7578"/>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Fees(2)</w:t>
            </w:r>
          </w:p>
        </w:tc>
        <w:tc>
          <w:tcPr>
            <w:tcW w:w="768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$ 128,750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Audit-Related Fees(3)</w:t>
            </w:r>
          </w:p>
        </w:tc>
        <w:tc>
          <w:tcPr>
            <w:tcW w:w="8400" w:type="dxa"/>
            <w:vAlign w:val="bottom"/>
            <w:gridSpan w:val="4"/>
          </w:tcPr>
          <w:p>
            <w:pPr>
              <w:jc w:val="right"/>
              <w:ind w:right="20"/>
              <w:spacing w:after="0"/>
              <w:rPr>
                <w:sz w:val="20"/>
                <w:szCs w:val="20"/>
                <w:color w:val="auto"/>
              </w:rPr>
            </w:pPr>
            <w:r>
              <w:rPr>
                <w:rFonts w:ascii="Arial" w:cs="Arial" w:eastAsia="Arial" w:hAnsi="Arial"/>
                <w:sz w:val="18"/>
                <w:szCs w:val="18"/>
                <w:color w:val="auto"/>
              </w:rPr>
              <w:t>36,873</w:t>
            </w:r>
          </w:p>
        </w:tc>
        <w:tc>
          <w:tcPr>
            <w:tcW w:w="8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294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400" w:type="dxa"/>
            <w:vAlign w:val="bottom"/>
            <w:gridSpan w:val="4"/>
          </w:tcPr>
          <w:p>
            <w:pPr>
              <w:jc w:val="right"/>
              <w:ind w:right="20"/>
              <w:spacing w:after="0"/>
              <w:rPr>
                <w:sz w:val="20"/>
                <w:szCs w:val="20"/>
                <w:color w:val="auto"/>
              </w:rPr>
            </w:pPr>
            <w:r>
              <w:rPr>
                <w:rFonts w:ascii="Arial" w:cs="Arial" w:eastAsia="Arial" w:hAnsi="Arial"/>
                <w:sz w:val="18"/>
                <w:szCs w:val="18"/>
                <w:color w:val="auto"/>
              </w:rPr>
              <w:t>$ 165,623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8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These are fees for professional services for the audit of our annual financial statements dated December 31, 2013 included 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and review of financial statements included in our Quarterly Reports on Form 10-Q for such year.</w:t>
      </w:r>
    </w:p>
    <w:p>
      <w:pPr>
        <w:ind w:left="460" w:right="38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These are fees for professional services for the audit of our annual financial statements dated December 31, 2012 included 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and review of financial statements included in our Quarterly Reports on Form 10-Q for such year.</w:t>
      </w:r>
    </w:p>
    <w:p>
      <w:pPr>
        <w:spacing w:after="0" w:line="1" w:lineRule="exact"/>
        <w:rPr>
          <w:rFonts w:ascii="Arial" w:cs="Arial" w:eastAsia="Arial" w:hAnsi="Arial"/>
          <w:sz w:val="16"/>
          <w:szCs w:val="16"/>
          <w:color w:val="auto"/>
        </w:rPr>
      </w:pPr>
    </w:p>
    <w:p>
      <w:pPr>
        <w:ind w:left="460" w:right="40" w:hanging="452"/>
        <w:spacing w:after="0" w:line="30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0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McGladrey LLP is compatible with maintaining independence.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Pre-Approval Policy and Procedures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280"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 2009 INCENTIVE COMPENSATION PLAN</w:t>
      </w:r>
    </w:p>
    <w:p>
      <w:pPr>
        <w:sectPr>
          <w:pgSz w:w="11900" w:h="16838" w:orient="portrait"/>
          <w:cols w:equalWidth="0" w:num="1">
            <w:col w:w="10220"/>
          </w:cols>
          <w:pgMar w:left="1440" w:top="274" w:right="2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6900" w:type="dxa"/>
            <w:vAlign w:val="bottom"/>
            <w:gridSpan w:val="10"/>
          </w:tcPr>
          <w:p>
            <w:pPr>
              <w:spacing w:after="0"/>
              <w:rPr>
                <w:rFonts w:ascii="Arial" w:cs="Arial" w:eastAsia="Arial" w:hAnsi="Arial"/>
                <w:sz w:val="18"/>
                <w:szCs w:val="18"/>
                <w:b w:val="1"/>
                <w:bCs w:val="1"/>
                <w:i w:val="1"/>
                <w:iCs w:val="1"/>
                <w:color w:val="0000EE"/>
              </w:rPr>
            </w:pPr>
            <w:hyperlink w:anchor="page42">
              <w:r>
                <w:rPr>
                  <w:rFonts w:ascii="Arial" w:cs="Arial" w:eastAsia="Arial" w:hAnsi="Arial"/>
                  <w:sz w:val="18"/>
                  <w:szCs w:val="18"/>
                  <w:b w:val="1"/>
                  <w:bCs w:val="1"/>
                  <w:i w:val="1"/>
                  <w:iCs w:val="1"/>
                  <w:color w:val="0000EE"/>
                </w:rPr>
                <w:t>Purpose</w:t>
              </w:r>
            </w:hyperlink>
          </w:p>
        </w:tc>
        <w:tc>
          <w:tcPr>
            <w:tcW w:w="40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w:t>
            </w: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2.</w:t>
            </w:r>
          </w:p>
        </w:tc>
        <w:tc>
          <w:tcPr>
            <w:tcW w:w="6900" w:type="dxa"/>
            <w:vAlign w:val="bottom"/>
            <w:gridSpan w:val="10"/>
          </w:tcPr>
          <w:p>
            <w:pPr>
              <w:spacing w:after="0" w:line="196" w:lineRule="exact"/>
              <w:rPr>
                <w:rFonts w:ascii="Arial" w:cs="Arial" w:eastAsia="Arial" w:hAnsi="Arial"/>
                <w:sz w:val="18"/>
                <w:szCs w:val="18"/>
                <w:b w:val="1"/>
                <w:bCs w:val="1"/>
                <w:i w:val="1"/>
                <w:iCs w:val="1"/>
                <w:color w:val="0000EE"/>
              </w:rPr>
            </w:pPr>
            <w:hyperlink w:anchor="page42">
              <w:r>
                <w:rPr>
                  <w:rFonts w:ascii="Arial" w:cs="Arial" w:eastAsia="Arial" w:hAnsi="Arial"/>
                  <w:sz w:val="18"/>
                  <w:szCs w:val="18"/>
                  <w:b w:val="1"/>
                  <w:bCs w:val="1"/>
                  <w:i w:val="1"/>
                  <w:iCs w:val="1"/>
                  <w:color w:val="0000EE"/>
                </w:rPr>
                <w:t>Definitions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w:t>
            </w: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3.</w:t>
            </w:r>
          </w:p>
        </w:tc>
        <w:tc>
          <w:tcPr>
            <w:tcW w:w="6900" w:type="dxa"/>
            <w:vAlign w:val="bottom"/>
            <w:gridSpan w:val="10"/>
          </w:tcPr>
          <w:p>
            <w:pPr>
              <w:spacing w:after="0" w:line="196" w:lineRule="exact"/>
              <w:rPr>
                <w:rFonts w:ascii="Arial" w:cs="Arial" w:eastAsia="Arial" w:hAnsi="Arial"/>
                <w:sz w:val="18"/>
                <w:szCs w:val="18"/>
                <w:b w:val="1"/>
                <w:bCs w:val="1"/>
                <w:i w:val="1"/>
                <w:iCs w:val="1"/>
                <w:color w:val="0000EE"/>
              </w:rPr>
            </w:pPr>
            <w:hyperlink w:anchor="page45">
              <w:r>
                <w:rPr>
                  <w:rFonts w:ascii="Arial" w:cs="Arial" w:eastAsia="Arial" w:hAnsi="Arial"/>
                  <w:sz w:val="18"/>
                  <w:szCs w:val="18"/>
                  <w:b w:val="1"/>
                  <w:bCs w:val="1"/>
                  <w:i w:val="1"/>
                  <w:iCs w:val="1"/>
                  <w:color w:val="0000EE"/>
                </w:rPr>
                <w:t>Administration.</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4</w:t>
            </w:r>
          </w:p>
        </w:tc>
      </w:tr>
      <w:tr>
        <w:trPr>
          <w:trHeight w:val="20"/>
        </w:trPr>
        <w:tc>
          <w:tcPr>
            <w:tcW w:w="34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4.</w:t>
            </w:r>
          </w:p>
        </w:tc>
        <w:tc>
          <w:tcPr>
            <w:tcW w:w="1680" w:type="dxa"/>
            <w:vAlign w:val="bottom"/>
            <w:tcBorders>
              <w:bottom w:val="single" w:sz="8" w:color="0000EE"/>
            </w:tcBorders>
            <w:gridSpan w:val="5"/>
          </w:tcPr>
          <w:p>
            <w:pPr>
              <w:spacing w:after="0" w:line="196" w:lineRule="exact"/>
              <w:rPr>
                <w:rFonts w:ascii="Arial" w:cs="Arial" w:eastAsia="Arial" w:hAnsi="Arial"/>
                <w:sz w:val="18"/>
                <w:szCs w:val="18"/>
                <w:b w:val="1"/>
                <w:bCs w:val="1"/>
                <w:i w:val="1"/>
                <w:iCs w:val="1"/>
                <w:color w:val="0000EE"/>
                <w:w w:val="82"/>
              </w:rPr>
            </w:pPr>
            <w:hyperlink w:anchor="page46">
              <w:r>
                <w:rPr>
                  <w:rFonts w:ascii="Arial" w:cs="Arial" w:eastAsia="Arial" w:hAnsi="Arial"/>
                  <w:sz w:val="18"/>
                  <w:szCs w:val="18"/>
                  <w:b w:val="1"/>
                  <w:bCs w:val="1"/>
                  <w:i w:val="1"/>
                  <w:iCs w:val="1"/>
                  <w:color w:val="0000EE"/>
                  <w:w w:val="82"/>
                </w:rPr>
                <w:t>Shares Subject to Plan.</w:t>
              </w:r>
            </w:hyperlink>
          </w:p>
        </w:tc>
        <w:tc>
          <w:tcPr>
            <w:tcW w:w="5220" w:type="dxa"/>
            <w:vAlign w:val="bottom"/>
            <w:gridSpan w:val="5"/>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5</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5.</w:t>
            </w:r>
          </w:p>
        </w:tc>
        <w:tc>
          <w:tcPr>
            <w:tcW w:w="6900" w:type="dxa"/>
            <w:vAlign w:val="bottom"/>
            <w:gridSpan w:val="10"/>
          </w:tcPr>
          <w:p>
            <w:pPr>
              <w:spacing w:after="0" w:line="196" w:lineRule="exact"/>
              <w:rPr>
                <w:rFonts w:ascii="Arial" w:cs="Arial" w:eastAsia="Arial" w:hAnsi="Arial"/>
                <w:sz w:val="18"/>
                <w:szCs w:val="18"/>
                <w:b w:val="1"/>
                <w:bCs w:val="1"/>
                <w:i w:val="1"/>
                <w:iCs w:val="1"/>
                <w:color w:val="0000EE"/>
              </w:rPr>
            </w:pPr>
            <w:hyperlink w:anchor="page47">
              <w:r>
                <w:rPr>
                  <w:rFonts w:ascii="Arial" w:cs="Arial" w:eastAsia="Arial" w:hAnsi="Arial"/>
                  <w:sz w:val="18"/>
                  <w:szCs w:val="18"/>
                  <w:b w:val="1"/>
                  <w:bCs w:val="1"/>
                  <w:i w:val="1"/>
                  <w:iCs w:val="1"/>
                  <w:color w:val="0000EE"/>
                </w:rPr>
                <w:t>Eligibility; Per-Person Award Limitations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6</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6.</w:t>
            </w:r>
          </w:p>
        </w:tc>
        <w:tc>
          <w:tcPr>
            <w:tcW w:w="3000" w:type="dxa"/>
            <w:vAlign w:val="bottom"/>
            <w:tcBorders>
              <w:top w:val="single" w:sz="8" w:color="0000EE"/>
            </w:tcBorders>
            <w:gridSpan w:val="9"/>
          </w:tcPr>
          <w:p>
            <w:pPr>
              <w:spacing w:after="0" w:line="196" w:lineRule="exact"/>
              <w:rPr>
                <w:rFonts w:ascii="Arial" w:cs="Arial" w:eastAsia="Arial" w:hAnsi="Arial"/>
                <w:sz w:val="18"/>
                <w:szCs w:val="18"/>
                <w:b w:val="1"/>
                <w:bCs w:val="1"/>
                <w:i w:val="1"/>
                <w:iCs w:val="1"/>
                <w:color w:val="0000EE"/>
              </w:rPr>
            </w:pPr>
            <w:hyperlink w:anchor="page47">
              <w:r>
                <w:rPr>
                  <w:rFonts w:ascii="Arial" w:cs="Arial" w:eastAsia="Arial" w:hAnsi="Arial"/>
                  <w:sz w:val="18"/>
                  <w:szCs w:val="18"/>
                  <w:b w:val="1"/>
                  <w:bCs w:val="1"/>
                  <w:i w:val="1"/>
                  <w:iCs w:val="1"/>
                  <w:color w:val="0000EE"/>
                </w:rPr>
                <w:t>Specific Terms of Awards.</w:t>
              </w:r>
            </w:hyperlink>
          </w:p>
        </w:tc>
        <w:tc>
          <w:tcPr>
            <w:tcW w:w="3900" w:type="dxa"/>
            <w:vAlign w:val="bottom"/>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6</w:t>
            </w:r>
          </w:p>
        </w:tc>
      </w:tr>
      <w:tr>
        <w:trPr>
          <w:trHeight w:val="20"/>
        </w:trPr>
        <w:tc>
          <w:tcPr>
            <w:tcW w:w="340" w:type="dxa"/>
            <w:vAlign w:val="bottom"/>
          </w:tcPr>
          <w:p>
            <w:pPr>
              <w:spacing w:after="0" w:line="20" w:lineRule="exact"/>
              <w:rPr>
                <w:sz w:val="1"/>
                <w:szCs w:val="1"/>
                <w:color w:val="auto"/>
              </w:rPr>
            </w:pPr>
          </w:p>
        </w:tc>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7.</w:t>
            </w:r>
          </w:p>
        </w:tc>
        <w:tc>
          <w:tcPr>
            <w:tcW w:w="2960" w:type="dxa"/>
            <w:vAlign w:val="bottom"/>
            <w:tcBorders>
              <w:bottom w:val="single" w:sz="8" w:color="0000EE"/>
            </w:tcBorders>
            <w:gridSpan w:val="8"/>
          </w:tcPr>
          <w:p>
            <w:pPr>
              <w:spacing w:after="0" w:line="196" w:lineRule="exact"/>
              <w:rPr>
                <w:rFonts w:ascii="Arial" w:cs="Arial" w:eastAsia="Arial" w:hAnsi="Arial"/>
                <w:sz w:val="18"/>
                <w:szCs w:val="18"/>
                <w:b w:val="1"/>
                <w:bCs w:val="1"/>
                <w:i w:val="1"/>
                <w:iCs w:val="1"/>
                <w:color w:val="0000EE"/>
                <w:w w:val="83"/>
              </w:rPr>
            </w:pPr>
            <w:hyperlink w:anchor="page51">
              <w:r>
                <w:rPr>
                  <w:rFonts w:ascii="Arial" w:cs="Arial" w:eastAsia="Arial" w:hAnsi="Arial"/>
                  <w:sz w:val="18"/>
                  <w:szCs w:val="18"/>
                  <w:b w:val="1"/>
                  <w:bCs w:val="1"/>
                  <w:i w:val="1"/>
                  <w:iCs w:val="1"/>
                  <w:color w:val="0000EE"/>
                  <w:w w:val="83"/>
                </w:rPr>
                <w:t>Certain Provisions Applicable to Awards.</w:t>
              </w:r>
            </w:hyperlink>
          </w:p>
        </w:tc>
        <w:tc>
          <w:tcPr>
            <w:tcW w:w="3940" w:type="dxa"/>
            <w:vAlign w:val="bottom"/>
            <w:gridSpan w:val="2"/>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10</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8.</w:t>
            </w:r>
          </w:p>
        </w:tc>
        <w:tc>
          <w:tcPr>
            <w:tcW w:w="2360" w:type="dxa"/>
            <w:vAlign w:val="bottom"/>
            <w:tcBorders>
              <w:bottom w:val="single" w:sz="8" w:color="0000EE"/>
            </w:tcBorders>
            <w:gridSpan w:val="7"/>
          </w:tcPr>
          <w:p>
            <w:pPr>
              <w:spacing w:after="0" w:line="196" w:lineRule="exact"/>
              <w:rPr>
                <w:rFonts w:ascii="Arial" w:cs="Arial" w:eastAsia="Arial" w:hAnsi="Arial"/>
                <w:sz w:val="18"/>
                <w:szCs w:val="18"/>
                <w:b w:val="1"/>
                <w:bCs w:val="1"/>
                <w:i w:val="1"/>
                <w:iCs w:val="1"/>
                <w:color w:val="0000EE"/>
                <w:w w:val="83"/>
              </w:rPr>
            </w:pPr>
            <w:hyperlink w:anchor="page53">
              <w:r>
                <w:rPr>
                  <w:rFonts w:ascii="Arial" w:cs="Arial" w:eastAsia="Arial" w:hAnsi="Arial"/>
                  <w:sz w:val="18"/>
                  <w:szCs w:val="18"/>
                  <w:b w:val="1"/>
                  <w:bCs w:val="1"/>
                  <w:i w:val="1"/>
                  <w:iCs w:val="1"/>
                  <w:color w:val="0000EE"/>
                  <w:w w:val="83"/>
                </w:rPr>
                <w:t>Code Section 162(m) Provisions.</w:t>
              </w:r>
            </w:hyperlink>
          </w:p>
        </w:tc>
        <w:tc>
          <w:tcPr>
            <w:tcW w:w="4540" w:type="dxa"/>
            <w:vAlign w:val="bottom"/>
            <w:gridSpan w:val="3"/>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12</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9.</w:t>
            </w:r>
          </w:p>
        </w:tc>
        <w:tc>
          <w:tcPr>
            <w:tcW w:w="1420" w:type="dxa"/>
            <w:vAlign w:val="bottom"/>
            <w:tcBorders>
              <w:bottom w:val="single" w:sz="8" w:color="0000EE"/>
            </w:tcBorders>
            <w:gridSpan w:val="4"/>
          </w:tcPr>
          <w:p>
            <w:pPr>
              <w:spacing w:after="0" w:line="196" w:lineRule="exact"/>
              <w:rPr>
                <w:rFonts w:ascii="Arial" w:cs="Arial" w:eastAsia="Arial" w:hAnsi="Arial"/>
                <w:sz w:val="18"/>
                <w:szCs w:val="18"/>
                <w:b w:val="1"/>
                <w:bCs w:val="1"/>
                <w:i w:val="1"/>
                <w:iCs w:val="1"/>
                <w:color w:val="0000EE"/>
                <w:w w:val="85"/>
              </w:rPr>
            </w:pPr>
            <w:hyperlink w:anchor="page54">
              <w:r>
                <w:rPr>
                  <w:rFonts w:ascii="Arial" w:cs="Arial" w:eastAsia="Arial" w:hAnsi="Arial"/>
                  <w:sz w:val="18"/>
                  <w:szCs w:val="18"/>
                  <w:b w:val="1"/>
                  <w:bCs w:val="1"/>
                  <w:i w:val="1"/>
                  <w:iCs w:val="1"/>
                  <w:color w:val="0000EE"/>
                  <w:w w:val="85"/>
                </w:rPr>
                <w:t>Change in Control.</w:t>
              </w:r>
            </w:hyperlink>
          </w:p>
        </w:tc>
        <w:tc>
          <w:tcPr>
            <w:tcW w:w="5480" w:type="dxa"/>
            <w:vAlign w:val="bottom"/>
            <w:gridSpan w:val="6"/>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13</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10.</w:t>
            </w:r>
          </w:p>
        </w:tc>
        <w:tc>
          <w:tcPr>
            <w:tcW w:w="6900" w:type="dxa"/>
            <w:vAlign w:val="bottom"/>
            <w:gridSpan w:val="10"/>
          </w:tcPr>
          <w:p>
            <w:pPr>
              <w:spacing w:after="0" w:line="196" w:lineRule="exact"/>
              <w:rPr>
                <w:rFonts w:ascii="Arial" w:cs="Arial" w:eastAsia="Arial" w:hAnsi="Arial"/>
                <w:sz w:val="18"/>
                <w:szCs w:val="18"/>
                <w:b w:val="1"/>
                <w:bCs w:val="1"/>
                <w:i w:val="1"/>
                <w:iCs w:val="1"/>
                <w:color w:val="0000EE"/>
              </w:rPr>
            </w:pPr>
            <w:hyperlink w:anchor="page55">
              <w:r>
                <w:rPr>
                  <w:rFonts w:ascii="Arial" w:cs="Arial" w:eastAsia="Arial" w:hAnsi="Arial"/>
                  <w:sz w:val="18"/>
                  <w:szCs w:val="18"/>
                  <w:b w:val="1"/>
                  <w:bCs w:val="1"/>
                  <w:i w:val="1"/>
                  <w:iCs w:val="1"/>
                  <w:color w:val="0000EE"/>
                </w:rPr>
                <w:t>General Provisions.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b w:val="1"/>
                <w:bCs w:val="1"/>
                <w:i w:val="1"/>
                <w:iCs w:val="1"/>
                <w:color w:val="auto"/>
              </w:rPr>
              <w:t>14</w:t>
            </w: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ectPr>
          <w:pgSz w:w="11900" w:h="16838" w:orient="portrait"/>
          <w:cols w:equalWidth="0" w:num="1">
            <w:col w:w="11320"/>
          </w:cols>
          <w:pgMar w:left="240" w:top="274"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177" w:lineRule="exact"/>
        <w:rPr>
          <w:sz w:val="20"/>
          <w:szCs w:val="20"/>
          <w:color w:val="auto"/>
        </w:rPr>
      </w:pPr>
    </w:p>
    <w:p>
      <w:pPr>
        <w:ind w:right="60" w:firstLine="464"/>
        <w:spacing w:after="0" w:line="291"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GALECTIN THERAPEUTICS, INC. AMENDED AND RESTATED 2009 INCENTIVE COMPENSATION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is to assist Galectin Therapeutics,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20" w:lineRule="exact"/>
        <w:rPr>
          <w:rFonts w:ascii="Arial" w:cs="Arial" w:eastAsia="Arial" w:hAnsi="Arial"/>
          <w:sz w:val="16"/>
          <w:szCs w:val="16"/>
          <w:color w:val="auto"/>
        </w:rPr>
      </w:pPr>
    </w:p>
    <w:p>
      <w:pPr>
        <w:ind w:right="200" w:firstLine="464"/>
        <w:spacing w:after="0" w:line="268"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 Section 1 hereof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elsewhere herein.</w:t>
      </w:r>
    </w:p>
    <w:p>
      <w:pPr>
        <w:spacing w:after="0" w:line="50" w:lineRule="exact"/>
        <w:rPr>
          <w:rFonts w:ascii="Arial" w:cs="Arial" w:eastAsia="Arial" w:hAnsi="Arial"/>
          <w:sz w:val="18"/>
          <w:szCs w:val="18"/>
          <w:color w:val="auto"/>
        </w:rPr>
      </w:pPr>
    </w:p>
    <w:p>
      <w:pPr>
        <w:ind w:firstLine="921"/>
        <w:spacing w:after="0" w:line="259" w:lineRule="auto"/>
        <w:tabs>
          <w:tab w:leader="none" w:pos="11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 by the Committee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83" w:lineRule="exact"/>
        <w:rPr>
          <w:rFonts w:ascii="Arial" w:cs="Arial" w:eastAsia="Arial" w:hAnsi="Arial"/>
          <w:sz w:val="16"/>
          <w:szCs w:val="16"/>
          <w:color w:val="auto"/>
        </w:rPr>
      </w:pPr>
    </w:p>
    <w:p>
      <w:pPr>
        <w:ind w:right="240" w:firstLine="921"/>
        <w:spacing w:after="0" w:line="323" w:lineRule="auto"/>
        <w:tabs>
          <w:tab w:leader="none" w:pos="1152" w:val="left"/>
        </w:tabs>
        <w:numPr>
          <w:ilvl w:val="1"/>
          <w:numId w:val="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Beneficiary</w:t>
      </w:r>
      <w:r>
        <w:rPr>
          <w:rFonts w:ascii="Arial" w:cs="Arial" w:eastAsia="Arial" w:hAnsi="Arial"/>
          <w:sz w:val="15"/>
          <w:szCs w:val="15"/>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6" w:lineRule="exact"/>
        <w:rPr>
          <w:rFonts w:ascii="Arial" w:cs="Arial" w:eastAsia="Arial" w:hAnsi="Arial"/>
          <w:sz w:val="15"/>
          <w:szCs w:val="15"/>
          <w:color w:val="auto"/>
        </w:rPr>
      </w:pPr>
    </w:p>
    <w:p>
      <w:pPr>
        <w:ind w:right="180" w:firstLine="921"/>
        <w:spacing w:after="0" w:line="268" w:lineRule="auto"/>
        <w:tabs>
          <w:tab w:leader="none" w:pos="1162"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90" w:lineRule="exact"/>
        <w:rPr>
          <w:rFonts w:ascii="Arial" w:cs="Arial" w:eastAsia="Arial" w:hAnsi="Arial"/>
          <w:sz w:val="18"/>
          <w:szCs w:val="18"/>
          <w:color w:val="auto"/>
        </w:rPr>
      </w:pPr>
    </w:p>
    <w:p>
      <w:pPr>
        <w:ind w:right="60" w:firstLine="921"/>
        <w:spacing w:after="0" w:line="287" w:lineRule="auto"/>
        <w:tabs>
          <w:tab w:leader="none" w:pos="1132" w:val="left"/>
        </w:tabs>
        <w:numPr>
          <w:ilvl w:val="1"/>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41" w:lineRule="exact"/>
        <w:rPr>
          <w:rFonts w:ascii="Arial" w:cs="Arial" w:eastAsia="Arial" w:hAnsi="Arial"/>
          <w:sz w:val="16"/>
          <w:szCs w:val="16"/>
          <w:color w:val="auto"/>
        </w:rPr>
      </w:pPr>
    </w:p>
    <w:p>
      <w:pPr>
        <w:ind w:left="1160" w:hanging="239"/>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90" w:lineRule="exact"/>
        <w:rPr>
          <w:rFonts w:ascii="Arial" w:cs="Arial" w:eastAsia="Arial" w:hAnsi="Arial"/>
          <w:sz w:val="18"/>
          <w:szCs w:val="18"/>
          <w:color w:val="auto"/>
        </w:rPr>
      </w:pPr>
    </w:p>
    <w:p>
      <w:pPr>
        <w:ind w:right="80" w:firstLine="921"/>
        <w:spacing w:after="0" w:line="268" w:lineRule="auto"/>
        <w:tabs>
          <w:tab w:leader="none" w:pos="1162"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50" w:lineRule="exact"/>
        <w:rPr>
          <w:rFonts w:ascii="Arial" w:cs="Arial" w:eastAsia="Arial" w:hAnsi="Arial"/>
          <w:sz w:val="18"/>
          <w:szCs w:val="18"/>
          <w:color w:val="auto"/>
        </w:rPr>
      </w:pPr>
    </w:p>
    <w:p>
      <w:pPr>
        <w:ind w:right="640" w:firstLine="921"/>
        <w:spacing w:after="0" w:line="268" w:lineRule="auto"/>
        <w:tabs>
          <w:tab w:leader="none" w:pos="1123"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designated by the Board to administer the Plan; provided, however, that if the Board fails to designate a committee or if there are no longer any members on the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2" w:name="page43"/>
    <w:bookmarkEnd w:id="4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35" w:lineRule="exact"/>
        <w:rPr>
          <w:sz w:val="20"/>
          <w:szCs w:val="20"/>
          <w:color w:val="auto"/>
        </w:rPr>
      </w:pPr>
    </w:p>
    <w:p>
      <w:pPr>
        <w:ind w:right="220" w:firstLine="921"/>
        <w:spacing w:after="0" w:line="332" w:lineRule="auto"/>
        <w:tabs>
          <w:tab w:leader="none" w:pos="10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j)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4" w:lineRule="exact"/>
        <w:rPr>
          <w:sz w:val="20"/>
          <w:szCs w:val="20"/>
          <w:color w:val="auto"/>
        </w:rPr>
      </w:pPr>
    </w:p>
    <w:p>
      <w:pPr>
        <w:ind w:right="440" w:firstLine="921"/>
        <w:spacing w:after="0" w:line="305" w:lineRule="auto"/>
        <w:tabs>
          <w:tab w:leader="none" w:pos="1162" w:val="left"/>
        </w:tabs>
        <w:numPr>
          <w:ilvl w:val="1"/>
          <w:numId w:val="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transfers among the Company, any Related Entities, or any successor entities, in any capacity of Employee, Director, Consultant or other service provider, or</w:t>
      </w:r>
    </w:p>
    <w:p>
      <w:pPr>
        <w:spacing w:after="0" w:line="32" w:lineRule="exact"/>
        <w:rPr>
          <w:rFonts w:ascii="Arial" w:cs="Arial" w:eastAsia="Arial" w:hAnsi="Arial"/>
          <w:sz w:val="16"/>
          <w:szCs w:val="16"/>
          <w:color w:val="auto"/>
        </w:rPr>
      </w:pPr>
    </w:p>
    <w:p>
      <w:pPr>
        <w:jc w:val="both"/>
        <w:ind w:firstLine="8"/>
        <w:spacing w:after="0" w:line="255" w:lineRule="auto"/>
        <w:tabs>
          <w:tab w:leader="none" w:pos="3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63" w:lineRule="exact"/>
        <w:rPr>
          <w:rFonts w:ascii="Arial" w:cs="Arial" w:eastAsia="Arial" w:hAnsi="Arial"/>
          <w:sz w:val="18"/>
          <w:szCs w:val="18"/>
          <w:color w:val="auto"/>
        </w:rPr>
      </w:pPr>
    </w:p>
    <w:p>
      <w:pPr>
        <w:ind w:right="100" w:firstLine="921"/>
        <w:spacing w:after="0" w:line="298" w:lineRule="auto"/>
        <w:tabs>
          <w:tab w:leader="none" w:pos="1123"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31" w:lineRule="exact"/>
        <w:rPr>
          <w:rFonts w:ascii="Arial" w:cs="Arial" w:eastAsia="Arial" w:hAnsi="Arial"/>
          <w:sz w:val="16"/>
          <w:szCs w:val="16"/>
          <w:color w:val="auto"/>
        </w:rPr>
      </w:pPr>
    </w:p>
    <w:p>
      <w:pPr>
        <w:ind w:right="180" w:firstLine="921"/>
        <w:spacing w:after="0" w:line="268" w:lineRule="auto"/>
        <w:tabs>
          <w:tab w:leader="none" w:pos="12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90" w:lineRule="exact"/>
        <w:rPr>
          <w:rFonts w:ascii="Arial" w:cs="Arial" w:eastAsia="Arial" w:hAnsi="Arial"/>
          <w:sz w:val="18"/>
          <w:szCs w:val="18"/>
          <w:color w:val="auto"/>
        </w:rPr>
      </w:pPr>
    </w:p>
    <w:p>
      <w:pPr>
        <w:ind w:right="580" w:firstLine="921"/>
        <w:spacing w:after="0" w:line="268" w:lineRule="auto"/>
        <w:tabs>
          <w:tab w:leader="none" w:pos="116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50" w:lineRule="exact"/>
        <w:rPr>
          <w:rFonts w:ascii="Arial" w:cs="Arial" w:eastAsia="Arial" w:hAnsi="Arial"/>
          <w:sz w:val="18"/>
          <w:szCs w:val="18"/>
          <w:color w:val="auto"/>
        </w:rPr>
      </w:pPr>
    </w:p>
    <w:p>
      <w:pPr>
        <w:ind w:right="100" w:firstLine="921"/>
        <w:spacing w:after="0" w:line="268" w:lineRule="auto"/>
        <w:tabs>
          <w:tab w:leader="none" w:pos="116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50" w:lineRule="exact"/>
        <w:rPr>
          <w:rFonts w:ascii="Arial" w:cs="Arial" w:eastAsia="Arial" w:hAnsi="Arial"/>
          <w:sz w:val="18"/>
          <w:szCs w:val="18"/>
          <w:color w:val="auto"/>
        </w:rPr>
      </w:pPr>
    </w:p>
    <w:p>
      <w:pPr>
        <w:ind w:left="1140" w:hanging="219"/>
        <w:spacing w:after="0"/>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90" w:lineRule="exact"/>
        <w:rPr>
          <w:rFonts w:ascii="Arial" w:cs="Arial" w:eastAsia="Arial" w:hAnsi="Arial"/>
          <w:sz w:val="18"/>
          <w:szCs w:val="18"/>
          <w:color w:val="auto"/>
        </w:rPr>
      </w:pPr>
    </w:p>
    <w:p>
      <w:pPr>
        <w:ind w:right="120" w:firstLine="921"/>
        <w:spacing w:after="0" w:line="255" w:lineRule="auto"/>
        <w:tabs>
          <w:tab w:leader="none" w:pos="114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61" w:lineRule="exact"/>
        <w:rPr>
          <w:rFonts w:ascii="Arial" w:cs="Arial" w:eastAsia="Arial" w:hAnsi="Arial"/>
          <w:sz w:val="18"/>
          <w:szCs w:val="18"/>
          <w:color w:val="auto"/>
        </w:rPr>
      </w:pPr>
    </w:p>
    <w:p>
      <w:pPr>
        <w:ind w:right="300" w:firstLine="921"/>
        <w:spacing w:after="0" w:line="268" w:lineRule="auto"/>
        <w:tabs>
          <w:tab w:leader="none" w:pos="11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50" w:lineRule="exact"/>
        <w:rPr>
          <w:rFonts w:ascii="Arial" w:cs="Arial" w:eastAsia="Arial" w:hAnsi="Arial"/>
          <w:sz w:val="18"/>
          <w:szCs w:val="18"/>
          <w:color w:val="auto"/>
        </w:rPr>
      </w:pPr>
    </w:p>
    <w:p>
      <w:pPr>
        <w:ind w:right="40" w:firstLine="921"/>
        <w:spacing w:after="0" w:line="268" w:lineRule="auto"/>
        <w:tabs>
          <w:tab w:leader="none" w:pos="116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3" w:name="page44"/>
    <w:bookmarkEnd w:id="43"/>
    <w:p>
      <w:pPr>
        <w:ind w:firstLine="921"/>
        <w:spacing w:after="0" w:line="294"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 (i) 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34" w:lineRule="exact"/>
        <w:rPr>
          <w:rFonts w:ascii="Arial" w:cs="Arial" w:eastAsia="Arial" w:hAnsi="Arial"/>
          <w:sz w:val="16"/>
          <w:szCs w:val="16"/>
          <w:color w:val="auto"/>
        </w:rPr>
      </w:pPr>
    </w:p>
    <w:p>
      <w:pPr>
        <w:ind w:firstLine="921"/>
        <w:spacing w:after="0" w:line="286" w:lineRule="auto"/>
        <w:tabs>
          <w:tab w:leader="none" w:pos="1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46"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w:t>
      </w:r>
      <w:r>
        <w:rPr>
          <w:rFonts w:ascii="Arial" w:cs="Arial" w:eastAsia="Arial" w:hAnsi="Arial"/>
          <w:sz w:val="15"/>
          <w:szCs w:val="15"/>
          <w:color w:val="auto"/>
        </w:rPr>
        <w:t>”, when referring to either the Board or members of the Committee, shall have the same meaning as used in the rules of the Listing</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Market.</w:t>
      </w:r>
    </w:p>
    <w:p>
      <w:pPr>
        <w:spacing w:after="0" w:line="83" w:lineRule="exact"/>
        <w:rPr>
          <w:rFonts w:ascii="Arial" w:cs="Arial" w:eastAsia="Arial" w:hAnsi="Arial"/>
          <w:sz w:val="15"/>
          <w:szCs w:val="15"/>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90" w:lineRule="exact"/>
        <w:rPr>
          <w:sz w:val="20"/>
          <w:szCs w:val="20"/>
          <w:color w:val="auto"/>
        </w:rPr>
      </w:pPr>
    </w:p>
    <w:p>
      <w:pPr>
        <w:ind w:right="200" w:firstLine="921"/>
        <w:spacing w:after="0" w:line="332" w:lineRule="auto"/>
        <w:tabs>
          <w:tab w:leader="none" w:pos="1229"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“Listing Market” </w:t>
      </w:r>
      <w:r>
        <w:rPr>
          <w:rFonts w:ascii="Arial" w:cs="Arial" w:eastAsia="Arial" w:hAnsi="Arial"/>
          <w:sz w:val="16"/>
          <w:szCs w:val="16"/>
          <w:color w:val="auto"/>
        </w:rPr>
        <w:t>means the OTC Bulletin Board or any other national securities exchange on which any securities of the Company are listed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trading, and if not listed for trading, by the rules of the Nasdaq Market.</w:t>
      </w:r>
    </w:p>
    <w:p>
      <w:pPr>
        <w:spacing w:after="0" w:line="4" w:lineRule="exact"/>
        <w:rPr>
          <w:rFonts w:ascii="Arial" w:cs="Arial" w:eastAsia="Arial" w:hAnsi="Arial"/>
          <w:sz w:val="16"/>
          <w:szCs w:val="16"/>
          <w:color w:val="auto"/>
        </w:rPr>
      </w:pPr>
    </w:p>
    <w:p>
      <w:pPr>
        <w:ind w:right="540" w:firstLine="921"/>
        <w:spacing w:after="0" w:line="268" w:lineRule="auto"/>
        <w:tabs>
          <w:tab w:leader="none" w:pos="1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50" w:lineRule="exact"/>
        <w:rPr>
          <w:rFonts w:ascii="Arial" w:cs="Arial" w:eastAsia="Arial" w:hAnsi="Arial"/>
          <w:sz w:val="18"/>
          <w:szCs w:val="18"/>
          <w:color w:val="auto"/>
        </w:rPr>
      </w:pPr>
    </w:p>
    <w:p>
      <w:pPr>
        <w:ind w:left="1240" w:hanging="319"/>
        <w:spacing w:after="0"/>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83" w:lineRule="exact"/>
        <w:rPr>
          <w:rFonts w:ascii="Arial" w:cs="Arial" w:eastAsia="Arial" w:hAnsi="Arial"/>
          <w:sz w:val="16"/>
          <w:szCs w:val="16"/>
          <w:color w:val="auto"/>
        </w:rPr>
      </w:pPr>
    </w:p>
    <w:p>
      <w:pPr>
        <w:ind w:left="1260" w:hanging="339"/>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90" w:lineRule="exact"/>
        <w:rPr>
          <w:rFonts w:ascii="Arial" w:cs="Arial" w:eastAsia="Arial" w:hAnsi="Arial"/>
          <w:sz w:val="18"/>
          <w:szCs w:val="18"/>
          <w:color w:val="auto"/>
        </w:rPr>
      </w:pPr>
    </w:p>
    <w:p>
      <w:pPr>
        <w:ind w:right="180" w:firstLine="921"/>
        <w:spacing w:after="0" w:line="332" w:lineRule="auto"/>
        <w:tabs>
          <w:tab w:leader="none" w:pos="123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has been granted an Award under the Plan which remains outstanding, including a person who is no longer an Eligible Person.</w:t>
      </w:r>
    </w:p>
    <w:p>
      <w:pPr>
        <w:spacing w:after="0" w:line="4" w:lineRule="exact"/>
        <w:rPr>
          <w:rFonts w:ascii="Arial" w:cs="Arial" w:eastAsia="Arial" w:hAnsi="Arial"/>
          <w:sz w:val="16"/>
          <w:szCs w:val="16"/>
          <w:color w:val="auto"/>
        </w:rPr>
      </w:pPr>
    </w:p>
    <w:p>
      <w:pPr>
        <w:ind w:left="1200" w:hanging="279"/>
        <w:spacing w:after="0"/>
        <w:tabs>
          <w:tab w:leader="none" w:pos="1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any Award of Performance Shares or Performance Units granted pursuant to Section 6(h) hereof.</w:t>
      </w:r>
    </w:p>
    <w:p>
      <w:pPr>
        <w:spacing w:after="0" w:line="113" w:lineRule="exact"/>
        <w:rPr>
          <w:rFonts w:ascii="Arial" w:cs="Arial" w:eastAsia="Arial" w:hAnsi="Arial"/>
          <w:sz w:val="16"/>
          <w:szCs w:val="16"/>
          <w:color w:val="auto"/>
        </w:rPr>
      </w:pPr>
    </w:p>
    <w:p>
      <w:pPr>
        <w:ind w:right="120" w:firstLine="921"/>
        <w:spacing w:after="0" w:line="268" w:lineRule="auto"/>
        <w:tabs>
          <w:tab w:leader="none" w:pos="1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50" w:lineRule="exact"/>
        <w:rPr>
          <w:rFonts w:ascii="Arial" w:cs="Arial" w:eastAsia="Arial" w:hAnsi="Arial"/>
          <w:sz w:val="18"/>
          <w:szCs w:val="18"/>
          <w:color w:val="auto"/>
        </w:rPr>
      </w:pPr>
    </w:p>
    <w:p>
      <w:pPr>
        <w:jc w:val="both"/>
        <w:ind w:right="200" w:firstLine="921"/>
        <w:spacing w:after="0" w:line="259" w:lineRule="auto"/>
        <w:tabs>
          <w:tab w:leader="none" w:pos="1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achievement of such performance goals during the Performance Period as the Committee shall establish at the time of such grant or thereafter.</w:t>
      </w:r>
    </w:p>
    <w:p>
      <w:pPr>
        <w:spacing w:after="0" w:line="113" w:lineRule="exact"/>
        <w:rPr>
          <w:sz w:val="20"/>
          <w:szCs w:val="20"/>
          <w:color w:val="auto"/>
        </w:rPr>
      </w:pPr>
    </w:p>
    <w:p>
      <w:pPr>
        <w:ind w:right="40" w:firstLine="921"/>
        <w:spacing w:after="0" w:line="256" w:lineRule="auto"/>
        <w:tabs>
          <w:tab w:leader="none" w:pos="11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62" w:lineRule="exact"/>
        <w:rPr>
          <w:rFonts w:ascii="Arial" w:cs="Arial" w:eastAsia="Arial" w:hAnsi="Arial"/>
          <w:sz w:val="18"/>
          <w:szCs w:val="18"/>
          <w:color w:val="auto"/>
        </w:rPr>
      </w:pPr>
    </w:p>
    <w:p>
      <w:pPr>
        <w:ind w:right="100" w:firstLine="921"/>
        <w:spacing w:after="0" w:line="268" w:lineRule="auto"/>
        <w:tabs>
          <w:tab w:leader="none" w:pos="11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50" w:lineRule="exact"/>
        <w:rPr>
          <w:rFonts w:ascii="Arial" w:cs="Arial" w:eastAsia="Arial" w:hAnsi="Arial"/>
          <w:sz w:val="18"/>
          <w:szCs w:val="18"/>
          <w:color w:val="auto"/>
        </w:rPr>
      </w:pPr>
    </w:p>
    <w:p>
      <w:pPr>
        <w:ind w:right="180" w:firstLine="921"/>
        <w:spacing w:after="0" w:line="268" w:lineRule="auto"/>
        <w:tabs>
          <w:tab w:leader="none" w:pos="1249"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50" w:lineRule="exact"/>
        <w:rPr>
          <w:rFonts w:ascii="Arial" w:cs="Arial" w:eastAsia="Arial" w:hAnsi="Arial"/>
          <w:sz w:val="18"/>
          <w:szCs w:val="18"/>
          <w:color w:val="auto"/>
        </w:rPr>
      </w:pPr>
    </w:p>
    <w:p>
      <w:pPr>
        <w:ind w:right="180" w:firstLine="921"/>
        <w:spacing w:after="0" w:line="268" w:lineRule="auto"/>
        <w:tabs>
          <w:tab w:leader="none" w:pos="1171"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transferability, risk of forfeiture and other restrictions, if any, as the Committee may impose.</w:t>
      </w:r>
    </w:p>
    <w:p>
      <w:pPr>
        <w:spacing w:after="0" w:line="50" w:lineRule="exact"/>
        <w:rPr>
          <w:rFonts w:ascii="Arial" w:cs="Arial" w:eastAsia="Arial" w:hAnsi="Arial"/>
          <w:sz w:val="18"/>
          <w:szCs w:val="18"/>
          <w:color w:val="auto"/>
        </w:rPr>
      </w:pPr>
    </w:p>
    <w:p>
      <w:pPr>
        <w:jc w:val="both"/>
        <w:ind w:firstLine="921"/>
        <w:spacing w:after="0" w:line="256" w:lineRule="auto"/>
        <w:tabs>
          <w:tab w:leader="none" w:pos="13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62" w:lineRule="exact"/>
        <w:rPr>
          <w:rFonts w:ascii="Arial" w:cs="Arial" w:eastAsia="Arial" w:hAnsi="Arial"/>
          <w:sz w:val="18"/>
          <w:szCs w:val="18"/>
          <w:color w:val="auto"/>
        </w:rPr>
      </w:pPr>
    </w:p>
    <w:p>
      <w:pPr>
        <w:ind w:left="1260" w:hanging="339"/>
        <w:spacing w:after="0"/>
        <w:tabs>
          <w:tab w:leader="none" w:pos="1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90" w:lineRule="exact"/>
        <w:rPr>
          <w:rFonts w:ascii="Arial" w:cs="Arial" w:eastAsia="Arial" w:hAnsi="Arial"/>
          <w:sz w:val="18"/>
          <w:szCs w:val="18"/>
          <w:color w:val="auto"/>
        </w:rPr>
      </w:pPr>
    </w:p>
    <w:p>
      <w:pPr>
        <w:ind w:right="240" w:firstLine="921"/>
        <w:spacing w:after="0" w:line="268" w:lineRule="auto"/>
        <w:tabs>
          <w:tab w:leader="none" w:pos="1249"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50" w:lineRule="exact"/>
        <w:rPr>
          <w:rFonts w:ascii="Arial" w:cs="Arial" w:eastAsia="Arial" w:hAnsi="Arial"/>
          <w:sz w:val="18"/>
          <w:szCs w:val="18"/>
          <w:color w:val="auto"/>
        </w:rPr>
      </w:pPr>
    </w:p>
    <w:p>
      <w:pPr>
        <w:ind w:right="280" w:firstLine="921"/>
        <w:spacing w:after="0" w:line="268" w:lineRule="auto"/>
        <w:tabs>
          <w:tab w:leader="none" w:pos="1249"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50" w:lineRule="exact"/>
        <w:rPr>
          <w:rFonts w:ascii="Arial" w:cs="Arial" w:eastAsia="Arial" w:hAnsi="Arial"/>
          <w:sz w:val="18"/>
          <w:szCs w:val="18"/>
          <w:color w:val="auto"/>
        </w:rPr>
      </w:pPr>
    </w:p>
    <w:p>
      <w:pPr>
        <w:ind w:left="1260" w:hanging="339"/>
        <w:spacing w:after="0"/>
        <w:tabs>
          <w:tab w:leader="none" w:pos="1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90" w:lineRule="exact"/>
        <w:rPr>
          <w:rFonts w:ascii="Arial" w:cs="Arial" w:eastAsia="Arial" w:hAnsi="Arial"/>
          <w:sz w:val="18"/>
          <w:szCs w:val="18"/>
          <w:color w:val="auto"/>
        </w:rPr>
      </w:pPr>
    </w:p>
    <w:p>
      <w:pPr>
        <w:jc w:val="both"/>
        <w:ind w:right="60" w:firstLine="921"/>
        <w:spacing w:after="0" w:line="306" w:lineRule="auto"/>
        <w:tabs>
          <w:tab w:leader="none" w:pos="1191"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25" w:lineRule="exact"/>
        <w:rPr>
          <w:rFonts w:ascii="Arial" w:cs="Arial" w:eastAsia="Arial" w:hAnsi="Arial"/>
          <w:sz w:val="16"/>
          <w:szCs w:val="16"/>
          <w:color w:val="auto"/>
        </w:rPr>
      </w:pPr>
    </w:p>
    <w:p>
      <w:pPr>
        <w:jc w:val="both"/>
        <w:ind w:right="420" w:firstLine="921"/>
        <w:spacing w:after="0" w:line="306" w:lineRule="auto"/>
        <w:tabs>
          <w:tab w:leader="none" w:pos="121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60" w:firstLine="921"/>
        <w:spacing w:after="0" w:line="290" w:lineRule="auto"/>
        <w:tabs>
          <w:tab w:leader="none" w:pos="1152" w:val="left"/>
        </w:tabs>
        <w:numPr>
          <w:ilvl w:val="1"/>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(and subject to the limitations imposed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5" w:name="page46"/>
    <w:bookmarkEnd w:id="4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62" w:lineRule="exact"/>
        <w:rPr>
          <w:sz w:val="20"/>
          <w:szCs w:val="20"/>
          <w:color w:val="auto"/>
        </w:rPr>
      </w:pPr>
    </w:p>
    <w:p>
      <w:pPr>
        <w:ind w:right="40" w:firstLine="921"/>
        <w:spacing w:after="0" w:line="286" w:lineRule="auto"/>
        <w:tabs>
          <w:tab w:leader="none" w:pos="1161" w:val="left"/>
        </w:tabs>
        <w:numPr>
          <w:ilvl w:val="2"/>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 discretion (i) on any matter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43" w:lineRule="exact"/>
        <w:rPr>
          <w:rFonts w:ascii="Arial" w:cs="Arial" w:eastAsia="Arial" w:hAnsi="Arial"/>
          <w:sz w:val="16"/>
          <w:szCs w:val="16"/>
          <w:color w:val="auto"/>
        </w:rPr>
      </w:pPr>
    </w:p>
    <w:p>
      <w:pPr>
        <w:ind w:right="20" w:firstLine="921"/>
        <w:spacing w:after="0" w:line="294" w:lineRule="auto"/>
        <w:tabs>
          <w:tab w:leader="none" w:pos="1152" w:val="left"/>
        </w:tabs>
        <w:numPr>
          <w:ilvl w:val="2"/>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 act upon any report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59" w:lineRule="auto"/>
        <w:tabs>
          <w:tab w:leader="none" w:pos="1152"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 10(c) hereof, the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reserved and available for delivery under the Plan shall be 4,733,334. Any Shares delivered under the Plan may consist, in whole or in part, of authorized and unissued shares or treasury shares.</w:t>
      </w:r>
    </w:p>
    <w:p>
      <w:pPr>
        <w:spacing w:after="0" w:line="59" w:lineRule="exact"/>
        <w:rPr>
          <w:rFonts w:ascii="Arial" w:cs="Arial" w:eastAsia="Arial" w:hAnsi="Arial"/>
          <w:sz w:val="18"/>
          <w:szCs w:val="18"/>
          <w:color w:val="auto"/>
        </w:rPr>
      </w:pPr>
    </w:p>
    <w:p>
      <w:pPr>
        <w:ind w:right="120" w:firstLine="921"/>
        <w:spacing w:after="0" w:line="255" w:lineRule="auto"/>
        <w:tabs>
          <w:tab w:leader="none" w:pos="1161"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Awards</w:t>
      </w:r>
      <w:r>
        <w:rPr>
          <w:rFonts w:ascii="Arial" w:cs="Arial" w:eastAsia="Arial" w:hAnsi="Arial"/>
          <w:sz w:val="18"/>
          <w:szCs w:val="18"/>
          <w:color w:val="auto"/>
        </w:rPr>
        <w:t>. 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61" w:lineRule="exact"/>
        <w:rPr>
          <w:rFonts w:ascii="Arial" w:cs="Arial" w:eastAsia="Arial" w:hAnsi="Arial"/>
          <w:sz w:val="18"/>
          <w:szCs w:val="18"/>
          <w:color w:val="auto"/>
        </w:rPr>
      </w:pPr>
    </w:p>
    <w:p>
      <w:pPr>
        <w:ind w:left="1160" w:hanging="239"/>
        <w:spacing w:after="0"/>
        <w:tabs>
          <w:tab w:leader="none" w:pos="1160" w:val="left"/>
        </w:tabs>
        <w:numPr>
          <w:ilvl w:val="2"/>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120" w:firstLine="1492"/>
        <w:spacing w:after="0" w:line="303" w:lineRule="auto"/>
        <w:tabs>
          <w:tab w:leader="none" w:pos="1693" w:val="left"/>
        </w:tabs>
        <w:numPr>
          <w:ilvl w:val="3"/>
          <w:numId w:val="37"/>
        </w:numPr>
        <w:rPr>
          <w:rFonts w:ascii="Arial" w:cs="Arial" w:eastAsia="Arial" w:hAnsi="Arial"/>
          <w:sz w:val="15"/>
          <w:szCs w:val="15"/>
          <w:color w:val="auto"/>
        </w:rPr>
      </w:pPr>
      <w:r>
        <w:rPr>
          <w:rFonts w:ascii="Arial" w:cs="Arial" w:eastAsia="Arial" w:hAnsi="Arial"/>
          <w:sz w:val="15"/>
          <w:szCs w:val="15"/>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w:t>
      </w:r>
    </w:p>
    <w:p>
      <w:pPr>
        <w:spacing w:after="0" w:line="1" w:lineRule="exact"/>
        <w:rPr>
          <w:rFonts w:ascii="Arial" w:cs="Arial" w:eastAsia="Arial" w:hAnsi="Arial"/>
          <w:sz w:val="15"/>
          <w:szCs w:val="15"/>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below.</w:t>
      </w:r>
    </w:p>
    <w:p>
      <w:pPr>
        <w:spacing w:after="0" w:line="83" w:lineRule="exact"/>
        <w:rPr>
          <w:rFonts w:ascii="Arial" w:cs="Arial" w:eastAsia="Arial" w:hAnsi="Arial"/>
          <w:sz w:val="18"/>
          <w:szCs w:val="18"/>
          <w:color w:val="auto"/>
        </w:rPr>
      </w:pPr>
    </w:p>
    <w:p>
      <w:pPr>
        <w:ind w:right="640" w:firstLine="1492"/>
        <w:spacing w:after="0" w:line="268" w:lineRule="auto"/>
        <w:tabs>
          <w:tab w:leader="none" w:pos="1742" w:val="left"/>
        </w:tabs>
        <w:numPr>
          <w:ilvl w:val="3"/>
          <w:numId w:val="38"/>
        </w:numPr>
        <w:rPr>
          <w:rFonts w:ascii="Arial" w:cs="Arial" w:eastAsia="Arial" w:hAnsi="Arial"/>
          <w:sz w:val="18"/>
          <w:szCs w:val="18"/>
          <w:color w:val="auto"/>
        </w:rPr>
      </w:pPr>
      <w:r>
        <w:rPr>
          <w:rFonts w:ascii="Arial" w:cs="Arial" w:eastAsia="Arial" w:hAnsi="Arial"/>
          <w:sz w:val="18"/>
          <w:szCs w:val="18"/>
          <w:color w:val="auto"/>
        </w:rPr>
        <w:t>In the event that any Option or other Award granted hereunder is exercised through the tendering of Shares (either actually or by attestation) or by the withholding of Shares by the Company,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6" w:name="page47"/>
    <w:bookmarkEnd w:id="4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59" w:lineRule="exact"/>
        <w:rPr>
          <w:sz w:val="20"/>
          <w:szCs w:val="20"/>
          <w:color w:val="auto"/>
        </w:rPr>
      </w:pPr>
    </w:p>
    <w:p>
      <w:pPr>
        <w:ind w:right="20" w:firstLine="1492"/>
        <w:spacing w:after="0" w:line="290" w:lineRule="auto"/>
        <w:tabs>
          <w:tab w:leader="none" w:pos="1791" w:val="left"/>
        </w:tabs>
        <w:numPr>
          <w:ilvl w:val="2"/>
          <w:numId w:val="39"/>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37" w:lineRule="exact"/>
        <w:rPr>
          <w:rFonts w:ascii="Arial" w:cs="Arial" w:eastAsia="Arial" w:hAnsi="Arial"/>
          <w:sz w:val="16"/>
          <w:szCs w:val="16"/>
          <w:color w:val="auto"/>
        </w:rPr>
      </w:pPr>
    </w:p>
    <w:p>
      <w:pPr>
        <w:ind w:left="1780" w:hanging="288"/>
        <w:spacing w:after="0"/>
        <w:tabs>
          <w:tab w:leader="none" w:pos="17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90" w:lineRule="exact"/>
        <w:rPr>
          <w:rFonts w:ascii="Arial" w:cs="Arial" w:eastAsia="Arial" w:hAnsi="Arial"/>
          <w:sz w:val="18"/>
          <w:szCs w:val="18"/>
          <w:color w:val="auto"/>
        </w:rPr>
      </w:pPr>
    </w:p>
    <w:p>
      <w:pPr>
        <w:ind w:right="20" w:firstLine="1492"/>
        <w:spacing w:after="0" w:line="332" w:lineRule="auto"/>
        <w:tabs>
          <w:tab w:leader="none" w:pos="1732" w:val="left"/>
        </w:tabs>
        <w:numPr>
          <w:ilvl w:val="2"/>
          <w:numId w:val="39"/>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[4,533,334] Shares.</w:t>
      </w:r>
    </w:p>
    <w:p>
      <w:pPr>
        <w:spacing w:after="0" w:line="85" w:lineRule="exact"/>
        <w:rPr>
          <w:rFonts w:ascii="Arial" w:cs="Arial" w:eastAsia="Arial" w:hAnsi="Arial"/>
          <w:sz w:val="16"/>
          <w:szCs w:val="16"/>
          <w:color w:val="auto"/>
        </w:rPr>
      </w:pPr>
    </w:p>
    <w:p>
      <w:pPr>
        <w:ind w:right="40" w:firstLine="464"/>
        <w:spacing w:after="0" w:line="294"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90" w:lineRule="auto"/>
        <w:tabs>
          <w:tab w:leader="none" w:pos="1152"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Awards may be granted on the terms and conditions set forth in this Section 6. In addition, the Committee may impose on any Award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37" w:lineRule="exact"/>
        <w:rPr>
          <w:rFonts w:ascii="Arial" w:cs="Arial" w:eastAsia="Arial" w:hAnsi="Arial"/>
          <w:sz w:val="16"/>
          <w:szCs w:val="16"/>
          <w:color w:val="auto"/>
        </w:rPr>
      </w:pPr>
    </w:p>
    <w:p>
      <w:pPr>
        <w:ind w:left="1160" w:hanging="239"/>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90" w:lineRule="exact"/>
        <w:rPr>
          <w:rFonts w:ascii="Arial" w:cs="Arial" w:eastAsia="Arial" w:hAnsi="Arial"/>
          <w:sz w:val="18"/>
          <w:szCs w:val="18"/>
          <w:color w:val="auto"/>
        </w:rPr>
      </w:pPr>
    </w:p>
    <w:p>
      <w:pPr>
        <w:ind w:right="40" w:firstLine="1492"/>
        <w:spacing w:after="0" w:line="290" w:lineRule="auto"/>
        <w:tabs>
          <w:tab w:leader="none" w:pos="1693" w:val="left"/>
        </w:tabs>
        <w:numPr>
          <w:ilvl w:val="2"/>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7" w:name="page48"/>
    <w:bookmarkEnd w:id="47"/>
    <w:p>
      <w:pPr>
        <w:ind w:left="-20" w:firstLine="1492"/>
        <w:spacing w:after="0" w:line="289" w:lineRule="auto"/>
        <w:tabs>
          <w:tab w:leader="none" w:pos="1722"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and Method of Exercise</w:t>
      </w:r>
      <w:r>
        <w:rPr>
          <w:rFonts w:ascii="Arial" w:cs="Arial" w:eastAsia="Arial" w:hAnsi="Arial"/>
          <w:sz w:val="16"/>
          <w:szCs w:val="16"/>
          <w:color w:val="auto"/>
        </w:rPr>
        <w:t>. The Committee shall determine the time or times at which or the circumstances under which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37" w:lineRule="exact"/>
        <w:rPr>
          <w:rFonts w:ascii="Arial" w:cs="Arial" w:eastAsia="Arial" w:hAnsi="Arial"/>
          <w:sz w:val="16"/>
          <w:szCs w:val="16"/>
          <w:color w:val="auto"/>
        </w:rPr>
      </w:pPr>
    </w:p>
    <w:p>
      <w:pPr>
        <w:ind w:left="-20" w:right="40" w:firstLine="1492"/>
        <w:spacing w:after="0" w:line="291" w:lineRule="auto"/>
        <w:tabs>
          <w:tab w:leader="none" w:pos="1771"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39" w:lineRule="exact"/>
        <w:rPr>
          <w:rFonts w:ascii="Arial" w:cs="Arial" w:eastAsia="Arial" w:hAnsi="Arial"/>
          <w:sz w:val="16"/>
          <w:szCs w:val="16"/>
          <w:color w:val="auto"/>
        </w:rPr>
      </w:pPr>
    </w:p>
    <w:p>
      <w:pPr>
        <w:ind w:left="-20" w:right="100" w:firstLine="1948"/>
        <w:spacing w:after="0" w:line="294" w:lineRule="auto"/>
        <w:tabs>
          <w:tab w:leader="none" w:pos="2208" w:val="left"/>
        </w:tabs>
        <w:numPr>
          <w:ilvl w:val="2"/>
          <w:numId w:val="41"/>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34" w:lineRule="exact"/>
        <w:rPr>
          <w:rFonts w:ascii="Arial" w:cs="Arial" w:eastAsia="Arial" w:hAnsi="Arial"/>
          <w:sz w:val="16"/>
          <w:szCs w:val="16"/>
          <w:color w:val="auto"/>
        </w:rPr>
      </w:pPr>
    </w:p>
    <w:p>
      <w:pPr>
        <w:ind w:left="-20" w:right="120" w:firstLine="1948"/>
        <w:spacing w:after="0" w:line="298" w:lineRule="auto"/>
        <w:tabs>
          <w:tab w:leader="none" w:pos="2198" w:val="left"/>
        </w:tabs>
        <w:numPr>
          <w:ilvl w:val="2"/>
          <w:numId w:val="41"/>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31" w:lineRule="exact"/>
        <w:rPr>
          <w:rFonts w:ascii="Arial" w:cs="Arial" w:eastAsia="Arial" w:hAnsi="Arial"/>
          <w:sz w:val="16"/>
          <w:szCs w:val="16"/>
          <w:color w:val="auto"/>
        </w:rPr>
      </w:pPr>
    </w:p>
    <w:p>
      <w:pPr>
        <w:ind w:left="-20" w:right="60" w:firstLine="921"/>
        <w:spacing w:after="0" w:line="256" w:lineRule="auto"/>
        <w:tabs>
          <w:tab w:leader="none" w:pos="1132"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62" w:lineRule="exact"/>
        <w:rPr>
          <w:rFonts w:ascii="Arial" w:cs="Arial" w:eastAsia="Arial" w:hAnsi="Arial"/>
          <w:sz w:val="18"/>
          <w:szCs w:val="18"/>
          <w:color w:val="auto"/>
        </w:rPr>
      </w:pPr>
    </w:p>
    <w:p>
      <w:pPr>
        <w:ind w:left="-20" w:firstLine="1492"/>
        <w:spacing w:after="0" w:line="298" w:lineRule="auto"/>
        <w:tabs>
          <w:tab w:leader="none" w:pos="1673"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Right to Payment</w:t>
      </w:r>
      <w:r>
        <w:rPr>
          <w:rFonts w:ascii="Arial" w:cs="Arial" w:eastAsia="Arial" w:hAnsi="Arial"/>
          <w:sz w:val="16"/>
          <w:szCs w:val="16"/>
          <w:color w:val="auto"/>
        </w:rPr>
        <w:t>. 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31" w:lineRule="exact"/>
        <w:rPr>
          <w:rFonts w:ascii="Arial" w:cs="Arial" w:eastAsia="Arial" w:hAnsi="Arial"/>
          <w:sz w:val="16"/>
          <w:szCs w:val="16"/>
          <w:color w:val="auto"/>
        </w:rPr>
      </w:pPr>
    </w:p>
    <w:p>
      <w:pPr>
        <w:ind w:left="-20" w:right="20" w:firstLine="1492"/>
        <w:spacing w:after="0" w:line="298" w:lineRule="auto"/>
        <w:tabs>
          <w:tab w:leader="none" w:pos="1722"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48" w:name="page49"/>
    <w:bookmarkEnd w:id="48"/>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4" w:lineRule="exact"/>
        <w:rPr>
          <w:sz w:val="20"/>
          <w:szCs w:val="20"/>
          <w:color w:val="auto"/>
        </w:rPr>
      </w:pPr>
    </w:p>
    <w:p>
      <w:pPr>
        <w:ind w:right="100" w:firstLine="1492"/>
        <w:spacing w:after="0" w:line="288" w:lineRule="auto"/>
        <w:tabs>
          <w:tab w:leader="none" w:pos="1791"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Tandem Stock Appreciation Rights</w:t>
      </w:r>
      <w:r>
        <w:rPr>
          <w:rFonts w:ascii="Arial" w:cs="Arial" w:eastAsia="Arial" w:hAnsi="Arial"/>
          <w:sz w:val="16"/>
          <w:szCs w:val="16"/>
          <w:color w:val="auto"/>
        </w:rPr>
        <w:t>. 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83" w:lineRule="exact"/>
        <w:rPr>
          <w:rFonts w:ascii="Arial" w:cs="Arial" w:eastAsia="Arial" w:hAnsi="Arial"/>
          <w:sz w:val="16"/>
          <w:szCs w:val="16"/>
          <w:color w:val="auto"/>
        </w:rPr>
      </w:pPr>
    </w:p>
    <w:p>
      <w:pPr>
        <w:ind w:right="60" w:firstLine="1492"/>
        <w:spacing w:after="0" w:line="287" w:lineRule="auto"/>
        <w:tabs>
          <w:tab w:leader="none" w:pos="1693" w:val="left"/>
        </w:tabs>
        <w:numPr>
          <w:ilvl w:val="1"/>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42" w:lineRule="exact"/>
        <w:rPr>
          <w:sz w:val="20"/>
          <w:szCs w:val="20"/>
          <w:color w:val="auto"/>
        </w:rPr>
      </w:pPr>
    </w:p>
    <w:p>
      <w:pPr>
        <w:ind w:right="80" w:firstLine="1492"/>
        <w:spacing w:after="0" w:line="254" w:lineRule="auto"/>
        <w:tabs>
          <w:tab w:leader="none" w:pos="174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63" w:lineRule="exact"/>
        <w:rPr>
          <w:rFonts w:ascii="Arial" w:cs="Arial" w:eastAsia="Arial" w:hAnsi="Arial"/>
          <w:sz w:val="18"/>
          <w:szCs w:val="18"/>
          <w:color w:val="auto"/>
        </w:rPr>
      </w:pPr>
    </w:p>
    <w:p>
      <w:pPr>
        <w:ind w:firstLine="1492"/>
        <w:spacing w:after="0" w:line="298" w:lineRule="auto"/>
        <w:tabs>
          <w:tab w:leader="none" w:pos="1791"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31" w:lineRule="exact"/>
        <w:rPr>
          <w:rFonts w:ascii="Arial" w:cs="Arial" w:eastAsia="Arial" w:hAnsi="Arial"/>
          <w:sz w:val="16"/>
          <w:szCs w:val="16"/>
          <w:color w:val="auto"/>
        </w:rPr>
      </w:pPr>
    </w:p>
    <w:p>
      <w:pPr>
        <w:ind w:right="20" w:firstLine="1492"/>
        <w:spacing w:after="0" w:line="259" w:lineRule="auto"/>
        <w:tabs>
          <w:tab w:leader="none" w:pos="1781"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Splits</w:t>
      </w:r>
      <w:r>
        <w:rPr>
          <w:rFonts w:ascii="Arial" w:cs="Arial" w:eastAsia="Arial" w:hAnsi="Arial"/>
          <w:sz w:val="18"/>
          <w:szCs w:val="18"/>
          <w:color w:val="auto"/>
        </w:rPr>
        <w:t>. 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9" w:name="page50"/>
    <w:bookmarkEnd w:id="49"/>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Deferred Stock Award</w:t>
      </w:r>
      <w:r>
        <w:rPr>
          <w:rFonts w:ascii="Arial" w:cs="Arial" w:eastAsia="Arial" w:hAnsi="Arial"/>
          <w:sz w:val="16"/>
          <w:szCs w:val="16"/>
          <w:color w:val="auto"/>
        </w:rPr>
        <w:t>. The Committee is authorized to grant Deferred Stock Awards to any Eligible Person on the following terms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84" w:lineRule="exact"/>
        <w:rPr>
          <w:sz w:val="20"/>
          <w:szCs w:val="20"/>
          <w:color w:val="auto"/>
        </w:rPr>
      </w:pPr>
    </w:p>
    <w:p>
      <w:pPr>
        <w:ind w:right="20" w:firstLine="1492"/>
        <w:spacing w:after="0" w:line="290" w:lineRule="auto"/>
        <w:tabs>
          <w:tab w:leader="none" w:pos="1693"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37" w:lineRule="exact"/>
        <w:rPr>
          <w:rFonts w:ascii="Arial" w:cs="Arial" w:eastAsia="Arial" w:hAnsi="Arial"/>
          <w:sz w:val="16"/>
          <w:szCs w:val="16"/>
          <w:color w:val="auto"/>
        </w:rPr>
      </w:pPr>
    </w:p>
    <w:p>
      <w:pPr>
        <w:ind w:firstLine="1492"/>
        <w:spacing w:after="0" w:line="291" w:lineRule="auto"/>
        <w:tabs>
          <w:tab w:leader="none" w:pos="1742"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39" w:lineRule="exact"/>
        <w:rPr>
          <w:rFonts w:ascii="Arial" w:cs="Arial" w:eastAsia="Arial" w:hAnsi="Arial"/>
          <w:sz w:val="16"/>
          <w:szCs w:val="16"/>
          <w:color w:val="auto"/>
        </w:rPr>
      </w:pPr>
    </w:p>
    <w:p>
      <w:pPr>
        <w:ind w:right="60" w:firstLine="1492"/>
        <w:spacing w:after="0" w:line="253" w:lineRule="auto"/>
        <w:tabs>
          <w:tab w:leader="none" w:pos="1791"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Unless otherwise determined by the Committee at the date of grant, any Dividend Equivalents that are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64" w:lineRule="exact"/>
        <w:rPr>
          <w:rFonts w:ascii="Arial" w:cs="Arial" w:eastAsia="Arial" w:hAnsi="Arial"/>
          <w:sz w:val="18"/>
          <w:szCs w:val="18"/>
          <w:color w:val="auto"/>
        </w:rPr>
      </w:pPr>
    </w:p>
    <w:p>
      <w:pPr>
        <w:ind w:right="240" w:firstLine="921"/>
        <w:spacing w:after="0" w:line="294" w:lineRule="auto"/>
        <w:tabs>
          <w:tab w:leader="none" w:pos="1132"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34" w:lineRule="exact"/>
        <w:rPr>
          <w:rFonts w:ascii="Arial" w:cs="Arial" w:eastAsia="Arial" w:hAnsi="Arial"/>
          <w:sz w:val="16"/>
          <w:szCs w:val="16"/>
          <w:color w:val="auto"/>
        </w:rPr>
      </w:pPr>
    </w:p>
    <w:p>
      <w:pPr>
        <w:ind w:right="60" w:firstLine="921"/>
        <w:spacing w:after="0" w:line="306" w:lineRule="auto"/>
        <w:tabs>
          <w:tab w:leader="none" w:pos="1161"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Committee is authorized to grant Dividend Equivalents to any Eligible Person entitling the Eligible Person to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Shares, other Awards, or other property equal in value to the dividends paid with respect to a specified number of Shares, or other periodic payments. Dividend Equivalents may be awarded on a free-standing basis or in connection with another Award. The Committee may provide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0" w:name="page51"/>
    <w:bookmarkEnd w:id="5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59" w:lineRule="exact"/>
        <w:rPr>
          <w:sz w:val="20"/>
          <w:szCs w:val="20"/>
          <w:color w:val="auto"/>
        </w:rPr>
      </w:pPr>
    </w:p>
    <w:p>
      <w:pPr>
        <w:ind w:right="20" w:firstLine="921"/>
        <w:spacing w:after="0" w:line="287" w:lineRule="auto"/>
        <w:tabs>
          <w:tab w:leader="none" w:pos="1161"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41" w:lineRule="exact"/>
        <w:rPr>
          <w:rFonts w:ascii="Arial" w:cs="Arial" w:eastAsia="Arial" w:hAnsi="Arial"/>
          <w:sz w:val="16"/>
          <w:szCs w:val="16"/>
          <w:color w:val="auto"/>
        </w:rPr>
      </w:pPr>
    </w:p>
    <w:p>
      <w:pPr>
        <w:ind w:firstLine="921"/>
        <w:spacing w:after="0" w:line="289" w:lineRule="auto"/>
        <w:tabs>
          <w:tab w:leader="none" w:pos="1122"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 Eligible Person such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86" w:lineRule="auto"/>
        <w:tabs>
          <w:tab w:leader="none" w:pos="1152"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1" w:name="page52"/>
    <w:bookmarkEnd w:id="51"/>
    <w:p>
      <w:pPr>
        <w:jc w:val="both"/>
        <w:ind w:left="-20" w:right="240" w:firstLine="921"/>
        <w:spacing w:after="0" w:line="259" w:lineRule="auto"/>
        <w:tabs>
          <w:tab w:leader="none" w:pos="1141"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59" w:lineRule="exact"/>
        <w:rPr>
          <w:rFonts w:ascii="Arial" w:cs="Arial" w:eastAsia="Arial" w:hAnsi="Arial"/>
          <w:sz w:val="18"/>
          <w:szCs w:val="18"/>
          <w:color w:val="auto"/>
        </w:rPr>
      </w:pPr>
    </w:p>
    <w:p>
      <w:pPr>
        <w:ind w:left="-20" w:firstLine="921"/>
        <w:spacing w:after="0" w:line="285" w:lineRule="auto"/>
        <w:tabs>
          <w:tab w:leader="none" w:pos="1132"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 Agreement, payments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 on installment or deferred payments or the grant or crediting of Dividend Equivalents or other amounts in respect of installment or deferred payments denominated in Shares.</w:t>
      </w:r>
    </w:p>
    <w:p>
      <w:pPr>
        <w:spacing w:after="0" w:line="47" w:lineRule="exact"/>
        <w:rPr>
          <w:rFonts w:ascii="Arial" w:cs="Arial" w:eastAsia="Arial" w:hAnsi="Arial"/>
          <w:sz w:val="16"/>
          <w:szCs w:val="16"/>
          <w:color w:val="auto"/>
        </w:rPr>
      </w:pPr>
    </w:p>
    <w:p>
      <w:pPr>
        <w:ind w:left="-20" w:right="160" w:firstLine="921"/>
        <w:spacing w:after="0" w:line="294" w:lineRule="auto"/>
        <w:tabs>
          <w:tab w:leader="none" w:pos="1141"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 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34" w:lineRule="exact"/>
        <w:rPr>
          <w:rFonts w:ascii="Arial" w:cs="Arial" w:eastAsia="Arial" w:hAnsi="Arial"/>
          <w:sz w:val="16"/>
          <w:szCs w:val="16"/>
          <w:color w:val="auto"/>
        </w:rPr>
      </w:pPr>
    </w:p>
    <w:p>
      <w:pPr>
        <w:ind w:left="1140" w:hanging="239"/>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80" w:firstLine="1492"/>
        <w:spacing w:after="0" w:line="298" w:lineRule="auto"/>
        <w:tabs>
          <w:tab w:leader="none" w:pos="16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31" w:lineRule="exact"/>
        <w:rPr>
          <w:rFonts w:ascii="Arial" w:cs="Arial" w:eastAsia="Arial" w:hAnsi="Arial"/>
          <w:sz w:val="16"/>
          <w:szCs w:val="16"/>
          <w:color w:val="auto"/>
        </w:rPr>
      </w:pPr>
    </w:p>
    <w:p>
      <w:pPr>
        <w:ind w:left="-20" w:right="20" w:firstLine="1492"/>
        <w:spacing w:after="0" w:line="332" w:lineRule="auto"/>
        <w:tabs>
          <w:tab w:leader="none" w:pos="1722"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4" w:lineRule="exact"/>
        <w:rPr>
          <w:rFonts w:ascii="Arial" w:cs="Arial" w:eastAsia="Arial" w:hAnsi="Arial"/>
          <w:sz w:val="16"/>
          <w:szCs w:val="16"/>
          <w:color w:val="auto"/>
        </w:rPr>
      </w:pPr>
    </w:p>
    <w:p>
      <w:pPr>
        <w:ind w:left="-20" w:right="40" w:firstLine="1948"/>
        <w:spacing w:after="0" w:line="298" w:lineRule="auto"/>
        <w:tabs>
          <w:tab w:leader="none" w:pos="2208" w:val="left"/>
        </w:tabs>
        <w:numPr>
          <w:ilvl w:val="2"/>
          <w:numId w:val="50"/>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“unforeseeble emergency”;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80" w:right="259" w:bottom="1440" w:gutter="0" w:footer="0" w:header="0"/>
        </w:sectPr>
      </w:pPr>
    </w:p>
    <w:bookmarkStart w:id="52" w:name="page53"/>
    <w:bookmarkEnd w:id="52"/>
    <w:p>
      <w:pPr>
        <w:ind w:right="420" w:firstLine="1948"/>
        <w:spacing w:after="0" w:line="268" w:lineRule="auto"/>
        <w:tabs>
          <w:tab w:leader="none" w:pos="2218"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or schedule for any payment of the deferred compensation may not be accelerated, except to the extent provided in applicable Treasury Regulations or other applicable guidance issued by the Internal Revenue Service;</w:t>
      </w:r>
    </w:p>
    <w:p>
      <w:pPr>
        <w:spacing w:after="0" w:line="50" w:lineRule="exact"/>
        <w:rPr>
          <w:rFonts w:ascii="Arial" w:cs="Arial" w:eastAsia="Arial" w:hAnsi="Arial"/>
          <w:sz w:val="18"/>
          <w:szCs w:val="18"/>
          <w:color w:val="auto"/>
        </w:rPr>
      </w:pPr>
    </w:p>
    <w:p>
      <w:pPr>
        <w:ind w:right="960" w:firstLine="1948"/>
        <w:spacing w:after="0" w:line="268" w:lineRule="auto"/>
        <w:tabs>
          <w:tab w:leader="none" w:pos="22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50" w:lineRule="exact"/>
        <w:rPr>
          <w:rFonts w:ascii="Arial" w:cs="Arial" w:eastAsia="Arial" w:hAnsi="Arial"/>
          <w:sz w:val="18"/>
          <w:szCs w:val="18"/>
          <w:color w:val="auto"/>
        </w:rPr>
      </w:pPr>
    </w:p>
    <w:p>
      <w:pPr>
        <w:ind w:right="220" w:firstLine="1948"/>
        <w:spacing w:after="0" w:line="332" w:lineRule="auto"/>
        <w:tabs>
          <w:tab w:leader="none" w:pos="2228"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 Section 409A.</w:t>
      </w:r>
    </w:p>
    <w:p>
      <w:pPr>
        <w:spacing w:after="0" w:line="66" w:lineRule="exact"/>
        <w:rPr>
          <w:sz w:val="20"/>
          <w:szCs w:val="20"/>
          <w:color w:val="auto"/>
        </w:rPr>
      </w:pPr>
    </w:p>
    <w:p>
      <w:pPr>
        <w:ind w:right="20" w:firstLine="1492"/>
        <w:spacing w:after="0" w:line="255" w:lineRule="auto"/>
        <w:tabs>
          <w:tab w:leader="none" w:pos="1791" w:val="left"/>
        </w:tabs>
        <w:numPr>
          <w:ilvl w:val="2"/>
          <w:numId w:val="52"/>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921"/>
        <w:spacing w:after="0" w:line="259" w:lineRule="auto"/>
        <w:tabs>
          <w:tab w:leader="none" w:pos="1152" w:val="left"/>
        </w:tabs>
        <w:numPr>
          <w:ilvl w:val="1"/>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Unless otherwise specified by the Committee,] the provisions of this Section 8 shall be applicable to 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granted to an Eligible Person who is, or is likely to be, as of the end of the tax year in which the Company would claim a tax deduction in connection with such Award, a Covered Employee.</w:t>
      </w:r>
    </w:p>
    <w:p>
      <w:pPr>
        <w:spacing w:after="0" w:line="59" w:lineRule="exact"/>
        <w:rPr>
          <w:rFonts w:ascii="Arial" w:cs="Arial" w:eastAsia="Arial" w:hAnsi="Arial"/>
          <w:sz w:val="18"/>
          <w:szCs w:val="18"/>
          <w:color w:val="auto"/>
        </w:rPr>
      </w:pPr>
    </w:p>
    <w:p>
      <w:pPr>
        <w:ind w:right="100" w:firstLine="921"/>
        <w:spacing w:after="0" w:line="286" w:lineRule="auto"/>
        <w:tabs>
          <w:tab w:leader="none" w:pos="1161"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 Performance Award is subject to this Section 8, then the payment or distribution thereof or the lapsing of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53" w:name="page54"/>
    <w:bookmarkEnd w:id="53"/>
    <w:p>
      <w:pPr>
        <w:ind w:left="-8" w:firstLine="8"/>
        <w:spacing w:after="0" w:line="290" w:lineRule="auto"/>
        <w:tabs>
          <w:tab w:leader="none" w:pos="328"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37" w:lineRule="exact"/>
        <w:rPr>
          <w:rFonts w:ascii="Arial" w:cs="Arial" w:eastAsia="Arial" w:hAnsi="Arial"/>
          <w:sz w:val="16"/>
          <w:szCs w:val="16"/>
          <w:color w:val="auto"/>
        </w:rPr>
      </w:pPr>
    </w:p>
    <w:p>
      <w:pPr>
        <w:ind w:left="-8" w:right="40" w:firstLine="921"/>
        <w:spacing w:after="0" w:line="298" w:lineRule="auto"/>
        <w:tabs>
          <w:tab w:leader="none" w:pos="1144" w:val="left"/>
        </w:tabs>
        <w:numPr>
          <w:ilvl w:val="2"/>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Period; Timing For Establishing Performance Goals</w:t>
      </w:r>
      <w:r>
        <w:rPr>
          <w:rFonts w:ascii="Arial" w:cs="Arial" w:eastAsia="Arial" w:hAnsi="Arial"/>
          <w:sz w:val="16"/>
          <w:szCs w:val="16"/>
          <w:color w:val="auto"/>
        </w:rPr>
        <w:t>. Achievement of performance goals in respect of Performance Awards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31" w:lineRule="exact"/>
        <w:rPr>
          <w:rFonts w:ascii="Arial" w:cs="Arial" w:eastAsia="Arial" w:hAnsi="Arial"/>
          <w:sz w:val="16"/>
          <w:szCs w:val="16"/>
          <w:color w:val="auto"/>
        </w:rPr>
      </w:pPr>
    </w:p>
    <w:p>
      <w:pPr>
        <w:ind w:left="-8" w:firstLine="921"/>
        <w:spacing w:after="0" w:line="256" w:lineRule="auto"/>
        <w:tabs>
          <w:tab w:leader="none" w:pos="1153" w:val="left"/>
        </w:tabs>
        <w:numPr>
          <w:ilvl w:val="2"/>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 with Awards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62" w:lineRule="exact"/>
        <w:rPr>
          <w:rFonts w:ascii="Arial" w:cs="Arial" w:eastAsia="Arial" w:hAnsi="Arial"/>
          <w:sz w:val="18"/>
          <w:szCs w:val="18"/>
          <w:color w:val="auto"/>
        </w:rPr>
      </w:pPr>
    </w:p>
    <w:p>
      <w:pPr>
        <w:ind w:left="-8" w:right="100" w:firstLine="921"/>
        <w:spacing w:after="0" w:line="306" w:lineRule="auto"/>
        <w:tabs>
          <w:tab w:leader="none" w:pos="1144" w:val="left"/>
        </w:tabs>
        <w:numPr>
          <w:ilvl w:val="2"/>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Committee Certification</w:t>
      </w:r>
      <w:r>
        <w:rPr>
          <w:rFonts w:ascii="Arial" w:cs="Arial" w:eastAsia="Arial" w:hAnsi="Arial"/>
          <w:sz w:val="16"/>
          <w:szCs w:val="16"/>
          <w:color w:val="auto"/>
        </w:rPr>
        <w:t>. No Participant shall receive any payment under the Plan that is subject to this Section 8 unless the Committee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06" w:lineRule="exact"/>
        <w:rPr>
          <w:rFonts w:ascii="Arial" w:cs="Arial" w:eastAsia="Arial" w:hAnsi="Arial"/>
          <w:sz w:val="16"/>
          <w:szCs w:val="16"/>
          <w:color w:val="auto"/>
        </w:rPr>
      </w:pPr>
    </w:p>
    <w:p>
      <w:pPr>
        <w:ind w:left="632" w:hanging="176"/>
        <w:spacing w:after="0"/>
        <w:tabs>
          <w:tab w:leader="none" w:pos="632" w:val="left"/>
        </w:tabs>
        <w:numPr>
          <w:ilvl w:val="1"/>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500" w:firstLine="921"/>
        <w:spacing w:after="0" w:line="306" w:lineRule="auto"/>
        <w:tabs>
          <w:tab w:leader="none" w:pos="1144" w:val="left"/>
        </w:tabs>
        <w:numPr>
          <w:ilvl w:val="2"/>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25" w:lineRule="exact"/>
        <w:rPr>
          <w:rFonts w:ascii="Arial" w:cs="Arial" w:eastAsia="Arial" w:hAnsi="Arial"/>
          <w:sz w:val="16"/>
          <w:szCs w:val="16"/>
          <w:color w:val="auto"/>
        </w:rPr>
      </w:pPr>
    </w:p>
    <w:p>
      <w:pPr>
        <w:ind w:left="-8" w:right="340" w:firstLine="1492"/>
        <w:spacing w:after="0" w:line="268" w:lineRule="auto"/>
        <w:tabs>
          <w:tab w:leader="none" w:pos="1685" w:val="left"/>
        </w:tabs>
        <w:numPr>
          <w:ilvl w:val="3"/>
          <w:numId w:val="55"/>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50" w:lineRule="exact"/>
        <w:rPr>
          <w:rFonts w:ascii="Arial" w:cs="Arial" w:eastAsia="Arial" w:hAnsi="Arial"/>
          <w:sz w:val="18"/>
          <w:szCs w:val="18"/>
          <w:color w:val="auto"/>
        </w:rPr>
      </w:pPr>
    </w:p>
    <w:p>
      <w:pPr>
        <w:ind w:left="-8" w:right="200" w:firstLine="1492"/>
        <w:spacing w:after="0" w:line="306" w:lineRule="auto"/>
        <w:tabs>
          <w:tab w:leader="none" w:pos="1724" w:val="left"/>
        </w:tabs>
        <w:numPr>
          <w:ilvl w:val="3"/>
          <w:numId w:val="55"/>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25" w:lineRule="exact"/>
        <w:rPr>
          <w:rFonts w:ascii="Arial" w:cs="Arial" w:eastAsia="Arial" w:hAnsi="Arial"/>
          <w:sz w:val="16"/>
          <w:szCs w:val="16"/>
          <w:color w:val="auto"/>
        </w:rPr>
      </w:pPr>
    </w:p>
    <w:p>
      <w:pPr>
        <w:ind w:left="-8" w:right="40" w:firstLine="1492"/>
        <w:spacing w:after="0" w:line="268" w:lineRule="auto"/>
        <w:tabs>
          <w:tab w:leader="none" w:pos="1783" w:val="left"/>
        </w:tabs>
        <w:numPr>
          <w:ilvl w:val="3"/>
          <w:numId w:val="55"/>
        </w:numPr>
        <w:rPr>
          <w:rFonts w:ascii="Arial" w:cs="Arial" w:eastAsia="Arial" w:hAnsi="Arial"/>
          <w:sz w:val="18"/>
          <w:szCs w:val="18"/>
          <w:color w:val="auto"/>
        </w:rPr>
      </w:pPr>
      <w:r>
        <w:rPr>
          <w:rFonts w:ascii="Arial" w:cs="Arial" w:eastAsia="Arial" w:hAnsi="Arial"/>
          <w:sz w:val="18"/>
          <w:szCs w:val="18"/>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31" w:lineRule="exact"/>
        <w:rPr>
          <w:rFonts w:ascii="Arial" w:cs="Arial" w:eastAsia="Arial" w:hAnsi="Arial"/>
          <w:sz w:val="18"/>
          <w:szCs w:val="18"/>
          <w:color w:val="auto"/>
        </w:rPr>
      </w:pPr>
    </w:p>
    <w:p>
      <w:pPr>
        <w:ind w:left="-8" w:right="80" w:firstLine="921"/>
        <w:spacing w:after="0" w:line="268" w:lineRule="auto"/>
        <w:tabs>
          <w:tab w:leader="none" w:pos="1153" w:val="left"/>
        </w:tabs>
        <w:numPr>
          <w:ilvl w:val="2"/>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 of “Change in Control” </w:t>
      </w:r>
      <w:r>
        <w:rPr>
          <w:rFonts w:ascii="Arial" w:cs="Arial" w:eastAsia="Arial" w:hAnsi="Arial"/>
          <w:sz w:val="18"/>
          <w:szCs w:val="18"/>
          <w:color w:val="auto"/>
        </w:rPr>
        <w:t>. Unless otherwise specified in any employment agreement between the Participant and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Entity, or in an Award Agreement, a “Change in Control” shall mean the occurrence of any of the following:</w:t>
      </w:r>
    </w:p>
    <w:p>
      <w:pPr>
        <w:spacing w:after="0" w:line="50" w:lineRule="exact"/>
        <w:rPr>
          <w:rFonts w:ascii="Arial" w:cs="Arial" w:eastAsia="Arial" w:hAnsi="Arial"/>
          <w:sz w:val="18"/>
          <w:szCs w:val="18"/>
          <w:color w:val="auto"/>
        </w:rPr>
      </w:pPr>
    </w:p>
    <w:p>
      <w:pPr>
        <w:ind w:left="-8" w:firstLine="1492"/>
        <w:spacing w:after="0" w:line="268" w:lineRule="auto"/>
        <w:tabs>
          <w:tab w:leader="none" w:pos="1685"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more than fifty percent (50%) of either (A) the value of then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54" w:name="page55"/>
    <w:bookmarkEnd w:id="5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66" w:lineRule="exact"/>
        <w:rPr>
          <w:sz w:val="20"/>
          <w:szCs w:val="20"/>
          <w:color w:val="auto"/>
        </w:rPr>
      </w:pPr>
    </w:p>
    <w:p>
      <w:pPr>
        <w:ind w:right="60" w:firstLine="1492"/>
        <w:spacing w:after="0" w:line="291" w:lineRule="auto"/>
        <w:tabs>
          <w:tab w:leader="none" w:pos="1742" w:val="left"/>
        </w:tabs>
        <w:numPr>
          <w:ilvl w:val="2"/>
          <w:numId w:val="56"/>
        </w:numPr>
        <w:rPr>
          <w:rFonts w:ascii="Arial" w:cs="Arial" w:eastAsia="Arial" w:hAnsi="Arial"/>
          <w:sz w:val="16"/>
          <w:szCs w:val="16"/>
          <w:color w:val="auto"/>
        </w:rPr>
      </w:pPr>
      <w:r>
        <w:rPr>
          <w:rFonts w:ascii="Arial" w:cs="Arial" w:eastAsia="Arial" w:hAnsi="Arial"/>
          <w:sz w:val="16"/>
          <w:szCs w:val="16"/>
          <w:color w:val="auto"/>
        </w:rPr>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39" w:lineRule="exact"/>
        <w:rPr>
          <w:rFonts w:ascii="Arial" w:cs="Arial" w:eastAsia="Arial" w:hAnsi="Arial"/>
          <w:sz w:val="16"/>
          <w:szCs w:val="16"/>
          <w:color w:val="auto"/>
        </w:rPr>
      </w:pPr>
    </w:p>
    <w:p>
      <w:pPr>
        <w:ind w:firstLine="1492"/>
        <w:spacing w:after="0" w:line="285" w:lineRule="auto"/>
        <w:tabs>
          <w:tab w:leader="none" w:pos="1791" w:val="left"/>
        </w:tabs>
        <w:numPr>
          <w:ilvl w:val="2"/>
          <w:numId w:val="56"/>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42" w:lineRule="exact"/>
        <w:rPr>
          <w:rFonts w:ascii="Arial" w:cs="Arial" w:eastAsia="Arial" w:hAnsi="Arial"/>
          <w:sz w:val="16"/>
          <w:szCs w:val="16"/>
          <w:color w:val="auto"/>
        </w:rPr>
      </w:pPr>
    </w:p>
    <w:p>
      <w:pPr>
        <w:ind w:left="1780" w:hanging="288"/>
        <w:spacing w:after="0"/>
        <w:tabs>
          <w:tab w:leader="none" w:pos="17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921"/>
        <w:spacing w:after="0" w:line="256" w:lineRule="auto"/>
        <w:tabs>
          <w:tab w:leader="none" w:pos="1152"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Compliance With Legal and Other Requirements.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55" w:name="page56"/>
    <w:bookmarkEnd w:id="5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59" w:lineRule="exact"/>
        <w:rPr>
          <w:sz w:val="20"/>
          <w:szCs w:val="20"/>
          <w:color w:val="auto"/>
        </w:rPr>
      </w:pPr>
    </w:p>
    <w:p>
      <w:pPr>
        <w:ind w:right="80" w:firstLine="921"/>
        <w:spacing w:after="0" w:line="287" w:lineRule="auto"/>
        <w:tabs>
          <w:tab w:leader="none" w:pos="1161"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 hypothecated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41" w:lineRule="exact"/>
        <w:rPr>
          <w:rFonts w:ascii="Arial" w:cs="Arial" w:eastAsia="Arial" w:hAnsi="Arial"/>
          <w:sz w:val="16"/>
          <w:szCs w:val="16"/>
          <w:color w:val="auto"/>
        </w:rPr>
      </w:pPr>
    </w:p>
    <w:p>
      <w:pPr>
        <w:ind w:left="1160" w:hanging="239"/>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80" w:firstLine="1492"/>
        <w:spacing w:after="0" w:line="289" w:lineRule="auto"/>
        <w:tabs>
          <w:tab w:leader="none" w:pos="1693"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to Awards</w:t>
      </w:r>
      <w:r>
        <w:rPr>
          <w:rFonts w:ascii="Arial" w:cs="Arial" w:eastAsia="Arial" w:hAnsi="Arial"/>
          <w:sz w:val="16"/>
          <w:szCs w:val="16"/>
          <w:color w:val="auto"/>
        </w:rPr>
        <w:t>. In the event that any extraordinary dividend or other distribution (whether in the form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37" w:lineRule="exact"/>
        <w:rPr>
          <w:rFonts w:ascii="Arial" w:cs="Arial" w:eastAsia="Arial" w:hAnsi="Arial"/>
          <w:sz w:val="16"/>
          <w:szCs w:val="16"/>
          <w:color w:val="auto"/>
        </w:rPr>
      </w:pPr>
    </w:p>
    <w:p>
      <w:pPr>
        <w:ind w:firstLine="1492"/>
        <w:spacing w:after="0" w:line="286" w:lineRule="auto"/>
        <w:tabs>
          <w:tab w:leader="none" w:pos="1742"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in Case of Certain Transactions</w:t>
      </w:r>
      <w:r>
        <w:rPr>
          <w:rFonts w:ascii="Arial" w:cs="Arial" w:eastAsia="Arial" w:hAnsi="Arial"/>
          <w:sz w:val="16"/>
          <w:szCs w:val="16"/>
          <w:color w:val="auto"/>
        </w:rPr>
        <w:t>. In the event of any merger, consolidation or other reorganization in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6" w:name="page57"/>
    <w:bookmarkEnd w:id="56"/>
    <w:p>
      <w:pPr>
        <w:ind w:left="-8" w:firstLine="1492"/>
        <w:spacing w:after="0" w:line="307" w:lineRule="auto"/>
        <w:tabs>
          <w:tab w:leader="none" w:pos="1783" w:val="left"/>
        </w:tabs>
        <w:numPr>
          <w:ilvl w:val="2"/>
          <w:numId w:val="59"/>
        </w:numPr>
        <w:rPr>
          <w:rFonts w:ascii="Arial" w:cs="Arial" w:eastAsia="Arial" w:hAnsi="Arial"/>
          <w:sz w:val="15"/>
          <w:szCs w:val="15"/>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Adjustments</w:t>
      </w:r>
      <w:r>
        <w:rPr>
          <w:rFonts w:ascii="Arial" w:cs="Arial" w:eastAsia="Arial" w:hAnsi="Arial"/>
          <w:sz w:val="15"/>
          <w:szCs w:val="15"/>
          <w:color w:val="auto"/>
        </w:rPr>
        <w:t>. The Committee (and the Board if and only to the extent such authority is not required to be exercised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247" w:lineRule="exact"/>
        <w:rPr>
          <w:rFonts w:ascii="Arial" w:cs="Arial" w:eastAsia="Arial" w:hAnsi="Arial"/>
          <w:sz w:val="15"/>
          <w:szCs w:val="15"/>
          <w:color w:val="auto"/>
        </w:rPr>
      </w:pPr>
    </w:p>
    <w:p>
      <w:pPr>
        <w:ind w:left="-8" w:right="120" w:firstLine="921"/>
        <w:spacing w:after="0" w:line="291" w:lineRule="auto"/>
        <w:tabs>
          <w:tab w:leader="none" w:pos="1153"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39" w:lineRule="exact"/>
        <w:rPr>
          <w:rFonts w:ascii="Arial" w:cs="Arial" w:eastAsia="Arial" w:hAnsi="Arial"/>
          <w:sz w:val="16"/>
          <w:szCs w:val="16"/>
          <w:color w:val="auto"/>
        </w:rPr>
      </w:pPr>
    </w:p>
    <w:p>
      <w:pPr>
        <w:ind w:left="-8" w:right="20" w:firstLine="921"/>
        <w:spacing w:after="0" w:line="287" w:lineRule="auto"/>
        <w:tabs>
          <w:tab w:leader="none" w:pos="1144"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41" w:lineRule="exact"/>
        <w:rPr>
          <w:rFonts w:ascii="Arial" w:cs="Arial" w:eastAsia="Arial" w:hAnsi="Arial"/>
          <w:sz w:val="16"/>
          <w:szCs w:val="16"/>
          <w:color w:val="auto"/>
        </w:rPr>
      </w:pPr>
    </w:p>
    <w:p>
      <w:pPr>
        <w:ind w:left="-8" w:right="20" w:firstLine="921"/>
        <w:spacing w:after="0" w:line="286" w:lineRule="auto"/>
        <w:tabs>
          <w:tab w:leader="none" w:pos="1124"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 construed as (i)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Eligible Person or Participant the right to continue as an Eligible Person or Participant or in the employ or service of the Company or a Related Entity;</w:t>
      </w:r>
    </w:p>
    <w:p>
      <w:pPr>
        <w:ind w:left="252" w:hanging="252"/>
        <w:spacing w:after="0"/>
        <w:tabs>
          <w:tab w:leader="none" w:pos="2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interfering in any way with the right of the Company or a Related Entity to terminate any Eligible Person’s or Participant’s Continuous Service at any time,</w:t>
      </w:r>
    </w:p>
    <w:p>
      <w:pPr>
        <w:spacing w:after="0" w:line="32" w:lineRule="exact"/>
        <w:rPr>
          <w:rFonts w:ascii="Arial" w:cs="Arial" w:eastAsia="Arial" w:hAnsi="Arial"/>
          <w:sz w:val="16"/>
          <w:szCs w:val="16"/>
          <w:color w:val="auto"/>
        </w:rPr>
      </w:pPr>
    </w:p>
    <w:p>
      <w:pPr>
        <w:jc w:val="both"/>
        <w:ind w:left="-8" w:right="120" w:firstLine="8"/>
        <w:spacing w:after="0" w:line="292" w:lineRule="auto"/>
        <w:tabs>
          <w:tab w:leader="none" w:pos="299" w:val="left"/>
        </w:tabs>
        <w:numPr>
          <w:ilvl w:val="0"/>
          <w:numId w:val="61"/>
        </w:numPr>
        <w:rPr>
          <w:rFonts w:ascii="Arial" w:cs="Arial" w:eastAsia="Arial" w:hAnsi="Arial"/>
          <w:sz w:val="16"/>
          <w:szCs w:val="16"/>
          <w:color w:val="auto"/>
        </w:rPr>
      </w:pPr>
      <w:r>
        <w:rPr>
          <w:rFonts w:ascii="Arial" w:cs="Arial" w:eastAsia="Arial" w:hAnsi="Arial"/>
          <w:sz w:val="16"/>
          <w:szCs w:val="16"/>
          <w:color w:val="auto"/>
        </w:rPr>
        <w:t>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80" w:right="239" w:bottom="1440" w:gutter="0" w:footer="0" w:header="0"/>
        </w:sectPr>
      </w:pPr>
    </w:p>
    <w:bookmarkStart w:id="57" w:name="page58"/>
    <w:bookmarkEnd w:id="5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62" w:lineRule="exact"/>
        <w:rPr>
          <w:sz w:val="20"/>
          <w:szCs w:val="20"/>
          <w:color w:val="auto"/>
        </w:rPr>
      </w:pPr>
    </w:p>
    <w:p>
      <w:pPr>
        <w:ind w:right="40" w:firstLine="921"/>
        <w:spacing w:after="0" w:line="290" w:lineRule="auto"/>
        <w:tabs>
          <w:tab w:leader="none" w:pos="1161"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 deferred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37" w:lineRule="exact"/>
        <w:rPr>
          <w:rFonts w:ascii="Arial" w:cs="Arial" w:eastAsia="Arial" w:hAnsi="Arial"/>
          <w:sz w:val="16"/>
          <w:szCs w:val="16"/>
          <w:color w:val="auto"/>
        </w:rPr>
      </w:pPr>
    </w:p>
    <w:p>
      <w:pPr>
        <w:ind w:right="280" w:firstLine="921"/>
        <w:spacing w:after="0" w:line="306" w:lineRule="auto"/>
        <w:tabs>
          <w:tab w:leader="none" w:pos="1161"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25" w:lineRule="exact"/>
        <w:rPr>
          <w:rFonts w:ascii="Arial" w:cs="Arial" w:eastAsia="Arial" w:hAnsi="Arial"/>
          <w:sz w:val="16"/>
          <w:szCs w:val="16"/>
          <w:color w:val="auto"/>
        </w:rPr>
      </w:pPr>
    </w:p>
    <w:p>
      <w:pPr>
        <w:jc w:val="both"/>
        <w:ind w:right="300" w:firstLine="921"/>
        <w:spacing w:after="0" w:line="323" w:lineRule="auto"/>
        <w:tabs>
          <w:tab w:leader="none" w:pos="1122" w:val="left"/>
        </w:tabs>
        <w:numPr>
          <w:ilvl w:val="1"/>
          <w:numId w:val="62"/>
        </w:numPr>
        <w:rPr>
          <w:rFonts w:ascii="Arial" w:cs="Arial" w:eastAsia="Arial" w:hAnsi="Arial"/>
          <w:sz w:val="15"/>
          <w:szCs w:val="15"/>
          <w:color w:val="auto"/>
        </w:rPr>
      </w:pPr>
      <w:r>
        <w:rPr>
          <w:rFonts w:ascii="Arial" w:cs="Arial" w:eastAsia="Arial" w:hAnsi="Arial"/>
          <w:sz w:val="15"/>
          <w:szCs w:val="15"/>
          <w:b w:val="1"/>
          <w:bCs w:val="1"/>
          <w:i w:val="1"/>
          <w:iCs w:val="1"/>
          <w:color w:val="auto"/>
        </w:rPr>
        <w:t>Payments in the Event of Forfeitures; Fractional Shares</w:t>
      </w:r>
      <w:r>
        <w:rPr>
          <w:rFonts w:ascii="Arial" w:cs="Arial" w:eastAsia="Arial" w:hAnsi="Arial"/>
          <w:sz w:val="15"/>
          <w:szCs w:val="15"/>
          <w:color w:val="auto"/>
        </w:rPr>
        <w:t>. Unless otherwise determined by the Committee, in the event of a forfeiture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6" w:lineRule="exact"/>
        <w:rPr>
          <w:rFonts w:ascii="Arial" w:cs="Arial" w:eastAsia="Arial" w:hAnsi="Arial"/>
          <w:sz w:val="15"/>
          <w:szCs w:val="15"/>
          <w:color w:val="auto"/>
        </w:rPr>
      </w:pPr>
    </w:p>
    <w:p>
      <w:pPr>
        <w:ind w:right="40" w:firstLine="921"/>
        <w:spacing w:after="0" w:line="332" w:lineRule="auto"/>
        <w:tabs>
          <w:tab w:leader="none" w:pos="1122"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Commonwealth of Massachusetts without giving effect to principles of conflict of laws, and applicable federal law.</w:t>
      </w:r>
    </w:p>
    <w:p>
      <w:pPr>
        <w:spacing w:after="0" w:line="4" w:lineRule="exact"/>
        <w:rPr>
          <w:rFonts w:ascii="Arial" w:cs="Arial" w:eastAsia="Arial" w:hAnsi="Arial"/>
          <w:sz w:val="16"/>
          <w:szCs w:val="16"/>
          <w:color w:val="auto"/>
        </w:rPr>
      </w:pPr>
    </w:p>
    <w:p>
      <w:pPr>
        <w:ind w:right="80" w:firstLine="921"/>
        <w:spacing w:after="0" w:line="306" w:lineRule="auto"/>
        <w:tabs>
          <w:tab w:leader="none" w:pos="1161"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 desirable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25" w:lineRule="exact"/>
        <w:rPr>
          <w:rFonts w:ascii="Arial" w:cs="Arial" w:eastAsia="Arial" w:hAnsi="Arial"/>
          <w:sz w:val="16"/>
          <w:szCs w:val="16"/>
          <w:color w:val="auto"/>
        </w:rPr>
      </w:pPr>
    </w:p>
    <w:p>
      <w:pPr>
        <w:ind w:right="60" w:firstLine="921"/>
        <w:spacing w:after="0" w:line="283" w:lineRule="auto"/>
        <w:tabs>
          <w:tab w:leader="none" w:pos="1122"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w:t>
      </w:r>
    </w:p>
    <w:p>
      <w:pPr>
        <w:spacing w:after="0" w:line="1" w:lineRule="exact"/>
        <w:rPr>
          <w:rFonts w:ascii="Arial" w:cs="Arial" w:eastAsia="Arial" w:hAnsi="Arial"/>
          <w:sz w:val="16"/>
          <w:szCs w:val="16"/>
          <w:color w:val="auto"/>
        </w:rPr>
      </w:pPr>
    </w:p>
    <w:p>
      <w:pPr>
        <w:ind w:right="100" w:firstLine="8"/>
        <w:spacing w:after="0" w:line="261"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termination of this Plan by the Board, or (c) the tenth anniversary of the Effective Date. Awards outstanding upon expiration of the Plan shall remain in effect until they have been exercised or terminated, or have expired.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58" w:name="page59"/>
    <w:bookmarkEnd w:id="58"/>
    <w:p>
      <w:pPr>
        <w:jc w:val="center"/>
        <w:ind w:right="120"/>
        <w:spacing w:after="0"/>
        <w:rPr>
          <w:sz w:val="20"/>
          <w:szCs w:val="20"/>
          <w:color w:val="auto"/>
        </w:rPr>
      </w:pPr>
      <w:r>
        <w:rPr>
          <w:rFonts w:ascii="Arial" w:cs="Arial" w:eastAsia="Arial" w:hAnsi="Arial"/>
          <w:sz w:val="23"/>
          <w:szCs w:val="23"/>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 PLEASE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92710</wp:posOffset>
            </wp:positionV>
            <wp:extent cx="36874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300"/>
        <w:spacing w:after="0"/>
        <w:rPr>
          <w:sz w:val="20"/>
          <w:szCs w:val="20"/>
          <w:color w:val="auto"/>
        </w:rPr>
      </w:pPr>
      <w:r>
        <w:rPr>
          <w:rFonts w:ascii="Arial" w:cs="Arial" w:eastAsia="Arial" w:hAnsi="Arial"/>
          <w:sz w:val="32"/>
          <w:szCs w:val="32"/>
          <w:b w:val="1"/>
          <w:bCs w:val="1"/>
          <w:color w:val="auto"/>
        </w:rPr>
        <w:t>GALECTIN</w:t>
      </w:r>
    </w:p>
    <w:p>
      <w:pPr>
        <w:ind w:left="7280" w:right="840" w:hanging="6440"/>
        <w:spacing w:after="0" w:line="249" w:lineRule="auto"/>
        <w:tabs>
          <w:tab w:leader="none" w:pos="7260" w:val="left"/>
        </w:tabs>
        <w:rPr>
          <w:sz w:val="20"/>
          <w:szCs w:val="20"/>
          <w:color w:val="auto"/>
        </w:rPr>
      </w:pPr>
      <w:r>
        <w:rPr>
          <w:rFonts w:ascii="Arial" w:cs="Arial" w:eastAsia="Arial" w:hAnsi="Arial"/>
          <w:sz w:val="64"/>
          <w:szCs w:val="64"/>
          <w:b w:val="1"/>
          <w:bCs w:val="1"/>
          <w:color w:val="auto"/>
          <w:vertAlign w:val="subscript"/>
        </w:rPr>
        <w:t>THERAPEUTICS INC.</w:t>
      </w:r>
      <w:r>
        <w:rPr>
          <w:sz w:val="20"/>
          <w:szCs w:val="20"/>
          <w:color w:val="auto"/>
        </w:rPr>
        <w:tab/>
      </w:r>
      <w:r>
        <w:rPr>
          <w:rFonts w:ascii="Arial" w:cs="Arial" w:eastAsia="Arial" w:hAnsi="Arial"/>
          <w:sz w:val="29"/>
          <w:szCs w:val="29"/>
          <w:b w:val="1"/>
          <w:bCs w:val="1"/>
          <w:color w:val="auto"/>
        </w:rPr>
        <w:t>2014 Annual Meeting of Stockholders</w:t>
      </w:r>
    </w:p>
    <w:p>
      <w:pPr>
        <w:spacing w:after="0" w:line="200" w:lineRule="exact"/>
        <w:rPr>
          <w:sz w:val="20"/>
          <w:szCs w:val="20"/>
          <w:color w:val="auto"/>
        </w:rPr>
      </w:pPr>
    </w:p>
    <w:p>
      <w:pPr>
        <w:spacing w:after="0" w:line="264" w:lineRule="exact"/>
        <w:rPr>
          <w:sz w:val="20"/>
          <w:szCs w:val="20"/>
          <w:color w:val="auto"/>
        </w:rPr>
      </w:pPr>
    </w:p>
    <w:p>
      <w:pPr>
        <w:jc w:val="center"/>
        <w:ind w:left="6440"/>
        <w:spacing w:after="0"/>
        <w:rPr>
          <w:sz w:val="20"/>
          <w:szCs w:val="20"/>
          <w:color w:val="auto"/>
        </w:rPr>
      </w:pPr>
      <w:r>
        <w:rPr>
          <w:rFonts w:ascii="Arial" w:cs="Arial" w:eastAsia="Arial" w:hAnsi="Arial"/>
          <w:sz w:val="29"/>
          <w:szCs w:val="29"/>
          <w:b w:val="1"/>
          <w:bCs w:val="1"/>
          <w:color w:val="auto"/>
        </w:rPr>
        <w:t>May 14, 2014,</w:t>
      </w:r>
    </w:p>
    <w:p>
      <w:pPr>
        <w:spacing w:after="0" w:line="36" w:lineRule="exact"/>
        <w:rPr>
          <w:sz w:val="20"/>
          <w:szCs w:val="20"/>
          <w:color w:val="auto"/>
        </w:rPr>
      </w:pPr>
    </w:p>
    <w:p>
      <w:pPr>
        <w:jc w:val="center"/>
        <w:ind w:left="6440"/>
        <w:spacing w:after="0"/>
        <w:rPr>
          <w:sz w:val="20"/>
          <w:szCs w:val="20"/>
          <w:color w:val="auto"/>
        </w:rPr>
      </w:pPr>
      <w:r>
        <w:rPr>
          <w:rFonts w:ascii="Arial" w:cs="Arial" w:eastAsia="Arial" w:hAnsi="Arial"/>
          <w:sz w:val="29"/>
          <w:szCs w:val="29"/>
          <w:b w:val="1"/>
          <w:bCs w:val="1"/>
          <w:color w:val="auto"/>
        </w:rPr>
        <w:t>9:00 A.M. local time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6440"/>
        <w:spacing w:after="0"/>
        <w:rPr>
          <w:sz w:val="20"/>
          <w:szCs w:val="20"/>
          <w:color w:val="auto"/>
        </w:rPr>
      </w:pPr>
      <w:r>
        <w:rPr>
          <w:rFonts w:ascii="Arial" w:cs="Arial" w:eastAsia="Arial" w:hAnsi="Arial"/>
          <w:sz w:val="29"/>
          <w:szCs w:val="29"/>
          <w:b w:val="1"/>
          <w:bCs w:val="1"/>
          <w:color w:val="auto"/>
        </w:rPr>
        <w:t>This Proxy is Solicited On Behalf</w:t>
      </w:r>
    </w:p>
    <w:p>
      <w:pPr>
        <w:spacing w:after="0" w:line="36" w:lineRule="exact"/>
        <w:rPr>
          <w:sz w:val="20"/>
          <w:szCs w:val="20"/>
          <w:color w:val="auto"/>
        </w:rPr>
      </w:pPr>
    </w:p>
    <w:p>
      <w:pPr>
        <w:jc w:val="center"/>
        <w:ind w:left="6440"/>
        <w:spacing w:after="0"/>
        <w:rPr>
          <w:sz w:val="20"/>
          <w:szCs w:val="20"/>
          <w:color w:val="auto"/>
        </w:rPr>
      </w:pPr>
      <w:r>
        <w:rPr>
          <w:rFonts w:ascii="Arial" w:cs="Arial" w:eastAsia="Arial" w:hAnsi="Arial"/>
          <w:sz w:val="29"/>
          <w:szCs w:val="29"/>
          <w:b w:val="1"/>
          <w:bCs w:val="1"/>
          <w:color w:val="auto"/>
        </w:rPr>
        <w:t>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560070</wp:posOffset>
            </wp:positionV>
            <wp:extent cx="4742180" cy="540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421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Please Be Sure To Mark, Sign, Date and Return Your Proxy Card</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in the Envelope Provided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tbl>
      <w:tblPr>
        <w:tblLayout w:type="fixed"/>
        <w:tblInd w:w="0" w:type="dxa"/>
        <w:tblCellMar>
          <w:top w:w="0" w:type="dxa"/>
          <w:left w:w="0" w:type="dxa"/>
          <w:bottom w:w="0" w:type="dxa"/>
          <w:right w:w="0" w:type="dxa"/>
        </w:tblCellMar>
      </w:tblPr>
      <w:tr>
        <w:trPr>
          <w:trHeight w:val="105"/>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PROXY</w:t>
            </w: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3620" w:type="dxa"/>
            <w:vAlign w:val="bottom"/>
          </w:tcPr>
          <w:p>
            <w:pPr>
              <w:ind w:left="2180"/>
              <w:spacing w:after="0" w:line="105" w:lineRule="exact"/>
              <w:rPr>
                <w:sz w:val="20"/>
                <w:szCs w:val="20"/>
                <w:color w:val="auto"/>
              </w:rPr>
            </w:pPr>
            <w:r>
              <w:rPr>
                <w:rFonts w:ascii="Arial" w:cs="Arial" w:eastAsia="Arial" w:hAnsi="Arial"/>
                <w:sz w:val="11"/>
                <w:szCs w:val="11"/>
                <w:color w:val="auto"/>
              </w:rPr>
              <w:t>Please mark</w:t>
            </w:r>
          </w:p>
        </w:tc>
        <w:tc>
          <w:tcPr>
            <w:tcW w:w="0" w:type="dxa"/>
            <w:vAlign w:val="bottom"/>
          </w:tcPr>
          <w:p>
            <w:pPr>
              <w:spacing w:after="0"/>
              <w:rPr>
                <w:sz w:val="1"/>
                <w:szCs w:val="1"/>
                <w:color w:val="auto"/>
              </w:rPr>
            </w:pPr>
          </w:p>
        </w:tc>
      </w:tr>
      <w:tr>
        <w:trPr>
          <w:trHeight w:val="138"/>
        </w:trPr>
        <w:tc>
          <w:tcPr>
            <w:tcW w:w="23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620" w:type="dxa"/>
            <w:vAlign w:val="bottom"/>
            <w:vMerge w:val="restart"/>
          </w:tcPr>
          <w:p>
            <w:pPr>
              <w:ind w:left="2200"/>
              <w:spacing w:after="0" w:line="368" w:lineRule="exact"/>
              <w:rPr>
                <w:sz w:val="20"/>
                <w:szCs w:val="20"/>
                <w:color w:val="auto"/>
              </w:rPr>
            </w:pPr>
            <w:r>
              <w:rPr>
                <w:rFonts w:ascii="Arial" w:cs="Arial" w:eastAsia="Arial" w:hAnsi="Arial"/>
                <w:sz w:val="22"/>
                <w:szCs w:val="22"/>
                <w:color w:val="auto"/>
                <w:w w:val="82"/>
                <w:vertAlign w:val="superscript"/>
              </w:rPr>
              <w:t>your</w:t>
            </w:r>
            <w:r>
              <w:rPr>
                <w:rFonts w:ascii="Arial" w:cs="Arial" w:eastAsia="Arial" w:hAnsi="Arial"/>
                <w:sz w:val="21"/>
                <w:szCs w:val="21"/>
                <w:color w:val="auto"/>
                <w:w w:val="82"/>
                <w:vertAlign w:val="subscript"/>
              </w:rPr>
              <w:t>like</w:t>
            </w:r>
            <w:r>
              <w:rPr>
                <w:rFonts w:ascii="Arial" w:cs="Arial" w:eastAsia="Arial" w:hAnsi="Arial"/>
                <w:sz w:val="22"/>
                <w:szCs w:val="22"/>
                <w:color w:val="auto"/>
                <w:w w:val="82"/>
              </w:rPr>
              <w:t xml:space="preserve"> </w:t>
            </w:r>
            <w:r>
              <w:rPr>
                <w:rFonts w:ascii="Arial" w:cs="Arial" w:eastAsia="Arial" w:hAnsi="Arial"/>
                <w:sz w:val="22"/>
                <w:szCs w:val="22"/>
                <w:color w:val="auto"/>
                <w:w w:val="82"/>
                <w:vertAlign w:val="superscript"/>
              </w:rPr>
              <w:t>votes</w:t>
            </w:r>
            <w:r>
              <w:rPr>
                <w:rFonts w:ascii="Arial" w:cs="Arial" w:eastAsia="Arial" w:hAnsi="Arial"/>
                <w:sz w:val="22"/>
                <w:szCs w:val="22"/>
                <w:color w:val="auto"/>
                <w:w w:val="82"/>
                <w:vertAlign w:val="subscript"/>
              </w:rPr>
              <w:t>this</w:t>
            </w:r>
            <w:r>
              <w:rPr>
                <w:rFonts w:ascii="Arial" w:cs="Arial" w:eastAsia="Arial" w:hAnsi="Arial"/>
                <w:sz w:val="22"/>
                <w:szCs w:val="22"/>
                <w:color w:val="auto"/>
                <w:w w:val="82"/>
              </w:rPr>
              <w:t xml:space="preserve">    </w:t>
            </w:r>
            <w:r>
              <w:rPr>
                <w:rFonts w:ascii="MS PGothic" w:cs="MS PGothic" w:eastAsia="MS PGothic" w:hAnsi="MS PGothic"/>
                <w:sz w:val="32"/>
                <w:szCs w:val="32"/>
                <w:color w:val="auto"/>
                <w:w w:val="82"/>
              </w:rPr>
              <w:t>☒</w:t>
            </w:r>
          </w:p>
        </w:tc>
        <w:tc>
          <w:tcPr>
            <w:tcW w:w="0" w:type="dxa"/>
            <w:vAlign w:val="bottom"/>
          </w:tcPr>
          <w:p>
            <w:pPr>
              <w:spacing w:after="0"/>
              <w:rPr>
                <w:sz w:val="1"/>
                <w:szCs w:val="1"/>
                <w:color w:val="auto"/>
              </w:rPr>
            </w:pPr>
          </w:p>
        </w:tc>
      </w:tr>
      <w:tr>
        <w:trPr>
          <w:trHeight w:val="367"/>
        </w:trPr>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60" w:type="dxa"/>
            <w:vAlign w:val="bottom"/>
          </w:tcPr>
          <w:p>
            <w:pPr>
              <w:jc w:val="center"/>
              <w:ind w:left="137"/>
              <w:spacing w:after="0" w:line="144" w:lineRule="exact"/>
              <w:rPr>
                <w:sz w:val="20"/>
                <w:szCs w:val="20"/>
                <w:color w:val="auto"/>
              </w:rPr>
            </w:pPr>
            <w:r>
              <w:rPr>
                <w:rFonts w:ascii="Arial" w:cs="Arial" w:eastAsia="Arial" w:hAnsi="Arial"/>
                <w:sz w:val="13"/>
                <w:szCs w:val="13"/>
                <w:b w:val="1"/>
                <w:bCs w:val="1"/>
                <w:color w:val="auto"/>
                <w:w w:val="98"/>
              </w:rPr>
              <w:t>VOTE FOR ALL</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WITHHOLD</w:t>
            </w:r>
          </w:p>
        </w:tc>
        <w:tc>
          <w:tcPr>
            <w:tcW w:w="3080" w:type="dxa"/>
            <w:vAlign w:val="bottom"/>
          </w:tcPr>
          <w:p>
            <w:pPr>
              <w:jc w:val="center"/>
              <w:ind w:right="1857"/>
              <w:spacing w:after="0" w:line="144" w:lineRule="exact"/>
              <w:rPr>
                <w:sz w:val="20"/>
                <w:szCs w:val="20"/>
                <w:color w:val="auto"/>
              </w:rPr>
            </w:pPr>
            <w:r>
              <w:rPr>
                <w:rFonts w:ascii="Arial" w:cs="Arial" w:eastAsia="Arial" w:hAnsi="Arial"/>
                <w:sz w:val="13"/>
                <w:szCs w:val="13"/>
                <w:b w:val="1"/>
                <w:bCs w:val="1"/>
                <w:color w:val="auto"/>
                <w:w w:val="96"/>
              </w:rPr>
              <w:t>VOTE FOR</w:t>
            </w: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1. ELECTION OF DIRECTORS</w:t>
            </w:r>
          </w:p>
        </w:tc>
        <w:tc>
          <w:tcPr>
            <w:tcW w:w="1260" w:type="dxa"/>
            <w:vAlign w:val="bottom"/>
          </w:tcPr>
          <w:p>
            <w:pPr>
              <w:jc w:val="center"/>
              <w:ind w:left="137"/>
              <w:spacing w:after="0" w:line="140" w:lineRule="exact"/>
              <w:rPr>
                <w:sz w:val="20"/>
                <w:szCs w:val="20"/>
                <w:color w:val="auto"/>
              </w:rPr>
            </w:pPr>
            <w:r>
              <w:rPr>
                <w:rFonts w:ascii="Arial" w:cs="Arial" w:eastAsia="Arial" w:hAnsi="Arial"/>
                <w:sz w:val="13"/>
                <w:szCs w:val="13"/>
                <w:b w:val="1"/>
                <w:bCs w:val="1"/>
                <w:color w:val="auto"/>
                <w:w w:val="95"/>
              </w:rPr>
              <w:t>NOMINEES</w:t>
            </w:r>
          </w:p>
        </w:tc>
        <w:tc>
          <w:tcPr>
            <w:tcW w:w="8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4"/>
              </w:rPr>
              <w:t>ALL</w:t>
            </w:r>
          </w:p>
        </w:tc>
        <w:tc>
          <w:tcPr>
            <w:tcW w:w="3080" w:type="dxa"/>
            <w:vAlign w:val="bottom"/>
          </w:tcPr>
          <w:p>
            <w:pPr>
              <w:jc w:val="center"/>
              <w:ind w:right="1857"/>
              <w:spacing w:after="0" w:line="140" w:lineRule="exact"/>
              <w:rPr>
                <w:sz w:val="20"/>
                <w:szCs w:val="20"/>
                <w:color w:val="auto"/>
              </w:rPr>
            </w:pPr>
            <w:r>
              <w:rPr>
                <w:rFonts w:ascii="Arial" w:cs="Arial" w:eastAsia="Arial" w:hAnsi="Arial"/>
                <w:sz w:val="13"/>
                <w:szCs w:val="13"/>
                <w:b w:val="1"/>
                <w:bCs w:val="1"/>
                <w:color w:val="auto"/>
                <w:w w:val="98"/>
              </w:rPr>
              <w:t>ALL EXCEPT</w:t>
            </w: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80" w:type="dxa"/>
            <w:vAlign w:val="bottom"/>
          </w:tcPr>
          <w:p>
            <w:pPr>
              <w:jc w:val="center"/>
              <w:ind w:right="1857"/>
              <w:spacing w:after="0" w:line="135" w:lineRule="exact"/>
              <w:rPr>
                <w:sz w:val="20"/>
                <w:szCs w:val="20"/>
                <w:color w:val="auto"/>
              </w:rPr>
            </w:pPr>
            <w:r>
              <w:rPr>
                <w:rFonts w:ascii="Arial" w:cs="Arial" w:eastAsia="Arial" w:hAnsi="Arial"/>
                <w:sz w:val="13"/>
                <w:szCs w:val="13"/>
                <w:b w:val="1"/>
                <w:bCs w:val="1"/>
                <w:color w:val="auto"/>
                <w:w w:val="96"/>
              </w:rPr>
              <w:t>(see instructions</w:t>
            </w:r>
          </w:p>
        </w:tc>
        <w:tc>
          <w:tcPr>
            <w:tcW w:w="3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80" w:type="dxa"/>
            <w:vAlign w:val="bottom"/>
          </w:tcPr>
          <w:p>
            <w:pPr>
              <w:jc w:val="center"/>
              <w:ind w:right="1857"/>
              <w:spacing w:after="0"/>
              <w:rPr>
                <w:sz w:val="20"/>
                <w:szCs w:val="20"/>
                <w:color w:val="auto"/>
              </w:rPr>
            </w:pPr>
            <w:r>
              <w:rPr>
                <w:rFonts w:ascii="Arial" w:cs="Arial" w:eastAsia="Arial" w:hAnsi="Arial"/>
                <w:sz w:val="13"/>
                <w:szCs w:val="13"/>
                <w:b w:val="1"/>
                <w:bCs w:val="1"/>
                <w:color w:val="auto"/>
                <w:w w:val="97"/>
              </w:rPr>
              <w:t>below)</w:t>
            </w:r>
          </w:p>
        </w:tc>
        <w:tc>
          <w:tcPr>
            <w:tcW w:w="3620" w:type="dxa"/>
            <w:vAlign w:val="bottom"/>
          </w:tcPr>
          <w:p>
            <w:pPr>
              <w:ind w:left="2000"/>
              <w:spacing w:after="0"/>
              <w:rPr>
                <w:sz w:val="20"/>
                <w:szCs w:val="20"/>
                <w:color w:val="auto"/>
              </w:rPr>
            </w:pPr>
            <w:r>
              <w:rPr>
                <w:rFonts w:ascii="Arial" w:cs="Arial" w:eastAsia="Arial" w:hAnsi="Arial"/>
                <w:sz w:val="13"/>
                <w:szCs w:val="13"/>
                <w:b w:val="1"/>
                <w:bCs w:val="1"/>
                <w:color w:val="auto"/>
              </w:rPr>
              <w:t>FOR  AGAINST  ABSTAIN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60"/>
          </w:cols>
          <w:pgMar w:left="420" w:top="324" w:right="419" w:bottom="1440" w:gutter="0" w:footer="0" w:header="0"/>
        </w:sectPr>
      </w:pPr>
    </w:p>
    <w:tbl>
      <w:tblPr>
        <w:tblLayout w:type="fixed"/>
        <w:tblInd w:w="140" w:type="dxa"/>
        <w:tblCellMar>
          <w:top w:w="0" w:type="dxa"/>
          <w:left w:w="0" w:type="dxa"/>
          <w:bottom w:w="0" w:type="dxa"/>
          <w:right w:w="0" w:type="dxa"/>
        </w:tblCellMar>
      </w:tblPr>
      <w:tr>
        <w:trPr>
          <w:trHeight w:val="152"/>
        </w:trPr>
        <w:tc>
          <w:tcPr>
            <w:tcW w:w="400" w:type="dxa"/>
            <w:vAlign w:val="bottom"/>
          </w:tcPr>
          <w:p>
            <w:pPr>
              <w:spacing w:after="0" w:line="153" w:lineRule="exact"/>
              <w:rPr>
                <w:sz w:val="20"/>
                <w:szCs w:val="20"/>
                <w:color w:val="auto"/>
              </w:rPr>
            </w:pPr>
            <w:r>
              <w:rPr>
                <w:rFonts w:ascii="Arial" w:cs="Arial" w:eastAsia="Arial" w:hAnsi="Arial"/>
                <w:sz w:val="14"/>
                <w:szCs w:val="14"/>
                <w:b w:val="1"/>
                <w:bCs w:val="1"/>
                <w:color w:val="auto"/>
              </w:rPr>
              <w:t>The</w:t>
            </w:r>
          </w:p>
        </w:tc>
        <w:tc>
          <w:tcPr>
            <w:tcW w:w="70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Board</w:t>
            </w:r>
          </w:p>
        </w:tc>
        <w:tc>
          <w:tcPr>
            <w:tcW w:w="42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of</w:t>
            </w:r>
          </w:p>
        </w:tc>
        <w:tc>
          <w:tcPr>
            <w:tcW w:w="100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Directors</w:t>
            </w:r>
          </w:p>
        </w:tc>
        <w:tc>
          <w:tcPr>
            <w:tcW w:w="820" w:type="dxa"/>
            <w:vAlign w:val="bottom"/>
            <w:vMerge w:val="restart"/>
          </w:tcPr>
          <w:p>
            <w:pPr>
              <w:ind w:left="220"/>
              <w:spacing w:after="0" w:line="321" w:lineRule="exact"/>
              <w:rPr>
                <w:sz w:val="20"/>
                <w:szCs w:val="20"/>
                <w:color w:val="auto"/>
              </w:rPr>
            </w:pPr>
            <w:r>
              <w:rPr>
                <w:rFonts w:ascii="MS PGothic" w:cs="MS PGothic" w:eastAsia="MS PGothic" w:hAnsi="MS PGothic"/>
                <w:sz w:val="32"/>
                <w:szCs w:val="32"/>
                <w:color w:val="auto"/>
              </w:rPr>
              <w:t>☐</w:t>
            </w:r>
          </w:p>
        </w:tc>
        <w:tc>
          <w:tcPr>
            <w:tcW w:w="960" w:type="dxa"/>
            <w:vAlign w:val="bottom"/>
            <w:vMerge w:val="restart"/>
          </w:tcPr>
          <w:p>
            <w:pPr>
              <w:ind w:left="320"/>
              <w:spacing w:after="0" w:line="321" w:lineRule="exact"/>
              <w:rPr>
                <w:sz w:val="20"/>
                <w:szCs w:val="20"/>
                <w:color w:val="auto"/>
              </w:rPr>
            </w:pPr>
            <w:r>
              <w:rPr>
                <w:rFonts w:ascii="MS PGothic" w:cs="MS PGothic" w:eastAsia="MS PGothic" w:hAnsi="MS PGothic"/>
                <w:sz w:val="32"/>
                <w:szCs w:val="32"/>
                <w:color w:val="auto"/>
              </w:rPr>
              <w:t>☐</w:t>
            </w:r>
          </w:p>
        </w:tc>
        <w:tc>
          <w:tcPr>
            <w:tcW w:w="640" w:type="dxa"/>
            <w:vAlign w:val="bottom"/>
            <w:vMerge w:val="restart"/>
          </w:tcPr>
          <w:p>
            <w:pPr>
              <w:ind w:left="36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180"/>
        </w:trPr>
        <w:tc>
          <w:tcPr>
            <w:tcW w:w="2520" w:type="dxa"/>
            <w:vAlign w:val="bottom"/>
            <w:gridSpan w:val="4"/>
          </w:tcPr>
          <w:p>
            <w:pPr>
              <w:spacing w:after="0"/>
              <w:rPr>
                <w:sz w:val="20"/>
                <w:szCs w:val="20"/>
                <w:color w:val="auto"/>
              </w:rPr>
            </w:pPr>
            <w:r>
              <w:rPr>
                <w:rFonts w:ascii="Arial" w:cs="Arial" w:eastAsia="Arial" w:hAnsi="Arial"/>
                <w:sz w:val="14"/>
                <w:szCs w:val="14"/>
                <w:b w:val="1"/>
                <w:bCs w:val="1"/>
                <w:color w:val="auto"/>
              </w:rPr>
              <w:t>recommends a vote “FOR” the</w:t>
            </w:r>
          </w:p>
        </w:tc>
        <w:tc>
          <w:tcPr>
            <w:tcW w:w="8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4"/>
          <w:szCs w:val="14"/>
          <w:b w:val="1"/>
          <w:bCs w:val="1"/>
          <w:color w:val="auto"/>
        </w:rPr>
        <w:t>listed nominees.</w:t>
      </w:r>
    </w:p>
    <w:p>
      <w:pPr>
        <w:spacing w:after="0" w:line="226" w:lineRule="exact"/>
        <w:rPr>
          <w:sz w:val="20"/>
          <w:szCs w:val="20"/>
          <w:color w:val="auto"/>
        </w:rPr>
      </w:pPr>
    </w:p>
    <w:p>
      <w:pPr>
        <w:ind w:left="140"/>
        <w:spacing w:after="0" w:line="285"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3740" w:type="dxa"/>
            <w:vAlign w:val="bottom"/>
          </w:tcPr>
          <w:p>
            <w:pPr>
              <w:spacing w:after="0" w:line="153" w:lineRule="exact"/>
              <w:rPr>
                <w:sz w:val="20"/>
                <w:szCs w:val="20"/>
                <w:color w:val="auto"/>
              </w:rPr>
            </w:pPr>
            <w:r>
              <w:rPr>
                <w:rFonts w:ascii="Arial" w:cs="Arial" w:eastAsia="Arial" w:hAnsi="Arial"/>
                <w:sz w:val="14"/>
                <w:szCs w:val="14"/>
                <w:b w:val="1"/>
                <w:bCs w:val="1"/>
                <w:color w:val="auto"/>
              </w:rPr>
              <w:t>3.  A PROPOSAL TO RATIFY THE APPOINTMENT OF</w:t>
            </w:r>
          </w:p>
        </w:tc>
        <w:tc>
          <w:tcPr>
            <w:tcW w:w="1060" w:type="dxa"/>
            <w:vAlign w:val="bottom"/>
            <w:vMerge w:val="restart"/>
          </w:tcPr>
          <w:p>
            <w:pPr>
              <w:ind w:left="60"/>
              <w:spacing w:after="0" w:line="314" w:lineRule="exact"/>
              <w:rPr>
                <w:sz w:val="20"/>
                <w:szCs w:val="20"/>
                <w:color w:val="auto"/>
              </w:rPr>
            </w:pPr>
            <w:r>
              <w:rPr>
                <w:rFonts w:ascii="MS PGothic" w:cs="MS PGothic" w:eastAsia="MS PGothic" w:hAnsi="MS PGothic"/>
                <w:sz w:val="32"/>
                <w:szCs w:val="32"/>
                <w:color w:val="auto"/>
              </w:rPr>
              <w:t>☐ ☐</w:t>
            </w:r>
          </w:p>
        </w:tc>
        <w:tc>
          <w:tcPr>
            <w:tcW w:w="480" w:type="dxa"/>
            <w:vAlign w:val="bottom"/>
            <w:vMerge w:val="restart"/>
          </w:tcPr>
          <w:p>
            <w:pPr>
              <w:ind w:left="200"/>
              <w:spacing w:after="0" w:line="314"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162"/>
        </w:trPr>
        <w:tc>
          <w:tcPr>
            <w:tcW w:w="3740" w:type="dxa"/>
            <w:vAlign w:val="bottom"/>
          </w:tcPr>
          <w:p>
            <w:pPr>
              <w:ind w:left="220"/>
              <w:spacing w:after="0"/>
              <w:rPr>
                <w:sz w:val="20"/>
                <w:szCs w:val="20"/>
                <w:color w:val="auto"/>
              </w:rPr>
            </w:pPr>
            <w:r>
              <w:rPr>
                <w:rFonts w:ascii="Arial" w:cs="Arial" w:eastAsia="Arial" w:hAnsi="Arial"/>
                <w:sz w:val="14"/>
                <w:szCs w:val="14"/>
                <w:b w:val="1"/>
                <w:bCs w:val="1"/>
                <w:color w:val="auto"/>
              </w:rPr>
              <w:t>MCGLADREY  LLP  AS  THE  INDEPENDENT</w:t>
            </w: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20"/>
              <w:spacing w:after="0"/>
              <w:rPr>
                <w:sz w:val="20"/>
                <w:szCs w:val="20"/>
                <w:color w:val="auto"/>
              </w:rPr>
            </w:pPr>
            <w:r>
              <w:rPr>
                <w:rFonts w:ascii="Arial" w:cs="Arial" w:eastAsia="Arial" w:hAnsi="Arial"/>
                <w:sz w:val="14"/>
                <w:szCs w:val="14"/>
                <w:b w:val="1"/>
                <w:bCs w:val="1"/>
                <w:color w:val="auto"/>
              </w:rPr>
              <w:t>REGISTERED  PUBLIC  ACCOUNTING  FIRM  TO</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20"/>
              <w:spacing w:after="0"/>
              <w:rPr>
                <w:sz w:val="20"/>
                <w:szCs w:val="20"/>
                <w:color w:val="auto"/>
              </w:rPr>
            </w:pPr>
            <w:r>
              <w:rPr>
                <w:rFonts w:ascii="Arial" w:cs="Arial" w:eastAsia="Arial" w:hAnsi="Arial"/>
                <w:sz w:val="14"/>
                <w:szCs w:val="14"/>
                <w:b w:val="1"/>
                <w:bCs w:val="1"/>
                <w:color w:val="auto"/>
              </w:rPr>
              <w:t>AUDIT THE FINANCIAL STATEMENTS FOR THE</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20"/>
              <w:spacing w:after="0"/>
              <w:rPr>
                <w:sz w:val="20"/>
                <w:szCs w:val="20"/>
                <w:color w:val="auto"/>
              </w:rPr>
            </w:pPr>
            <w:r>
              <w:rPr>
                <w:rFonts w:ascii="Arial" w:cs="Arial" w:eastAsia="Arial" w:hAnsi="Arial"/>
                <w:sz w:val="14"/>
                <w:szCs w:val="14"/>
                <w:b w:val="1"/>
                <w:bCs w:val="1"/>
                <w:color w:val="auto"/>
              </w:rPr>
              <w:t>2014  FISCAL  YEAR.  The  Board  of  Directors</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40" w:type="dxa"/>
            <w:vAlign w:val="bottom"/>
          </w:tcPr>
          <w:p>
            <w:pPr>
              <w:ind w:left="220"/>
              <w:spacing w:after="0"/>
              <w:rPr>
                <w:sz w:val="20"/>
                <w:szCs w:val="20"/>
                <w:color w:val="auto"/>
              </w:rPr>
            </w:pPr>
            <w:r>
              <w:rPr>
                <w:rFonts w:ascii="Arial" w:cs="Arial" w:eastAsia="Arial" w:hAnsi="Arial"/>
                <w:sz w:val="14"/>
                <w:szCs w:val="14"/>
                <w:b w:val="1"/>
                <w:bCs w:val="1"/>
                <w:color w:val="auto"/>
              </w:rPr>
              <w:t>recommends a vote “FOR” this proposal.</w:t>
            </w: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ectPr>
          <w:pgSz w:w="11900" w:h="16838" w:orient="portrait"/>
          <w:cols w:equalWidth="0" w:num="2">
            <w:col w:w="5480" w:space="160"/>
            <w:col w:w="5420"/>
          </w:cols>
          <w:pgMar w:left="420" w:top="324" w:right="4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1. Gilbert F. Amelio, Ph.D.</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4. Rod D. Martin</w:t>
            </w:r>
          </w:p>
        </w:tc>
        <w:tc>
          <w:tcPr>
            <w:tcW w:w="1960" w:type="dxa"/>
            <w:vAlign w:val="bottom"/>
            <w:gridSpan w:val="2"/>
          </w:tcPr>
          <w:p>
            <w:pPr>
              <w:ind w:left="140"/>
              <w:spacing w:after="0"/>
              <w:rPr>
                <w:sz w:val="20"/>
                <w:szCs w:val="20"/>
                <w:color w:val="auto"/>
              </w:rPr>
            </w:pPr>
            <w:r>
              <w:rPr>
                <w:rFonts w:ascii="Arial" w:cs="Arial" w:eastAsia="Arial" w:hAnsi="Arial"/>
                <w:sz w:val="14"/>
                <w:szCs w:val="14"/>
                <w:b w:val="1"/>
                <w:bCs w:val="1"/>
                <w:color w:val="auto"/>
              </w:rPr>
              <w:t>7. H. Paul Pressler</w:t>
            </w:r>
          </w:p>
        </w:tc>
        <w:tc>
          <w:tcPr>
            <w:tcW w:w="5640" w:type="dxa"/>
            <w:vAlign w:val="bottom"/>
            <w:gridSpan w:val="2"/>
          </w:tcPr>
          <w:p>
            <w:pPr>
              <w:ind w:left="220"/>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color w:val="auto"/>
              </w:rPr>
              <w:t>In their discretion, the proxies are authorized to vote upon such other business as</w:t>
            </w:r>
          </w:p>
        </w:tc>
        <w:tc>
          <w:tcPr>
            <w:tcW w:w="0" w:type="dxa"/>
            <w:vAlign w:val="bottom"/>
          </w:tcPr>
          <w:p>
            <w:pPr>
              <w:spacing w:after="0"/>
              <w:rPr>
                <w:sz w:val="1"/>
                <w:szCs w:val="1"/>
                <w:color w:val="auto"/>
              </w:rPr>
            </w:pPr>
          </w:p>
        </w:tc>
      </w:tr>
      <w:tr>
        <w:trPr>
          <w:trHeight w:val="162"/>
        </w:trPr>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2. Kevin D. Freeman</w:t>
            </w:r>
          </w:p>
        </w:tc>
        <w:tc>
          <w:tcPr>
            <w:tcW w:w="44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5. John Mauldin</w:t>
            </w:r>
          </w:p>
        </w:tc>
        <w:tc>
          <w:tcPr>
            <w:tcW w:w="1960" w:type="dxa"/>
            <w:vAlign w:val="bottom"/>
            <w:gridSpan w:val="2"/>
          </w:tcPr>
          <w:p>
            <w:pPr>
              <w:ind w:left="140"/>
              <w:spacing w:after="0"/>
              <w:rPr>
                <w:sz w:val="20"/>
                <w:szCs w:val="20"/>
                <w:color w:val="auto"/>
              </w:rPr>
            </w:pPr>
            <w:r>
              <w:rPr>
                <w:rFonts w:ascii="Arial" w:cs="Arial" w:eastAsia="Arial" w:hAnsi="Arial"/>
                <w:sz w:val="14"/>
                <w:szCs w:val="14"/>
                <w:b w:val="1"/>
                <w:bCs w:val="1"/>
                <w:color w:val="auto"/>
              </w:rPr>
              <w:t>8. Marc Rubin, M.D.</w:t>
            </w:r>
          </w:p>
        </w:tc>
        <w:tc>
          <w:tcPr>
            <w:tcW w:w="4600" w:type="dxa"/>
            <w:vAlign w:val="bottom"/>
          </w:tcPr>
          <w:p>
            <w:pPr>
              <w:ind w:left="440"/>
              <w:spacing w:after="0"/>
              <w:rPr>
                <w:sz w:val="20"/>
                <w:szCs w:val="20"/>
                <w:color w:val="auto"/>
              </w:rPr>
            </w:pPr>
            <w:r>
              <w:rPr>
                <w:rFonts w:ascii="Arial" w:cs="Arial" w:eastAsia="Arial" w:hAnsi="Arial"/>
                <w:sz w:val="14"/>
                <w:szCs w:val="14"/>
                <w:color w:val="auto"/>
              </w:rPr>
              <w:t>may properly come before the annual meeting</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3. Arthur R. Greenberg</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6. Steven Prelack</w:t>
            </w:r>
          </w:p>
        </w:tc>
        <w:tc>
          <w:tcPr>
            <w:tcW w:w="1960" w:type="dxa"/>
            <w:vAlign w:val="bottom"/>
            <w:gridSpan w:val="2"/>
          </w:tcPr>
          <w:p>
            <w:pPr>
              <w:ind w:left="140"/>
              <w:spacing w:after="0"/>
              <w:rPr>
                <w:sz w:val="20"/>
                <w:szCs w:val="20"/>
                <w:color w:val="auto"/>
              </w:rPr>
            </w:pPr>
            <w:r>
              <w:rPr>
                <w:rFonts w:ascii="Arial" w:cs="Arial" w:eastAsia="Arial" w:hAnsi="Arial"/>
                <w:sz w:val="14"/>
                <w:szCs w:val="14"/>
                <w:b w:val="1"/>
                <w:bCs w:val="1"/>
                <w:color w:val="auto"/>
              </w:rPr>
              <w:t>9. Peter G. Traber, M.D.</w:t>
            </w:r>
          </w:p>
        </w:tc>
        <w:tc>
          <w:tcPr>
            <w:tcW w:w="4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FOR</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564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THIS PROXY WILL BE VOTED AS DIRECTED. IF NO DIRECTION IS INDICATED</w:t>
            </w:r>
          </w:p>
        </w:tc>
        <w:tc>
          <w:tcPr>
            <w:tcW w:w="0" w:type="dxa"/>
            <w:vAlign w:val="bottom"/>
          </w:tcPr>
          <w:p>
            <w:pPr>
              <w:spacing w:after="0"/>
              <w:rPr>
                <w:sz w:val="1"/>
                <w:szCs w:val="1"/>
                <w:color w:val="auto"/>
              </w:rPr>
            </w:pPr>
          </w:p>
        </w:tc>
      </w:tr>
      <w:tr>
        <w:trPr>
          <w:trHeight w:val="81"/>
        </w:trPr>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FOR THE PROPOSALS, EACH PROPOSAL WILL BE VOTED “FOR” THE</w:t>
            </w:r>
          </w:p>
        </w:tc>
        <w:tc>
          <w:tcPr>
            <w:tcW w:w="0" w:type="dxa"/>
            <w:vAlign w:val="bottom"/>
          </w:tcPr>
          <w:p>
            <w:pPr>
              <w:spacing w:after="0"/>
              <w:rPr>
                <w:sz w:val="1"/>
                <w:szCs w:val="1"/>
                <w:color w:val="auto"/>
              </w:rPr>
            </w:pPr>
          </w:p>
        </w:tc>
      </w:tr>
      <w:tr>
        <w:trPr>
          <w:trHeight w:val="81"/>
        </w:trPr>
        <w:tc>
          <w:tcPr>
            <w:tcW w:w="26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2. A PROPOSAL TO APPROVE AN</w:t>
            </w:r>
          </w:p>
        </w:tc>
        <w:tc>
          <w:tcPr>
            <w:tcW w:w="800" w:type="dxa"/>
            <w:vAlign w:val="bottom"/>
            <w:vMerge w:val="restart"/>
          </w:tcPr>
          <w:p>
            <w:pPr>
              <w:ind w:left="220"/>
              <w:spacing w:after="0" w:line="321" w:lineRule="exact"/>
              <w:rPr>
                <w:sz w:val="20"/>
                <w:szCs w:val="20"/>
                <w:color w:val="auto"/>
              </w:rPr>
            </w:pPr>
            <w:r>
              <w:rPr>
                <w:rFonts w:ascii="MS PGothic" w:cs="MS PGothic" w:eastAsia="MS PGothic" w:hAnsi="MS PGothic"/>
                <w:sz w:val="32"/>
                <w:szCs w:val="32"/>
                <w:color w:val="auto"/>
              </w:rPr>
              <w:t>☐</w:t>
            </w:r>
          </w:p>
        </w:tc>
        <w:tc>
          <w:tcPr>
            <w:tcW w:w="92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10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5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gridSpan w:val="5"/>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6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PROPOSAL.</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AMENDMENT</w:t>
            </w:r>
          </w:p>
        </w:tc>
        <w:tc>
          <w:tcPr>
            <w:tcW w:w="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w:t>
            </w: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THE</w:t>
            </w: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2009</w:t>
            </w:r>
          </w:p>
        </w:tc>
        <w:tc>
          <w:tcPr>
            <w:tcW w:w="8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46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1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INCENTIVE</w:t>
            </w:r>
          </w:p>
        </w:tc>
        <w:tc>
          <w:tcPr>
            <w:tcW w:w="1500" w:type="dxa"/>
            <w:vAlign w:val="bottom"/>
            <w:gridSpan w:val="3"/>
          </w:tcPr>
          <w:p>
            <w:pPr>
              <w:ind w:left="120"/>
              <w:spacing w:after="0"/>
              <w:rPr>
                <w:sz w:val="20"/>
                <w:szCs w:val="20"/>
                <w:color w:val="auto"/>
              </w:rPr>
            </w:pPr>
            <w:r>
              <w:rPr>
                <w:rFonts w:ascii="Arial" w:cs="Arial" w:eastAsia="Arial" w:hAnsi="Arial"/>
                <w:sz w:val="14"/>
                <w:szCs w:val="14"/>
                <w:b w:val="1"/>
                <w:bCs w:val="1"/>
                <w:color w:val="auto"/>
              </w:rPr>
              <w:t>COMPENSATION</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PLAN</w:t>
            </w:r>
          </w:p>
        </w:tc>
        <w:tc>
          <w:tcPr>
            <w:tcW w:w="600" w:type="dxa"/>
            <w:vAlign w:val="bottom"/>
          </w:tcPr>
          <w:p>
            <w:pPr>
              <w:ind w:left="240"/>
              <w:spacing w:after="0"/>
              <w:rPr>
                <w:sz w:val="20"/>
                <w:szCs w:val="20"/>
                <w:color w:val="auto"/>
              </w:rPr>
            </w:pPr>
            <w:r>
              <w:rPr>
                <w:rFonts w:ascii="Arial" w:cs="Arial" w:eastAsia="Arial" w:hAnsi="Arial"/>
                <w:sz w:val="14"/>
                <w:szCs w:val="14"/>
                <w:b w:val="1"/>
                <w:bCs w:val="1"/>
                <w:color w:val="auto"/>
              </w:rPr>
              <w:t>TO</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RESERVE</w:t>
            </w: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AN</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vMerge w:val="restart"/>
          </w:tcPr>
          <w:p>
            <w:pPr>
              <w:jc w:val="center"/>
              <w:ind w:left="1627"/>
              <w:spacing w:after="0"/>
              <w:rPr>
                <w:sz w:val="20"/>
                <w:szCs w:val="20"/>
                <w:color w:val="auto"/>
              </w:rPr>
            </w:pPr>
            <w:r>
              <w:rPr>
                <w:rFonts w:ascii="Arial" w:cs="Arial" w:eastAsia="Arial" w:hAnsi="Arial"/>
                <w:sz w:val="14"/>
                <w:szCs w:val="14"/>
                <w:b w:val="1"/>
                <w:bCs w:val="1"/>
                <w:color w:val="auto"/>
              </w:rPr>
              <w:t>COMPANY ID: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ADDITIONAL 1,400,000 SHARES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FOR</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ISSUANCE  UNDER</w:t>
            </w: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THE</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PLAN.  The  Board  of  Directors</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recommends</w:t>
            </w: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that</w:t>
            </w: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you</w:t>
            </w: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vote</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0" w:type="dxa"/>
            <w:vAlign w:val="bottom"/>
            <w:vMerge w:val="restart"/>
          </w:tcPr>
          <w:p>
            <w:pPr>
              <w:jc w:val="center"/>
              <w:ind w:left="1607"/>
              <w:spacing w:after="0"/>
              <w:rPr>
                <w:sz w:val="20"/>
                <w:szCs w:val="20"/>
                <w:color w:val="auto"/>
              </w:rPr>
            </w:pPr>
            <w:r>
              <w:rPr>
                <w:rFonts w:ascii="Arial" w:cs="Arial" w:eastAsia="Arial" w:hAnsi="Arial"/>
                <w:sz w:val="14"/>
                <w:szCs w:val="14"/>
                <w:b w:val="1"/>
                <w:bCs w:val="1"/>
                <w:color w:val="auto"/>
              </w:rPr>
              <w:t>PROXY NUMBER:</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6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“FOR” this proposal.</w:t>
            </w: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2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3"/>
        </w:trPr>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0" w:type="dxa"/>
            <w:vAlign w:val="bottom"/>
          </w:tcPr>
          <w:p>
            <w:pPr>
              <w:jc w:val="center"/>
              <w:ind w:left="1607"/>
              <w:spacing w:after="0"/>
              <w:rPr>
                <w:sz w:val="20"/>
                <w:szCs w:val="20"/>
                <w:color w:val="auto"/>
              </w:rPr>
            </w:pPr>
            <w:r>
              <w:rPr>
                <w:rFonts w:ascii="Arial" w:cs="Arial" w:eastAsia="Arial" w:hAnsi="Arial"/>
                <w:sz w:val="14"/>
                <w:szCs w:val="14"/>
                <w:b w:val="1"/>
                <w:bCs w:val="1"/>
                <w:color w:val="auto"/>
              </w:rPr>
              <w:t>ACCOUNT NUMBER: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6"/>
                <w:szCs w:val="16"/>
                <w:b w:val="1"/>
                <w:bCs w:val="1"/>
                <w:color w:val="auto"/>
              </w:rPr>
              <w:t>Signature</w:t>
            </w:r>
          </w:p>
        </w:tc>
        <w:tc>
          <w:tcPr>
            <w:tcW w:w="4600" w:type="dxa"/>
            <w:vAlign w:val="bottom"/>
          </w:tcPr>
          <w:p>
            <w:pPr>
              <w:ind w:left="3620"/>
              <w:spacing w:after="0"/>
              <w:rPr>
                <w:sz w:val="20"/>
                <w:szCs w:val="20"/>
                <w:color w:val="auto"/>
              </w:rPr>
            </w:pPr>
            <w:r>
              <w:rPr>
                <w:rFonts w:ascii="Arial" w:cs="Arial" w:eastAsia="Arial" w:hAnsi="Arial"/>
                <w:sz w:val="16"/>
                <w:szCs w:val="16"/>
                <w:b w:val="1"/>
                <w:bCs w:val="1"/>
                <w:color w:val="auto"/>
              </w:rPr>
              <w:t>Date: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-3810</wp:posOffset>
            </wp:positionV>
            <wp:extent cx="61918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91885" cy="17145"/>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p>
      <w:pPr>
        <w:sectPr>
          <w:pgSz w:w="11900" w:h="16838" w:orient="portrait"/>
          <w:cols w:equalWidth="0" w:num="1">
            <w:col w:w="11060"/>
          </w:cols>
          <w:pgMar w:left="420" w:top="324" w:right="419" w:bottom="1440" w:gutter="0" w:footer="0" w:header="0"/>
          <w:type w:val="continuous"/>
        </w:sectPr>
      </w:pPr>
    </w:p>
    <w:bookmarkStart w:id="59" w:name="page60"/>
    <w:bookmarkEnd w:id="59"/>
    <w:p>
      <w:pPr>
        <w:jc w:val="both"/>
        <w:spacing w:after="0" w:line="267" w:lineRule="auto"/>
        <w:rPr>
          <w:sz w:val="20"/>
          <w:szCs w:val="20"/>
          <w:color w:val="auto"/>
        </w:rPr>
      </w:pPr>
      <w:r>
        <w:rPr>
          <w:rFonts w:ascii="Arial" w:cs="Arial" w:eastAsia="Arial" w:hAnsi="Arial"/>
          <w:sz w:val="26"/>
          <w:szCs w:val="2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the Availability of Proxy Materials for the 2014 annual meeting of stockholders of Galectin Therapeutics Inc. to be held at the offices of Arnall Golden Gregory LLP, located at 171 17th Street NW, Suite 2100, Atlanta, GA 30363 on May 14, 2014 at 9:00 A.M. EDT.</w:t>
      </w:r>
    </w:p>
    <w:p>
      <w:pPr>
        <w:spacing w:after="0" w:line="258" w:lineRule="exact"/>
        <w:rPr>
          <w:sz w:val="20"/>
          <w:szCs w:val="20"/>
          <w:color w:val="auto"/>
        </w:rPr>
      </w:pPr>
    </w:p>
    <w:p>
      <w:pPr>
        <w:spacing w:after="0"/>
        <w:rPr>
          <w:sz w:val="20"/>
          <w:szCs w:val="20"/>
          <w:color w:val="auto"/>
        </w:rPr>
      </w:pPr>
      <w:r>
        <w:rPr>
          <w:rFonts w:ascii="Arial" w:cs="Arial" w:eastAsia="Arial" w:hAnsi="Arial"/>
          <w:sz w:val="27"/>
          <w:szCs w:val="27"/>
          <w:color w:val="auto"/>
        </w:rPr>
        <w:t>The Proxy Statement and Annual Report to Stockholders are available at:</w:t>
      </w:r>
    </w:p>
    <w:p>
      <w:pPr>
        <w:spacing w:after="0" w:line="24" w:lineRule="exact"/>
        <w:rPr>
          <w:sz w:val="20"/>
          <w:szCs w:val="20"/>
          <w:color w:val="auto"/>
        </w:rPr>
      </w:pPr>
    </w:p>
    <w:p>
      <w:pPr>
        <w:spacing w:after="0"/>
        <w:rPr>
          <w:sz w:val="20"/>
          <w:szCs w:val="20"/>
          <w:color w:val="auto"/>
        </w:rPr>
      </w:pPr>
      <w:r>
        <w:rPr>
          <w:rFonts w:ascii="Arial" w:cs="Arial" w:eastAsia="Arial" w:hAnsi="Arial"/>
          <w:sz w:val="27"/>
          <w:szCs w:val="27"/>
          <w:color w:val="auto"/>
        </w:rPr>
        <w:t>http://www.galectintherapeutics.com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7"/>
          <w:szCs w:val="27"/>
          <w:b w:val="1"/>
          <w:bCs w:val="1"/>
          <w:i w:val="1"/>
          <w:iCs w:val="1"/>
          <w:u w:val="single" w:color="auto"/>
          <w:color w:val="auto"/>
        </w:rPr>
        <w:t>To Vote Your Proxy</w:t>
      </w:r>
    </w:p>
    <w:p>
      <w:pPr>
        <w:spacing w:after="0" w:line="24" w:lineRule="exact"/>
        <w:rPr>
          <w:sz w:val="20"/>
          <w:szCs w:val="20"/>
          <w:color w:val="auto"/>
        </w:rPr>
      </w:pPr>
    </w:p>
    <w:p>
      <w:pPr>
        <w:jc w:val="both"/>
        <w:spacing w:after="0" w:line="247" w:lineRule="auto"/>
        <w:rPr>
          <w:sz w:val="20"/>
          <w:szCs w:val="20"/>
          <w:color w:val="auto"/>
        </w:rPr>
      </w:pPr>
      <w:r>
        <w:rPr>
          <w:rFonts w:ascii="Arial" w:cs="Arial" w:eastAsia="Arial" w:hAnsi="Arial"/>
          <w:sz w:val="27"/>
          <w:szCs w:val="27"/>
          <w:color w:val="auto"/>
        </w:rPr>
        <w:t>Mark, sign and date your Proxy Card on the reverse side,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color w:val="auto"/>
        </w:rPr>
        <w:t>FOLD HERE • DO NOT SEPARATE • INSERT IN ENVELOPE PROVIDED</w:t>
      </w:r>
      <w:r>
        <w:rPr>
          <w:rFonts w:ascii="Arial" w:cs="Arial" w:eastAsia="Arial" w:hAnsi="Arial"/>
          <w:sz w:val="18"/>
          <w:szCs w:val="18"/>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PROXY IS SOLICITED ON BEHALF OF THE BOARD OF DIRECTORS OF</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GALECTIN THERAPEUTICS INC.</w:t>
      </w:r>
    </w:p>
    <w:p>
      <w:pPr>
        <w:spacing w:after="0" w:line="312" w:lineRule="exact"/>
        <w:rPr>
          <w:sz w:val="20"/>
          <w:szCs w:val="20"/>
          <w:color w:val="auto"/>
        </w:rPr>
      </w:pPr>
    </w:p>
    <w:p>
      <w:pPr>
        <w:jc w:val="both"/>
        <w:ind w:firstLine="571"/>
        <w:spacing w:after="0" w:line="282" w:lineRule="auto"/>
        <w:rPr>
          <w:sz w:val="20"/>
          <w:szCs w:val="20"/>
          <w:color w:val="auto"/>
        </w:rPr>
      </w:pPr>
      <w:r>
        <w:rPr>
          <w:rFonts w:ascii="Arial" w:cs="Arial" w:eastAsia="Arial" w:hAnsi="Arial"/>
          <w:sz w:val="19"/>
          <w:szCs w:val="19"/>
          <w:color w:val="auto"/>
        </w:rPr>
        <w:t>The undersigned appoints Peter G. Traber, M.D., Jack W. Callicut and Harold Shlevin, Ph.D. and each of them, as proxies, each with the power of substitution, and authorizes each of them to represent and to vote, as designated on the reverse hereof, all of the shares of common stock of Galectin Therapeutics Inc. held of record by the undersigned at the close of business on March 19, 2014 at the 2014 annual meeting of stockholders to be held at the offices of Arnall Golden Gregory LLP, located at 171 17th Street NW, Suite 2100, Atlanta, GA 30363 on May 14, 2014 at 9:00 (local time)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 and to be marked, dated and signed, on the other side)</w:t>
      </w:r>
    </w:p>
    <w:sectPr>
      <w:pgSz w:w="11900" w:h="16838" w:orient="portrait"/>
      <w:cols w:equalWidth="0" w:num="1">
        <w:col w:w="11420"/>
      </w:cols>
      <w:pgMar w:left="240"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lvl w:ilvl="1">
      <w:lvlJc w:val="left"/>
      <w:lvlText w:val="(%2)"/>
      <w:numFmt w:val="decimal"/>
      <w:start w:val="1"/>
    </w:lvl>
  </w:abstractNum>
  <w:abstractNum w:abstractNumId="5">
    <w:nsid w:val="419AC241"/>
    <w:multiLevelType w:val="hybridMultilevel"/>
    <w:lvl w:ilvl="0">
      <w:lvlJc w:val="left"/>
      <w:lvlText w:val="(%1)"/>
      <w:numFmt w:val="decimal"/>
      <w:start w:val="4"/>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3"/>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3"/>
    </w:lvl>
  </w:abstractNum>
  <w:abstractNum w:abstractNumId="15">
    <w:nsid w:val="51EAD36B"/>
    <w:multiLevelType w:val="hybridMultilevel"/>
    <w:lvl w:ilvl="0">
      <w:lvlJc w:val="left"/>
      <w:lvlText w:val="(%1)"/>
      <w:numFmt w:val="decimal"/>
      <w:start w:val="9"/>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4"/>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lowerRoman"/>
      <w:start w:val="2"/>
    </w:lvl>
  </w:abstractNum>
  <w:abstractNum w:abstractNumId="20">
    <w:nsid w:val="70A64E2A"/>
    <w:multiLevelType w:val="hybridMultilevel"/>
    <w:lvl w:ilvl="0">
      <w:lvlJc w:val="left"/>
      <w:lvlText w:val="(%1)"/>
      <w:numFmt w:val="lowerRoman"/>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2"/>
    </w:lvl>
  </w:abstractNum>
  <w:abstractNum w:abstractNumId="23">
    <w:nsid w:val="1D4ED43B"/>
    <w:multiLevelType w:val="hybridMultilevel"/>
    <w:lvl w:ilvl="0">
      <w:lvlJc w:val="left"/>
      <w:lvlText w:val="(%1)"/>
      <w:numFmt w:val="lowerRoman"/>
      <w:start w:val="1"/>
    </w:lvl>
  </w:abstractNum>
  <w:abstractNum w:abstractNumId="24">
    <w:nsid w:val="725A06FB"/>
    <w:multiLevelType w:val="hybridMultilevel"/>
    <w:lvl w:ilvl="0">
      <w:lvlJc w:val="left"/>
      <w:lvlText w:val="(%1)"/>
      <w:numFmt w:val="lowerRoman"/>
      <w:start w:val="3"/>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lvl w:ilvl="1">
      <w:lvlJc w:val="left"/>
      <w:lvlText w:val="(%2)"/>
      <w:numFmt w:val="lowerLetter"/>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lowerRoman"/>
      <w:start w:val="1"/>
    </w:lvl>
    <w:lvl w:ilvl="1">
      <w:lvlJc w:val="left"/>
      <w:lvlText w:val="(%2)"/>
      <w:numFmt w:val="lowerLetter"/>
      <w:start w:val="11"/>
    </w:lvl>
  </w:abstractNum>
  <w:abstractNum w:abstractNumId="30">
    <w:nsid w:val="6DE91B18"/>
    <w:multiLevelType w:val="hybridMultilevel"/>
    <w:lvl w:ilvl="0">
      <w:lvlJc w:val="left"/>
      <w:lvlText w:val="(%1)"/>
      <w:numFmt w:val="lowerRoman"/>
      <w:start w:val="2"/>
    </w:lvl>
    <w:lvl w:ilvl="1">
      <w:lvlJc w:val="left"/>
      <w:lvlText w:val="(%2)"/>
      <w:numFmt w:val="lowerLetter"/>
      <w:start w:val="12"/>
    </w:lvl>
  </w:abstractNum>
  <w:abstractNum w:abstractNumId="31">
    <w:nsid w:val="38437FDB"/>
    <w:multiLevelType w:val="hybridMultilevel"/>
    <w:lvl w:ilvl="0">
      <w:lvlJc w:val="left"/>
      <w:lvlText w:val="(%1)"/>
      <w:numFmt w:val="lowerLetter"/>
      <w:start w:val="22"/>
    </w:lvl>
  </w:abstractNum>
  <w:abstractNum w:abstractNumId="32">
    <w:nsid w:val="7644A45C"/>
    <w:multiLevelType w:val="hybridMultilevel"/>
    <w:lvl w:ilvl="0">
      <w:lvlJc w:val="left"/>
      <w:lvlText w:val="(%1)"/>
      <w:numFmt w:val="lowerLetter"/>
      <w:start w:val="27"/>
    </w:lvl>
  </w:abstractNum>
  <w:abstractNum w:abstractNumId="33">
    <w:nsid w:val="32FFF902"/>
    <w:multiLevelType w:val="hybridMultilevel"/>
    <w:lvl w:ilvl="0">
      <w:lvlJc w:val="left"/>
      <w:lvlText w:val="%1"/>
      <w:numFmt w:val="decimal"/>
      <w:start w:val="1"/>
    </w:lvl>
    <w:lvl w:ilvl="1">
      <w:lvlJc w:val="left"/>
      <w:lvlText w:val="(%2)"/>
      <w:numFmt w:val="lowerLetter"/>
      <w:start w:val="35"/>
    </w:lvl>
  </w:abstractNum>
  <w:abstractNum w:abstractNumId="34">
    <w:nsid w:val="684A481A"/>
    <w:multiLevelType w:val="hybridMultilevel"/>
    <w:lvl w:ilvl="0">
      <w:lvlJc w:val="left"/>
      <w:lvlText w:val="%1."/>
      <w:numFmt w:val="decimal"/>
      <w:start w:val="3"/>
    </w:lvl>
    <w:lvl w:ilvl="1">
      <w:lvlJc w:val="left"/>
      <w:lvlText w:val="(%2)"/>
      <w:numFmt w:val="lowerLetter"/>
      <w:start w:val="1"/>
    </w:lvl>
  </w:abstractNum>
  <w:abstractNum w:abstractNumId="35">
    <w:nsid w:val="579478F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6">
    <w:nsid w:val="749ABB43"/>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7">
    <w:nsid w:val="3DC240F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38">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9">
    <w:nsid w:val="79A1DEA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
    <w:nsid w:val="75C6C33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1">
    <w:nsid w:val="12E685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2">
    <w:nsid w:val="70C6A529"/>
    <w:multiLevelType w:val="hybridMultilevel"/>
    <w:lvl w:ilvl="0">
      <w:lvlJc w:val="left"/>
      <w:lvlText w:val="%1"/>
      <w:numFmt w:val="lowerLetter"/>
      <w:start w:val="1"/>
    </w:lvl>
    <w:lvl w:ilvl="1">
      <w:lvlJc w:val="left"/>
      <w:lvlText w:val="(%2)"/>
      <w:numFmt w:val="lowerLetter"/>
      <w:start w:val="61"/>
    </w:lvl>
  </w:abstractNum>
  <w:abstractNum w:abstractNumId="43">
    <w:nsid w:val="520EEDD1"/>
    <w:multiLevelType w:val="hybridMultilevel"/>
    <w:lvl w:ilvl="0">
      <w:lvlJc w:val="left"/>
      <w:lvlText w:val="(%1)"/>
      <w:numFmt w:val="lowerLetter"/>
      <w:start w:val="4"/>
    </w:lvl>
    <w:lvl w:ilvl="1">
      <w:lvlJc w:val="left"/>
      <w:lvlText w:val="(%2)"/>
      <w:numFmt w:val="lowerLetter"/>
      <w:start w:val="9"/>
    </w:lvl>
  </w:abstractNum>
  <w:abstractNum w:abstractNumId="44">
    <w:nsid w:val="374A3FE6"/>
    <w:multiLevelType w:val="hybridMultilevel"/>
    <w:lvl w:ilvl="0">
      <w:lvlJc w:val="left"/>
      <w:lvlText w:val="(%1)"/>
      <w:numFmt w:val="lowerRoman"/>
      <w:start w:val="2"/>
    </w:lvl>
  </w:abstractNum>
  <w:abstractNum w:abstractNumId="45">
    <w:nsid w:val="4F4EF005"/>
    <w:multiLevelType w:val="hybridMultilevel"/>
    <w:lvl w:ilvl="0">
      <w:lvlJc w:val="left"/>
      <w:lvlText w:val="%1"/>
      <w:numFmt w:val="lowerLetter"/>
      <w:start w:val="1"/>
    </w:lvl>
    <w:lvl w:ilvl="1">
      <w:lvlJc w:val="left"/>
      <w:lvlText w:val="(%2)"/>
      <w:numFmt w:val="lowerRoman"/>
      <w:start w:val="1"/>
    </w:lvl>
  </w:abstractNum>
  <w:abstractNum w:abstractNumId="46">
    <w:nsid w:val="23F9C13C"/>
    <w:multiLevelType w:val="hybridMultilevel"/>
    <w:lvl w:ilvl="0">
      <w:lvlJc w:val="left"/>
      <w:lvlText w:val="(%1)"/>
      <w:numFmt w:val="lowerLetter"/>
      <w:start w:val="6"/>
    </w:lvl>
    <w:lvl w:ilvl="1">
      <w:lvlJc w:val="left"/>
      <w:lvlText w:val="%2"/>
      <w:numFmt w:val="lowerRoman"/>
      <w:start w:val="1"/>
    </w:lvl>
  </w:abstractNum>
  <w:abstractNum w:abstractNumId="47">
    <w:nsid w:val="649BB77C"/>
    <w:multiLevelType w:val="hybridMultilevel"/>
    <w:lvl w:ilvl="0">
      <w:lvlJc w:val="left"/>
      <w:lvlText w:val="%1"/>
      <w:numFmt w:val="decimal"/>
      <w:start w:val="1"/>
    </w:lvl>
    <w:lvl w:ilvl="1">
      <w:lvlJc w:val="left"/>
      <w:lvlText w:val="(%2)"/>
      <w:numFmt w:val="lowerLetter"/>
      <w:start w:val="8"/>
    </w:lvl>
  </w:abstractNum>
  <w:abstractNum w:abstractNumId="48">
    <w:nsid w:val="275AC794"/>
    <w:multiLevelType w:val="hybridMultilevel"/>
    <w:lvl w:ilvl="0">
      <w:lvlJc w:val="left"/>
      <w:lvlText w:val="%1."/>
      <w:numFmt w:val="decimal"/>
      <w:start w:val="7"/>
    </w:lvl>
    <w:lvl w:ilvl="1">
      <w:lvlJc w:val="left"/>
      <w:lvlText w:val="(%2)"/>
      <w:numFmt w:val="lowerLetter"/>
      <w:start w:val="1"/>
    </w:lvl>
  </w:abstractNum>
  <w:abstractNum w:abstractNumId="49">
    <w:nsid w:val="3938657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0">
    <w:nsid w:val="1CF10FD8"/>
    <w:multiLevelType w:val="hybridMultilevel"/>
    <w:lvl w:ilvl="0">
      <w:lvlJc w:val="left"/>
      <w:lvlText w:val="(%1)"/>
      <w:numFmt w:val="upperLetter"/>
      <w:start w:val="2"/>
    </w:lvl>
  </w:abstractNum>
  <w:abstractNum w:abstractNumId="51">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2">
    <w:nsid w:val="235BA86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3">
    <w:nsid w:val="47398C89"/>
    <w:multiLevelType w:val="hybridMultilevel"/>
    <w:lvl w:ilvl="0">
      <w:lvlJc w:val="left"/>
      <w:lvlText w:val="(%1)"/>
      <w:numFmt w:val="decimal"/>
      <w:start w:val="14"/>
    </w:lvl>
    <w:lvl w:ilvl="1">
      <w:lvlJc w:val="left"/>
      <w:lvlText w:val="%2."/>
      <w:numFmt w:val="decimal"/>
      <w:start w:val="8"/>
    </w:lvl>
    <w:lvl w:ilvl="2">
      <w:lvlJc w:val="left"/>
      <w:lvlText w:val="(%3)"/>
      <w:numFmt w:val="lowerLetter"/>
      <w:start w:val="3"/>
    </w:lvl>
    <w:lvl w:ilvl="3">
      <w:lvlJc w:val="left"/>
      <w:lvlText w:val="%4"/>
      <w:numFmt w:val="lowerRoman"/>
      <w:start w:val="1"/>
    </w:lvl>
  </w:abstractNum>
  <w:abstractNum w:abstractNumId="54">
    <w:nsid w:val="354FE9F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5">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6">
    <w:nsid w:val="741226B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7">
    <w:nsid w:val="D34B6A8"/>
    <w:multiLevelType w:val="hybridMultilevel"/>
    <w:lvl w:ilvl="0">
      <w:lvlJc w:val="left"/>
      <w:lvlText w:val="(%1)"/>
      <w:numFmt w:val="lowerLetter"/>
      <w:start w:val="2"/>
    </w:lvl>
    <w:lvl w:ilvl="1">
      <w:lvlJc w:val="left"/>
      <w:lvlText w:val="(%2)"/>
      <w:numFmt w:val="lowerRoman"/>
      <w:start w:val="1"/>
    </w:lvl>
  </w:abstractNum>
  <w:abstractNum w:abstractNumId="58">
    <w:nsid w:val="10233C9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59">
    <w:nsid w:val="3F6AB60F"/>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60">
    <w:nsid w:val="61574095"/>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61">
    <w:nsid w:val="7E0C57B1"/>
    <w:multiLevelType w:val="hybridMultilevel"/>
    <w:lvl w:ilvl="0">
      <w:lvlJc w:val="left"/>
      <w:lvlText w:val="%1"/>
      <w:numFmt w:val="lowerLetter"/>
      <w:start w:val="1"/>
    </w:lvl>
    <w:lvl w:ilvl="1">
      <w:lvlJc w:val="left"/>
      <w:lvlText w:val="(%2)"/>
      <w:numFmt w:val="lowerLetter"/>
      <w:start w:val="7"/>
    </w:lvl>
  </w:abstractNum>
  <w:abstractNum w:abstractNumId="62">
    <w:nsid w:val="77AE35EB"/>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2019-12-07T01:06:32Z</dcterms:created>
  <dcterms:modified xsi:type="dcterms:W3CDTF">2019-12-07T01:06:32Z</dcterms:modified>
</cp:coreProperties>
</file>