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282575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43"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254000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5940" w:type="dxa"/>
            <w:vAlign w:val="bottom"/>
          </w:tcPr>
          <w:p>
            <w:pPr>
              <w:jc w:val="center"/>
              <w:ind w:right="34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2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4"/>
              </w:rPr>
              <w:t>of incorporation)</w:t>
            </w:r>
          </w:p>
        </w:tc>
        <w:tc>
          <w:tcPr>
            <w:tcW w:w="1420" w:type="dxa"/>
            <w:vAlign w:val="bottom"/>
          </w:tcPr>
          <w:p>
            <w:pPr>
              <w:jc w:val="center"/>
              <w:ind w:left="2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4960 Peachtree Industrial Blvd.,</w:t>
            </w:r>
          </w:p>
        </w:tc>
        <w:tc>
          <w:tcPr>
            <w:tcW w:w="1420" w:type="dxa"/>
            <w:vAlign w:val="bottom"/>
          </w:tcPr>
          <w:p>
            <w:pPr>
              <w:spacing w:after="0"/>
              <w:rPr>
                <w:sz w:val="24"/>
                <w:szCs w:val="24"/>
                <w:color w:val="auto"/>
              </w:rPr>
            </w:pPr>
          </w:p>
        </w:tc>
      </w:tr>
      <w:tr>
        <w:trPr>
          <w:trHeight w:val="225"/>
        </w:trPr>
        <w:tc>
          <w:tcPr>
            <w:tcW w:w="5940" w:type="dxa"/>
            <w:vAlign w:val="bottom"/>
          </w:tcPr>
          <w:p>
            <w:pPr>
              <w:jc w:val="center"/>
              <w:ind w:right="3419"/>
              <w:spacing w:after="0"/>
              <w:rPr>
                <w:sz w:val="20"/>
                <w:szCs w:val="20"/>
                <w:color w:val="auto"/>
              </w:rPr>
            </w:pPr>
            <w:r>
              <w:rPr>
                <w:rFonts w:ascii="Arial" w:cs="Arial" w:eastAsia="Arial" w:hAnsi="Arial"/>
                <w:sz w:val="18"/>
                <w:szCs w:val="18"/>
                <w:b w:val="1"/>
                <w:bCs w:val="1"/>
                <w:color w:val="auto"/>
                <w:w w:val="89"/>
              </w:rPr>
              <w:t>Suite 240, Norcross, GA</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0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5940" w:type="dxa"/>
            <w:vAlign w:val="bottom"/>
          </w:tcPr>
          <w:p>
            <w:pPr>
              <w:jc w:val="right"/>
              <w:ind w:right="1339"/>
              <w:spacing w:after="0"/>
              <w:rPr>
                <w:sz w:val="20"/>
                <w:szCs w:val="20"/>
                <w:color w:val="auto"/>
              </w:rPr>
            </w:pPr>
            <w:r>
              <w:rPr>
                <w:rFonts w:ascii="Arial" w:cs="Arial" w:eastAsia="Arial" w:hAnsi="Arial"/>
                <w:sz w:val="18"/>
                <w:szCs w:val="18"/>
                <w:b w:val="1"/>
                <w:bCs w:val="1"/>
                <w:color w:val="auto"/>
              </w:rPr>
              <w:t>(678) 620-3186</w:t>
            </w:r>
          </w:p>
        </w:tc>
        <w:tc>
          <w:tcPr>
            <w:tcW w:w="1420" w:type="dxa"/>
            <w:vAlign w:val="bottom"/>
          </w:tcPr>
          <w:p>
            <w:pPr>
              <w:spacing w:after="0"/>
              <w:rPr>
                <w:sz w:val="24"/>
                <w:szCs w:val="24"/>
                <w:color w:val="auto"/>
              </w:rPr>
            </w:pPr>
          </w:p>
        </w:tc>
      </w:tr>
      <w:tr>
        <w:trPr>
          <w:trHeight w:val="186"/>
        </w:trPr>
        <w:tc>
          <w:tcPr>
            <w:tcW w:w="5940" w:type="dxa"/>
            <w:vAlign w:val="bottom"/>
          </w:tcPr>
          <w:p>
            <w:pPr>
              <w:jc w:val="center"/>
              <w:ind w:left="18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213360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20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200"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200"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3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22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22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60" w:type="dxa"/>
            <w:vAlign w:val="bottom"/>
          </w:tcPr>
          <w:p>
            <w:pPr>
              <w:ind w:left="322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200"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00"/>
        <w:spacing w:after="0" w:line="207" w:lineRule="exact"/>
        <w:tabs>
          <w:tab w:leader="none" w:pos="85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The number of shares outstanding of the registrant’s common stock as of November 7, 2018 was 41,136,738.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60" w:type="dxa"/>
            <w:vAlign w:val="bottom"/>
            <w:gridSpan w:val="8"/>
            <w:vMerge w:val="restart"/>
          </w:tcPr>
          <w:p>
            <w:pPr>
              <w:jc w:val="center"/>
              <w:ind w:right="2760"/>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60" w:type="dxa"/>
            <w:vAlign w:val="bottom"/>
            <w:gridSpan w:val="8"/>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5"/>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9600" w:type="dxa"/>
            <w:vAlign w:val="bottom"/>
            <w:gridSpan w:val="15"/>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2018 and December 31, 2017 (unaudited)</w:t>
              </w:r>
            </w:hyperlink>
          </w:p>
        </w:tc>
        <w:tc>
          <w:tcPr>
            <w:tcW w:w="4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9600" w:type="dxa"/>
            <w:vAlign w:val="bottom"/>
            <w:gridSpan w:val="1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for the Three and Nine Months Ended September 30, 2018 and 2017 (unaudited)</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2018 and 2017 (unaudited)</w:t>
              </w:r>
            </w:hyperlink>
          </w:p>
        </w:tc>
        <w:tc>
          <w:tcPr>
            <w:tcW w:w="7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8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4800" w:type="dxa"/>
            <w:vAlign w:val="bottom"/>
            <w:gridSpan w:val="5"/>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600" w:type="dxa"/>
            <w:vAlign w:val="bottom"/>
            <w:gridSpan w:val="1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140" w:type="dxa"/>
            <w:vAlign w:val="bottom"/>
            <w:gridSpan w:val="4"/>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600" w:type="dxa"/>
            <w:vAlign w:val="bottom"/>
            <w:gridSpan w:val="1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45"/>
        </w:trPr>
        <w:tc>
          <w:tcPr>
            <w:tcW w:w="9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260" w:type="dxa"/>
            <w:vAlign w:val="bottom"/>
            <w:gridSpan w:val="8"/>
          </w:tcPr>
          <w:p>
            <w:pPr>
              <w:jc w:val="center"/>
              <w:ind w:right="2760"/>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260" w:type="dxa"/>
            <w:vAlign w:val="bottom"/>
            <w:gridSpan w:val="10"/>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5240" w:type="dxa"/>
            <w:vAlign w:val="bottom"/>
            <w:gridSpan w:val="6"/>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Defaults Upon Senior Securities</w:t>
              </w:r>
            </w:hyperlink>
          </w:p>
        </w:tc>
        <w:tc>
          <w:tcPr>
            <w:tcW w:w="7260" w:type="dxa"/>
            <w:vAlign w:val="bottom"/>
            <w:gridSpan w:val="8"/>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Mine Safety Disclosures</w:t>
              </w:r>
            </w:hyperlink>
          </w:p>
        </w:tc>
        <w:tc>
          <w:tcPr>
            <w:tcW w:w="7820" w:type="dxa"/>
            <w:vAlign w:val="bottom"/>
            <w:gridSpan w:val="9"/>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600" w:type="dxa"/>
            <w:vAlign w:val="bottom"/>
            <w:gridSpan w:val="1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8280" w:type="dxa"/>
            <w:vAlign w:val="bottom"/>
            <w:gridSpan w:val="11"/>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0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85"/>
        </w:trPr>
        <w:tc>
          <w:tcPr>
            <w:tcW w:w="9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0" w:type="dxa"/>
            <w:vAlign w:val="bottom"/>
            <w:gridSpan w:val="9"/>
          </w:tcPr>
          <w:p>
            <w:pPr>
              <w:jc w:val="center"/>
              <w:ind w:left="4130"/>
              <w:spacing w:after="0"/>
              <w:rPr>
                <w:sz w:val="20"/>
                <w:szCs w:val="20"/>
                <w:color w:val="auto"/>
              </w:rPr>
            </w:pPr>
            <w:r>
              <w:rPr>
                <w:rFonts w:ascii="Arial" w:cs="Arial" w:eastAsia="Arial" w:hAnsi="Arial"/>
                <w:sz w:val="18"/>
                <w:szCs w:val="18"/>
                <w:color w:val="auto"/>
                <w:w w:val="99"/>
              </w:rPr>
              <w:t>2</w:t>
            </w: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50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tcPr>
          <w:p>
            <w:pPr>
              <w:ind w:left="5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Arial" w:cs="Arial" w:eastAsia="Arial" w:hAnsi="Arial"/>
                <w:sz w:val="18"/>
                <w:szCs w:val="18"/>
                <w:b w:val="1"/>
                <w:bCs w:val="1"/>
                <w:color w:val="auto"/>
              </w:rPr>
              <w:t>EQUITY (DEFICIT)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tcPr>
          <w:p>
            <w:pPr>
              <w:spacing w:after="0" w:line="201" w:lineRule="exact"/>
              <w:rPr>
                <w:sz w:val="20"/>
                <w:szCs w:val="20"/>
                <w:color w:val="auto"/>
              </w:rPr>
            </w:pPr>
            <w:r>
              <w:rPr>
                <w:rFonts w:ascii="Arial" w:cs="Arial" w:eastAsia="Arial" w:hAnsi="Arial"/>
                <w:sz w:val="18"/>
                <w:szCs w:val="18"/>
                <w:color w:val="auto"/>
                <w:w w:val="91"/>
              </w:rPr>
              <w:t>Series C super dividend convertible preferred stock; 1,000 shares authorized, 176 shares issued and outstanding</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w w:val="93"/>
              </w:rPr>
              <w:t>at September 30, 2018 and December 31, 2017, redemption value: $7,956,000, liquidation value: $1,760,000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at September 30, 2018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tcPr>
          <w:p>
            <w:pPr>
              <w:ind w:left="700"/>
              <w:spacing w:after="0" w:line="201" w:lineRule="exact"/>
              <w:rPr>
                <w:sz w:val="20"/>
                <w:szCs w:val="20"/>
                <w:color w:val="auto"/>
              </w:rPr>
            </w:pPr>
            <w:r>
              <w:rPr>
                <w:rFonts w:ascii="Arial" w:cs="Arial" w:eastAsia="Arial" w:hAnsi="Arial"/>
                <w:sz w:val="18"/>
                <w:szCs w:val="18"/>
                <w:color w:val="auto"/>
              </w:rPr>
              <w:t>Undesignated stock, $0.01 par value; 20,000,000 shares authorized, 20,000,000 designated at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880"/>
              <w:spacing w:after="0"/>
              <w:rPr>
                <w:sz w:val="20"/>
                <w:szCs w:val="20"/>
                <w:color w:val="auto"/>
              </w:rPr>
            </w:pPr>
            <w:r>
              <w:rPr>
                <w:rFonts w:ascii="Arial" w:cs="Arial" w:eastAsia="Arial" w:hAnsi="Arial"/>
                <w:sz w:val="18"/>
                <w:szCs w:val="18"/>
                <w:color w:val="auto"/>
              </w:rPr>
              <w:t>September 30, 2018 and December 31, 2017, respectively</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7"/>
              </w:rPr>
              <w:t>Series A 12% convertible preferred stock; 1,742,500 shares authorized, 1,352,500 and 1,377,500</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issued and outstanding at September 30, 2018 and December 31, 2017, respectively, liquidation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 $1,352,500 at September 30, 2018</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tcPr>
          <w:p>
            <w:pPr>
              <w:ind w:left="700"/>
              <w:spacing w:after="0" w:line="201" w:lineRule="exact"/>
              <w:rPr>
                <w:sz w:val="20"/>
                <w:szCs w:val="20"/>
                <w:color w:val="auto"/>
              </w:rPr>
            </w:pPr>
            <w:r>
              <w:rPr>
                <w:rFonts w:ascii="Arial" w:cs="Arial" w:eastAsia="Arial" w:hAnsi="Arial"/>
                <w:sz w:val="18"/>
                <w:szCs w:val="18"/>
                <w:color w:val="auto"/>
                <w:w w:val="97"/>
              </w:rPr>
              <w:t>Series B-1 12% convertible preferred stock; 900,000 shares authorized, issued and outstanding at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880"/>
              <w:spacing w:after="0"/>
              <w:rPr>
                <w:sz w:val="20"/>
                <w:szCs w:val="20"/>
                <w:color w:val="auto"/>
              </w:rPr>
            </w:pPr>
            <w:r>
              <w:rPr>
                <w:rFonts w:ascii="Arial" w:cs="Arial" w:eastAsia="Arial" w:hAnsi="Arial"/>
                <w:sz w:val="18"/>
                <w:szCs w:val="18"/>
                <w:color w:val="auto"/>
                <w:w w:val="94"/>
              </w:rPr>
              <w:t>September 30, 2018 and December 31, 2017, liquidation value $1,800,000 at September 30, 2018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5"/>
              </w:rPr>
              <w:t>Series B-2 12% convertible preferred stock; 2,100,000 shares authorized, issued and outstanding at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September 30, 2018 and December 31, 2017, liquidation value $4,200,000 at September 30, 2018</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tcPr>
          <w:p>
            <w:pPr>
              <w:ind w:left="700"/>
              <w:spacing w:after="0" w:line="201" w:lineRule="exact"/>
              <w:rPr>
                <w:sz w:val="20"/>
                <w:szCs w:val="20"/>
                <w:color w:val="auto"/>
              </w:rPr>
            </w:pPr>
            <w:r>
              <w:rPr>
                <w:rFonts w:ascii="Arial" w:cs="Arial" w:eastAsia="Arial" w:hAnsi="Arial"/>
                <w:sz w:val="18"/>
                <w:szCs w:val="18"/>
                <w:color w:val="auto"/>
              </w:rPr>
              <w:t>Series B-3 8% convertible preferred stock; 2,508,000 shares authorized, 2,508,000 issued and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80"/>
              <w:spacing w:after="0"/>
              <w:rPr>
                <w:sz w:val="20"/>
                <w:szCs w:val="20"/>
                <w:color w:val="auto"/>
              </w:rPr>
            </w:pPr>
            <w:r>
              <w:rPr>
                <w:rFonts w:ascii="Arial" w:cs="Arial" w:eastAsia="Arial" w:hAnsi="Arial"/>
                <w:sz w:val="18"/>
                <w:szCs w:val="18"/>
                <w:color w:val="auto"/>
              </w:rPr>
              <w:t>outstanding at September 30, 2018 and December 31, 2017, liquidation value $2,508,000 at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880"/>
              <w:spacing w:after="0"/>
              <w:rPr>
                <w:sz w:val="20"/>
                <w:szCs w:val="20"/>
                <w:color w:val="auto"/>
              </w:rPr>
            </w:pPr>
            <w:r>
              <w:rPr>
                <w:rFonts w:ascii="Arial" w:cs="Arial" w:eastAsia="Arial" w:hAnsi="Arial"/>
                <w:sz w:val="18"/>
                <w:szCs w:val="18"/>
                <w:color w:val="auto"/>
              </w:rPr>
              <w:t>September 30, 2018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5"/>
              </w:rPr>
              <w:t>Common stock, $0.001 par value; 100,000,000 and 50,000,000 shares authorized at September 30,</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2018 and December 31, 2017, respectively, 41,136,738 and 35,789,388 issued and outstanding at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September 30, 2018 and December 31, 2017, respectively</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192,843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Retained deficit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(192,866)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(181,168)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106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equity(deficit)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1,505</w:t>
            </w:r>
          </w:p>
        </w:tc>
        <w:tc>
          <w:tcPr>
            <w:tcW w:w="20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3,503</w:t>
            </w:r>
          </w:p>
        </w:tc>
        <w:tc>
          <w:tcPr>
            <w:tcW w:w="160" w:type="dxa"/>
            <w:vAlign w:val="bottom"/>
          </w:tcPr>
          <w:p>
            <w:pPr>
              <w:spacing w:after="0"/>
              <w:rPr>
                <w:sz w:val="18"/>
                <w:szCs w:val="18"/>
                <w:color w:val="auto"/>
              </w:rPr>
            </w:pPr>
          </w:p>
        </w:tc>
        <w:tc>
          <w:tcPr>
            <w:tcW w:w="34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5,279</w:t>
            </w:r>
          </w:p>
        </w:tc>
        <w:tc>
          <w:tcPr>
            <w:tcW w:w="200" w:type="dxa"/>
            <w:vAlign w:val="bottom"/>
          </w:tcPr>
          <w:p>
            <w:pPr>
              <w:spacing w:after="0"/>
              <w:rPr>
                <w:sz w:val="18"/>
                <w:szCs w:val="18"/>
                <w:color w:val="auto"/>
              </w:rPr>
            </w:pP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(13,874)</w:t>
            </w: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w:t>
            </w: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7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3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8"/>
              </w:rPr>
              <w:t>Weighted average common shares outstanding — basic and diluted</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35,165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34,600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Nine Months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right"/>
              <w:ind w:right="25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(10,850)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700"/>
              <w:spacing w:after="0"/>
              <w:rPr>
                <w:sz w:val="20"/>
                <w:szCs w:val="20"/>
                <w:color w:val="auto"/>
              </w:rPr>
            </w:pPr>
            <w:r>
              <w:rPr>
                <w:rFonts w:ascii="Arial" w:cs="Arial" w:eastAsia="Arial" w:hAnsi="Arial"/>
                <w:sz w:val="18"/>
                <w:szCs w:val="18"/>
                <w:color w:val="auto"/>
              </w:rPr>
              <w:t>Issuance of common stock for services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interest expense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assets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flows from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(11,988)</w:t>
            </w: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issuance of common stock and warrants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700"/>
              <w:spacing w:after="0"/>
              <w:rPr>
                <w:sz w:val="20"/>
                <w:szCs w:val="20"/>
                <w:color w:val="auto"/>
              </w:rPr>
            </w:pPr>
            <w:r>
              <w:rPr>
                <w:rFonts w:ascii="Arial" w:cs="Arial" w:eastAsia="Arial" w:hAnsi="Arial"/>
                <w:sz w:val="18"/>
                <w:szCs w:val="18"/>
                <w:color w:val="auto"/>
              </w:rPr>
              <w:t>Net cash flows from financing activities</w:t>
            </w:r>
          </w:p>
        </w:tc>
        <w:tc>
          <w:tcPr>
            <w:tcW w:w="1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15,255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10,136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ACTIVITIES:</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skin diseases and cancer. These candidates are based on the Company’s targeting of galectin proteins which are key mediators of biologic and pathologic functions. These compounds also may have application for drugs to treat other diseases and chronic health conditions.</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September 30, 2018 and the results of its operations for the three and nine months ended September 30, 2018 and 2017 and its cash flows for the nine months ended September 30, 2018 and 2017. All adjustments made to the interim financial statements include all those of a normal and recurring nature. Amounts presented in the condensed consolidated balance sheet as of December 31, 2017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2017.</w:t>
      </w:r>
    </w:p>
    <w:p>
      <w:pPr>
        <w:spacing w:after="0" w:line="18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Company has operated at a loss since its inception and has had no significant revenues. The Company anticipates that losses will continue for the foreseeable future. At September 30, 2018, the Company had $10.1 million of unrestricted cash and cash equivalents available to fund future operations. The Company believes there is sufficient cash, including availability of the line of credit (discussed in Note 3 below), to fund currently planned operations at least through September 30, 2019.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7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w w:val="89"/>
              </w:rPr>
              <w:t>September 30,</w:t>
            </w:r>
          </w:p>
        </w:tc>
        <w:tc>
          <w:tcPr>
            <w:tcW w:w="1500" w:type="dxa"/>
            <w:vAlign w:val="bottom"/>
            <w:gridSpan w:val="4"/>
          </w:tcPr>
          <w:p>
            <w:pPr>
              <w:ind w:left="640"/>
              <w:spacing w:after="0"/>
              <w:rPr>
                <w:sz w:val="20"/>
                <w:szCs w:val="20"/>
                <w:color w:val="auto"/>
              </w:rPr>
            </w:pPr>
            <w:r>
              <w:rPr>
                <w:rFonts w:ascii="Arial" w:cs="Arial" w:eastAsia="Arial" w:hAnsi="Arial"/>
                <w:sz w:val="14"/>
                <w:szCs w:val="14"/>
                <w:color w:val="auto"/>
                <w:w w:val="95"/>
              </w:rPr>
              <w:t>December 31,</w:t>
            </w: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ind w:left="56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costs and 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40" w:type="dxa"/>
            <w:vAlign w:val="bottom"/>
            <w:shd w:val="clear" w:color="auto" w:fill="CCEEFF"/>
          </w:tcPr>
          <w:p>
            <w:pPr>
              <w:spacing w:after="0"/>
              <w:rPr>
                <w:sz w:val="18"/>
                <w:szCs w:val="18"/>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Line of Credit</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On December 19, 2017, the Company entered into a $10 million Line of Credit arrangement with Richard E. Uihlein, a director and shareholder who has an approximate 7% ownership interest in the Company on a fully-diluted basis at December 31, 2017. Borrowings may be made by the Company through December 31, 2018. Borrowings bear interest at the Applicable Federal Rate for short term loans published by the Internal Revenue Service (1.51% on December 19, 2017). All borrowings and interest are due on December 31, 2019 but may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There have been no borrowings under the Line of Credit through September 30, 2018.</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fair value of the 500,000 warrants vested at closing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will be amortized</w:t>
      </w:r>
    </w:p>
    <w:p>
      <w:pPr>
        <w:sectPr>
          <w:pgSz w:w="11900" w:h="16838" w:orient="portrait"/>
          <w:cols w:equalWidth="0" w:num="1">
            <w:col w:w="11220"/>
          </w:cols>
          <w:pgMar w:left="240" w:top="459" w:right="439" w:bottom="1440" w:gutter="0" w:footer="0" w:header="0"/>
        </w:sectPr>
      </w:pP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on a straight-line basis from December 19, 2017 through December 31, 2019. Amortization for the three and nine months ended September 30, 2018 of $87,000 and $256,000, respectively, was recorded as interest expense. The fair value of warrants that vest in the future based on borrowings will be computed when those borrowings occur and amortized over the remaining period through December 31, 2019.</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320" w:type="dxa"/>
            <w:vAlign w:val="bottom"/>
          </w:tcPr>
          <w:p>
            <w:pPr>
              <w:spacing w:after="0"/>
              <w:rPr>
                <w:sz w:val="14"/>
                <w:szCs w:val="14"/>
                <w:color w:val="auto"/>
              </w:rPr>
            </w:pPr>
          </w:p>
        </w:tc>
        <w:tc>
          <w:tcPr>
            <w:tcW w:w="14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ind w:left="1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252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411</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663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2017 through September 30, 2018:</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67"/>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5,155,263</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1,011,875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(2,193,366)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(209,124)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2018</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3,764,648</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of September 30, 2018, there was $1,166,000 of unrecognized compensation related to 846,893 unvested options, which is expected to be recognized over a weighted–average period of approximately 0.25 years. The weighted-average grant date fair value for options granted during the nine months ended September 30, 2018 was $3.98. The Company granted 460,000 stock options in January 2018, of which 115,000 options vested upon grant with the remaining 345,000 options vesting over the remainder of 2018. Approximately $526,000 of non-cash, stock-based compensation expense was recorded during the three months ended March 31, 2018 related to the options granted in January 2018 that vested upon the grant date. Additionally, Company granted 506,875 stock options during May 2018, of which 115,000 options vested upon grant with the remaining 391,875 options vesting over the remainder of 2018. Approximately $433,000 of non-cash, stock-based compensation expense was recorded during the three months ended June 30, 2018 related to the options granted in May 2018 that vested upon the grant date.</w:t>
      </w:r>
    </w:p>
    <w:p>
      <w:pPr>
        <w:spacing w:after="0" w:line="179"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color w:val="auto"/>
                <w:w w:val="97"/>
              </w:rPr>
              <w:t>Nine</w:t>
            </w:r>
          </w:p>
        </w:tc>
        <w:tc>
          <w:tcPr>
            <w:tcW w:w="34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Nine</w:t>
            </w: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520" w:type="dxa"/>
            <w:vAlign w:val="bottom"/>
            <w:gridSpan w:val="3"/>
          </w:tcPr>
          <w:p>
            <w:pPr>
              <w:jc w:val="center"/>
              <w:ind w:left="1594"/>
              <w:spacing w:after="0" w:line="149" w:lineRule="exact"/>
              <w:rPr>
                <w:sz w:val="20"/>
                <w:szCs w:val="20"/>
                <w:color w:val="auto"/>
              </w:rPr>
            </w:pPr>
            <w:r>
              <w:rPr>
                <w:rFonts w:ascii="Arial" w:cs="Arial" w:eastAsia="Arial" w:hAnsi="Arial"/>
                <w:sz w:val="14"/>
                <w:szCs w:val="14"/>
                <w:color w:val="auto"/>
                <w:w w:val="92"/>
              </w:rPr>
              <w:t>Months Ended</w:t>
            </w:r>
          </w:p>
        </w:tc>
        <w:tc>
          <w:tcPr>
            <w:tcW w:w="1240" w:type="dxa"/>
            <w:vAlign w:val="bottom"/>
            <w:gridSpan w:val="3"/>
          </w:tcPr>
          <w:p>
            <w:pPr>
              <w:jc w:val="center"/>
              <w:ind w:left="208"/>
              <w:spacing w:after="0" w:line="149" w:lineRule="exact"/>
              <w:rPr>
                <w:sz w:val="20"/>
                <w:szCs w:val="20"/>
                <w:color w:val="auto"/>
              </w:rPr>
            </w:pPr>
            <w:r>
              <w:rPr>
                <w:rFonts w:ascii="Arial" w:cs="Arial" w:eastAsia="Arial" w:hAnsi="Arial"/>
                <w:sz w:val="14"/>
                <w:szCs w:val="14"/>
                <w:color w:val="auto"/>
                <w:w w:val="92"/>
              </w:rPr>
              <w:t>Months Ended</w:t>
            </w: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9"/>
              </w:rPr>
              <w:t>September 30,</w:t>
            </w:r>
          </w:p>
        </w:tc>
        <w:tc>
          <w:tcPr>
            <w:tcW w:w="34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September 30,</w:t>
            </w:r>
          </w:p>
        </w:tc>
      </w:tr>
      <w:tr>
        <w:trPr>
          <w:trHeight w:val="167"/>
        </w:trPr>
        <w:tc>
          <w:tcPr>
            <w:tcW w:w="20" w:type="dxa"/>
            <w:vAlign w:val="bottom"/>
          </w:tcPr>
          <w:p>
            <w:pPr>
              <w:spacing w:after="0"/>
              <w:rPr>
                <w:sz w:val="14"/>
                <w:szCs w:val="14"/>
                <w:color w:val="auto"/>
              </w:rPr>
            </w:pPr>
          </w:p>
        </w:tc>
        <w:tc>
          <w:tcPr>
            <w:tcW w:w="360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2018</w:t>
            </w: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2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5.7 years</w:t>
            </w:r>
          </w:p>
        </w:tc>
        <w:tc>
          <w:tcPr>
            <w:tcW w:w="34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3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352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350"/>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80" w:type="dxa"/>
            <w:vAlign w:val="bottom"/>
          </w:tcPr>
          <w:p>
            <w:pPr>
              <w:jc w:val="right"/>
              <w:ind w:right="1474"/>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Common Stock Warrants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common stock warrant activity from December 31, 2017 through September 30, 2018:</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13,229,778</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(2,533,042)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10,697,026</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At times, 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September 30, 2018 or December 31, 2017.</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Loss Per Share</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9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September 30,</w:t>
            </w:r>
          </w:p>
        </w:tc>
        <w:tc>
          <w:tcPr>
            <w:tcW w:w="36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September 30,</w:t>
            </w: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2018</w:t>
            </w:r>
          </w:p>
        </w:tc>
        <w:tc>
          <w:tcPr>
            <w:tcW w:w="1240" w:type="dxa"/>
            <w:vAlign w:val="bottom"/>
            <w:gridSpan w:val="2"/>
          </w:tcPr>
          <w:p>
            <w:pPr>
              <w:jc w:val="center"/>
              <w:ind w:left="276"/>
              <w:spacing w:after="0" w:line="149" w:lineRule="exact"/>
              <w:rPr>
                <w:sz w:val="20"/>
                <w:szCs w:val="20"/>
                <w:color w:val="auto"/>
              </w:rPr>
            </w:pPr>
            <w:r>
              <w:rPr>
                <w:rFonts w:ascii="Arial" w:cs="Arial" w:eastAsia="Arial" w:hAnsi="Arial"/>
                <w:sz w:val="14"/>
                <w:szCs w:val="14"/>
                <w:color w:val="auto"/>
                <w:w w:val="89"/>
              </w:rPr>
              <w:t>2017</w:t>
            </w:r>
          </w:p>
        </w:tc>
        <w:tc>
          <w:tcPr>
            <w:tcW w:w="4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(shares)</w:t>
            </w:r>
          </w:p>
        </w:tc>
        <w:tc>
          <w:tcPr>
            <w:tcW w:w="36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(shares)</w:t>
            </w: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10,697,026</w:t>
            </w: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12,249,590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3,764,648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4,656,888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4,308,115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4,312,282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18,769,789</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21,218,760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2014 At Market Issuance of Common Stock</w:t>
      </w:r>
    </w:p>
    <w:p>
      <w:pPr>
        <w:spacing w:after="0" w:line="117"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6"/>
          <w:szCs w:val="16"/>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w:t>
      </w:r>
    </w:p>
    <w:p>
      <w:pPr>
        <w:spacing w:after="0" w:line="2"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3.0% of the gross proceeds from the sale of any shares of common stock sold through the sales agent under the 2014 At Market Agreement. During the three months ended March 31, 2017, the Company issued 1,496,797 shares of common stock for net proceeds of approximately $1,945,000 under the 2014 At Market Agreement. The 2014 At Market Agreement expired in March 2017.</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At Market Issuance of Common Stock</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June 2018, the Company issued 618,614 shares of common stock for net proceeds of approximately $5,241,000 under the 2017 At Market Agreement. In July 2018, the Company issued 51,100 shares of common stock for net proceeds of approximately $362,000 under the 2017 At Market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Private Placement</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On February 28, 2017, the Company closed a transaction with five individual investors through a private placement of common stock and warrants. In total, the Company issued 102,368 shares of common stock for proceeds of $200,000. The Company also issued, to the five investors, warrants to purchase 76,776 shares of common stock at $5.00 per share. The warrants have an expiration date of February 28, 2024. The exercise price of each warrant is adjustable in the event of a stock split or stock combination, capital reorganization, merger or similar event. The warrants were valued at approximately $101,000 as of the date of issuance, using the closing price of $1.86, a life of 7 years, a volatility of 97% and a risk-free interest rate of 1.92%.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2018, the Company entered an agreement with a vendor whereby the Company will issue common stock to vendor in lieu of paying in cash in amount up to $100,000 for the year. For the nine months ended September 30, 2018, the Company has issued 2,883 shares of common stock and 290 warrants to purchase shares of common stock pursuant to this agreement and the value of such shares has been recorded as research and development expense.</w:t>
      </w:r>
    </w:p>
    <w:p>
      <w:pPr>
        <w:spacing w:after="0" w:line="18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For the nine months ended September 30, 2018, the Company has issued a total of 166,072 shares of common stock for dividends on Series A, Series B and Series C Preferred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significant pending legal proceedings.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Galectin Sciences LLC</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January 2014, we created Galectin Sciences, LLC (the “LLC” or “Investee”), a collaborative joint venture co-owned by SBH Sciences, Inc.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(“SBH”), to research and develop small organic molecule inhibitors of galectin-3 for oral administration. The LLC was initially capitalized with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$400,000 cash investment to fund future research and development activities, which was provided by the Company, and specific in-process research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development (“IPR&amp;D”) contributed by SBH. The estimated fair value of the IPR&amp;D contributed by SBH, on the date of contribution, was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$400,000. Initially, the Company and SBH each had a 50% equity ownership interest in the LLC, with neither party having control over the</w:t>
      </w:r>
    </w:p>
    <w:p>
      <w:pPr>
        <w:spacing w:after="0" w:line="9"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Since then, the Company has contributed a total of $1,756,000, including $34,000 for the three months ended September 30, 2018, for expenses of the LLC. Since the end of 2014, SBH has contributed $123,000 for expenses in the LLC. As of September 30, 2018, the Company’s ownership percentage in the LLC was 80.5%. The Company accounts for the interest in the LLC as a consolidated, less than wholly owned subsidiary. Because the LLC’s equity is immaterial, the value of the non-controlling interest is also deemed to be immaterial.</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September 30, 2019;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060" w:right="62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060" w:right="280" w:hanging="424"/>
        <w:spacing w:after="0" w:line="34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 and</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readily-available plant products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16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lead galectin-3 inhibitor is GR-MD-02, which has been demonstrated in preclinical models to reverse liver fibrosis and cirrhosis. GR-MD-02 has the potential to treat many diseases due to galectin-3’s involvement in multiple key biological pathways such as immune cell function and immunity, cell differentiation, cell growth, and apoptosis (cell death). Galectin Therapeutics Inc. is using this inhibitor to treat advanced liver fibrosis and liver cirrhosis in NASH (non-alcoholic steatohepatitis) patients. We have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completed two Phase 1 clinical studies, a Phase 2 clinical study in NASH patients with advanced fibrosis (NASH-FX) and a second Phase 2B clinical trial in NASH patients with well compensated cirrhosis. We announced, in December 2017, top line results from our Phase 2b study in NASH patients with cirrhosis (NASH-CX). 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cellular level, ultimately showing a strong anti-fibrotic potential may provide a novel treatment for various forms of liver fibrosis.</w:t>
      </w:r>
    </w:p>
    <w:p>
      <w:pPr>
        <w:spacing w:after="0" w:line="17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We are also pursuing a development pathway to clinical enhancement and commercialization for our lead compounds in immuno-oncology for cancer therapy and severe skin disease including moderate to severe plaque psoriasis and severe atopic dermatitis. However, our clinical development efforts are focused on both liver fibrosis and fatty liver disease as represented by a Phase 2 clinical trial in NASH-cirrhosis which reported top line data in December 2017. All of our proposed products are presently in development, including pre-clinical and clinical trials.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9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have one new proprietary chemical entity (NCE) in development, GR-MD-02, which has shown promise in preclinical and early clinical studies in treatment of fibrosis, severe skin disease, and in cancer therapy. Currently we are focusing on development of GR-MD-02 intended to be used in the treatment of liver fibrosis associated with fatty liver disease (NASH) and more specifically in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Our product pipeline is shown below:</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Indication</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Fibrosis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NASH with Advanced Fibrosis: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NASH-CX trial and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NASH-FX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Lung Fibrosis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Kidney Fibrosis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Cardiac and Vascular Fibrosis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Cancer Immunotherapy</w:t>
      </w:r>
    </w:p>
    <w:p>
      <w:pPr>
        <w:spacing w:after="0" w:line="27" w:lineRule="exact"/>
        <w:rPr>
          <w:sz w:val="20"/>
          <w:szCs w:val="20"/>
          <w:color w:val="auto"/>
        </w:rPr>
      </w:pPr>
    </w:p>
    <w:p>
      <w:pPr>
        <w:ind w:left="200" w:right="1600"/>
        <w:spacing w:after="0" w:line="261" w:lineRule="auto"/>
        <w:rPr>
          <w:sz w:val="20"/>
          <w:szCs w:val="20"/>
          <w:color w:val="auto"/>
        </w:rPr>
      </w:pPr>
      <w:r>
        <w:rPr>
          <w:rFonts w:ascii="Arial" w:cs="Arial" w:eastAsia="Arial" w:hAnsi="Arial"/>
          <w:sz w:val="18"/>
          <w:szCs w:val="18"/>
          <w:color w:val="auto"/>
        </w:rPr>
        <w:t>Melanoma, Head, Neck Squamous Cell Carcinoma (HNSCC)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Psoriasis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Moderate to Severe Plaque Psoriasis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Severe Atopic Dermatitis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-918845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GM-CT-01</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Status</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IND submitted January 2013. Results from the Phase 1 clinical trial were reported in 2014, with final results reported in January 2015. End of Phase 1 meeting held with FDA in 2014. Two Phase 2 clinical trials were designed.</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NASH FX trial was designed for patients with advanced fibrosis but not cirrhosis. The NASH FX trial top line data was reported in September 2016</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NASH CX trial was designed for patients with well compensated cirrhosis. The NASH CX trial top line data was reported in December 2017 and additional results derived from the study were presented subsequently.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in active development</w:t>
      </w:r>
    </w:p>
    <w:p>
      <w:pPr>
        <w:spacing w:after="0" w:line="21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Investigator IND submitted in December 2013. Phase 1B study in process. A second Phase 1B study began in Q-1 2016. Investigator IND for that study submitted in September 2015. Early data was reported in February 2017 and data from the 3</w:t>
      </w:r>
      <w:r>
        <w:rPr>
          <w:rFonts w:ascii="Arial" w:cs="Arial" w:eastAsia="Arial" w:hAnsi="Arial"/>
          <w:sz w:val="13"/>
          <w:szCs w:val="13"/>
          <w:color w:val="auto"/>
        </w:rPr>
        <w:t>rd</w:t>
      </w:r>
      <w:r>
        <w:rPr>
          <w:rFonts w:ascii="Arial" w:cs="Arial" w:eastAsia="Arial" w:hAnsi="Arial"/>
          <w:sz w:val="16"/>
          <w:szCs w:val="16"/>
          <w:color w:val="auto"/>
        </w:rPr>
        <w:t xml:space="preserve"> cohort was reported in September 2018. The trial is being expanded to include additional patients at 4 mg/kg.</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IND submitted March 2015. A phase 2a trial in moderate to severe plaque psoriasis patients began in January 2016. Interim data on the first four patients were positive and were reported in May 2016. Further positive data was reported in September 2016. Investigator initiated IND submitted for treatment of three patients with severe atopic dermatitis, with positive preliminary data presented in February 2017.</w:t>
      </w:r>
    </w:p>
    <w:p>
      <w:pPr>
        <w:spacing w:after="0" w:line="178" w:lineRule="exact"/>
        <w:rPr>
          <w:sz w:val="20"/>
          <w:szCs w:val="20"/>
          <w:color w:val="auto"/>
        </w:rPr>
      </w:pPr>
    </w:p>
    <w:p>
      <w:pPr>
        <w:sectPr>
          <w:pgSz w:w="11900" w:h="16838" w:orient="portrait"/>
          <w:cols w:equalWidth="0" w:num="3">
            <w:col w:w="4660" w:space="720"/>
            <w:col w:w="840" w:space="300"/>
            <w:col w:w="4640"/>
          </w:cols>
          <w:pgMar w:left="240" w:top="459" w:right="499" w:bottom="1440" w:gutter="0" w:footer="0" w:header="0"/>
        </w:sectPr>
      </w:pPr>
    </w:p>
    <w:p>
      <w:pPr>
        <w:ind w:left="200" w:right="20" w:firstLine="441"/>
        <w:spacing w:after="0" w:line="268" w:lineRule="auto"/>
        <w:rPr>
          <w:sz w:val="20"/>
          <w:szCs w:val="20"/>
          <w:color w:val="auto"/>
        </w:rPr>
      </w:pPr>
      <w:r>
        <w:rPr>
          <w:rFonts w:ascii="Arial" w:cs="Arial" w:eastAsia="Arial" w:hAnsi="Arial"/>
          <w:sz w:val="17"/>
          <w:szCs w:val="17"/>
          <w:i w:val="1"/>
          <w:iCs w:val="1"/>
          <w:color w:val="auto"/>
        </w:rPr>
        <w:t xml:space="preserve">Fibrosis. </w:t>
      </w:r>
      <w:r>
        <w:rPr>
          <w:rFonts w:ascii="Arial" w:cs="Arial" w:eastAsia="Arial" w:hAnsi="Arial"/>
          <w:sz w:val="17"/>
          <w:szCs w:val="17"/>
          <w:color w:val="auto"/>
        </w:rPr>
        <w:t>GR-MD-02 is our lead product candidate for treatment of fibrotic disease. Our preclinical data show that GR-MD-02 has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U.S. Food and Drug Administration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The human pharmacokinetic data defined a drug dose for use in the planned Phase 2 trials based on extrapolation from efficacy data in NASH animal models of liver fibrosis and/or cirrhosis.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4"/>
          <w:szCs w:val="14"/>
          <w:color w:val="auto"/>
        </w:rPr>
        <w:t>®</w:t>
      </w:r>
      <w:r>
        <w:rPr>
          <w:rFonts w:ascii="Arial" w:cs="Arial" w:eastAsia="Arial" w:hAnsi="Arial"/>
          <w:sz w:val="17"/>
          <w:szCs w:val="17"/>
          <w:color w:val="auto"/>
        </w:rPr>
        <w:t>. An “End of Phase 1 Meeting” was held with FDA which, amongst other items, provided guidance on the primary endpoint for the Phase 2 clinical trial, the NASH-CX trial.</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the Company to expand the number of patients eligible for its Phase 2 clinical trial. In addition, should GR-MD-02 be approved for marketing, the success of this study supports a broader patient population for the drug label.</w:t>
      </w:r>
    </w:p>
    <w:p>
      <w:pPr>
        <w:spacing w:after="0" w:line="189"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Our Phase 2 program in fibrotic disease consists of two separate human clinical trials. The primary clinical trial is the Phase 2b NASH-CX study for one year for patients with NASH with well compensated cirrhosis, which began enrolling in June, 2015. This study is the primary focus of our program and is a randomized, placebo-controlled, double-blind, parallel-group Phase 2b trial to evaluate the safety and efficacy of GR-MD-02 for treatment of liver fibrosis and resultant portal hypertension in NASH patients with well compensated cirrhosis. A smaller, exploratory NASH-FX trial was conducted to explore potential use of various non-invasive imaging techniques in NASH patients with advanced fibrosis but not cirrhosis.</w:t>
      </w:r>
    </w:p>
    <w:p>
      <w:pPr>
        <w:sectPr>
          <w:pgSz w:w="11900" w:h="16838" w:orient="portrait"/>
          <w:cols w:equalWidth="0" w:num="1">
            <w:col w:w="11160"/>
          </w:cols>
          <w:pgMar w:left="240" w:top="459" w:right="499" w:bottom="1440" w:gutter="0" w:footer="0" w:header="0"/>
          <w:type w:val="continuous"/>
        </w:sectPr>
      </w:pP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60"/>
          </w:cols>
          <w:pgMar w:left="240" w:top="459" w:right="4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b w:val="1"/>
          <w:bCs w:val="1"/>
          <w:color w:val="auto"/>
        </w:rPr>
        <w:t xml:space="preserve">NASH-FX Trial: </w:t>
      </w:r>
      <w:r>
        <w:rPr>
          <w:rFonts w:ascii="Arial" w:cs="Arial" w:eastAsia="Arial" w:hAnsi="Arial"/>
          <w:sz w:val="16"/>
          <w:szCs w:val="16"/>
          <w:color w:val="auto"/>
        </w:rPr>
        <w:t>The NASH-FX trial, a Phase 2a pilot trial NASH-FX for patients with NASH advanced fibrosis that explored use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non-invasive imaging technologies, is now complete. It was a short,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3"/>
          <w:szCs w:val="13"/>
          <w:color w:val="auto"/>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13"/>
          <w:szCs w:val="13"/>
          <w:color w:val="auto"/>
        </w:rPr>
        <w:t>®</w:t>
      </w:r>
      <w:r>
        <w:rPr>
          <w:rFonts w:ascii="Arial" w:cs="Arial" w:eastAsia="Arial" w:hAnsi="Arial"/>
          <w:sz w:val="16"/>
          <w:szCs w:val="16"/>
          <w:color w:val="auto"/>
        </w:rPr>
        <w:t xml:space="preserve"> score. We, and many experts in the field, now believe that a four-month treatment period may not be sufficient to show efficacy results in established liver fibrosis. This small study was not powered for the secondary endpoints and thus, not surprisingly did not meet the secondary endpoints. In the trial, GR-MD-02 was found to be safe and well tolerated among the patient population with no serious adverse events. 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humans in an immune-mediated inflammatory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wide variety of animal models.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NASH-CX Trial: </w:t>
      </w:r>
      <w:r>
        <w:rPr>
          <w:rFonts w:ascii="Arial" w:cs="Arial" w:eastAsia="Arial" w:hAnsi="Arial"/>
          <w:sz w:val="16"/>
          <w:szCs w:val="16"/>
          <w:color w:val="auto"/>
        </w:rPr>
        <w:t>The NASH-CX trial was a larger well-designed multi-center clinical trial which explored use of GR-MD-02 for the treatment of</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liver fibrosis and resultant portal hypertension in patients with well-compensated NASH cirrhosis. Enrollment in this trial was completed in September,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and a total of 162 patients at 36 sites in the United States were randomized to receive either 2 mg/kg of GR-MD-02, 8 mg/kg of GR-MD-02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placebo, with approximately 54 patients in each group. The primary endpoint is a reduction in change in hepatic venous pressure gradient (HVPG).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Patients received an infusion every other week for one year, total of 26 infusions, and were evaluated to determine the change in HVPG as compared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placebo. HVPG was also correlated with secondary endpoints of fibrosis on liver biopsy as well as with measurement of liver stiffness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future studies. Top line data readout was reported in December 2017 demonstrating positive efficacy data and safety and clinically meaningful results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NASH patients with well compensated cirrhosis without esophageal varices (stage 1 cirrhosis).</w:t>
      </w:r>
    </w:p>
    <w:p>
      <w:pPr>
        <w:spacing w:after="0" w:line="21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the total patient population, the primary endpoint HVPG showed a trend toward benefit with GR-MD-02 treatment, but the difference from placebo was not statistically significant. The mean change in HVPG of placebo from baseline to week 54 was 0.3 mm Hg. The mean change in HVPG from baseline was -0.37 and -0.42 for the 2 mg/kg dose and 8 mg/kg dose of GR-MD-02, respectively.</w:t>
      </w:r>
    </w:p>
    <w:p>
      <w:pPr>
        <w:spacing w:after="0" w:line="181"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Further analysis showed that the drug effect was significantly dependent on dose “varices” in the total group of patients (p&lt;0.02). In those NASH cirrhosis patients without varices at baseline (about 50% of the total population), there was a statistically significant effect of the 2 mg/kg dose of GR-MD-02 on the absolute change in HVPG (-1.08 mm Hg, p&lt;0.01). The effect of the 8 mg/kg dose of GR-MD-02 on absolute or percent change in HVPG from baseline to week 54 was not significant. The population of patients without varices at baseline were further subdivided into those with mild portal hypertension (HVPG greater or equal to 6 mm Hg and less than 10 mm Hg). In patients with mild portal hypertension (MPH), both doses of GR-MD-02 demonstrated a statistically significant effect on change in HVPG. The mean change in HVPG in the MPH group were +1.8 mm Hg for placebo and -0.3 and -0.4 mm Hg in the 2 mg/kg and 8 mg/kg dose groups, respectively. In patients with clinically significant portal hypertension (HVPG greater than 10 Mm Hg) with no varices at baseline, there was a statistically significant effect of 2 mg/kg of GR-MD-02 on the change in HVPG.</w:t>
      </w:r>
    </w:p>
    <w:p>
      <w:pPr>
        <w:spacing w:after="0" w:line="19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responder analysis was performed on those patients without varices at baseline. Analysis was performed looking at two groups: those with an equal to or greater than 2 mm Hg decrease in HVPG from baseline or those with an equal to or greater than 2 mm Hg and greater than or equal to 20% decrease in HVPG from baseline. In both cases, the change observed in the GR-MD-02 2 mg/kg group was statistically significant (p&lt;0.01) while that of the 8 mg/kg group was not.</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 xml:space="preserve">Additional </w:t>
      </w:r>
      <w:r>
        <w:rPr>
          <w:rFonts w:ascii="Arial" w:cs="Arial" w:eastAsia="Arial" w:hAnsi="Arial"/>
          <w:sz w:val="18"/>
          <w:szCs w:val="18"/>
          <w:i w:val="1"/>
          <w:iCs w:val="1"/>
          <w:color w:val="auto"/>
        </w:rPr>
        <w:t>ad hoc</w:t>
      </w:r>
      <w:r>
        <w:rPr>
          <w:rFonts w:ascii="Arial" w:cs="Arial" w:eastAsia="Arial" w:hAnsi="Arial"/>
          <w:sz w:val="18"/>
          <w:szCs w:val="18"/>
          <w:color w:val="auto"/>
        </w:rPr>
        <w:t xml:space="preserve"> analysis examining the PK-PD correlation between human data and the mouse NASH model showed that the apparent lack of a dose response in the 8 mg/kg dose group (GR8) may be due to fact that a large number of patients in the GR8 group had very high levels of GR-MD-02. When the GR8 group patients were divided into groups with serum drug levels greater than 12,000 ug*hr/mL and those below 12,000 ug*hr/mL, there was a statistically significant difference in the change in HVPG in the GR8</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86" w:lineRule="auto"/>
        <w:rPr>
          <w:sz w:val="20"/>
          <w:szCs w:val="20"/>
          <w:color w:val="auto"/>
        </w:rPr>
      </w:pPr>
      <w:r>
        <w:rPr>
          <w:rFonts w:ascii="Arial" w:cs="Arial" w:eastAsia="Arial" w:hAnsi="Arial"/>
          <w:sz w:val="17"/>
          <w:szCs w:val="17"/>
          <w:color w:val="auto"/>
        </w:rPr>
        <w:t>group with lower serum levels of GR-MD-02 of approximately -8%. Thus, the apparent less pronounced effects of GR8 may be explained, at least in part, by the variable pharmacokinetics observed in the patients which received GR8. This mirrors the effects seen in the NASH mouse model experiments in which the anti-inflammatory effects of GR-MD-02 were significantly reduced at doses between 60 mg/kg and 120 mg/kg.</w:t>
      </w:r>
    </w:p>
    <w:p>
      <w:pPr>
        <w:spacing w:after="0" w:line="166"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In terms of cirrhosis complications over the 54-week treatment period, in patients without varices there were statistically significantly fewer new varices that developed in the treatment groups vs placebo. We believe this may represent a useful measure of clinical outcome.</w:t>
      </w:r>
    </w:p>
    <w:p>
      <w:pPr>
        <w:spacing w:after="0" w:line="14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major conclusions, to date from the NASH-CX trial results are that: i) GR-MD-02 had a statistically significant and clinically meaningful effect in improving HVPG vs placebo in patients with NASH cirrhosis who did not have esophageal varices at baseline; this effect was seen regardless of the patient’s baseline portal hypertension. Furthermore, we believe that patients with esophageal varices may have masked benefits in the total patient population; ii) there was an important drug effect of GR-MD-02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and 8 mg/kg dosage groups on liver biopsy and in the mild portal hypertension group, there was a consistently greater and statistically significant effect of the 2 mg/kg dose of GR-MD-02; (v) the apparent lack of a dose response in the GR8 group may be explained by variable pharmacokinetics in the high dose group, and this suggests use of an additional and intermediate dose between 2 and 8 mg/Kg in subsequent trials; (vi) GR-MD-02 appears to be safe and well tolerated in this one year clinical trial; and (vii) we believe this is the first large, randomized clinical trial of any drug to demonstrate a clinically meaningful improvement in portal hypertension or liver biopsy in patients with compensated NASH cirrhosis without esophageal varices.</w:t>
      </w:r>
    </w:p>
    <w:p>
      <w:pPr>
        <w:spacing w:after="0" w:line="180"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Company met with FDA on May 08, 2018. Following which it announced that it is proceeding with plans for a Phase 3 clinical trial program with its galectin-3 inhibitor GR-MD-02 in NASH cirrhosis, incorporating advice and guidance obtained in the meeting with the FDA.</w:t>
      </w:r>
    </w:p>
    <w:p>
      <w:pPr>
        <w:spacing w:after="0" w:line="14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target population of the Phase 3 clinical trial will be patients with NASH cirrhosis without esophageal varices. The primary endpoint will be chosen from two endpoints that the FDA agreed may be acceptable: The change in hepatic venous pressure gradient (HVPG), which is a measure of liver blood pressure, or the progression to esophageal varices. Both primary endpoints may be considered surrogate endpoints for clinical outcomes in the target population with NASH cirrhosis.</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basis for advancing to Phase 3 is the positive effects of GR-MD-02 on HVPG and the possible prevention or postponement of development of esophageal varices observed in the post-hoc analysis of the Phase 2 NASH-CX trial, which we believe was the first large, randomized clinical trial of any drug to demonstrate a clinically meaningful improvement in these patients. The potential choice between two primary endpoints for Phase 3 trials provides enhanced flexibility in designing the strongest trial to replicate the efficacy demonstrated in the Phase 2 NASH-CX trial. However, there can be no assurance that a larger trial will replicate the results of the NASH-CX trial. The choice of which primary endpoint to use is a complex and important decision for the design of the Phase 3 trial and may require additional input from external advisors and the FDA. Additionally, the clinical trial design discussed with the FDA provides for interim analysis which may provide confirmation of Phase 2 results and enhanced confidence for the ultimate results of the Phase 3 trial.</w:t>
      </w:r>
    </w:p>
    <w:p>
      <w:pPr>
        <w:spacing w:after="0" w:line="19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disclosed in May 2018, the FDA has not granted breakthrough designation at this time based on the Agency’s current assessment that additional confirmatory data are needed to identify the level of change in HVPG that is reasonably likely to predict clinical outcomes. Although we disagree with FDA’s decision not to grant Breakthrough Therapy designation, we understand their position because while the NASH-CX trial missed on the primary endpoint in the total population, the additional analysis of NASH-CX trial is, to our knowledge, the first randomized clinical trial of any drug to demonstrate a clinically meaningful improvement in HVPG in NASH cirrhosis patients. While Breakthrough Designation was not granted at this time, the program continues to benefit from Fast Track designation which provides many of the same advantages as Breakthrough Therapy designation, including potential for accelerated approval and priority review.</w:t>
      </w:r>
    </w:p>
    <w:p>
      <w:pPr>
        <w:spacing w:after="0" w:line="178"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Details of the Phase 3 clinical trial design, including projected timings and costs, will be announced once the planning phase has been completed. These planning activities, include amongst other items and activities, completion of a detailed final clinical trial protocol that the company believes meets regulatory expectations, and estimates for pricing and timing are derived from a Request for Proposal process involving Clinical Research Organizations. Various other activities, amongst others include, manufacturing of clinical supplies in support of a Phase 3 program and certain antecedent advanced reproductive toxicology studies as defined by FDA in accordance with guidelines of the International Committee on Harmonization, assessing the need for foreign regulatory filings to permit inclusion of additional clinical sites into the Phase 3 trial program to accelerate enrollment of patients and meet ICH expectations on minimum patient exposure requirements. Revised draft protocols have been developed and are currently being reviewed and commented on by our external experts prior to finalization. The focus and goal of the therapeutic program is to stop the progression of and reverse the fibrosis in the liver and, thereby improve liver function and prevent the development of complications of fibrosis/cirrhosis and liver-related mortality in patients. The results of the NASH-CX trial suggest that, subject to confirmation in additional or later stage clinical trials, this goal is achievable in a significant portion of the NASH cirrhosis patient population i.e. those NASH cirrhosis patients without esophageal varices.</w:t>
      </w:r>
    </w:p>
    <w:p>
      <w:pPr>
        <w:sectPr>
          <w:pgSz w:w="11900" w:h="16838" w:orient="portrait"/>
          <w:cols w:equalWidth="0" w:num="1">
            <w:col w:w="11200"/>
          </w:cols>
          <w:pgMar w:left="240" w:top="459" w:right="459" w:bottom="1440" w:gutter="0" w:footer="0" w:header="0"/>
        </w:sectPr>
      </w:pP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00"/>
          </w:cols>
          <w:pgMar w:left="240" w:top="459"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w:t>
      </w:r>
      <w:r>
        <w:rPr>
          <w:rFonts w:ascii="Arial" w:cs="Arial" w:eastAsia="Arial" w:hAnsi="Arial"/>
          <w:sz w:val="16"/>
          <w:szCs w:val="16"/>
          <w:i w:val="1"/>
          <w:iCs w:val="1"/>
          <w:color w:val="auto"/>
        </w:rPr>
        <w:t xml:space="preserve"> </w:t>
      </w:r>
      <w:r>
        <w:rPr>
          <w:rFonts w:ascii="Arial" w:cs="Arial" w:eastAsia="Arial" w:hAnsi="Arial"/>
          <w:sz w:val="16"/>
          <w:szCs w:val="16"/>
          <w:color w:val="auto"/>
        </w:rPr>
        <w:t>For example, there have been several recent approvals of drugs that enhance a patient’s immune system to fight cancer. It is our goal to use a galectin inhibitor to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and with the immune cell activator anti-OX40. These preclinical data led to the filing of two Investigator-sponsored INDs and the initiation of studies of GR-MD-02 in combination with Yervoy</w:t>
      </w:r>
      <w:r>
        <w:rPr>
          <w:rFonts w:ascii="Arial" w:cs="Arial" w:eastAsia="Arial" w:hAnsi="Arial"/>
          <w:sz w:val="13"/>
          <w:szCs w:val="13"/>
          <w:color w:val="auto"/>
        </w:rPr>
        <w:t>®</w:t>
      </w:r>
      <w:r>
        <w:rPr>
          <w:rFonts w:ascii="Arial" w:cs="Arial" w:eastAsia="Arial" w:hAnsi="Arial"/>
          <w:sz w:val="16"/>
          <w:szCs w:val="16"/>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 under an investigator-initiated IND.</w:t>
      </w:r>
    </w:p>
    <w:p>
      <w:pPr>
        <w:spacing w:after="0" w:line="169"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Data on this combination immunotherapy program was presented on February 7, 2017 at the 9th GTCBio Immunotherapeutics &amp; Immunomonitoring Conference in San Diego, CA by Dr. William L. Redmond, Providence Cancer Center. Preclinical results in mouse models of multiple types of cancers showed important anti-tumor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preliminary results were reported in a recent press release dated September 20, 2018, in the Phase 1b trial combining GR-MD-02 with pembrolizumab (KEYTRUDA). Fourteen advanced melanoma patients across three dose cohorts now have Objective Response Rate (ORR) and Disease Control Rate (DCR) data. Six patients in cohort 3 (8 mg/kg GR-MD-02) have now been added to the three patients in cohort 2 (4 mg/kg GR-MD-02) and the five patients in cohort 1 (2 mg/kg GR-MD-02). Cohorts 1 and 3 each had two patients with an objective response. All three patients in cohort 2 had an objective response. Across all three cohorts of advanced melanoma patients, the objective response rate was 50% (7 of 14 patients) and the disease control rate was 64% (9 out of 14 patients). A significant decrease in the frequency of suppressive myeloid-derived suppressor cells following treatment in the responding patients (on day 85 post-treatment) was observed. In addition to the 14 patients with advanced melanoma, six patients with head and neck cancer were enrolled in this trial with a 33% objective response rate and a 67% disease control rate. The investigators, as more fully described in the press release, felt there was strong and compelling rationale to move forward with expanding the 4 mg/kg cohort to include additional advanced melanoma patients and additional head and neck cancer patients. The investigators, under their IND, are currently preparing necessary protocol amendments for IRB submission to allow the expansion of the trial.</w:t>
      </w:r>
    </w:p>
    <w:p>
      <w:pPr>
        <w:spacing w:after="0" w:line="17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i w:val="1"/>
          <w:iCs w:val="1"/>
          <w:color w:val="auto"/>
        </w:rPr>
        <w:t xml:space="preserve">Severe skin diseases. </w:t>
      </w:r>
      <w:r>
        <w:rPr>
          <w:rFonts w:ascii="Arial" w:cs="Arial" w:eastAsia="Arial" w:hAnsi="Arial"/>
          <w:sz w:val="17"/>
          <w:szCs w:val="17"/>
          <w:color w:val="auto"/>
        </w:rPr>
        <w:t>During our Phase 1 NASH fibrosis trial with GR-MD-02, a clinical effect on plaque psoriasis was observed in a NASH</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71" w:lineRule="exact"/>
        <w:rPr>
          <w:sz w:val="20"/>
          <w:szCs w:val="20"/>
          <w:color w:val="auto"/>
        </w:rPr>
      </w:pPr>
    </w:p>
    <w:p>
      <w:pPr>
        <w:ind w:left="200" w:right="140" w:firstLine="441"/>
        <w:spacing w:after="0" w:line="285"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GR-MD-02 every two weeks for 24 weeks. In May 2016, we reported positive results on the first four patients after</w:t>
      </w:r>
    </w:p>
    <w:p>
      <w:pPr>
        <w:spacing w:after="0" w:line="2"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12 weeks of therapy. Based on these results, we modified the trial to include 24 weeks of therapy. In August 2016, we reported on four patients after 24 weeks of therapy and one patient after 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w:t>
      </w:r>
    </w:p>
    <w:p>
      <w:pPr>
        <w:spacing w:after="0" w:line="17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Three and Nine Months Ended September 30, 2018 Compared to Three and Nine Months Ended September 30, 2017</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Three Months Ended</w:t>
            </w:r>
          </w:p>
        </w:tc>
        <w:tc>
          <w:tcPr>
            <w:tcW w:w="240" w:type="dxa"/>
            <w:vAlign w:val="bottom"/>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Nine Months Ended</w:t>
            </w: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2018 as Compared to 2017</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9"/>
              </w:rPr>
              <w:t>September 30,</w:t>
            </w:r>
          </w:p>
        </w:tc>
        <w:tc>
          <w:tcPr>
            <w:tcW w:w="240" w:type="dxa"/>
            <w:vAlign w:val="bottom"/>
          </w:tcPr>
          <w:p>
            <w:pPr>
              <w:spacing w:after="0"/>
              <w:rPr>
                <w:sz w:val="12"/>
                <w:szCs w:val="12"/>
                <w:color w:val="auto"/>
              </w:rPr>
            </w:pPr>
          </w:p>
        </w:tc>
        <w:tc>
          <w:tcPr>
            <w:tcW w:w="132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2"/>
                <w:szCs w:val="12"/>
                <w:color w:val="auto"/>
              </w:rPr>
            </w:pPr>
          </w:p>
        </w:tc>
        <w:tc>
          <w:tcPr>
            <w:tcW w:w="1760" w:type="dxa"/>
            <w:vAlign w:val="bottom"/>
            <w:gridSpan w:val="3"/>
          </w:tcPr>
          <w:p>
            <w:pPr>
              <w:ind w:left="320"/>
              <w:spacing w:after="0" w:line="142" w:lineRule="exact"/>
              <w:rPr>
                <w:sz w:val="20"/>
                <w:szCs w:val="20"/>
                <w:color w:val="auto"/>
              </w:rPr>
            </w:pPr>
            <w:r>
              <w:rPr>
                <w:rFonts w:ascii="Arial" w:cs="Arial" w:eastAsia="Arial" w:hAnsi="Arial"/>
                <w:sz w:val="14"/>
                <w:szCs w:val="14"/>
                <w:color w:val="auto"/>
              </w:rPr>
              <w:t>Three Months</w:t>
            </w:r>
          </w:p>
        </w:tc>
        <w:tc>
          <w:tcPr>
            <w:tcW w:w="100" w:type="dxa"/>
            <w:vAlign w:val="bottom"/>
          </w:tcPr>
          <w:p>
            <w:pPr>
              <w:spacing w:after="0"/>
              <w:rPr>
                <w:sz w:val="12"/>
                <w:szCs w:val="12"/>
                <w:color w:val="auto"/>
              </w:rPr>
            </w:pPr>
          </w:p>
        </w:tc>
        <w:tc>
          <w:tcPr>
            <w:tcW w:w="1460" w:type="dxa"/>
            <w:vAlign w:val="bottom"/>
            <w:gridSpan w:val="2"/>
          </w:tcPr>
          <w:p>
            <w:pPr>
              <w:ind w:left="340"/>
              <w:spacing w:after="0" w:line="142" w:lineRule="exact"/>
              <w:rPr>
                <w:sz w:val="20"/>
                <w:szCs w:val="20"/>
                <w:color w:val="auto"/>
              </w:rPr>
            </w:pPr>
            <w:r>
              <w:rPr>
                <w:rFonts w:ascii="Arial" w:cs="Arial" w:eastAsia="Arial" w:hAnsi="Arial"/>
                <w:sz w:val="14"/>
                <w:szCs w:val="14"/>
                <w:color w:val="auto"/>
              </w:rPr>
              <w:t>Nine Months</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2018</w:t>
            </w:r>
          </w:p>
        </w:tc>
        <w:tc>
          <w:tcPr>
            <w:tcW w:w="6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2018</w:t>
            </w:r>
          </w:p>
        </w:tc>
        <w:tc>
          <w:tcPr>
            <w:tcW w:w="7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91"/>
              </w:rPr>
              <w:t>% Change</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 Change</w:t>
            </w:r>
          </w:p>
        </w:tc>
        <w:tc>
          <w:tcPr>
            <w:tcW w:w="7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gridSpan w:val="3"/>
          </w:tcPr>
          <w:p>
            <w:pPr>
              <w:ind w:left="340"/>
              <w:spacing w:after="0" w:line="142" w:lineRule="exact"/>
              <w:rPr>
                <w:sz w:val="20"/>
                <w:szCs w:val="20"/>
                <w:color w:val="auto"/>
              </w:rPr>
            </w:pPr>
            <w:r>
              <w:rPr>
                <w:rFonts w:ascii="Arial" w:cs="Arial" w:eastAsia="Arial" w:hAnsi="Arial"/>
                <w:sz w:val="14"/>
                <w:szCs w:val="14"/>
                <w:color w:val="auto"/>
                <w:w w:val="91"/>
              </w:rPr>
              <w:t>(In thousands, except %)</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$ 3,503</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$5,279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$(1,998)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$(5,440)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bl>
    <w:p>
      <w:pPr>
        <w:spacing w:after="0" w:line="20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19"/>
              <w:spacing w:after="0"/>
              <w:rPr>
                <w:sz w:val="20"/>
                <w:szCs w:val="20"/>
                <w:color w:val="auto"/>
              </w:rPr>
            </w:pPr>
            <w:r>
              <w:rPr>
                <w:rFonts w:ascii="Arial" w:cs="Arial" w:eastAsia="Arial" w:hAnsi="Arial"/>
                <w:sz w:val="14"/>
                <w:szCs w:val="14"/>
                <w:color w:val="auto"/>
                <w:w w:val="91"/>
              </w:rPr>
              <w:t>Three Months Ended</w:t>
            </w:r>
          </w:p>
        </w:tc>
        <w:tc>
          <w:tcPr>
            <w:tcW w:w="340" w:type="dxa"/>
            <w:vAlign w:val="bottom"/>
          </w:tcPr>
          <w:p>
            <w:pPr>
              <w:spacing w:after="0"/>
              <w:rPr>
                <w:sz w:val="14"/>
                <w:szCs w:val="14"/>
                <w:color w:val="auto"/>
              </w:rPr>
            </w:pPr>
          </w:p>
        </w:tc>
        <w:tc>
          <w:tcPr>
            <w:tcW w:w="1480" w:type="dxa"/>
            <w:vAlign w:val="bottom"/>
            <w:gridSpan w:val="5"/>
          </w:tcPr>
          <w:p>
            <w:pPr>
              <w:jc w:val="center"/>
              <w:ind w:right="80"/>
              <w:spacing w:after="0"/>
              <w:rPr>
                <w:sz w:val="20"/>
                <w:szCs w:val="20"/>
                <w:color w:val="auto"/>
              </w:rPr>
            </w:pPr>
            <w:r>
              <w:rPr>
                <w:rFonts w:ascii="Arial" w:cs="Arial" w:eastAsia="Arial" w:hAnsi="Arial"/>
                <w:sz w:val="14"/>
                <w:szCs w:val="14"/>
                <w:color w:val="auto"/>
                <w:w w:val="94"/>
              </w:rPr>
              <w:t>Nine Months Ended</w:t>
            </w: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219"/>
              <w:spacing w:after="0"/>
              <w:rPr>
                <w:sz w:val="20"/>
                <w:szCs w:val="20"/>
                <w:color w:val="auto"/>
              </w:rPr>
            </w:pPr>
            <w:r>
              <w:rPr>
                <w:rFonts w:ascii="Arial" w:cs="Arial" w:eastAsia="Arial" w:hAnsi="Arial"/>
                <w:sz w:val="14"/>
                <w:szCs w:val="14"/>
                <w:color w:val="auto"/>
              </w:rPr>
              <w:t>September 30,</w:t>
            </w:r>
          </w:p>
        </w:tc>
        <w:tc>
          <w:tcPr>
            <w:tcW w:w="340" w:type="dxa"/>
            <w:vAlign w:val="bottom"/>
          </w:tcPr>
          <w:p>
            <w:pPr>
              <w:spacing w:after="0"/>
              <w:rPr>
                <w:sz w:val="14"/>
                <w:szCs w:val="14"/>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4"/>
                <w:szCs w:val="14"/>
                <w:color w:val="auto"/>
                <w:w w:val="89"/>
              </w:rPr>
              <w:t>September 30,</w:t>
            </w: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color w:val="auto"/>
                <w:w w:val="96"/>
              </w:rPr>
              <w:t>2018</w:t>
            </w:r>
          </w:p>
        </w:tc>
        <w:tc>
          <w:tcPr>
            <w:tcW w:w="88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3"/>
          </w:tcPr>
          <w:p>
            <w:pPr>
              <w:jc w:val="right"/>
              <w:ind w:right="184"/>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Clinical programs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$ 2,945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$2,155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8,973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Pre-clinical activities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10,719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Clinical programs expenses decreased primarily due to costs related to our Phase 2 clinical trials winding down late in 2017. Other research and development expense increased primarily due to increases in non-cash stock-based compensation expense of approximately $143,000 and $1,006,000 in the three and nine months ended September 30, 2018 compared to the same periods in 2017.</w:t>
      </w:r>
    </w:p>
    <w:p>
      <w:pPr>
        <w:spacing w:after="0" w:line="18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Three Months</w:t>
            </w:r>
          </w:p>
        </w:tc>
        <w:tc>
          <w:tcPr>
            <w:tcW w:w="220" w:type="dxa"/>
            <w:vAlign w:val="bottom"/>
          </w:tcPr>
          <w:p>
            <w:pPr>
              <w:spacing w:after="0"/>
              <w:rPr>
                <w:sz w:val="14"/>
                <w:szCs w:val="1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6"/>
              </w:rPr>
              <w:t>Nine Months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w w:val="96"/>
              </w:rPr>
              <w:t>2018 as Compared to 2017</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9"/>
              </w:rPr>
              <w:t>Ended September 30,</w:t>
            </w:r>
          </w:p>
        </w:tc>
        <w:tc>
          <w:tcPr>
            <w:tcW w:w="2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91"/>
              </w:rPr>
              <w:t>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4"/>
                <w:szCs w:val="14"/>
                <w:color w:val="auto"/>
              </w:rPr>
              <w:t>Three Months</w:t>
            </w:r>
          </w:p>
        </w:tc>
        <w:tc>
          <w:tcPr>
            <w:tcW w:w="120" w:type="dxa"/>
            <w:vAlign w:val="bottom"/>
          </w:tcPr>
          <w:p>
            <w:pPr>
              <w:spacing w:after="0"/>
              <w:rPr>
                <w:sz w:val="14"/>
                <w:szCs w:val="14"/>
                <w:color w:val="auto"/>
              </w:rPr>
            </w:pPr>
          </w:p>
        </w:tc>
        <w:tc>
          <w:tcPr>
            <w:tcW w:w="1620" w:type="dxa"/>
            <w:vAlign w:val="bottom"/>
            <w:gridSpan w:val="3"/>
          </w:tcPr>
          <w:p>
            <w:pPr>
              <w:ind w:left="32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2018</w:t>
            </w:r>
          </w:p>
        </w:tc>
        <w:tc>
          <w:tcPr>
            <w:tcW w:w="6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2018</w:t>
            </w:r>
          </w:p>
        </w:tc>
        <w:tc>
          <w:tcPr>
            <w:tcW w:w="7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color w:val="auto"/>
                <w:w w:val="85"/>
              </w:rPr>
              <w:t>Change</w:t>
            </w: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w w:val="88"/>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$ 1,175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911</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$ 5,338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$ 3,155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264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$ 2,183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General and administrative expenses consist primarily of salaries including stock-based compensation, legal and accounting fees, insurance, investor relations, business development and other office related expenses. The primary reasons for the increase in general and administrative expenses for the three-months ended September 30, 2018 as compared to the same period in 2017 is due to an increase non-cash, stock-based compensation expense of $290,000. The primary reasons for the increase in general and administrative expenses for the nine-months ended September 30, 2018 as compared to the same period in 2017 is due to an increase non-cash, stock-based compensation expense of $1,458,000 and an increase in business development/investor relations expenses of approximately $407,000.</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220" w:firstLine="441"/>
        <w:spacing w:after="0" w:line="271" w:lineRule="auto"/>
        <w:rPr>
          <w:sz w:val="20"/>
          <w:szCs w:val="20"/>
          <w:color w:val="auto"/>
        </w:rPr>
      </w:pPr>
      <w:r>
        <w:rPr>
          <w:rFonts w:ascii="Arial" w:cs="Arial" w:eastAsia="Arial" w:hAnsi="Arial"/>
          <w:sz w:val="17"/>
          <w:szCs w:val="17"/>
          <w:color w:val="auto"/>
        </w:rPr>
        <w:t>Since our inception on July 10, 2000, we have financed our operations from proceeds of public and private offerings of debt and equity. As of September 30, 2018, we raised a net total of $147.3 million from these offerings. We have operated at a loss since our inception and have had no significant revenues. We anticipate that losses will continue for the foreseeable future. At September 30, 2018, the Company had $10.1 million of unrestricted cash and cash equivalents available to fund future operations. The Company believes there is sufficient cash, including availability of the line of credit, to fund currently planned operations at least through September 30, 2019. Our ability to fund operations after our current cash resources are exhausted depends on our ability to obtain additional financing or achieve profitable operations, as to which no assurances can be given. Accordingly, based on the forecasts and estimates underlying our current operating plan, the financial statements do not currently include any adjustments that might be necessary if we are unable to continue as a going concern.</w:t>
      </w:r>
    </w:p>
    <w:p>
      <w:pPr>
        <w:spacing w:after="0" w:line="17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Net cash used in operations decreased by $3,816,000 to $8,172,000 for the nine months ended September 30, 2018, as compared to $11,988,000 for the nine months ended September 30, 2017. Cash operating expenses decreased principally due to the winding down of Phase 2 research and development activities related to our clinical trial activity with GR-MD-02.</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Net cash provided by financing activities for the nine months ended September 30, 2018, of $15,255,000 represents proceeds from the exercise of common stock warrants and options and sale of common stock. Net cash provided by financing activities for the nine months ended September 30, 2017, of $3,584,000 represents net proceeds from the sale of common stock and warrants.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jc w:val="both"/>
        <w:ind w:left="200" w:right="160" w:firstLine="441"/>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2017 Annual Report on Form 10-K.</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September 30, 2018, our disclosure controls and procedures were effective at a reasonable assurance level. During the quarter ended September 30, 2018, no change in our internal control over financial reporting has materially affected, or is reasonably likely to materially affect, our internal control over financial reporting.</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2017, which could materially impact our business, financial condition or future results.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878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center"/>
        <w:ind w:right="88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14"/>
                <w:szCs w:val="14"/>
                <w:color w:val="auto"/>
              </w:rPr>
            </w:pPr>
          </w:p>
        </w:tc>
        <w:tc>
          <w:tcPr>
            <w:tcW w:w="8400" w:type="dxa"/>
            <w:vAlign w:val="bottom"/>
            <w:gridSpan w:val="5"/>
            <w:vMerge w:val="restart"/>
          </w:tcPr>
          <w:p>
            <w:pPr>
              <w:ind w:left="3200"/>
              <w:spacing w:after="0"/>
              <w:rPr>
                <w:sz w:val="20"/>
                <w:szCs w:val="20"/>
                <w:color w:val="auto"/>
              </w:rPr>
            </w:pPr>
            <w:r>
              <w:rPr>
                <w:rFonts w:ascii="Arial" w:cs="Arial" w:eastAsia="Arial" w:hAnsi="Arial"/>
                <w:sz w:val="14"/>
                <w:szCs w:val="14"/>
                <w:b w:val="1"/>
                <w:bCs w:val="1"/>
                <w:color w:val="auto"/>
              </w:rPr>
              <w:t>Description of Document</w:t>
            </w:r>
          </w:p>
        </w:tc>
        <w:tc>
          <w:tcPr>
            <w:tcW w:w="4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Note</w:t>
            </w:r>
          </w:p>
        </w:tc>
        <w:tc>
          <w:tcPr>
            <w:tcW w:w="0" w:type="dxa"/>
            <w:vAlign w:val="bottom"/>
          </w:tcPr>
          <w:p>
            <w:pPr>
              <w:spacing w:after="0"/>
              <w:rPr>
                <w:sz w:val="1"/>
                <w:szCs w:val="1"/>
                <w:color w:val="auto"/>
              </w:rPr>
            </w:pPr>
          </w:p>
        </w:tc>
      </w:tr>
      <w:tr>
        <w:trPr>
          <w:trHeight w:val="171"/>
        </w:trPr>
        <w:tc>
          <w:tcPr>
            <w:tcW w:w="11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4"/>
                <w:szCs w:val="14"/>
                <w:color w:val="auto"/>
              </w:rPr>
            </w:pPr>
          </w:p>
        </w:tc>
        <w:tc>
          <w:tcPr>
            <w:tcW w:w="8400" w:type="dxa"/>
            <w:vAlign w:val="bottom"/>
            <w:gridSpan w:val="5"/>
            <w:vMerge w:val="continue"/>
          </w:tcPr>
          <w:p>
            <w:pPr>
              <w:spacing w:after="0"/>
              <w:rPr>
                <w:sz w:val="14"/>
                <w:szCs w:val="14"/>
                <w:color w:val="auto"/>
              </w:rPr>
            </w:pPr>
          </w:p>
        </w:tc>
        <w:tc>
          <w:tcPr>
            <w:tcW w:w="106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580" w:type="dxa"/>
            <w:vAlign w:val="bottom"/>
          </w:tcPr>
          <w:p>
            <w:pPr>
              <w:spacing w:after="0"/>
              <w:rPr>
                <w:sz w:val="24"/>
                <w:szCs w:val="24"/>
                <w:color w:val="auto"/>
              </w:rPr>
            </w:pPr>
          </w:p>
        </w:tc>
        <w:tc>
          <w:tcPr>
            <w:tcW w:w="57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Certification Pursuant to Rule 13a-14(a) of the Securities Exchange Act of 1934</w:t>
              </w:r>
            </w:hyperlink>
          </w:p>
        </w:tc>
        <w:tc>
          <w:tcPr>
            <w:tcW w:w="29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580" w:type="dxa"/>
            <w:vAlign w:val="bottom"/>
          </w:tcPr>
          <w:p>
            <w:pPr>
              <w:spacing w:after="0"/>
              <w:rPr>
                <w:sz w:val="24"/>
                <w:szCs w:val="24"/>
                <w:color w:val="auto"/>
              </w:rPr>
            </w:pPr>
          </w:p>
        </w:tc>
        <w:tc>
          <w:tcPr>
            <w:tcW w:w="57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Certification Pursuant to Rule 13a-14(a) of the Securities Exchange Act of 1934</w:t>
              </w:r>
            </w:hyperlink>
          </w:p>
        </w:tc>
        <w:tc>
          <w:tcPr>
            <w:tcW w:w="29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7"/>
              </w:rPr>
              <w:t>32.1**</w:t>
            </w:r>
          </w:p>
        </w:tc>
        <w:tc>
          <w:tcPr>
            <w:tcW w:w="580" w:type="dxa"/>
            <w:vAlign w:val="bottom"/>
          </w:tcPr>
          <w:p>
            <w:pPr>
              <w:spacing w:after="0"/>
              <w:rPr>
                <w:sz w:val="24"/>
                <w:szCs w:val="24"/>
                <w:color w:val="auto"/>
              </w:rPr>
            </w:pPr>
          </w:p>
        </w:tc>
        <w:tc>
          <w:tcPr>
            <w:tcW w:w="8760" w:type="dxa"/>
            <w:vAlign w:val="bottom"/>
            <w:gridSpan w:val="6"/>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Certification Pursuant to 18 U.S.C. Section 1350, as Adopted Pursuant to Section 906 of the Sarbanes-Oxley Act of</w:t>
              </w:r>
            </w:hyperlink>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2002</w:t>
              </w:r>
            </w:hyperlink>
          </w:p>
        </w:tc>
        <w:tc>
          <w:tcPr>
            <w:tcW w:w="322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7"/>
              </w:rPr>
              <w:t>32.2**</w:t>
            </w:r>
          </w:p>
        </w:tc>
        <w:tc>
          <w:tcPr>
            <w:tcW w:w="580" w:type="dxa"/>
            <w:vAlign w:val="bottom"/>
          </w:tcPr>
          <w:p>
            <w:pPr>
              <w:spacing w:after="0"/>
              <w:rPr>
                <w:sz w:val="24"/>
                <w:szCs w:val="24"/>
                <w:color w:val="auto"/>
              </w:rPr>
            </w:pPr>
          </w:p>
        </w:tc>
        <w:tc>
          <w:tcPr>
            <w:tcW w:w="8760" w:type="dxa"/>
            <w:vAlign w:val="bottom"/>
            <w:gridSpan w:val="6"/>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Certification Pursuant to 18 U.S.C. Section 1350, as Adopted Pursuant to Section 906 of the Sarbanes-Oxley Act of</w:t>
              </w:r>
            </w:hyperlink>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2002</w:t>
              </w:r>
            </w:hyperlink>
          </w:p>
        </w:tc>
        <w:tc>
          <w:tcPr>
            <w:tcW w:w="322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8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101.INS</w:t>
            </w:r>
          </w:p>
        </w:tc>
        <w:tc>
          <w:tcPr>
            <w:tcW w:w="87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3"/>
          </w:tcPr>
          <w:p>
            <w:pPr>
              <w:jc w:val="center"/>
              <w:ind w:right="520"/>
              <w:spacing w:after="0"/>
              <w:rPr>
                <w:sz w:val="20"/>
                <w:szCs w:val="20"/>
                <w:color w:val="auto"/>
              </w:rPr>
            </w:pPr>
            <w:r>
              <w:rPr>
                <w:rFonts w:ascii="Arial" w:cs="Arial" w:eastAsia="Arial" w:hAnsi="Arial"/>
                <w:sz w:val="18"/>
                <w:szCs w:val="18"/>
                <w:color w:val="auto"/>
                <w:w w:val="90"/>
              </w:rPr>
              <w:t>101.SCH</w:t>
            </w:r>
          </w:p>
        </w:tc>
        <w:tc>
          <w:tcPr>
            <w:tcW w:w="87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97"/>
              </w:rPr>
              <w:t>101.CAL</w:t>
            </w:r>
          </w:p>
        </w:tc>
        <w:tc>
          <w:tcPr>
            <w:tcW w:w="876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101.DEF</w:t>
            </w:r>
          </w:p>
        </w:tc>
        <w:tc>
          <w:tcPr>
            <w:tcW w:w="87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98"/>
              </w:rPr>
              <w:t>101.LAB</w:t>
            </w:r>
          </w:p>
        </w:tc>
        <w:tc>
          <w:tcPr>
            <w:tcW w:w="876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3"/>
          </w:tcPr>
          <w:p>
            <w:pPr>
              <w:jc w:val="center"/>
              <w:ind w:right="540"/>
              <w:spacing w:after="0"/>
              <w:rPr>
                <w:sz w:val="20"/>
                <w:szCs w:val="20"/>
                <w:color w:val="auto"/>
              </w:rPr>
            </w:pPr>
            <w:r>
              <w:rPr>
                <w:rFonts w:ascii="Arial" w:cs="Arial" w:eastAsia="Arial" w:hAnsi="Arial"/>
                <w:sz w:val="18"/>
                <w:szCs w:val="18"/>
                <w:color w:val="auto"/>
                <w:w w:val="88"/>
              </w:rPr>
              <w:t>101.PRE</w:t>
            </w:r>
          </w:p>
        </w:tc>
        <w:tc>
          <w:tcPr>
            <w:tcW w:w="8760" w:type="dxa"/>
            <w:vAlign w:val="bottom"/>
            <w:gridSpan w:val="6"/>
          </w:tcPr>
          <w:p>
            <w:pPr>
              <w:spacing w:after="0"/>
              <w:rPr>
                <w:sz w:val="20"/>
                <w:szCs w:val="20"/>
                <w:color w:val="auto"/>
              </w:rPr>
            </w:pPr>
            <w:r>
              <w:rPr>
                <w:rFonts w:ascii="Arial" w:cs="Arial" w:eastAsia="Arial" w:hAnsi="Arial"/>
                <w:sz w:val="18"/>
                <w:szCs w:val="18"/>
                <w:color w:val="auto"/>
              </w:rPr>
              <w:t>XBRL Taxonomy Presentation Linkbase Document*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8"/>
          <w:szCs w:val="18"/>
          <w:color w:val="auto"/>
        </w:rPr>
        <w:t>Filed herewith.</w:t>
      </w:r>
    </w:p>
    <w:p>
      <w:pPr>
        <w:spacing w:after="0" w:line="22" w:lineRule="exact"/>
        <w:rPr>
          <w:sz w:val="20"/>
          <w:szCs w:val="20"/>
          <w:color w:val="auto"/>
        </w:rPr>
      </w:pPr>
    </w:p>
    <w:p>
      <w:pPr>
        <w:ind w:left="5620" w:right="2260" w:hanging="5416"/>
        <w:spacing w:after="0" w:line="434" w:lineRule="auto"/>
        <w:tabs>
          <w:tab w:leader="none" w:pos="632" w:val="left"/>
        </w:tabs>
        <w:numPr>
          <w:ilvl w:val="0"/>
          <w:numId w:val="5"/>
        </w:numPr>
        <w:rPr>
          <w:rFonts w:ascii="Arial" w:cs="Arial" w:eastAsia="Arial" w:hAnsi="Arial"/>
          <w:sz w:val="15"/>
          <w:szCs w:val="15"/>
          <w:color w:val="auto"/>
        </w:rPr>
      </w:pPr>
      <w:r>
        <w:rPr>
          <w:rFonts w:ascii="Arial" w:cs="Arial" w:eastAsia="Arial" w:hAnsi="Arial"/>
          <w:sz w:val="18"/>
          <w:szCs w:val="18"/>
          <w:color w:val="auto"/>
        </w:rPr>
        <w:t>Furnished herewith and not “filed” for purposes of Section 18 of the Securities Exchange Act of 1934, as amended. 19</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13,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Harold H. Shlevin, Ph.D.</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Harold H. Shlevin, Ph. D</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 and President (principal</w:t>
            </w:r>
          </w:p>
        </w:tc>
      </w:tr>
      <w:tr>
        <w:trPr>
          <w:trHeight w:val="230"/>
        </w:trPr>
        <w:tc>
          <w:tcPr>
            <w:tcW w:w="5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executive officer)</w:t>
            </w:r>
          </w:p>
        </w:tc>
      </w:tr>
    </w:tbl>
    <w:p>
      <w:pPr>
        <w:spacing w:after="0" w:line="20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Jack W. Callicutt</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461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0" w:name="page21"/>
    <w:bookmarkEnd w:id="20"/>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Harold H. Shlevin, certify that:</w:t>
      </w:r>
    </w:p>
    <w:p>
      <w:pPr>
        <w:spacing w:after="0" w:line="131"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40" w:right="140" w:hanging="436"/>
        <w:spacing w:after="0" w:line="264"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100" w:hanging="436"/>
        <w:spacing w:after="0" w:line="308"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20" w:hanging="436"/>
        <w:spacing w:after="0" w:line="291"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40" w:hanging="424"/>
        <w:spacing w:after="0" w:line="264" w:lineRule="auto"/>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80" w:hanging="424"/>
        <w:spacing w:after="0" w:line="264" w:lineRule="auto"/>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40" w:hanging="424"/>
        <w:spacing w:after="0" w:line="342" w:lineRule="auto"/>
        <w:tabs>
          <w:tab w:leader="none" w:pos="8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40" w:hanging="424"/>
        <w:spacing w:after="0" w:line="264" w:lineRule="auto"/>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08"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860" w:right="680" w:hanging="424"/>
        <w:spacing w:after="0" w:line="342" w:lineRule="auto"/>
        <w:tabs>
          <w:tab w:leader="none" w:pos="8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13, 2018</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Harold H. Shlevin, Ph.D.</w:t>
            </w:r>
          </w:p>
        </w:tc>
      </w:tr>
      <w:tr>
        <w:trPr>
          <w:trHeight w:val="195"/>
        </w:trPr>
        <w:tc>
          <w:tcPr>
            <w:tcW w:w="6080" w:type="dxa"/>
            <w:vAlign w:val="bottom"/>
          </w:tcPr>
          <w:p>
            <w:pPr>
              <w:ind w:left="5580"/>
              <w:spacing w:after="0" w:line="195" w:lineRule="exact"/>
              <w:rPr>
                <w:sz w:val="20"/>
                <w:szCs w:val="20"/>
                <w:color w:val="auto"/>
              </w:rPr>
            </w:pPr>
            <w:r>
              <w:rPr>
                <w:rFonts w:ascii="Arial" w:cs="Arial" w:eastAsia="Arial" w:hAnsi="Arial"/>
                <w:sz w:val="18"/>
                <w:szCs w:val="18"/>
                <w:color w:val="auto"/>
                <w:w w:val="90"/>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Harold H. Shlevin, Ph. D</w:t>
            </w:r>
          </w:p>
        </w:tc>
      </w:tr>
      <w:tr>
        <w:trPr>
          <w:trHeight w:val="216"/>
        </w:trPr>
        <w:tc>
          <w:tcPr>
            <w:tcW w:w="6080" w:type="dxa"/>
            <w:vAlign w:val="bottom"/>
          </w:tcPr>
          <w:p>
            <w:pPr>
              <w:ind w:left="55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0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440" w:top="121" w:right="419" w:bottom="1440" w:gutter="0" w:footer="0" w:header="0"/>
        </w:sectPr>
      </w:pPr>
    </w:p>
    <w:bookmarkStart w:id="21" w:name="page22"/>
    <w:bookmarkEnd w:id="21"/>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40" w:right="140" w:hanging="436"/>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100" w:hanging="436"/>
        <w:spacing w:after="0" w:line="308"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20" w:hanging="436"/>
        <w:spacing w:after="0" w:line="291"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40" w:hanging="424"/>
        <w:spacing w:after="0" w:line="264" w:lineRule="auto"/>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80" w:hanging="424"/>
        <w:spacing w:after="0" w:line="264" w:lineRule="auto"/>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40" w:hanging="424"/>
        <w:spacing w:after="0" w:line="342" w:lineRule="auto"/>
        <w:tabs>
          <w:tab w:leader="none" w:pos="8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40" w:hanging="424"/>
        <w:spacing w:after="0" w:line="264" w:lineRule="auto"/>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08"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860" w:right="680" w:hanging="424"/>
        <w:spacing w:after="0" w:line="342" w:lineRule="auto"/>
        <w:tabs>
          <w:tab w:leader="none" w:pos="8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13, 2018</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080" w:type="dxa"/>
            <w:vAlign w:val="bottom"/>
          </w:tcPr>
          <w:p>
            <w:pPr>
              <w:ind w:left="5580"/>
              <w:spacing w:after="0" w:line="195" w:lineRule="exact"/>
              <w:rPr>
                <w:sz w:val="20"/>
                <w:szCs w:val="20"/>
                <w:color w:val="auto"/>
              </w:rPr>
            </w:pPr>
            <w:r>
              <w:rPr>
                <w:rFonts w:ascii="Arial" w:cs="Arial" w:eastAsia="Arial" w:hAnsi="Arial"/>
                <w:sz w:val="18"/>
                <w:szCs w:val="18"/>
                <w:color w:val="auto"/>
                <w:w w:val="90"/>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080" w:type="dxa"/>
            <w:vAlign w:val="bottom"/>
          </w:tcPr>
          <w:p>
            <w:pPr>
              <w:ind w:left="55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40"/>
          </w:cols>
          <w:pgMar w:left="440" w:top="121" w:right="419" w:bottom="1440" w:gutter="0" w:footer="0" w:header="0"/>
        </w:sectPr>
      </w:pPr>
    </w:p>
    <w:bookmarkStart w:id="22" w:name="page23"/>
    <w:bookmarkEnd w:id="22"/>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September 30, 2018 as filed with the Securities and Exchange Commission on the date hereof (the “Report”), I, Harold H. Shlevin, Chief Executive Officer of the Company, certify, pursuant to 18 U.S.C. § 1350, as adopted pursuant to § 906 of the Sarbanes-Oxley Act of 2002, that, to my knowledge:</w:t>
      </w:r>
    </w:p>
    <w:p>
      <w:pPr>
        <w:spacing w:after="0" w:line="71" w:lineRule="exact"/>
        <w:rPr>
          <w:sz w:val="20"/>
          <w:szCs w:val="20"/>
          <w:color w:val="auto"/>
        </w:rPr>
      </w:pPr>
    </w:p>
    <w:p>
      <w:pPr>
        <w:ind w:left="860" w:hanging="424"/>
        <w:spacing w:after="0"/>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860" w:right="500" w:hanging="424"/>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in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13, 2018</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Harold H. Shlevin, Ph.D.</w:t>
            </w:r>
          </w:p>
        </w:tc>
      </w:tr>
      <w:tr>
        <w:trPr>
          <w:trHeight w:val="195"/>
        </w:trPr>
        <w:tc>
          <w:tcPr>
            <w:tcW w:w="6080" w:type="dxa"/>
            <w:vAlign w:val="bottom"/>
          </w:tcPr>
          <w:p>
            <w:pPr>
              <w:ind w:left="5580"/>
              <w:spacing w:after="0" w:line="195" w:lineRule="exact"/>
              <w:rPr>
                <w:sz w:val="20"/>
                <w:szCs w:val="20"/>
                <w:color w:val="auto"/>
              </w:rPr>
            </w:pPr>
            <w:r>
              <w:rPr>
                <w:rFonts w:ascii="Arial" w:cs="Arial" w:eastAsia="Arial" w:hAnsi="Arial"/>
                <w:sz w:val="18"/>
                <w:szCs w:val="18"/>
                <w:color w:val="auto"/>
                <w:w w:val="90"/>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Harold H. Shlevin, Ph. D</w:t>
            </w:r>
          </w:p>
        </w:tc>
      </w:tr>
      <w:tr>
        <w:trPr>
          <w:trHeight w:val="216"/>
        </w:trPr>
        <w:tc>
          <w:tcPr>
            <w:tcW w:w="6080" w:type="dxa"/>
            <w:vAlign w:val="bottom"/>
          </w:tcPr>
          <w:p>
            <w:pPr>
              <w:ind w:left="55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0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jc w:val="both"/>
        <w:ind w:right="100" w:firstLine="441"/>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166"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040"/>
          </w:cols>
          <w:pgMar w:left="440" w:top="121" w:right="419" w:bottom="1440" w:gutter="0" w:footer="0" w:header="0"/>
        </w:sectPr>
      </w:pPr>
    </w:p>
    <w:bookmarkStart w:id="23" w:name="page24"/>
    <w:bookmarkEnd w:id="23"/>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September 30, 2018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860" w:hanging="4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500" w:hanging="424"/>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in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13, 2018</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080" w:type="dxa"/>
            <w:vAlign w:val="bottom"/>
          </w:tcPr>
          <w:p>
            <w:pPr>
              <w:ind w:left="5580"/>
              <w:spacing w:after="0" w:line="195" w:lineRule="exact"/>
              <w:rPr>
                <w:sz w:val="20"/>
                <w:szCs w:val="20"/>
                <w:color w:val="auto"/>
              </w:rPr>
            </w:pPr>
            <w:r>
              <w:rPr>
                <w:rFonts w:ascii="Arial" w:cs="Arial" w:eastAsia="Arial" w:hAnsi="Arial"/>
                <w:sz w:val="18"/>
                <w:szCs w:val="18"/>
                <w:color w:val="auto"/>
                <w:w w:val="90"/>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080" w:type="dxa"/>
            <w:vAlign w:val="bottom"/>
          </w:tcPr>
          <w:p>
            <w:pPr>
              <w:ind w:left="55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5" w:lineRule="exact"/>
        <w:rPr>
          <w:sz w:val="20"/>
          <w:szCs w:val="20"/>
          <w:color w:val="auto"/>
        </w:rPr>
      </w:pPr>
    </w:p>
    <w:p>
      <w:pPr>
        <w:jc w:val="both"/>
        <w:ind w:right="100" w:firstLine="441"/>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166"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2019-12-28T17:56:28Z</dcterms:created>
  <dcterms:modified xsi:type="dcterms:W3CDTF">2019-12-28T17:56:28Z</dcterms:modified>
</cp:coreProperties>
</file>