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317" w:lineRule="exact"/>
        <w:rPr>
          <w:sz w:val="24"/>
          <w:szCs w:val="24"/>
          <w:color w:val="auto"/>
        </w:rPr>
      </w:pPr>
    </w:p>
    <w:p>
      <w:pPr>
        <w:spacing w:after="0" w:line="207" w:lineRule="exact"/>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-4310380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-3847465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-2792730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-2329180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-614045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448945</wp:posOffset>
            </wp:positionH>
            <wp:positionV relativeFrom="page">
              <wp:posOffset>243205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9" w:lineRule="exact"/>
        <w:rPr>
          <w:sz w:val="20"/>
          <w:szCs w:val="20"/>
          <w:color w:val="auto"/>
        </w:rPr>
      </w:pPr>
    </w:p>
    <w:p>
      <w:pPr>
        <w:jc w:val="both"/>
        <w:ind w:left="10400"/>
        <w:spacing w:after="0"/>
        <w:tabs>
          <w:tab w:leader="none" w:pos="10960" w:val="left"/>
        </w:tabs>
        <w:rPr>
          <w:sz w:val="20"/>
          <w:szCs w:val="20"/>
          <w:color w:val="auto"/>
        </w:rPr>
      </w:pPr>
      <w:r>
        <w:rPr>
          <w:rFonts w:ascii="Arial" w:cs="Arial" w:eastAsia="Arial" w:hAnsi="Arial"/>
          <w:sz w:val="18"/>
          <w:szCs w:val="18"/>
          <w:color w:val="auto"/>
        </w:rPr>
        <w:t>April</w:t>
        <w:tab/>
        <w:t>,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 invite you to attend the 2011 Annual Meeting of Stockholders of Pro-Pharmaceuticals, Inc. The Annual Meeting will be held at 9:00 a.m. on Thursday, May 26, 2011, at the Company’s office, 7 Wells Avenue, Suite 34, Newton, Massachusetts 02459.</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Pro-Pharmaceuticals, Inc. has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 2011, we expect to mail to our shareholders a Notice of Internet Availability of Proxy Materials (the “Notice”) containing instructions on how to access our 2011 Proxy Statement and 2010 Annual Report to shareholders. The Notice also provides instructions on how to vote online and includes instructions on how to receive a paper copy of the Proxy Materials by mail. On or about April 15, 2011, we expect to mail this Proxy Statement and the enclosed Proxy Card to certain shareholders.</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the following pages, you will find the Notice of our 2011 Annual Meeting of Stockholders and the Proxy Statement that describes the matters to be considered at the Annual Meeting. We also have enclosed your Proxy Card and our Annual Report for the year ended December 31, 2010.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30365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1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YOUR VOTE IS IMPORTANT. PLEASE COMPLETE, DATE, SIGN AND RETURN THE ENCLOSED PROXY PROMPTLY IN ORDER TO ENSURE YOUR REPRESENTATION AT THE ANNUAL MEETING. A RETURN ENVELOPE IS ENCLOSED FOR THAT PURPOSE. EVEN IF YOU HAVE GIVEN YOUR PROXY, YOU MAY STILL VOTE IN PERSON IF YOU ATTEND THE ANNUAL MEETING.</w:t>
      </w:r>
    </w:p>
    <w:p>
      <w:pPr>
        <w:spacing w:after="0" w:line="13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2011 ANNUAL MEETING OF STOCKHOLDERS TO BE HELD ON MAY 26,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 xml:space="preserve">Under rules recently approved by the Securities Exchange Commission (“SEC”), the Company is now furnishing proxy materials on the Internet in addition to mailing paper copies of the materials to each stockholder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 The Proxy Statement and our 2010 Annual Report to Stockholders will be available at: </w:t>
      </w:r>
      <w:r>
        <w:rPr>
          <w:rFonts w:ascii="Arial" w:cs="Arial" w:eastAsia="Arial" w:hAnsi="Arial"/>
          <w:sz w:val="16"/>
          <w:szCs w:val="16"/>
          <w:u w:val="single" w:color="auto"/>
          <w:color w:val="auto"/>
        </w:rPr>
        <w:t>http://www.rrdezproxy.com/2011/ProPharmaceuticals</w:t>
      </w:r>
      <w:r>
        <w:rPr>
          <w:rFonts w:ascii="Arial" w:cs="Arial" w:eastAsia="Arial" w:hAnsi="Arial"/>
          <w:sz w:val="16"/>
          <w:szCs w:val="16"/>
          <w:color w:val="auto"/>
        </w:rPr>
        <w:t>.</w:t>
      </w:r>
    </w:p>
    <w:p>
      <w:pPr>
        <w:sectPr>
          <w:pgSz w:w="11900" w:h="16838" w:orient="portrait"/>
          <w:cols w:equalWidth="0" w:num="1">
            <w:col w:w="11420"/>
          </w:cols>
          <w:pgMar w:left="240" w:top="261"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NEWTON, MASSACHUSETTS 02459</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2011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26, 2011 at 9:00 a.m., Eastern Daylight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Newton, Massachusetts 02459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To consider and act upon a proposal to elect seven members of the Board of Directors to one-year terms.</w:t>
      </w:r>
    </w:p>
    <w:p>
      <w:pPr>
        <w:spacing w:after="0" w:line="90" w:lineRule="exact"/>
        <w:rPr>
          <w:sz w:val="20"/>
          <w:szCs w:val="20"/>
          <w:color w:val="auto"/>
        </w:rPr>
      </w:pPr>
    </w:p>
    <w:p>
      <w:pPr>
        <w:ind w:left="900" w:hanging="324"/>
        <w:spacing w:after="0" w:line="268" w:lineRule="auto"/>
        <w:rPr>
          <w:sz w:val="20"/>
          <w:szCs w:val="20"/>
          <w:color w:val="auto"/>
        </w:rPr>
      </w:pPr>
      <w:r>
        <w:rPr>
          <w:rFonts w:ascii="Arial" w:cs="Arial" w:eastAsia="Arial" w:hAnsi="Arial"/>
          <w:sz w:val="18"/>
          <w:szCs w:val="18"/>
          <w:color w:val="auto"/>
        </w:rPr>
        <w:t>— To consider and act upon a proposal to amend our 2009 Incentive Compensation Plan to increase the number of shares of common stock that may be awarded under this Plan to 20,000,000.</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To consider and act upon a proposal to amend our Articles of Incorporation to permit our Board of Directors to have up to eleven members.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To consider and act upon a proposal to amend our Articles of Incorporation to authorize our Board of Directors to change the name of the Company.</w:t>
      </w:r>
    </w:p>
    <w:p>
      <w:pPr>
        <w:spacing w:after="0" w:line="113" w:lineRule="exact"/>
        <w:rPr>
          <w:sz w:val="20"/>
          <w:szCs w:val="20"/>
          <w:color w:val="auto"/>
        </w:rPr>
      </w:pPr>
    </w:p>
    <w:p>
      <w:pPr>
        <w:ind w:left="900" w:right="6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McGladrey &amp; Pullen, LLP, as our independent registered public accounting firm to audit the financial statements for our 2011 fiscal year.</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March 31, 2011.</w:t>
      </w:r>
    </w:p>
    <w:p>
      <w:pPr>
        <w:spacing w:after="0" w:line="90" w:lineRule="exact"/>
        <w:rPr>
          <w:sz w:val="20"/>
          <w:szCs w:val="20"/>
          <w:color w:val="auto"/>
        </w:rPr>
      </w:pPr>
    </w:p>
    <w:p>
      <w:pPr>
        <w:ind w:left="900" w:right="2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Important Notice Regarding the Availability of Proxy Materials for the Annual Meeting of Shareholders to be held on May 26, 2011. Our Proxy Statement is attached. Financial and other information concerning Pro-Pharmaceuticals, Inc. is contained in our annual report to shareholders for the fiscal year ended December 31, 2010. The Proxy Statement and our fiscal 2010 Annual Report to shareholders will be available on the Internet at: </w:t>
      </w:r>
      <w:r>
        <w:rPr>
          <w:rFonts w:ascii="Arial" w:cs="Arial" w:eastAsia="Arial" w:hAnsi="Arial"/>
          <w:sz w:val="18"/>
          <w:szCs w:val="18"/>
          <w:u w:val="single" w:color="auto"/>
          <w:color w:val="auto"/>
        </w:rPr>
        <w:t>http://www.rrdezproxy.com/2011/ProPharmaceuticals</w:t>
      </w:r>
      <w:r>
        <w:rPr>
          <w:rFonts w:ascii="Arial" w:cs="Arial" w:eastAsia="Arial" w:hAnsi="Arial"/>
          <w:sz w:val="18"/>
          <w:szCs w:val="18"/>
          <w:color w:val="auto"/>
        </w:rPr>
        <w:t>.</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of Stockholders, we urge you to vote and submit your proxy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ensure the presence of a quorum.</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Registered holders may vote </w:t>
      </w:r>
      <w:r>
        <w:rPr>
          <w:rFonts w:ascii="Arial" w:cs="Arial" w:eastAsia="Arial" w:hAnsi="Arial"/>
          <w:sz w:val="18"/>
          <w:szCs w:val="18"/>
          <w:color w:val="auto"/>
        </w:rPr>
        <w:t>by mail (if you received a paper copy of the Proxy Materials by mail): mark, sign, date and promptly mail the enclosed Proxy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postage-paid envelope.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Beneficial Stockholders may vote </w:t>
      </w:r>
      <w:r>
        <w:rPr>
          <w:rFonts w:ascii="Arial" w:cs="Arial" w:eastAsia="Arial" w:hAnsi="Arial"/>
          <w:sz w:val="18"/>
          <w:szCs w:val="18"/>
          <w:color w:val="auto"/>
        </w:rPr>
        <w:t>if your shares are held in the name of a broker, bank or other holder of record, follow the voting instructions you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of record to vote your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Any Proxy may be revoked at any time prior to its exercise at the Annual Meeting of Stockholders.</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130365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ectPr>
          <w:pgSz w:w="11900" w:h="16838" w:orient="portrait"/>
          <w:cols w:equalWidth="0" w:num="1">
            <w:col w:w="11340"/>
          </w:cols>
          <w:pgMar w:left="240" w:top="2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2">
            <w:col w:w="5340" w:space="720"/>
            <w:col w:w="5280"/>
          </w:cols>
          <w:pgMar w:left="240" w:top="261" w:right="319" w:bottom="1440" w:gutter="0" w:footer="0" w:header="0"/>
          <w:type w:val="continuous"/>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2011 ANNUAL MEETING OF STOCKHOLDERS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MAY 26, 2011</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Proxy Statement is being provided to you by Pro-Pharmaceuticals’ Board of Directors in connection with our 2011 Annual Meeting of Stockholders. The Annual Meeting will be held at 9:00 a.m. on Thursday, May 26, 2011 at the Company’s office, 7 Wells Avenue, Suite 34, Newton, Massachusetts 02459, for the purposes set forth in the accompanying Notice of 2011 Annual Meeting of Stockholders and this Proxy Statement. We expect to mail this information to stockholders entitled to vote at the Annual Meeting on or about April 15, 2011.</w:t>
      </w:r>
    </w:p>
    <w:p>
      <w:pPr>
        <w:spacing w:after="0" w:line="2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PURPOSE OF MEETING</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stockholders will be asked to consider and act upon:</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elect seven member of the Board of Directors to one-year terms;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an amendment of our 2009 Incentive Compensation Plan to increase the number of shares of common stock that may be awarded under this Plan to 20,000,000;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amend our Articles of Incorporation to permit our Board of Directors to have up to eleven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amend our Articles of Incorporation to authorize our Board of Directors to change the name of the Company;</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McGladrey &amp; Pullen, LLP, as our independent registered public accounting firm to audit the financial statements for our 2011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INFORMATION ABOUT THE ANNUAL MEETING, PROXIES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annual meeting, stockholders, whom we also refer to as shareholders in this Proxy Statement, will consider and vote on the following matters:</w:t>
      </w:r>
    </w:p>
    <w:p>
      <w:pPr>
        <w:spacing w:after="0" w:line="11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the seven nominees named in this Proxy Statement to our Board of Directors, each for a term of one year.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an amendment of our 2009 Incentive Compensation Plan to increase the number of shares of common stock that may be awarded under this Plan to 20,000,000.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of our Articles of Incorporation to permit our Board of Directors to have up to eleven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of our Articles of Incorporation to authorize our Board of Directors to change the name of the Company.</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selection of McGladrey &amp; Pullen LLP, as our independent registered public accounting firm for the fiscal year ending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can vote?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be able to vote, you must have been a Pro-Pharmaceuticals shareholder of record at the close of business on March 31, 2011. This date is the Record Date for the annual meeting.</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Shareholders of record who own our voting securities at the close of business on March 31, 2011 are entitled to vote on each proposal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 Each share of our Series A 12% Convertible Preferred Stock entitles you to one vote on each matter that is voted on that is submitted to a vote of holders of our common stock. Each share of our Series B-1 Convertible Preferred Stock and Series B-2 Convertible Preferred Stock entitles you to four votes on each matter that is submitted to a vote of holders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three ways.</w:t>
      </w:r>
    </w:p>
    <w:p>
      <w:pPr>
        <w:spacing w:after="0" w:line="51" w:lineRule="exact"/>
        <w:rPr>
          <w:sz w:val="20"/>
          <w:szCs w:val="20"/>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by following the Internet instructions on the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of Proxy Materials.</w:t>
      </w:r>
    </w:p>
    <w:p>
      <w:pPr>
        <w:spacing w:after="0" w:line="5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mail. </w:t>
      </w:r>
      <w:r>
        <w:rPr>
          <w:rFonts w:ascii="Arial" w:cs="Arial" w:eastAsia="Arial" w:hAnsi="Arial"/>
          <w:sz w:val="15"/>
          <w:szCs w:val="15"/>
          <w:color w:val="auto"/>
        </w:rPr>
        <w:t>You may vote by completing and signing the Proxy Card enclosed with this Proxy Statement and promptly mailing it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16" w:lineRule="exact"/>
        <w:rPr>
          <w:rFonts w:ascii="Arial" w:cs="Arial" w:eastAsia="Arial" w:hAnsi="Arial"/>
          <w:sz w:val="15"/>
          <w:szCs w:val="15"/>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 vote by completing</w:t>
      </w:r>
      <w:r>
        <w:rPr>
          <w:rFonts w:ascii="Arial" w:cs="Arial" w:eastAsia="Arial" w:hAnsi="Arial"/>
          <w:sz w:val="18"/>
          <w:szCs w:val="18"/>
          <w:i w:val="1"/>
          <w:iCs w:val="1"/>
          <w:color w:val="auto"/>
        </w:rPr>
        <w:t xml:space="preserve"> </w:t>
      </w:r>
      <w:r>
        <w:rPr>
          <w:rFonts w:ascii="Arial" w:cs="Arial" w:eastAsia="Arial" w:hAnsi="Arial"/>
          <w:sz w:val="18"/>
          <w:szCs w:val="18"/>
          <w:color w:val="auto"/>
        </w:rPr>
        <w:t>a ballot. Ballots will be available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of printed proxy materials?</w:t>
      </w:r>
    </w:p>
    <w:p>
      <w:pPr>
        <w:spacing w:after="0" w:line="119"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Under rules recently approved by the Securities Exchange Commission (“SEC”), the Company is now furnishing proxy materials on the Internet in addition to mailing paper copies of the materials to each shareholder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or about April 15, 2011, we will send all stockholders of record as of March 31, 2011 a Notice instructing them as to how to receive their proxy materials via the Internet this year. The proxy materials will be available on the Internet as of April 15,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Under the current rules, if you do not give instructions to your brokerage firm, it will still be able to vote your shares with respect to certain “discretionary” items, but will not be allowed to vote your shares with respect to certain “non-discretionary” items. Three proposals in this proxy statement are considered to be “discretionary” items and two are “non-discretionary”. The three “discretionary” items are: the amendment of our Articles of Incorporation to permit out Board of Directors to have up to eleven members (Proposal Three), the amendment to our Articles of Incorporation to authorize our Board of Directors to change the name of the Company (Proposal Four), and the ratification of McGladrey &amp; Pullen, LLP, as our independent registered public accounting firm (Proposal Five). With respect to “discretionary” items, your brokerage firm will be able to vote on these items even if it does not receive instructions from you, so long as it holds shares in your name. </w:t>
      </w:r>
      <w:r>
        <w:rPr>
          <w:rFonts w:ascii="Arial" w:cs="Arial" w:eastAsia="Arial" w:hAnsi="Arial"/>
          <w:sz w:val="16"/>
          <w:szCs w:val="16"/>
          <w:b w:val="1"/>
          <w:bCs w:val="1"/>
          <w:color w:val="auto"/>
        </w:rPr>
        <w:t>The two “non-discretionary” items are: the election of directors and the amendment to our 2009 Incentive Compensation Plan. If you do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instruct your broker how to vote with respect to these proposals, your broker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or brokerage firm that indicates on its proxy that it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or did not exercise discretionary authority to vote on a particular matter.</w:t>
      </w:r>
    </w:p>
    <w:p>
      <w:pPr>
        <w:spacing w:after="0" w:line="12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bank or brokerage firm showing that you are the beneficial owner of the shares as of the record date (March 31, 2011) in order to be admitted to the meeting on May 26, 2011. To be able to vote your shares held in street name at the meeting, you will need to obtain a Proxy Card from the holder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mark the boxes on my Proxy Card?</w:t>
      </w:r>
    </w:p>
    <w:p>
      <w:pPr>
        <w:spacing w:after="0" w:line="8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directors presented in this Proxy Statement to the Board of Directors, (2) “</w:t>
      </w:r>
      <w:r>
        <w:rPr>
          <w:rFonts w:ascii="Arial" w:cs="Arial" w:eastAsia="Arial" w:hAnsi="Arial"/>
          <w:sz w:val="16"/>
          <w:szCs w:val="16"/>
          <w:b w:val="1"/>
          <w:bCs w:val="1"/>
          <w:color w:val="auto"/>
        </w:rPr>
        <w:t>FOR</w:t>
      </w:r>
      <w:r>
        <w:rPr>
          <w:rFonts w:ascii="Arial" w:cs="Arial" w:eastAsia="Arial" w:hAnsi="Arial"/>
          <w:sz w:val="16"/>
          <w:szCs w:val="16"/>
          <w:color w:val="auto"/>
        </w:rPr>
        <w:t>” the amendment of our 2009 Incentive Compensation Plan to increase the shares that may be subject to awards thereunder to twenty million (20,000,000), (3) “</w:t>
      </w:r>
      <w:r>
        <w:rPr>
          <w:rFonts w:ascii="Arial" w:cs="Arial" w:eastAsia="Arial" w:hAnsi="Arial"/>
          <w:sz w:val="16"/>
          <w:szCs w:val="16"/>
          <w:b w:val="1"/>
          <w:bCs w:val="1"/>
          <w:color w:val="auto"/>
        </w:rPr>
        <w:t>FOR</w:t>
      </w:r>
      <w:r>
        <w:rPr>
          <w:rFonts w:ascii="Arial" w:cs="Arial" w:eastAsia="Arial" w:hAnsi="Arial"/>
          <w:sz w:val="16"/>
          <w:szCs w:val="16"/>
          <w:color w:val="auto"/>
        </w:rPr>
        <w:t>” the amendment of the Articles of Incorporation to permit the Board of Directors to have up to eleven members, (4) “</w:t>
      </w:r>
      <w:r>
        <w:rPr>
          <w:rFonts w:ascii="Arial" w:cs="Arial" w:eastAsia="Arial" w:hAnsi="Arial"/>
          <w:sz w:val="16"/>
          <w:szCs w:val="16"/>
          <w:b w:val="1"/>
          <w:bCs w:val="1"/>
          <w:color w:val="auto"/>
        </w:rPr>
        <w:t>FOR</w:t>
      </w:r>
      <w:r>
        <w:rPr>
          <w:rFonts w:ascii="Arial" w:cs="Arial" w:eastAsia="Arial" w:hAnsi="Arial"/>
          <w:sz w:val="16"/>
          <w:szCs w:val="16"/>
          <w:color w:val="auto"/>
        </w:rPr>
        <w:t>” the amendment of the Articles of Incorporation to authorize the Board of Directors to change the name of the Company, (5)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McGladrey &amp; Pullen, LLP as our independent registered public accounting firm to audit the financial statements for our 2011 fiscal year, and</w:t>
      </w:r>
    </w:p>
    <w:p>
      <w:pPr>
        <w:ind w:left="5680" w:right="940" w:hanging="5672"/>
        <w:spacing w:after="0" w:line="433"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to any other business that may come before the Annual Meeting, in accordance with the judgment of the person or persons named in the proxy. 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solicitation of Proxies?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2011 Annual Meeting?</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Stockholders of record at the close of business on March 31, 2011, which we refer to herein as the Record Date, will be entitled to notice of the Annual Meeting and to vote at the Annual Meeting. Our voting stock is comprised of:</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of which 68,537,072 shares were issued and outstanding as of the Record Date;</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Series A 12% Convertible Preferred Stock (which we refer to as our Series A preferred stock and which votes in accordance with the formula set forth in the Certificate of Designation of Preferences, Rights and Limitations of the Series A 12% Convertible Preferred Stock). As of the Record Date, 1,592,500 shares of Series A preferred stock were issued and outstanding; and</w:t>
      </w:r>
    </w:p>
    <w:p>
      <w:pPr>
        <w:spacing w:after="0" w:line="59" w:lineRule="exact"/>
        <w:rPr>
          <w:rFonts w:ascii="Arial" w:cs="Arial" w:eastAsia="Arial" w:hAnsi="Arial"/>
          <w:sz w:val="18"/>
          <w:szCs w:val="18"/>
          <w:color w:val="auto"/>
        </w:rPr>
      </w:pPr>
    </w:p>
    <w:p>
      <w:pPr>
        <w:ind w:left="900" w:right="1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Series B-1 Convertible Preferred Stock and Series B-2 Convertible Preferred Stock (which we refer to respectively as Series B-1 preferred stock and Series B-2 preferred stock and both series together as Series B preferred stock), both of which series vote in accordance with the formula set forth in the Certificate of Designation of Preferences, Rights and Limitations of the Series B-1 Convertible Preferred Stock and Series B-2 Convertible Preferred Stock, which we refer to as the Series B Designation Certificate). As of the Record Date, 900,000 shares of Series B-1 preferred stock, and 2,100,000 shares of Series B-2 preferred stock, were issued and outstanding.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shares of Series A preferred stock vote on an as-converted basis with the shares of our common stock as a single class and, as of the Record Date, are each entitled to one vote, for a total of 1,592,500 votes. The shares of Series B preferred stock vote on an as-converted basis with the shares of our common stock as a single class and, as of the Record Date, are each entitled to four votes, resulting in a total of 3,600,000 votes in respect of the shares of Series B-1 preferred stock and 8,400,000 votes in respect of the shares of Series B-2 preferred stock. No class or series of our issued and outstanding capital stock is entitled to cumulative voting. The shares of our Series C Super Dividend Convertible Preferred Stock (which we refer to as our Series C preferred stock) do not have voting rights prior to conversion to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a Quorum and 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for business to be conducted at the meeting, a quorum must be present in person or represented by valid proxies. For each of the proposals to be presented at the meeting, a quorum consists of the holders of one-third of the shares of stock issued and outstanding on March 31, 2011, the Record Date, or at least 27,376,524 voting shares. Shares of stock represented in person or by proxy (including “broker non-votes” and shares that abstain or do not vote with respect to a particular proposal to be voted upon) will be counted for the purpose of determining whether a quorum exists at the meeting for that proposal. If a quorum is not present, the meeting will be adjourned until a quorum is obtained.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 election exceed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cast “against” the nominee’s election, with abstentions and “broker non-votes” not counting as votes “for” or “against.” If the shares you own are held in “street name”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brokerage firm, your brokerage firm, as the record holder of your shares, is required to vote your shares according to your instructions. Two directors, whom we refer to as Series B directors, are nominated and elected by the holder(s) of the Series B preferred stock voting as a separate class.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Amendment of the 2009 Incentive Compensation Plan. </w:t>
      </w:r>
      <w:r>
        <w:rPr>
          <w:rFonts w:ascii="Arial" w:cs="Arial" w:eastAsia="Arial" w:hAnsi="Arial"/>
          <w:sz w:val="18"/>
          <w:szCs w:val="18"/>
          <w:color w:val="auto"/>
        </w:rPr>
        <w:t>Under our bylaws, the number of shares subject to the 2009 Incentive Compensation Plan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20,000,000 if the votes cast “for” the amendment exceed the votes cast “against” the amendment, with abstentions and “broker non-votes” not counting as votes “for” or “against.” If the shares you own are held in “street name” by a brokerage firm, your brokerage firm, as the record holder of your shares, is required to vote your shares according to your instructions.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Amendment of the Articles of Incorporation to Permit the Board of Directors to Have as Many as Eleven Members. </w:t>
      </w:r>
      <w:r>
        <w:rPr>
          <w:rFonts w:ascii="Arial" w:cs="Arial" w:eastAsia="Arial" w:hAnsi="Arial"/>
          <w:sz w:val="18"/>
          <w:szCs w:val="18"/>
          <w:color w:val="auto"/>
        </w:rPr>
        <w:t>Under Nevada law, the affirmative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a majority of all shares outstanding that are entitled to vote is required to amend our Articles of Incorporation to permit the Board of Directors to have as many as eleven members.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of the Articles of Incorporation to Authorize the Directors to Change the Name of the Corporation. </w:t>
      </w:r>
      <w:r>
        <w:rPr>
          <w:rFonts w:ascii="Arial" w:cs="Arial" w:eastAsia="Arial" w:hAnsi="Arial"/>
          <w:sz w:val="18"/>
          <w:szCs w:val="18"/>
          <w:color w:val="auto"/>
        </w:rPr>
        <w:t>Under Nevada law,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majority of all shares outstanding that are entitled to vote is required to amend our Articles of Incorporation to authorize our Board of Directors to change the name of the Company.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 number of votes cast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needed to ratify the selection of McGladrey &amp; Pullen, LLP, as our independent registered public accounting firm.</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do not instruct your broker how to vote with respect to the election of directors, your broker may not vote with respect to this proposal. If an uncontested incumbent director nominee receives a 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Each share of common stock and Series A preferred stock will be counted as one vote and each share of Series B preferred stock will be counted as four votes in accordance with the instructions contained on a proper Proxy Card, whether submitted in person, by mail, over the Internet, or on a ballot voted in person at the meeting. With respect to all proposals, shares will not be voted in favor of the matter, and will not be counted as voting on the matter, if they either</w:t>
      </w:r>
    </w:p>
    <w:p>
      <w:pPr>
        <w:spacing w:after="0" w:line="1" w:lineRule="exact"/>
        <w:rPr>
          <w:sz w:val="20"/>
          <w:szCs w:val="20"/>
          <w:color w:val="auto"/>
        </w:rPr>
      </w:pPr>
    </w:p>
    <w:p>
      <w:pPr>
        <w:ind w:right="140" w:firstLine="8"/>
        <w:spacing w:after="0" w:line="254"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abstain from voting on a particular matter, or (2) are broker non-votes. Brokers who do not receive instructions on the election of a director nominee will not be allowed to vote these shares, and all such shares will be “broker non-votes” rather than votes “for” or “against.” Accordingly, assuming the presence of a quorum, abstentions and broker non-votes for a particular director nominee will not be counted as votes to determine the outcome of the election of directors or the ratification of our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Continental Stock Transfer and Trust Company, our stock transfer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seven nominees to serve as directors on the Board of Directors, each for a term of one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amendment to our 2009 Incentive Compensation Plan to increase the number of shares that may be granted under the Plan to 20,000,000.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to our Articles of Incorporation to permit our Board of Directors to have up to eleven members.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of our Articles of Incorporation to authorize our Board of Directors change the name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McGladrey &amp; Pullen, LLP, as our independent registered public accounting firm for the 2011 fiscal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report the voting results on Form 8-K within four business days after the end of our Annual Stockholder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Annual Report on Form 10-K for the fiscal year ended December 31, 2010 is available on our website at www.pro-pharmaceuticals.com. If you would like a copy of our Annual Report on Form 10-K or any of its exhibits, we will send you one without charge. Please contact: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Newton, MA 02459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617-559-0033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info@pro-pharmaceuticals.com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about the Annual Meeting of Stockholders or your ownership of our common stock, please contact Maureen Foley, our Corporate Secretary and Chief Operating Officer, at the address, telephone number or email address listed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following table sets forth, as of March 15, 2011, certain information concerning the beneficial ownership of our common stock, our Series A preferred stock and our Series B preferred stock by (i) each person known by us to own beneficially five per cent (5%) or more of the outstanding shares of each class,</w:t>
      </w:r>
    </w:p>
    <w:p>
      <w:pPr>
        <w:jc w:val="both"/>
        <w:ind w:right="80"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15, 2011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Common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A</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B</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Address(1)</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Owned(2)</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Stock(3)</w:t>
            </w:r>
          </w:p>
        </w:tc>
        <w:tc>
          <w:tcPr>
            <w:tcW w:w="16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Owned</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Stock(4)</w:t>
            </w: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Owned(5)</w:t>
            </w:r>
          </w:p>
        </w:tc>
        <w:tc>
          <w:tcPr>
            <w:tcW w:w="3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Securities(6)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5% Stockholders</w:t>
            </w:r>
          </w:p>
        </w:tc>
        <w:tc>
          <w:tcPr>
            <w:tcW w:w="18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56,384,916(7)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50,101,748(9)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10X Capital Management, LLC</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1099 Forest Lake Terrace</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Niceville, FL 32578</w:t>
            </w: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16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51,120,674(10)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460" w:type="dxa"/>
            <w:vAlign w:val="bottom"/>
            <w:gridSpan w:val="3"/>
          </w:tcPr>
          <w:p>
            <w:pPr>
              <w:ind w:left="72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340,700(14)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100,000</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James C. Czirr</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425 Janish Drive, Sandpoint, ID</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83864</w:t>
            </w:r>
          </w:p>
        </w:tc>
        <w:tc>
          <w:tcPr>
            <w:tcW w:w="1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160" w:type="dxa"/>
            <w:vAlign w:val="bottom"/>
            <w:gridSpan w:val="3"/>
          </w:tcPr>
          <w:p>
            <w:pPr>
              <w:spacing w:after="0"/>
              <w:rPr>
                <w:sz w:val="20"/>
                <w:szCs w:val="20"/>
                <w:color w:val="auto"/>
              </w:rPr>
            </w:pPr>
            <w:r>
              <w:rPr>
                <w:rFonts w:ascii="Arial" w:cs="Arial" w:eastAsia="Arial" w:hAnsi="Arial"/>
                <w:sz w:val="18"/>
                <w:szCs w:val="18"/>
                <w:color w:val="auto"/>
              </w:rPr>
              <w:t>David Smith</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6"/>
              </w:rPr>
              <w:t>175,000</w:t>
            </w:r>
          </w:p>
        </w:tc>
        <w:tc>
          <w:tcPr>
            <w:tcW w:w="6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w w:val="98"/>
              </w:rPr>
              <w:t>34 Shorehaven Road E. Norwalk, CT</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06855</w:t>
            </w:r>
          </w:p>
        </w:tc>
        <w:tc>
          <w:tcPr>
            <w:tcW w:w="1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100,000(13)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David Smith 34 Shorehaven</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Road E. Norwalk, CT 06855</w:t>
            </w:r>
          </w:p>
        </w:tc>
        <w:tc>
          <w:tcPr>
            <w:tcW w:w="8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525"/>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Series B</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Preferred</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A</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B</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860" w:type="dxa"/>
            <w:vAlign w:val="bottom"/>
            <w:gridSpan w:val="2"/>
          </w:tcPr>
          <w:p>
            <w:pPr>
              <w:jc w:val="center"/>
              <w:ind w:left="99"/>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Address(1)</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Owned(2)</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Stock(3)</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38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Stock(4)</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Owned(5)</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Securities(6)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Directors and Named Executive Officers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507,500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56,384,916(7)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51,120,674(10)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511,500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522,250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713,844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1,400,000(11)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Paul Pressler</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27,000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1,796,343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1,045,000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D. Squeglia</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795,000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Maureen Foley</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1,375,000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All executive officers and directors as a</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group (12 persons)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66,597,279(12)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3,000,000</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7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indicated in the table, the address for each named person is c/o Pro-Pharmaceuticals, Inc., 7 Wells Avenue, Suite 34, Newton, Massachusetts 02459.</w:t>
      </w:r>
    </w:p>
    <w:p>
      <w:pPr>
        <w:ind w:left="460" w:right="10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15, 2011,</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Exercisable Within 60 Days</w:t>
            </w:r>
          </w:p>
        </w:tc>
      </w:tr>
      <w:tr>
        <w:trPr>
          <w:trHeight w:val="210"/>
        </w:trPr>
        <w:tc>
          <w:tcPr>
            <w:tcW w:w="2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Czirr</w:t>
            </w:r>
          </w:p>
        </w:tc>
        <w:tc>
          <w:tcPr>
            <w:tcW w:w="58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Martin</w:t>
            </w:r>
          </w:p>
        </w:tc>
        <w:tc>
          <w:tcPr>
            <w:tcW w:w="20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Neill</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Prelack</w:t>
            </w:r>
          </w:p>
        </w:tc>
        <w:tc>
          <w:tcPr>
            <w:tcW w:w="2080" w:type="dxa"/>
            <w:vAlign w:val="bottom"/>
          </w:tcPr>
          <w:p>
            <w:pPr>
              <w:jc w:val="right"/>
              <w:spacing w:after="0"/>
              <w:rPr>
                <w:sz w:val="20"/>
                <w:szCs w:val="20"/>
                <w:color w:val="auto"/>
              </w:rPr>
            </w:pPr>
            <w:r>
              <w:rPr>
                <w:rFonts w:ascii="Arial" w:cs="Arial" w:eastAsia="Arial" w:hAnsi="Arial"/>
                <w:sz w:val="18"/>
                <w:szCs w:val="18"/>
                <w:color w:val="auto"/>
              </w:rPr>
              <w:t>522,250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Dr. Traber</w:t>
            </w:r>
          </w:p>
        </w:tc>
        <w:tc>
          <w:tcPr>
            <w:tcW w:w="2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Zucconi</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Dr. Zomer</w:t>
            </w:r>
          </w:p>
        </w:tc>
        <w:tc>
          <w:tcPr>
            <w:tcW w:w="2080" w:type="dxa"/>
            <w:vAlign w:val="bottom"/>
          </w:tcPr>
          <w:p>
            <w:pPr>
              <w:jc w:val="right"/>
              <w:spacing w:after="0"/>
              <w:rPr>
                <w:sz w:val="20"/>
                <w:szCs w:val="20"/>
                <w:color w:val="auto"/>
              </w:rPr>
            </w:pPr>
            <w:r>
              <w:rPr>
                <w:rFonts w:ascii="Arial" w:cs="Arial" w:eastAsia="Arial" w:hAnsi="Arial"/>
                <w:sz w:val="18"/>
                <w:szCs w:val="18"/>
                <w:color w:val="auto"/>
              </w:rPr>
              <w:t>1,045,000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Squeglia</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Ms. Foley</w:t>
            </w:r>
          </w:p>
        </w:tc>
        <w:tc>
          <w:tcPr>
            <w:tcW w:w="2080" w:type="dxa"/>
            <w:vAlign w:val="bottom"/>
          </w:tcPr>
          <w:p>
            <w:pPr>
              <w:jc w:val="right"/>
              <w:spacing w:after="0"/>
              <w:rPr>
                <w:sz w:val="20"/>
                <w:szCs w:val="20"/>
                <w:color w:val="auto"/>
              </w:rPr>
            </w:pPr>
            <w:r>
              <w:rPr>
                <w:rFonts w:ascii="Arial" w:cs="Arial" w:eastAsia="Arial" w:hAnsi="Arial"/>
                <w:sz w:val="18"/>
                <w:szCs w:val="18"/>
                <w:color w:val="auto"/>
              </w:rPr>
              <w:t>1,370,000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8,748,250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4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67,666,627 shares of our common stock outstanding as of March 15, 2011 and (ii) the number of shares of our common stock that such person has the right to acquire within 60 days after March 15, 2011, which does not include any shares of common stock that may be issued in payment of dividends to holders of our preferred stock during that period.</w:t>
      </w:r>
    </w:p>
    <w:p>
      <w:pPr>
        <w:spacing w:after="0" w:line="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Series A preferred stock is based on 1,592,500 shares of Series A preferred stock outstanding as of March 15, 2011.</w:t>
      </w:r>
    </w:p>
    <w:p>
      <w:pPr>
        <w:ind w:left="460" w:right="7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900,000 shares of Series B-1 preferred stock issued and outstanding and (ii) 2,100,000 shares of Series B-2 preferred stock issued and outstanding.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sectPr>
      </w:pPr>
    </w:p>
    <w:bookmarkStart w:id="12" w:name="page13"/>
    <w:bookmarkEnd w:id="12"/>
    <w:p>
      <w:pPr>
        <w:ind w:left="452" w:right="20" w:hanging="452"/>
        <w:spacing w:after="0" w:line="283"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combined voting power of the voting securities (comprised of the aggregate of the shares of our common stock, Series A preferred stock voting on an as-converted basis with the common stock, and Series B-1 preferred stock and Series B-2 preferred stock voting on an as-converted basis with the common stock) on all matters presented to the stockholders for their approval at the Annual Meeting (except for such separate class votes as are required by law or the terms of a class or series of securities) and excludes shares of common stock underlying outstanding options and warrants that have not been exercised as of the Record Date. The Series C preferred stock does not have voting rights, and as of March 15, 2011, no shares of Series C preferred stock had been converted to common stock.</w:t>
      </w:r>
    </w:p>
    <w:p>
      <w:pPr>
        <w:spacing w:after="0" w:line="1"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100,000 shares of our common stock issuable upon conversion of Series A preferred stock; (ii) 200,000 shares of our common stock underlying warrants to purchase shares of our common stock; (iii) 3,600,000 shares of our common stock issuable upon conversion of 900,000 shares of Series B-1 preferred stock; (iv) 8,400,000 shares of our common stock issuable upon conversion of 2,100,000 shares of Series B-2 preferred stock; (v) warrants to purchase 36,000,000 shares of our common stock; and (vi) 2,101,748 shares of common stock issued as dividend payments, as to which Mr. Czirr, in his capacity as a managing member of 10X Capital Management Fund, LLC, a Florida limited liability company and general partner of 10X Fund, which we refer to as 10X Management, has shared voting and investment power, and disclaims beneficial ownership.</w:t>
      </w:r>
    </w:p>
    <w:p>
      <w:pPr>
        <w:spacing w:after="0" w:line="4" w:lineRule="exact"/>
        <w:rPr>
          <w:rFonts w:ascii="Arial" w:cs="Arial" w:eastAsia="Arial" w:hAnsi="Arial"/>
          <w:sz w:val="16"/>
          <w:szCs w:val="16"/>
          <w:color w:val="auto"/>
        </w:rPr>
      </w:pPr>
    </w:p>
    <w:p>
      <w:pPr>
        <w:ind w:left="452" w:right="16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Series B-1 preferred stock and Series B-2 preferred stock as to which such person has shared voting power but which will be voted by 10X Fund.</w:t>
      </w:r>
    </w:p>
    <w:p>
      <w:pPr>
        <w:ind w:left="452" w:right="18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8,400,000 shares of our common stock issuable upon conversion of 2,100,000 shares of Series B-2 preferred stock; (iii) warrants to purchase 36,000,000 shares of our common stock; and (iv) 2,101,748 shares of common stock issued as dividend payments, as to which Mr. Martin, in his capacity as a managing member of 10X Management, its general partner, has shared voting and investment power, and disclaims beneficial ownership.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ind w:left="452" w:right="8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8,400,000 shares of our common stock issuable upon conversion of 2,100,000 shares of Series B-2 preferred stock; (iii) warrants to purchase 36,000,000 shares of our common stock; and (iv) 2,101,748 shares of common stock issued as dividend payments, all of which are held of record by 10X Fund as to which Mr. Martin, in his capacity as a managing member of 10X Management, has shared voting and investment power, and disclaims beneficial ownership.</w:t>
      </w:r>
    </w:p>
    <w:p>
      <w:pPr>
        <w:spacing w:after="0" w:line="2" w:lineRule="exact"/>
        <w:rPr>
          <w:rFonts w:ascii="Arial" w:cs="Arial" w:eastAsia="Arial" w:hAnsi="Arial"/>
          <w:sz w:val="16"/>
          <w:szCs w:val="16"/>
          <w:color w:val="auto"/>
        </w:rPr>
      </w:pPr>
    </w:p>
    <w:p>
      <w:pPr>
        <w:ind w:left="452" w:right="46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warrants to purchase 150,000 shares of our common stock granted to Dr. Traber in accordance with his consulting agreement to serve as our interim Chief Medical Officer during 2010.</w:t>
      </w:r>
    </w:p>
    <w:p>
      <w:pPr>
        <w:ind w:left="452" w:right="100" w:hanging="452"/>
        <w:spacing w:after="0" w:line="28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 48,000,000 shares of our common stock underlying the Series B preferred stock and related warrants and (ii) 2,101,748 shares of common stock issued as dividends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2" w:lineRule="exact"/>
        <w:rPr>
          <w:rFonts w:ascii="Arial" w:cs="Arial" w:eastAsia="Arial" w:hAnsi="Arial"/>
          <w:sz w:val="16"/>
          <w:szCs w:val="16"/>
          <w:color w:val="auto"/>
        </w:rPr>
      </w:pPr>
    </w:p>
    <w:p>
      <w:pPr>
        <w:ind w:left="452" w:right="44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52" w:right="500" w:hanging="452"/>
        <w:spacing w:after="0" w:line="261"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 100,000 shares of our common stock issuable upon conversion of Series A preferred stock; and (ii) 200,000 shares of our common stock underlying warrants to purchase shares of our common stock.</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Board of Directors is currently fixed at nine members and we cannot change that number without the consent of at least a majority of the outstanding shares of Series B preferred stock. The holder(s) of the Series B preferred stock have given consent to allow us to present Proposal Three in this proxy statement which if adopted would allow us to amend our Articles of Incorporation to permit our Board of Directors to have up to eleven members.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Series B Designation Certificate provides that the holder(s) of our Series B preferred stock have the right, as long as any shares of Series B preferred stock are outstanding, to elect two of our directors in a separate class vote of the Series B preferred stock, referred to as the Series B directors, and to nominate three directors, referred to as the Series B nominees, who must be recommended for election by holders of all of our voting securities entitled to vote on election of directors. The holder(s) of the Series B preferred stock declined to exercise their right to designate the three Series B nominees for purposes of the 2011 Annual Meeting. Messrs. Czirr and Greenberg are the Series B directors who, if elected by the holder(s) of the Series B Preferred Stock at the 2011 Annual Meeting, will serve on our Board or Directors. As of March 15, 2011, 10X Fund is the owner of all of the issued and outstanding shares of the Series B preferred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seven members of our current Board of Directors to be re-elected at the Annual Meeting to serve one-year terms until the 2012 annual meeting of stockholders and until their respective successors are elected and qualified. Each nominee has agreed to serve if elected.</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Nominating and Corporate Governance Committee is nominating seven directors, which is fewer than the number (nine) of directors fixed by our governing instruments, to be elected to the Board of Directors because Messrs Czirr and Greenberg are the Series B directors who are nominated and elected by the holder(s) of the Series B preferred stock voting as a separate class. Mr. Czirr serves as the Executive Chairman of the Board. Background information with respect to Messrs. Czirr and Greenberg is provided below. If all of the nominees are elected at the Annual Meeting, our Board of Directors will have nine members. For additional information with respect to the Series B directors, see “Security Ownership of Certain Beneficial Owners and Management—Change of Control” above.</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15, 2011, including their ages, positions with Pro-Pharmaceuticals,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22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Age as of 3/15/11</w:t>
            </w:r>
          </w:p>
        </w:tc>
        <w:tc>
          <w:tcPr>
            <w:tcW w:w="302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Current Position</w:t>
            </w:r>
          </w:p>
        </w:tc>
        <w:tc>
          <w:tcPr>
            <w:tcW w:w="60" w:type="dxa"/>
            <w:vAlign w:val="bottom"/>
          </w:tcPr>
          <w:p>
            <w:pPr>
              <w:spacing w:after="0"/>
              <w:rPr>
                <w:sz w:val="14"/>
                <w:szCs w:val="14"/>
                <w:color w:val="auto"/>
              </w:rPr>
            </w:pPr>
          </w:p>
        </w:tc>
      </w:tr>
      <w:tr>
        <w:trPr>
          <w:trHeight w:val="201"/>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w w:val="98"/>
              </w:rPr>
              <w:t>Gilbert F. Amelio, Ph.D.</w:t>
            </w:r>
          </w:p>
        </w:tc>
        <w:tc>
          <w:tcPr>
            <w:tcW w:w="3240" w:type="dxa"/>
            <w:vAlign w:val="bottom"/>
            <w:gridSpan w:val="2"/>
          </w:tcPr>
          <w:p>
            <w:pPr>
              <w:jc w:val="center"/>
              <w:ind w:left="2192"/>
              <w:spacing w:after="0" w:line="201" w:lineRule="exact"/>
              <w:rPr>
                <w:sz w:val="20"/>
                <w:szCs w:val="20"/>
                <w:color w:val="auto"/>
              </w:rPr>
            </w:pPr>
            <w:r>
              <w:rPr>
                <w:rFonts w:ascii="Arial" w:cs="Arial" w:eastAsia="Arial" w:hAnsi="Arial"/>
                <w:sz w:val="18"/>
                <w:szCs w:val="18"/>
                <w:color w:val="auto"/>
                <w:w w:val="79"/>
              </w:rPr>
              <w:t>68</w:t>
            </w:r>
          </w:p>
        </w:tc>
        <w:tc>
          <w:tcPr>
            <w:tcW w:w="410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Rod Martin</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41</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64</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53</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76</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Paul Pressler</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80</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rPr>
              <w:t>Nominee</w:t>
            </w: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3240" w:type="dxa"/>
            <w:vAlign w:val="bottom"/>
            <w:gridSpan w:val="2"/>
          </w:tcPr>
          <w:p>
            <w:pPr>
              <w:jc w:val="center"/>
              <w:ind w:left="2192"/>
              <w:spacing w:after="0"/>
              <w:rPr>
                <w:sz w:val="20"/>
                <w:szCs w:val="20"/>
                <w:color w:val="auto"/>
              </w:rPr>
            </w:pPr>
            <w:r>
              <w:rPr>
                <w:rFonts w:ascii="Arial" w:cs="Arial" w:eastAsia="Arial" w:hAnsi="Arial"/>
                <w:sz w:val="18"/>
                <w:szCs w:val="18"/>
                <w:color w:val="auto"/>
                <w:w w:val="79"/>
              </w:rPr>
              <w:t>55</w:t>
            </w:r>
          </w:p>
        </w:tc>
        <w:tc>
          <w:tcPr>
            <w:tcW w:w="4100" w:type="dxa"/>
            <w:vAlign w:val="bottom"/>
            <w:gridSpan w:val="3"/>
          </w:tcPr>
          <w:p>
            <w:pPr>
              <w:ind w:left="740"/>
              <w:spacing w:after="0"/>
              <w:rPr>
                <w:sz w:val="20"/>
                <w:szCs w:val="20"/>
                <w:color w:val="auto"/>
              </w:rPr>
            </w:pPr>
            <w:r>
              <w:rPr>
                <w:rFonts w:ascii="Arial" w:cs="Arial" w:eastAsia="Arial" w:hAnsi="Arial"/>
                <w:sz w:val="18"/>
                <w:szCs w:val="18"/>
                <w:color w:val="auto"/>
                <w:w w:val="89"/>
              </w:rPr>
              <w:t>Chief Executive Officer, President and Director</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Dr. Amelio </w:t>
      </w:r>
      <w:r>
        <w:rPr>
          <w:rFonts w:ascii="Arial" w:cs="Arial" w:eastAsia="Arial" w:hAnsi="Arial"/>
          <w:sz w:val="16"/>
          <w:szCs w:val="16"/>
          <w:color w:val="auto"/>
        </w:rPr>
        <w:t>was appointed a director on February 12, 2009. Dr. Amelio, who began his career at Bell Labs, is Senior Partner of Sienna Ventures, a privately-held venture capital firm, and has acted in this capacity since 2001. Dr. Amelio was Chairman and Chief Executive Officer of Jazz Technologies, Inc., a specialty wafer foundry, from 2005 until his retirement in 2008, when he was named Chairman Emeritus. Dr. Amelio was Chairman and Chief Executive Officer of Beneventure Capital, LLC, a venture capital firm from 1999 to 2005 and was Principal of Aircraft Ventures, LLC, a consulting firm from 1997 to 2004.</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Dr. Amelio was elected a Director of AT&amp;T (NYSE: T) in 2001 and had previously served as an Advisory Director of AT&amp;T from 1997 to 2001. He served as a Director of Pacific Telesis Group from 1995 until the company was acquired by AT&amp;T in 1997. Dr. Amelio was chief executive officer of Apple, Inc. in 1996 and 1997, and from 1991 to 1996, he was chief executive officer of National Semiconductor Corporation. He was a director of Chiron, now a part of Novartis, from 1991 to 1996.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complex organizations.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Czirr</w:t>
      </w:r>
      <w:r>
        <w:rPr>
          <w:rFonts w:ascii="Arial" w:cs="Arial" w:eastAsia="Arial" w:hAnsi="Arial"/>
          <w:sz w:val="16"/>
          <w:szCs w:val="16"/>
          <w:color w:val="auto"/>
        </w:rPr>
        <w:t>, a Series B director, was appointed a director and became Chairman of the Board of Directors on February 12, 2009 and Executive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on February 11, 2010. Mr. Czirr, age 57, is a co-founder of 10X Fund, L.P. and is a managing member of 10X Capital Management LLC, the general partner of 10X Fund, L.P. Mr. Czirr was a co-founder of Pro-Pharmaceuticals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(NYSE Alternext US: MMG), a mineral exploration company seeking to become a low cost producer of zinc. Mr. Czirr received a B.B.A. degree from the University of Michigan. We believe Mr. Czirr’s qualifications to sit on our Board of Directors include his extensive experience with developing entrepreneurial biotech companies, his financial expertise and his years of experience providing strategic advisory services to development stage organizations.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Mr. Greenberg</w:t>
      </w:r>
      <w:r>
        <w:rPr>
          <w:rFonts w:ascii="Arial" w:cs="Arial" w:eastAsia="Arial" w:hAnsi="Arial"/>
          <w:sz w:val="16"/>
          <w:szCs w:val="16"/>
          <w:color w:val="auto"/>
        </w:rPr>
        <w:t>, a Series B director, was appointed a director in August 2009. With 37 successful years in the semiconductor equipment and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Mr. Greenberg, age 64, is the President and Founder of Prism Technologies, Inc. Prism provides professional sales &amp; marketing services and business development consulting services. Mr. Greenberg is a member of the board of UV Tech Systems, a designer and manufacturer of equipment used to fabricate semiconductor devices. Previously, he was the first President of SEMI, North America, a semiconductor equipment and materials industry trade association representing the interests, including public policy, of more than 2000 members doing business in North America. Mr. Greenberg received his Bachelor of Science degree in Business Administration from Henderson State University. We believe Mr. Greenberg’s qualifications to serve on our Board of Directors include his experience in leading technology enterprises, as well as his experience as a CEO of a technology company.</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Mr. Martin </w:t>
      </w:r>
      <w:r>
        <w:rPr>
          <w:rFonts w:ascii="Arial" w:cs="Arial" w:eastAsia="Arial" w:hAnsi="Arial"/>
          <w:sz w:val="16"/>
          <w:szCs w:val="16"/>
          <w:color w:val="auto"/>
        </w:rPr>
        <w:t>was appointed a director and became a member of the Nominating and Corporate Governance Committee and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on February 12, 2009. Mr. Martin was appointed Vice Chairman of the Board on February 11, 2010. Mr. Martin is a co-founder of 10X Fund, L.P. and is a managing member of 10X Capital Management LLC, the general partner of 10X Fund, L.P. Mr. Martin served as a senior advisor to PayPal, Inc. founder Peter Thiel, during the company’s startup phase, its initial public offering and its subsequent acquisition by eBay Inc.; and afterward, served at Clarium Capital, Thiel’s global macro hedge fund which had more than $7.8 billion under management. Mr. Martin is founder and chairman of the board of Advanced Search Laboratories, Inc., and also serves as a director of Proxomo Software. He previously served as Director of Policy Planning &amp; Research for former Arkansas Governor Mike Huckabee. He is a widely noted author and speaker, and leads several non-profit organizations. Mr. Martin holds a J.D. from Baylor Law School, a B.A. from the University of Arkansas, and was a Sturgis Fellow at Cambridge University in Great Britain. We believe Mr. Martin’s qualifications to sit on our Board of Directors include his extensive experience with developing entrepreneurial technology companies and his years of experience providing strategic legal and advisory services to development stage organizations.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Mr. Neill</w:t>
      </w:r>
      <w:r>
        <w:rPr>
          <w:rFonts w:ascii="Arial" w:cs="Arial" w:eastAsia="Arial" w:hAnsi="Arial"/>
          <w:sz w:val="16"/>
          <w:szCs w:val="16"/>
          <w:color w:val="auto"/>
        </w:rPr>
        <w:t>, a director since May 2007, became President of Pharmos Corp. (PARS.PK) in 2008, and since 2006, was its Senior Vice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Secretary, and Treasurer. From 2003 to 2006, Mr. Neill served as Chief Financial Officer, Treasurer and Secretary of Axonyx Inc., a biopharmaceutical company that developed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 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Economics. He is a Certified Public Accountant in New York State and a Chartered Accountant in Ireland. We believe Mr. Neill’s qualifications to sit on our Board of Directors include his executive leadership and management experience, as well as his financial expertise with public and financial accounting matters for technology and life science organizations.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Mr. Prelack</w:t>
      </w:r>
      <w:r>
        <w:rPr>
          <w:rFonts w:ascii="Arial" w:cs="Arial" w:eastAsia="Arial" w:hAnsi="Arial"/>
          <w:sz w:val="16"/>
          <w:szCs w:val="16"/>
          <w:color w:val="auto"/>
        </w:rPr>
        <w:t>, a director since April 2003, has been since July 2010 Senior Vice President of Operations and Chief Financial Officer of VetCor which owns</w:t>
      </w:r>
      <w:r>
        <w:rPr>
          <w:rFonts w:ascii="Arial" w:cs="Arial" w:eastAsia="Arial" w:hAnsi="Arial"/>
          <w:sz w:val="16"/>
          <w:szCs w:val="16"/>
          <w:i w:val="1"/>
          <w:iCs w:val="1"/>
          <w:color w:val="auto"/>
        </w:rPr>
        <w:t xml:space="preserve"> </w:t>
      </w:r>
      <w:r>
        <w:rPr>
          <w:rFonts w:ascii="Arial" w:cs="Arial" w:eastAsia="Arial" w:hAnsi="Arial"/>
          <w:sz w:val="16"/>
          <w:szCs w:val="16"/>
          <w:color w:val="auto"/>
        </w:rPr>
        <w:t>and operates 49 veterinary hospitals. Previously, from 2001, he was Senior Vice President, Chief Financial Officer and Treasurer of VelQuest Corporation, a provider of automated compliance software solutions for the pharmaceutical industry. In this capacity, Mr. Prelack oversees sales, business development, operations and finance. Mr. Prelack is a director of Codeco Corporation, a designer and manufacturer of custom resisters and switches, and is a member of the Strategic Advisory Board of BioVex, a Biotechnology company focused on cancer. Mr. Prelack served as Director and Audit Committee Chair for BioVex from 2007 through 2009. Mr. Prelack, a Certified Public Accountant, received a B.B.A. degree from the University of Massachusetts at Amherst in 1979. We believe Mr. Prelack’s qualifications to sit on our Board of Directors include his extensive experience with public and financial accounting matters for technology organizations.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Mr. Pressler</w:t>
      </w:r>
      <w:r>
        <w:rPr>
          <w:rFonts w:ascii="Arial" w:cs="Arial" w:eastAsia="Arial" w:hAnsi="Arial"/>
          <w:sz w:val="16"/>
          <w:szCs w:val="16"/>
          <w:color w:val="auto"/>
        </w:rPr>
        <w:t>, a nominee to the Board of Directors, has been a partner in the law firm of Woodfill &amp; Pressler since 2000, a director of Revelation, Inc.,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in private mediation practice for several years. A retired justice of the Texas Court of Appeals, Judge Pressler was appointed Justice of the Texas Court of Appeals in 1978, serving until 1992. Judge Pressler also served as District Judge from 1970 to 1978. From 1958 to 1970, he was associated with the law firm of Vinson &amp; Elkins. Judge Pressler has been a director of Salem Communications Corporation (Nasdaq GM:SALM) since March 2002, and is also a board member of the Free Market Foundation and KHCB Network, a non-profit corporation which owns Christian radio stations in Texas and Louisiana, and a board member of National Religious Broadcasters. He has been an active leader in the Southern Baptist Convention. Additionally, he is a member of the Texas Philosophical Society, the General Counsel of the Baptist World Alliance, and a member of the State Republican Executive Committee of Texas. As a former appeals court justice, Mr. Pressler provides the board with valuable analytical and consensus building skills. His extensive experience with both for-profit and non-profit boards enables Mr. Pressler to keenly understand a wide variety of business and corporate governance issues which are likely to develop as our Company develops. Moreover, Mr. Pressler’s deep legal expertise enables him to provide perspective and oversight with regard to the Company’s extensive legal and compliance issues in a highly regulated field. Mr. Pressler was nominated by non-management directors and has agreed to serve on our Board of Directors if elected.</w:t>
      </w:r>
    </w:p>
    <w:p>
      <w:pPr>
        <w:spacing w:after="0" w:line="124" w:lineRule="exact"/>
        <w:rPr>
          <w:sz w:val="20"/>
          <w:szCs w:val="20"/>
          <w:color w:val="auto"/>
        </w:rPr>
      </w:pPr>
    </w:p>
    <w:p>
      <w:pPr>
        <w:ind w:right="280" w:firstLine="456"/>
        <w:spacing w:after="0" w:line="302" w:lineRule="auto"/>
        <w:rPr>
          <w:sz w:val="20"/>
          <w:szCs w:val="20"/>
          <w:color w:val="auto"/>
        </w:rPr>
      </w:pPr>
      <w:r>
        <w:rPr>
          <w:rFonts w:ascii="Arial" w:cs="Arial" w:eastAsia="Arial" w:hAnsi="Arial"/>
          <w:sz w:val="15"/>
          <w:szCs w:val="15"/>
          <w:i w:val="1"/>
          <w:iCs w:val="1"/>
          <w:color w:val="auto"/>
        </w:rPr>
        <w:t>Mr. Rome</w:t>
      </w:r>
      <w:r>
        <w:rPr>
          <w:rFonts w:ascii="Arial" w:cs="Arial" w:eastAsia="Arial" w:hAnsi="Arial"/>
          <w:sz w:val="15"/>
          <w:szCs w:val="15"/>
          <w:color w:val="auto"/>
        </w:rPr>
        <w:t>, a director since March 2004, has been a private investor since 1996. Mr. Rome founded Amberline Pharmaceutical Care Corp., a marketer of</w:t>
      </w:r>
      <w:r>
        <w:rPr>
          <w:rFonts w:ascii="Arial" w:cs="Arial" w:eastAsia="Arial" w:hAnsi="Arial"/>
          <w:sz w:val="15"/>
          <w:szCs w:val="15"/>
          <w:i w:val="1"/>
          <w:iCs w:val="1"/>
          <w:color w:val="auto"/>
        </w:rPr>
        <w:t xml:space="preserve"> </w:t>
      </w:r>
      <w:r>
        <w:rPr>
          <w:rFonts w:ascii="Arial" w:cs="Arial" w:eastAsia="Arial" w:hAnsi="Arial"/>
          <w:sz w:val="15"/>
          <w:szCs w:val="15"/>
          <w:color w:val="auto"/>
        </w:rPr>
        <w:t>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w:t>
      </w:r>
    </w:p>
    <w:p>
      <w:pPr>
        <w:spacing w:after="0" w:line="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Mr. Rome received a B.S. degree in pharmaceutical sciences from the University of Connecticut. We believe Mr. Rome’s qualifications to serve on our Board of Directors include his experience as a CEO of a pharmaceutical company, as well as his executive management and corporate governance expertise.</w:t>
      </w:r>
    </w:p>
    <w:p>
      <w:pPr>
        <w:spacing w:after="0" w:line="9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 xml:space="preserve">Dr. Traber, </w:t>
      </w:r>
      <w:r>
        <w:rPr>
          <w:rFonts w:ascii="Arial" w:cs="Arial" w:eastAsia="Arial" w:hAnsi="Arial"/>
          <w:sz w:val="15"/>
          <w:szCs w:val="15"/>
          <w:color w:val="auto"/>
        </w:rPr>
        <w:t>a director since February 2009, was appointed President and Chief Executive Officer effective March 17, 2011, and has served as Chief Medical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since June 2010. Dr. Traber is President Emeritus, and from 2003 to 2008 was Chief Executive Officer, of Baylor College of Medicine. From 2000 to</w:t>
      </w:r>
    </w:p>
    <w:p>
      <w:pPr>
        <w:ind w:right="60"/>
        <w:spacing w:after="0" w:line="254" w:lineRule="auto"/>
        <w:rPr>
          <w:sz w:val="20"/>
          <w:szCs w:val="20"/>
          <w:color w:val="auto"/>
        </w:rPr>
      </w:pPr>
      <w:r>
        <w:rPr>
          <w:rFonts w:ascii="Arial" w:cs="Arial" w:eastAsia="Arial" w:hAnsi="Arial"/>
          <w:sz w:val="18"/>
          <w:szCs w:val="18"/>
          <w:color w:val="auto"/>
        </w:rPr>
        <w:t>2003 he was Senior Vice President Clinical Development and Regulatory Affairs and Chief Medical Officer of GlaxoSmithKline plc. He has also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from the University of Michigan. We believe Dr. Traber’s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qualifications to sit on our Board of Directors include his years of medical experience in the pharmaceutical and healthcare industries, as well as the deep understanding of our patients and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Anatole Klyosov, Ph.D., D.Sc.</w:t>
      </w:r>
      <w:r>
        <w:rPr>
          <w:rFonts w:ascii="Arial" w:cs="Arial" w:eastAsia="Arial" w:hAnsi="Arial"/>
          <w:sz w:val="16"/>
          <w:szCs w:val="16"/>
          <w:color w:val="auto"/>
        </w:rPr>
        <w:t>, age 64, our Chief Scientist since the company’s inception in 2000, is a co-inventor of our patented technology and a founder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Pro-Pharmaceuticals.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250 peer-reviewed articles in scientific journals, authored books on enzymes, carbohydrates, and biotechnology, edited two books: </w:t>
      </w:r>
      <w:r>
        <w:rPr>
          <w:rFonts w:ascii="Arial" w:cs="Arial" w:eastAsia="Arial" w:hAnsi="Arial"/>
          <w:sz w:val="16"/>
          <w:szCs w:val="16"/>
          <w:i w:val="1"/>
          <w:iCs w:val="1"/>
          <w:color w:val="auto"/>
        </w:rPr>
        <w:t xml:space="preserve">Carbohydrates in Drug Design </w:t>
      </w:r>
      <w:r>
        <w:rPr>
          <w:rFonts w:ascii="Arial" w:cs="Arial" w:eastAsia="Arial" w:hAnsi="Arial"/>
          <w:sz w:val="16"/>
          <w:szCs w:val="16"/>
          <w:color w:val="auto"/>
        </w:rPr>
        <w:t>and</w:t>
      </w:r>
      <w:r>
        <w:rPr>
          <w:rFonts w:ascii="Arial" w:cs="Arial" w:eastAsia="Arial" w:hAnsi="Arial"/>
          <w:sz w:val="16"/>
          <w:szCs w:val="16"/>
          <w:i w:val="1"/>
          <w:iCs w:val="1"/>
          <w:color w:val="auto"/>
        </w:rPr>
        <w:t xml:space="preserve"> Galectins</w:t>
      </w:r>
      <w:r>
        <w:rPr>
          <w:rFonts w:ascii="Arial" w:cs="Arial" w:eastAsia="Arial" w:hAnsi="Arial"/>
          <w:sz w:val="16"/>
          <w:szCs w:val="16"/>
          <w:color w:val="auto"/>
        </w:rPr>
        <w:t>, and holds more than 20 patents. Dr. Klyosov earned his Ph.D. and D.Sc. degrees in physical chemistry, and an</w:t>
      </w:r>
      <w:r>
        <w:rPr>
          <w:rFonts w:ascii="Arial" w:cs="Arial" w:eastAsia="Arial" w:hAnsi="Arial"/>
          <w:sz w:val="16"/>
          <w:szCs w:val="16"/>
          <w:i w:val="1"/>
          <w:iCs w:val="1"/>
          <w:color w:val="auto"/>
        </w:rPr>
        <w:t xml:space="preserve"> </w:t>
      </w:r>
      <w:r>
        <w:rPr>
          <w:rFonts w:ascii="Arial" w:cs="Arial" w:eastAsia="Arial" w:hAnsi="Arial"/>
          <w:sz w:val="16"/>
          <w:szCs w:val="16"/>
          <w:color w:val="auto"/>
        </w:rPr>
        <w:t>M.S. degree in enzyme kinetics, from Moscow State University.</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Eliezer Zomer, Ph.D., </w:t>
      </w:r>
      <w:r>
        <w:rPr>
          <w:rFonts w:ascii="Arial" w:cs="Arial" w:eastAsia="Arial" w:hAnsi="Arial"/>
          <w:sz w:val="16"/>
          <w:szCs w:val="16"/>
          <w:color w:val="auto"/>
        </w:rPr>
        <w:t>age 64, is Executive Vice President of Manufacturing and Product Development since the company’s inception in 2000.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Anthony D. Squeglia</w:t>
      </w:r>
      <w:r>
        <w:rPr>
          <w:rFonts w:ascii="Arial" w:cs="Arial" w:eastAsia="Arial" w:hAnsi="Arial"/>
          <w:sz w:val="18"/>
          <w:szCs w:val="18"/>
          <w:color w:val="auto"/>
        </w:rPr>
        <w:t>, age 68, became our Chief Financial Officer in October 2007 and from 2003 served as our Vice President of Investor Relations.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2003, Mr. Squeglia was a Partner in JFS Advisors, a management consulting firm that delivered strategic services to entrepreneurial businesses that includes raising capital,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Maureen Foley</w:t>
      </w:r>
      <w:r>
        <w:rPr>
          <w:rFonts w:ascii="Arial" w:cs="Arial" w:eastAsia="Arial" w:hAnsi="Arial"/>
          <w:sz w:val="16"/>
          <w:szCs w:val="16"/>
          <w:color w:val="auto"/>
        </w:rPr>
        <w:t>, age 70, has been our Chief Operating Officer since October 2001 and was formerly our Manager of Operations and acting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She has provided 30 years of business and operations management experience including facility design, construction, and fit out, project management, IT, HR, press and public relations, accounting and finance to startup companies. Between 1999 and 2000 she managed business operations for eHealthDirect, Inc., a developer of medical records processing software; and ArsDigita, Inc., a web development company. From 1996 to 1999, she served as Manager of Operations with Thermo Fibergen, Inc., a developer of composite materials and a subsidiary of Thermo Fisher Scientific, Inc. Ms. Foley is a graduate of The Wyndham School, Boston, Massachusetts, with a major in Mechanical Engineering. Ms. Foley serves as Secretary to the Board.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Company’s Corporate Governance provides that a majority of the members of the Board, and each member of the Audit, Compensation and Nominating and Corporate Governance Committees, must meet certain criteria for independence. Based on the New York Stock Exchange independence requirements, the Company’s Corporate Governance practices assist the Board in its determination of director independence.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New York Stock Exchange rules, Messrs. Czirr, Martin, Greenberg, Neill, Prelack, Rome and Dr. Amelio were affirmatively determined by the Board to be independent. Due to Dr. Zucconi’s and Dr. Traber’s employment with the Company, they are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www.pro-pharmaceuticals.com, that sets forth various policies and procedures intended to promote the ethical behavior of the Company’s employees, officers and directors. The Code of Ethics describes the Company’s policy on conflicts of interest. The Nominating and Corporate Governance Committee monitors the ethical behavior of the Company’s employees, officers and directors.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Since the beginning of fiscal 2009, the Company did not participate in any transactions in which any of the director nominees, Class B directors, executive officers, any beneficial owner of more than 5% of the Company’s common stock, nor any of their immediate family members, had a direct or indirect material interest. During 2010, we entered into an agreement with one of the members of our Board of Directors, Dr. Peter Traber, to serve as our interim Chief Medical Officer. For his services during 2010, Dr. Traber earned fees of $32,500 ($5,000 of which was paid in January 2011) and was granted warrants for 600,000 shares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Nominating Committee is responsible for, among other things, screening potential director candidates and recommending qualified candidates to the Board for nomination.</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When identifying and evaluating candidates, the Nominating Committee first determines whether there are any evolving needs of the Board that require an expert in a particular field. The Nominating Committee may retain a third-party search firm to assist the Committee in locating qualified candidates that meet the needs of the Board at that time. The search firm provides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the New York Stock Exchange, it will recommend the nomination of the candidate to the Board.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Secretary of Pro-Pharmaceuticals, Inc. at 7 Wells Avenue, Suite 34, Newton, MA 02459.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that are properly qualified to serve the Company for the benefit of all of its stockholders, consistent with the standards established by the Nominating Committee under the Company’s Corporate Governance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and management encourage communication from the Company’s stockholders. Stockholders who wish to communicate with the Company’s management should direct their communication to the Secretary of the Board, 7 Wells Avenue, Suite 34, Newton, MA 02459. Stockholders, or other interested parties, who wish to communicate with the non-management directors or any individual director should direct their communication c/o the Secretary at the address above. The Secretary will forward communications intended for the Board to the Vice Chairman of the Board, or, if intended for an individual director, to that director. If multiple communications are received on a similar topic, the Secretary may, in her discretion, forward only representative correspondence. Any communications that are abusive, in bad taste or present safety or security concerns may be handled differently.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Board believes that the Company’s Executive Chairman is best situated to serve as Chairman because he is the director who was a co-founder and is very familiar with the Company’s business and industry, and capable of effectively identifying sources of capital as well as strategic priorities. Independent directors and management have different perspectives and roles in strategy development. The Company’s independent directors bring experience, oversight and expertise from outside the company and industry. The Chief Executive Officer brings company-specific experience and expertise. The Board believes that the separate roles of the Executive Chairman and Chief Executive Officer promotes strategy development and execution, and facilitates information flow between management and the Board, which are essential to effective governance.</w:t>
      </w:r>
    </w:p>
    <w:p>
      <w:pPr>
        <w:spacing w:after="0" w:line="12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One of the key responsibilities of the Board is to develop strategic direction and hold management accountable for the execution of strategy once it is developed. The Board believes the separate roles of the Executive Chairman and the Chief Executive Officer is in the best interest of stockholders because it provides the appropriate balance between strategy development and independent oversight of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Company’s Corporate Governance Principles, non-management directors of the Board are required to meet on a regularly scheduled basis without the presence of management. The Executive Chairman chairs these sessions.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Attendance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Last year there were ten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does not have a formal policy requiring members of the Board to attend the Annual Meeting, although all directors are strongly encouraged to attend. All nine directors were present at the 2010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the Company’s risks. The Board regularly reviews information regarding the Company’s credit, liquidity and operations, as well as the risks associated with each. The Company’s Compensation Committee is responsible for overseeing the management of risks relating to the Company’s executive compensation plans and arrangements. The Audit Committee oversees management of financial risks. The Nominating and Corporate Governance Committee manages risks associated with the independence of the Board of Directors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The Board has established an Audit Committee, a Compensation Committee, and a Nominating and Corporate Governance Committee. The Audit, Compensation, and Nominating and Corporate Governance Committees are composed entirely of independent directors, as defined under the New York Stock Exchange Corporate Governance Principles. The charters of each committee are available on the Company’s website at </w:t>
      </w:r>
      <w:r>
        <w:rPr>
          <w:rFonts w:ascii="Arial" w:cs="Arial" w:eastAsia="Arial" w:hAnsi="Arial"/>
          <w:sz w:val="15"/>
          <w:szCs w:val="15"/>
          <w:u w:val="single" w:color="auto"/>
          <w:color w:val="auto"/>
        </w:rPr>
        <w:t>www.pro-pharmaceuticals.com</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Meetings and Committees of the Board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determined that all of the directors named in this Proxy Statement are “independent” within the meaning of the rules of the New York Stock Exchange., other than Dr. Zucconi, who does not serve on a standing committee and Peter Traber who will not be an independent director during 2011. During the year ended December 31, 2010, our Board of Directors held eight meetings.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held at least one meeting of the Board during 2010 which was attended only by the independent (non-management) directors.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2010, the Board of Directors had three standing committees: the Compensation Committee, the Audit Committee and the Nominating and Corporate Governance Committee.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Compensation Committee met five times in 2010. The members of this committee are Rod D. Martin (chair), Gilbert F. Amelio, Ph.D. and Arthur R. Greenberg.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is responsible for administration of grants and awards to directors, officers, employees, consultants and advisors under Pro-Pharmaceuticals’ 2001 Stock Incentive Plan, 2003 Non-employee Director Stock Incentive Plan and the 2009 Incentive Compensation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met four times in 2010. The members of this committee are Steven Prelack (chair), Jerald K. Rome and S. Colin Neill.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The Nominating and Corporate Governance Committee met once in 2010. The members of this committee are Rod D. Martin (chair), Jerald K. Rome and Gilbert F. Amelio, Ph.D.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shareholders.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Pro-Pharmaceuticals believes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20" w:lineRule="exact"/>
        <w:rPr>
          <w:sz w:val="20"/>
          <w:szCs w:val="20"/>
          <w:color w:val="auto"/>
        </w:rPr>
      </w:pPr>
    </w:p>
    <w:p>
      <w:pPr>
        <w:ind w:right="1160" w:firstLine="456"/>
        <w:spacing w:after="0" w:line="268" w:lineRule="auto"/>
        <w:rPr>
          <w:sz w:val="20"/>
          <w:szCs w:val="20"/>
          <w:color w:val="auto"/>
        </w:rPr>
      </w:pPr>
      <w:r>
        <w:rPr>
          <w:rFonts w:ascii="Arial" w:cs="Arial" w:eastAsia="Arial" w:hAnsi="Arial"/>
          <w:sz w:val="18"/>
          <w:szCs w:val="18"/>
          <w:color w:val="auto"/>
        </w:rPr>
        <w:t>The Committee has adopted a policy for stockholders to submit recommendations for director candidates. A stockholder desiring to make a recommendation may do so in writing by letter to the Nominating and Corporate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80"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2010 and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Salary</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3"/>
              </w:rPr>
              <w:t>($)(1)</w:t>
            </w:r>
          </w:p>
        </w:tc>
        <w:tc>
          <w:tcPr>
            <w:tcW w:w="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54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28,168(4)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&amp; President(2)</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111,988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905,736</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53,737(5)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1,081,461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153,602(6)</w:t>
            </w:r>
          </w:p>
        </w:tc>
        <w:tc>
          <w:tcPr>
            <w:tcW w:w="760" w:type="dxa"/>
            <w:vAlign w:val="bottom"/>
          </w:tcPr>
          <w:p>
            <w:pPr>
              <w:jc w:val="right"/>
              <w:spacing w:after="0"/>
              <w:rPr>
                <w:sz w:val="20"/>
                <w:szCs w:val="20"/>
                <w:color w:val="auto"/>
              </w:rPr>
            </w:pPr>
            <w:r>
              <w:rPr>
                <w:rFonts w:ascii="Arial" w:cs="Arial" w:eastAsia="Arial" w:hAnsi="Arial"/>
                <w:sz w:val="18"/>
                <w:szCs w:val="18"/>
                <w:color w:val="auto"/>
              </w:rPr>
              <w:t>153,602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Officer(3)</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14,000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41,605(10)</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134,917(7)</w:t>
            </w:r>
          </w:p>
        </w:tc>
        <w:tc>
          <w:tcPr>
            <w:tcW w:w="760" w:type="dxa"/>
            <w:vAlign w:val="bottom"/>
          </w:tcPr>
          <w:p>
            <w:pPr>
              <w:jc w:val="right"/>
              <w:spacing w:after="0"/>
              <w:rPr>
                <w:sz w:val="20"/>
                <w:szCs w:val="20"/>
                <w:color w:val="auto"/>
              </w:rPr>
            </w:pPr>
            <w:r>
              <w:rPr>
                <w:rFonts w:ascii="Arial" w:cs="Arial" w:eastAsia="Arial" w:hAnsi="Arial"/>
                <w:sz w:val="18"/>
                <w:szCs w:val="18"/>
                <w:color w:val="auto"/>
              </w:rPr>
              <w:t>190,522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24,471(8)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Executive Vice President of Manufacturing and Product Development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104,833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70,724</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28,756(9)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Anthony Squeglia,</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51,017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21,606(11)</w:t>
            </w:r>
          </w:p>
        </w:tc>
        <w:tc>
          <w:tcPr>
            <w:tcW w:w="760" w:type="dxa"/>
            <w:vAlign w:val="bottom"/>
          </w:tcPr>
          <w:p>
            <w:pPr>
              <w:jc w:val="right"/>
              <w:spacing w:after="0"/>
              <w:rPr>
                <w:sz w:val="20"/>
                <w:szCs w:val="20"/>
                <w:color w:val="auto"/>
              </w:rPr>
            </w:pPr>
            <w:r>
              <w:rPr>
                <w:rFonts w:ascii="Arial" w:cs="Arial" w:eastAsia="Arial" w:hAnsi="Arial"/>
                <w:sz w:val="18"/>
                <w:szCs w:val="18"/>
                <w:color w:val="auto"/>
              </w:rPr>
              <w:t>162,623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86,500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50,517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20,688(12)</w:t>
            </w:r>
          </w:p>
        </w:tc>
        <w:tc>
          <w:tcPr>
            <w:tcW w:w="760" w:type="dxa"/>
            <w:vAlign w:val="bottom"/>
          </w:tcPr>
          <w:p>
            <w:pPr>
              <w:jc w:val="right"/>
              <w:spacing w:after="0"/>
              <w:rPr>
                <w:sz w:val="20"/>
                <w:szCs w:val="20"/>
                <w:color w:val="auto"/>
              </w:rPr>
            </w:pPr>
            <w:r>
              <w:rPr>
                <w:rFonts w:ascii="Arial" w:cs="Arial" w:eastAsia="Arial" w:hAnsi="Arial"/>
                <w:sz w:val="18"/>
                <w:szCs w:val="18"/>
                <w:color w:val="auto"/>
              </w:rPr>
              <w:t>157,705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92,500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51,017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18,888(13)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88,792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30,310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17,556(14)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Anatole Klyosov, D.Sc.</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110,000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70,149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23,545(15)</w:t>
            </w:r>
          </w:p>
        </w:tc>
        <w:tc>
          <w:tcPr>
            <w:tcW w:w="760" w:type="dxa"/>
            <w:vAlign w:val="bottom"/>
          </w:tcPr>
          <w:p>
            <w:pPr>
              <w:jc w:val="right"/>
              <w:spacing w:after="0"/>
              <w:rPr>
                <w:sz w:val="20"/>
                <w:szCs w:val="20"/>
                <w:color w:val="auto"/>
              </w:rPr>
            </w:pPr>
            <w:r>
              <w:rPr>
                <w:rFonts w:ascii="Arial" w:cs="Arial" w:eastAsia="Arial" w:hAnsi="Arial"/>
                <w:sz w:val="18"/>
                <w:szCs w:val="18"/>
                <w:color w:val="auto"/>
              </w:rPr>
              <w:t>203,694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Chief Scientist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100,833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30,310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26,806(16)</w:t>
            </w:r>
          </w:p>
        </w:tc>
        <w:tc>
          <w:tcPr>
            <w:tcW w:w="760" w:type="dxa"/>
            <w:vAlign w:val="bottom"/>
          </w:tcPr>
          <w:p>
            <w:pPr>
              <w:jc w:val="right"/>
              <w:spacing w:after="0"/>
              <w:rPr>
                <w:sz w:val="20"/>
                <w:szCs w:val="20"/>
                <w:color w:val="auto"/>
              </w:rPr>
            </w:pPr>
            <w:r>
              <w:rPr>
                <w:rFonts w:ascii="Arial" w:cs="Arial" w:eastAsia="Arial" w:hAnsi="Arial"/>
                <w:sz w:val="18"/>
                <w:szCs w:val="18"/>
                <w:color w:val="auto"/>
              </w:rPr>
              <w:t>157,949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39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These amounts represent the aggregate grant date fair value of option awards for fiscal 2010 and 2009, respectively. These amounts do not represent the actual amounts paid to or realized by the named executive officer for these awards during fiscal years 2010 and 2009. The value of as of the grant date for stock options is recognized over the number of days of service required or the achievement of certain specified milestones for the grant to become vested. The following table includes the assumptions used to calculate the grant date fair value reported for fiscal years 2010 and 2009 on a grant by grant basis.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Assumptions</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Risk-</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Free</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Dividend</w:t>
            </w:r>
          </w:p>
        </w:tc>
        <w:tc>
          <w:tcPr>
            <w:tcW w:w="3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Grant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34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Volatility</w:t>
            </w:r>
          </w:p>
        </w:tc>
        <w:tc>
          <w:tcPr>
            <w:tcW w:w="54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Life</w:t>
            </w: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3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84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5/21/2009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3/24/2009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2/25/2009(10)</w:t>
            </w: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0.20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4/21/2009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Anthony Squeglia</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2/1/10</w:t>
            </w: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0.30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5/21/09</w:t>
            </w: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4/21/09</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4/21/09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Anatole Klyosov</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2/1/10</w:t>
            </w:r>
          </w:p>
        </w:tc>
        <w:tc>
          <w:tcPr>
            <w:tcW w:w="760" w:type="dxa"/>
            <w:vAlign w:val="bottom"/>
          </w:tcPr>
          <w:p>
            <w:pPr>
              <w:jc w:val="right"/>
              <w:spacing w:after="0"/>
              <w:rPr>
                <w:sz w:val="20"/>
                <w:szCs w:val="20"/>
                <w:color w:val="auto"/>
              </w:rPr>
            </w:pPr>
            <w:r>
              <w:rPr>
                <w:rFonts w:ascii="Arial" w:cs="Arial" w:eastAsia="Arial" w:hAnsi="Arial"/>
                <w:sz w:val="18"/>
                <w:szCs w:val="18"/>
                <w:color w:val="auto"/>
              </w:rPr>
              <w:t>275,000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0.30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4/21/09</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0.48</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Executive Officer from February 12, 2009 to March 16,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Resigned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$16,351 for local housing and travel to permanent residence and $11,817 for health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$44,861 for local housing and travel to permanent residence, $6,010 for health insurance and $2,866 for automobile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$120,000 of severance payments, $24,000 for health insurance expenses and $9,602 for automobile expenses.</w:t>
      </w:r>
    </w:p>
    <w:p>
      <w:pPr>
        <w:spacing w:after="0" w:line="15"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$100,000 of severance payments, $25,157 for health insurance expenses ($20,000 paid after resignation per Dr. Platt’s severance agreement), $9,600 for automobile expenses ($8,000 paid after resignation) and $160 for retirement plan contributions.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$20,071 for health insurance expenses and $4,400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$24,563 for health insurance expenses and $4,193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Granted for service as an outgoing board member.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$18,006 for health insurance expenses and $3,600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$17,228 for health insurance expenses and $3,460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$15,188 for health insurance expenses and $3,700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$14,004 for health insurance expenses and $3,552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$19,145 for health insurance expenses and $4,400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$22,773 for health insurance expenses and $4,033 for retirement plan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in 2010 and 2009.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D. Zucconi, PhD., Former Chief Executive Officer and President</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In connection with the sale of our Series B preferred stock to the 10X Fund, Dr. Zucconi was appointed as our Chief Executive Officer and President effective February 12, 2009, serving in that position through March 16, 2011. Peter G. Traber, M.D. became our Chief Executive Officer and President on March 17, 2011. As of the date of this proxy statement we have not entered into a definitive employment agreement with him.</w:t>
      </w:r>
    </w:p>
    <w:p>
      <w:pPr>
        <w:spacing w:after="0" w:line="107"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On March 31, 2011, we entered into a Separation Agreement with Dr. Zucconi which supersedes his prior employment agreement described below. Under the separation agreement, Dr. Zucconi shall serve as a consultant, with the title Director of Business Development, in connection with such matters as we may request, including the program for approval, marketing and sale of our DAVANAT</w:t>
      </w:r>
      <w:r>
        <w:rPr>
          <w:rFonts w:ascii="Arial" w:cs="Arial" w:eastAsia="Arial" w:hAnsi="Arial"/>
          <w:sz w:val="10"/>
          <w:szCs w:val="10"/>
          <w:color w:val="auto"/>
        </w:rPr>
        <w:t>®</w:t>
      </w:r>
      <w:r>
        <w:rPr>
          <w:rFonts w:ascii="Arial" w:cs="Arial" w:eastAsia="Arial" w:hAnsi="Arial"/>
          <w:sz w:val="15"/>
          <w:szCs w:val="15"/>
          <w:color w:val="auto"/>
        </w:rPr>
        <w:t xml:space="preserve"> product in South American or Latin American countries. The separation agreement provides for a consultancy term ending between November 30, 2011 and March 31, 2012 at a monthly rate of $13,333 and terminates all stock options that had not vested under his prior employment agreement. The separation agreement entitles Dr. Zucconi to a grant of 300,000 stock options exercisable for seven years which vest as to 100,000 shares each upon approval milestones in up to three South American countries achieved during his consultancy; a cash bonus equal to 1% of the amount received by June 30, 2012 from (i) actual receipts of gross sales of DAVANAT</w:t>
      </w:r>
      <w:r>
        <w:rPr>
          <w:rFonts w:ascii="Arial" w:cs="Arial" w:eastAsia="Arial" w:hAnsi="Arial"/>
          <w:sz w:val="10"/>
          <w:szCs w:val="10"/>
          <w:color w:val="auto"/>
        </w:rPr>
        <w:t>®</w:t>
      </w:r>
      <w:r>
        <w:rPr>
          <w:rFonts w:ascii="Arial" w:cs="Arial" w:eastAsia="Arial" w:hAnsi="Arial"/>
          <w:sz w:val="15"/>
          <w:szCs w:val="15"/>
          <w:color w:val="auto"/>
        </w:rPr>
        <w:t xml:space="preserve"> in South and Latin American countries and (ii) licensing fees paid in connection with agreements to market DAVANAT</w:t>
      </w:r>
      <w:r>
        <w:rPr>
          <w:rFonts w:ascii="Arial" w:cs="Arial" w:eastAsia="Arial" w:hAnsi="Arial"/>
          <w:sz w:val="10"/>
          <w:szCs w:val="10"/>
          <w:color w:val="auto"/>
        </w:rPr>
        <w:t>®</w:t>
      </w:r>
      <w:r>
        <w:rPr>
          <w:rFonts w:ascii="Arial" w:cs="Arial" w:eastAsia="Arial" w:hAnsi="Arial"/>
          <w:sz w:val="15"/>
          <w:szCs w:val="15"/>
          <w:color w:val="auto"/>
        </w:rPr>
        <w:t xml:space="preserve"> in such countries other than Colombia; and health and dental coverage for up to 24 months. The separation agreement also contains mutual general releases of Dr. Zucconi and Pro-Pharmaceuticals and their respective related entities and persons.</w:t>
      </w:r>
    </w:p>
    <w:p>
      <w:pPr>
        <w:spacing w:after="0" w:line="10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21, 2009, we entered into an employment agreement with Dr Zucconi (the “Agreement”) for a term ending May 31, 2011. The Agreement provides for an annual salary of $260,000, retroactive to February 12, 2009, which may be adjusted proportionately to the adjustments for other executives, provided that any reductions of 2009 compensation shall be paid no later than the first calendar quarter of 2010. Due to cash conservation efforts, Dr. Zucconi agreed to work for a base monthly salary of $10,000 in 2009. On December 31, 2009, Dr. Zucconi and the Company agreed that we owe him no unpaid 2009 salary except for accrued vacation. As incentives, Dr. Zucconi is entitled to grants of up to 2,000,000 stock options, which at his election may be incentive stock options or non-qualified stock options, to purchase shares of our common stock as follows: (i) 400,000 as of the effective date of the Agreement, (ii) 150,000 with a vesting date of December 31, 2009;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ind w:right="180" w:firstLine="8"/>
        <w:spacing w:after="0" w:line="284" w:lineRule="auto"/>
        <w:tabs>
          <w:tab w:leader="none" w:pos="307"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200,000 with a vesting date of December 31, 2010; and upon achieving the following milestones: (a) 100,000 after the effective date of an investigational new drug application by the U.S. Food and Drug Administration (“FDA”), e.g., for fibrosis or anti-hypoxia, filed by the Company, a partner, an agent or subsidiary; (b) 300,000 for any FDA approval of marketing and sales of DAVANAT</w:t>
      </w:r>
      <w:r>
        <w:rPr>
          <w:rFonts w:ascii="Arial" w:cs="Arial" w:eastAsia="Arial" w:hAnsi="Arial"/>
          <w:sz w:val="10"/>
          <w:szCs w:val="10"/>
          <w:color w:val="auto"/>
        </w:rPr>
        <w:t>®</w:t>
      </w:r>
      <w:r>
        <w:rPr>
          <w:rFonts w:ascii="Arial" w:cs="Arial" w:eastAsia="Arial" w:hAnsi="Arial"/>
          <w:sz w:val="16"/>
          <w:szCs w:val="16"/>
          <w:color w:val="auto"/>
        </w:rPr>
        <w:t>; (c) 100,000 for each of first three agreements to sell/distribute a product;</w:t>
      </w:r>
    </w:p>
    <w:p>
      <w:pPr>
        <w:spacing w:after="0" w:line="1" w:lineRule="exact"/>
        <w:rPr>
          <w:rFonts w:ascii="Arial" w:cs="Arial" w:eastAsia="Arial" w:hAnsi="Arial"/>
          <w:sz w:val="16"/>
          <w:szCs w:val="16"/>
          <w:color w:val="auto"/>
        </w:rPr>
      </w:pPr>
    </w:p>
    <w:p>
      <w:pPr>
        <w:ind w:right="320" w:firstLine="8"/>
        <w:spacing w:after="0" w:line="254"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150,000 for the initiation of sales of DAVANAT</w:t>
      </w:r>
      <w:r>
        <w:rPr>
          <w:rFonts w:ascii="Arial" w:cs="Arial" w:eastAsia="Arial" w:hAnsi="Arial"/>
          <w:sz w:val="11"/>
          <w:szCs w:val="11"/>
          <w:color w:val="auto"/>
        </w:rPr>
        <w:t>®</w:t>
      </w:r>
      <w:r>
        <w:rPr>
          <w:rFonts w:ascii="Arial" w:cs="Arial" w:eastAsia="Arial" w:hAnsi="Arial"/>
          <w:sz w:val="18"/>
          <w:szCs w:val="18"/>
          <w:color w:val="auto"/>
        </w:rPr>
        <w:t xml:space="preserve"> anywhere in the world; (e) 150,000 for the initiation of sales of DAVANAT</w:t>
      </w:r>
      <w:r>
        <w:rPr>
          <w:rFonts w:ascii="Arial" w:cs="Arial" w:eastAsia="Arial" w:hAnsi="Arial"/>
          <w:sz w:val="11"/>
          <w:szCs w:val="11"/>
          <w:color w:val="auto"/>
        </w:rPr>
        <w:t>®</w:t>
      </w:r>
      <w:r>
        <w:rPr>
          <w:rFonts w:ascii="Arial" w:cs="Arial" w:eastAsia="Arial" w:hAnsi="Arial"/>
          <w:sz w:val="18"/>
          <w:szCs w:val="18"/>
          <w:color w:val="auto"/>
        </w:rPr>
        <w:t xml:space="preserve"> specifically in the United States; and (f) 250,000 following the first calendar quarter in which we achieve profitability. The stock options are exercisable for seven years whether or not Dr. Zucconi is then employed by us, are priced on the date of approval of this agreement, shall vest as indicated and contain a “cashless” exercise provision. Dr. Zucconi may elect to take stock instead of stock options.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Agreement provides that Dr. Zucconi shall be entitled to cash bonus payments as follows: (i) $100,000 of which $20,000 is paid when an additional $1 million is raised and $40,000 when each additional $1 million is received until the total is paid; (ii) 2% of financing introduced from sources identified by</w:t>
      </w:r>
    </w:p>
    <w:p>
      <w:pPr>
        <w:ind w:right="320"/>
        <w:spacing w:after="0" w:line="255" w:lineRule="auto"/>
        <w:rPr>
          <w:sz w:val="20"/>
          <w:szCs w:val="20"/>
          <w:color w:val="auto"/>
        </w:rPr>
      </w:pPr>
      <w:r>
        <w:rPr>
          <w:rFonts w:ascii="Arial" w:cs="Arial" w:eastAsia="Arial" w:hAnsi="Arial"/>
          <w:sz w:val="18"/>
          <w:szCs w:val="18"/>
          <w:color w:val="auto"/>
        </w:rPr>
        <w:t>Dr. Zucconi and not from sources, or their successors, previously identified by us or 10X Capital Management; and (iii) 1% of the upfront fees and milestone payments in the event a partnership or joint venture is formed to sell or distribute a Company drug or reached with another company with upfront fees and milestone payments. In 2009, Dr. Zucconi received $20,000 cash bonus.</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Agreement entitles Dr. Zucconi to: (i) an automobile allowance of $500 per month; (ii) use of an apartment within reasonable commuting distance of our principal offices, and up to $20,000 per year additional temporary living costs; (iii) fourteen round trip single passenger airline tickets (by coach) per year between Massachusetts and Phoenix, Arizona; (iv) participation in our 401(k) plan with an employer match; and (v) medical insurance through us or reimbursement for premiums paid by Dr. Zucconi.</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Eliezer Zomer, Ph.D., Executive Vice President of Manufacturing and Product Development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March 31, 2011, we entered into an Employment Agreement with Dr. Zomer for a one-year term. Under this agreement, Dr. Zomer is entitled to a base salary of $170,000 and participation in our employee benefit plans. If Dr. Zomer terminates his employment for “good reason,” as defined in the agreement, he is entitled to salary and benefits through the end of the term, but not if he voluntarily terminates his employment without “good reason.” The agreement contains non-competition, confidentiality, assignment of inventions, and non-solicitation provisions.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Anthony Squeglia, Chief Financial Officer</w:t>
      </w:r>
    </w:p>
    <w:p>
      <w:pPr>
        <w:spacing w:after="0" w:line="90"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We entered into an Amended and Restated Employment agreement with Mr. Squeglia in December 2007 under which he was entitled to receive an annual salary of $180,000 and participate in company employee benefit plans, and was awarded 20,000 incentive stock options, all of which have vested. On March 8, 2011, we entered into an Amended Employment Agreement with Mr. Squeglia which supersedes his prior employment agreement. Under this Agreement,</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Mr. Squeglia is engaged for a one-year term ending March 6, 2012 (the “Term”) at a base salary of $150,000 and is entitled to participate in the Company’s standard employee benefits plan and vacation. If Mr. Squeglia is terminated by the Company without “cause” as defined in the Agreement, or terminates his employment for “good reason,” as defined in the Agreement, he is entitled to all compensation and benefits through the end of the Term and a severance comprised of six months base salary and continued employee benefits. If terminated for cause, he is entitled to six months base salary. The Agreement also provides for a $60,000 signing bonus, a $50,000 lump sum payment and $25,000 transition bonus payment payable on or before stated dates even if Mr. Squeglia is terminated for any reason. The Agreement requires Mr. Squeglia to assign intellectual property to the Company and contains non-competition, non-solicitation and confidentiality provisions which continue after employment.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Maureen Foley, Chief Operating Officer</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We entered into an employment agreement with Ms Foley dated January 19, 2009, under which she was entitled to receive an annual salary of $185,000 per year and participate in company employee benefit plans. On March 8, 2011, we entered into an Amended Employment Agreement with her which supersedes her prior employment agreement. Under this Agreement, Ms. Foley is engaged for a one-year term ending March 6, 2012 (the “Term”) at a base salary of $150,000 and is entitled to participate in the Company’s standard employee benefits plan, vacation and up to 40 days personal time off in respect of prior service to the Company. Following the Term, Ms. Foley’s employment continues for successive 30-day periods unless terminated by the Company with prior notice. If Ms Foley is terminated by the Company, without “cause” as defined in the Agreement, or terminates her employment for “good reason,” as defined in the Agreement, she is entitled to all compensation and benefits through the end of the Term and a severance comprised of six months base salary and continued employee benefits. If terminated for cause, she is entitled to six months base salary. The Agreement also provides for a $60,000 signing bonus, a $50,000 lump sum payment and $25,000 transition bonus payment payable by stated dates even if Ms. Foley is terminated for any reason. The Foley Agreement requires Ms. Foley to assign intellectual property to the Company and contains non-competition, non-solicitation and confidentiality provisions which continue after employment.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Chief Scientist</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entered into an employment agreement with Dr. Klyosov dated January 3, 2006, under which he was entitled to receive an annual salary of $200,000 and participate in company employee benefit plans. That agreement was superseded on March 31, 2011, when we entered into an Amended Employment Agreement with Dr. Klyosov for a one-year term. Under this agreement, Dr. Klyosov is entitled to a base salary of $170,000, participation in our employee benefit plans and a grant of 200,000 stock options that vest over one year and are exercisable for seven years at $1.04 per share. If Dr. Klyosov terminates his employment for “good reason,” as defined in the agreement, he is entitled to salary and benefits through the end of the term, but not if he voluntarily terminates his employment without “good reason.” The agreement contains non-competition, confidentiality, assignment of inventions, and non-solicitation provisions. We and Dr. Klyosov also entered into a mutual release of any claims related to his prior employment or employment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2010</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60" w:type="dxa"/>
            <w:vAlign w:val="bottom"/>
            <w:gridSpan w:val="5"/>
          </w:tcPr>
          <w:p>
            <w:pPr>
              <w:jc w:val="right"/>
              <w:ind w:right="1800"/>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20" w:type="dxa"/>
            <w:vAlign w:val="bottom"/>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Option</w:t>
            </w:r>
          </w:p>
        </w:tc>
        <w:tc>
          <w:tcPr>
            <w:tcW w:w="52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6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52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4"/>
                <w:szCs w:val="14"/>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9"/>
              </w:rPr>
              <w:t>Share($</w:t>
            </w:r>
            <w:r>
              <w:rPr>
                <w:rFonts w:ascii="Arial" w:cs="Arial" w:eastAsia="Arial" w:hAnsi="Arial"/>
                <w:sz w:val="14"/>
                <w:szCs w:val="14"/>
                <w:b w:val="1"/>
                <w:bCs w:val="1"/>
                <w:color w:val="auto"/>
                <w:w w:val="89"/>
              </w:rPr>
              <w:t>)</w:t>
            </w:r>
          </w:p>
        </w:tc>
        <w:tc>
          <w:tcPr>
            <w:tcW w:w="6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4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12/09/2007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04/10/2008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03/24/2009</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468,750(1)</w:t>
            </w:r>
          </w:p>
        </w:tc>
        <w:tc>
          <w:tcPr>
            <w:tcW w:w="2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31,250(1)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03/24/2014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05/21/2009</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850,000(2)</w:t>
            </w:r>
          </w:p>
        </w:tc>
        <w:tc>
          <w:tcPr>
            <w:tcW w:w="2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1,150,000(2)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05/21/2016</w:t>
            </w:r>
          </w:p>
        </w:tc>
        <w:tc>
          <w:tcPr>
            <w:tcW w:w="0" w:type="dxa"/>
            <w:vAlign w:val="bottom"/>
          </w:tcPr>
          <w:p>
            <w:pPr>
              <w:spacing w:after="0"/>
              <w:rPr>
                <w:sz w:val="1"/>
                <w:szCs w:val="1"/>
                <w:color w:val="auto"/>
              </w:rPr>
            </w:pPr>
          </w:p>
        </w:tc>
      </w:tr>
      <w:tr>
        <w:trPr>
          <w:trHeight w:val="275"/>
        </w:trPr>
        <w:tc>
          <w:tcPr>
            <w:tcW w:w="324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5"/>
              </w:rPr>
              <w:t>11/14/2002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09/02/2003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12/21/2004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03/09/2006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03/08/2007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04/10/2008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04/21/2009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Squeglia</w:t>
            </w:r>
          </w:p>
        </w:tc>
        <w:tc>
          <w:tcPr>
            <w:tcW w:w="14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04/10/2003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09/02/2003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12/21/2004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03/09/2006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03/08/2007</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12/12/2007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04/10/2008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04/21/2009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05/21/2009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02/01/2010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r>
        <w:trPr>
          <w:trHeight w:val="275"/>
        </w:trPr>
        <w:tc>
          <w:tcPr>
            <w:tcW w:w="3240" w:type="dxa"/>
            <w:vAlign w:val="bottom"/>
            <w:gridSpan w:val="3"/>
          </w:tcPr>
          <w:p>
            <w:pPr>
              <w:spacing w:after="0"/>
              <w:rPr>
                <w:sz w:val="20"/>
                <w:szCs w:val="20"/>
                <w:color w:val="auto"/>
              </w:rPr>
            </w:pPr>
            <w:r>
              <w:rPr>
                <w:rFonts w:ascii="Arial" w:cs="Arial" w:eastAsia="Arial" w:hAnsi="Arial"/>
                <w:sz w:val="18"/>
                <w:szCs w:val="18"/>
                <w:color w:val="auto"/>
              </w:rPr>
              <w:t>Maureen Foley</w:t>
            </w: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12/14/2001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12/14/2011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5"/>
              </w:rPr>
              <w:t>11/14/2002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09/02/2003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12/21/2004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03/09/2006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03/08/2007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04/10/2008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04/21/2009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w w:val="97"/>
              </w:rPr>
              <w:t>02/01/2010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480" w:type="dxa"/>
            <w:vAlign w:val="bottom"/>
            <w:gridSpan w:val="3"/>
          </w:tcPr>
          <w:p>
            <w:pPr>
              <w:spacing w:after="0"/>
              <w:rPr>
                <w:sz w:val="6"/>
                <w:szCs w:val="6"/>
                <w:color w:val="auto"/>
              </w:rPr>
            </w:pPr>
          </w:p>
        </w:tc>
        <w:tc>
          <w:tcPr>
            <w:tcW w:w="178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Anatole Klyosov</w:t>
            </w:r>
          </w:p>
        </w:tc>
        <w:tc>
          <w:tcPr>
            <w:tcW w:w="14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03/09/2006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03/08/2007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04/10/2008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04/21/2009</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02/01/2010</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02/01/2015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at the rate of 50% after one year, 25% on 6/24/2010, 12.5% on 9/24/2010, 6.25% on 12/24/2010 and 6.25% on 3/24/2011. The grant date fair value of un-exercisable options is $5,313.</w:t>
      </w:r>
    </w:p>
    <w:p>
      <w:pPr>
        <w:ind w:left="460" w:right="380" w:hanging="452"/>
        <w:spacing w:after="0" w:line="32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Options vest at the rate of 400,000 upon grant, 150,000 on 12/31/2009, 200,000 on 12/31/2010 and 1,250,000 upon the achievement of certain defined milestones. During 2010, 100,000 of the milestone warrants vested. The grant date fair value of un-exercisable options is $460,000.</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exercise price of the options is set at the closing price of our stock on the date of grant. Grants of options are recommended by the Compensation Committee and adopted by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Fees Earned</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Warrant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tcPr>
          <w:p>
            <w:pPr>
              <w:spacing w:after="0"/>
              <w:rPr>
                <w:sz w:val="12"/>
                <w:szCs w:val="12"/>
                <w:color w:val="auto"/>
              </w:rPr>
            </w:pP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4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1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146,000(5)</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255,088</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401,088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127,544</w:t>
            </w: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60,000(6)</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32,500(7)</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365,233(8)</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2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Theodore Zucconi was the only director during 2010 who was also an employee of Pro-Pharmaceuticals. He did not receive any compensation in his capacity as a director.</w:t>
      </w: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options or warrants to each listed director in fiscal 2010. These amounts do not represent the actual amounts paid to or realized by the directors during fiscal 2010. The value as of the grant date for stock options is recognized over the period of service required for the stock awards to vest in full.</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Reimbursements for travel are not included in these amounts.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options awards – both exercisable and un-exercisable) at December 31, 2010 is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spacing w:after="0"/>
              <w:rPr>
                <w:sz w:val="14"/>
                <w:szCs w:val="14"/>
                <w:color w:val="auto"/>
              </w:rPr>
            </w:pPr>
          </w:p>
        </w:tc>
        <w:tc>
          <w:tcPr>
            <w:tcW w:w="19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980" w:type="dxa"/>
            <w:vAlign w:val="bottom"/>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2"/>
              </w:rPr>
              <w:t>Shares Subject</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Option</w:t>
            </w:r>
          </w:p>
        </w:tc>
        <w:tc>
          <w:tcPr>
            <w:tcW w:w="980" w:type="dxa"/>
            <w:vAlign w:val="bottom"/>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1"/>
              </w:rPr>
              <w:t>to Warrant</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of 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 Held as</w:t>
            </w:r>
          </w:p>
        </w:tc>
        <w:tc>
          <w:tcPr>
            <w:tcW w:w="980" w:type="dxa"/>
            <w:vAlign w:val="bottom"/>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Awards Held as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Stock Held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980" w:type="dxa"/>
            <w:vAlign w:val="bottom"/>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90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w w:val="89"/>
              </w:rPr>
              <w:t>2010</w:t>
            </w:r>
          </w:p>
        </w:tc>
        <w:tc>
          <w:tcPr>
            <w:tcW w:w="10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980" w:type="dxa"/>
            <w:vAlign w:val="bottom"/>
          </w:tcPr>
          <w:p>
            <w:pPr>
              <w:spacing w:after="0"/>
              <w:rPr>
                <w:sz w:val="18"/>
                <w:szCs w:val="18"/>
                <w:color w:val="auto"/>
              </w:rPr>
            </w:pPr>
          </w:p>
        </w:tc>
        <w:tc>
          <w:tcPr>
            <w:tcW w:w="1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9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940" w:type="dxa"/>
            <w:vAlign w:val="bottom"/>
          </w:tcPr>
          <w:p>
            <w:pPr>
              <w:jc w:val="right"/>
              <w:spacing w:after="0"/>
              <w:rPr>
                <w:sz w:val="20"/>
                <w:szCs w:val="20"/>
                <w:color w:val="auto"/>
              </w:rPr>
            </w:pPr>
            <w:r>
              <w:rPr>
                <w:rFonts w:ascii="Arial" w:cs="Arial" w:eastAsia="Arial" w:hAnsi="Arial"/>
                <w:sz w:val="18"/>
                <w:szCs w:val="18"/>
                <w:color w:val="auto"/>
              </w:rPr>
              <w:t>511,500</w:t>
            </w:r>
          </w:p>
        </w:tc>
        <w:tc>
          <w:tcPr>
            <w:tcW w:w="980" w:type="dxa"/>
            <w:vAlign w:val="bottom"/>
          </w:tcPr>
          <w:p>
            <w:pPr>
              <w:spacing w:after="0"/>
              <w:rPr>
                <w:sz w:val="18"/>
                <w:szCs w:val="18"/>
                <w:color w:val="auto"/>
              </w:rPr>
            </w:pPr>
          </w:p>
        </w:tc>
        <w:tc>
          <w:tcPr>
            <w:tcW w:w="1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525,750</w:t>
            </w:r>
          </w:p>
        </w:tc>
        <w:tc>
          <w:tcPr>
            <w:tcW w:w="9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940" w:type="dxa"/>
            <w:vAlign w:val="bottom"/>
          </w:tcPr>
          <w:p>
            <w:pPr>
              <w:jc w:val="right"/>
              <w:spacing w:after="0"/>
              <w:rPr>
                <w:sz w:val="20"/>
                <w:szCs w:val="20"/>
                <w:color w:val="auto"/>
              </w:rPr>
            </w:pPr>
            <w:r>
              <w:rPr>
                <w:rFonts w:ascii="Arial" w:cs="Arial" w:eastAsia="Arial" w:hAnsi="Arial"/>
                <w:sz w:val="18"/>
                <w:szCs w:val="18"/>
                <w:color w:val="auto"/>
              </w:rPr>
              <w:t>563,000</w:t>
            </w:r>
          </w:p>
        </w:tc>
        <w:tc>
          <w:tcPr>
            <w:tcW w:w="980" w:type="dxa"/>
            <w:vAlign w:val="bottom"/>
          </w:tcPr>
          <w:p>
            <w:pPr>
              <w:spacing w:after="0"/>
              <w:rPr>
                <w:sz w:val="18"/>
                <w:szCs w:val="18"/>
                <w:color w:val="auto"/>
              </w:rPr>
            </w:pPr>
          </w:p>
        </w:tc>
        <w:tc>
          <w:tcPr>
            <w:tcW w:w="1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600,000(8)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3,100,250</w:t>
            </w:r>
          </w:p>
        </w:tc>
        <w:tc>
          <w:tcPr>
            <w:tcW w:w="19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2"/>
              </w:rPr>
              <w:t>600,000</w:t>
            </w: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paid to Mr. Czirr was for his service as Chairman of the Company.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paid to Mr. Prelack was for his service as Audit Committee Chairman.</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paid to Mr. Traber was for his service as our interim Chief Medical Officer. Of the $32,500 of compensation earned in 2010, $5,000 was paid in January 2011.</w:t>
      </w:r>
    </w:p>
    <w:p>
      <w:pPr>
        <w:ind w:left="460" w:right="1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Warrants granted to Dr. Traber for his service as our interim Chief Medical Officer. The warrants vest as follows: 150,000 on grant, 150,000 after one year and 300,000 upon the achievement of certain milestones.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includes the assumptions used to calculate the fiscal 2010 grant date fair value on a grant by grant basis for option and warrant awards for our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Assumptions</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Risk-</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Free</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Dividend</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Grant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4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Volatility</w:t>
            </w:r>
          </w:p>
        </w:tc>
        <w:tc>
          <w:tcPr>
            <w:tcW w:w="54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Life</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3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86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02/01/2010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Rod D. Martin</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02/01/2010</w:t>
            </w: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0.30</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06/15/2010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0.71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Pro-Pharmaceuticals Annual Report on Form 10-K for the year ended December 31,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travel and other related expenses.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After the end of fiscal 2010, we announced that our Board of Directors appointed Peter G. Traber, M.D., President and Chief Executive Officer effective March 17, 2011. In conjunction with the appointment of Dr. Traber, our Board of Directors on March 7, 2011 granted Dr. Traber 5,000,000 10-year stock options, at an exercise price of $1.16 per share, which vest as to 750,000 options on the grant date, 625,000 options on the first and second anniversaries of the grant date, 500,000 options on the third and fourth anniversaries of the grant date and 1,000,000 on the Fifth anniversary of the grant date. The remaining 1,000,000 options will vest upon the achievement of certain milestones. With respect to options that vest on anniversaries, exercise rights are accelerated upon achievement of certain milestones.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Policy for Non-Employee Directors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Prior to 2009, as provided for in our 2003 Non-employee Directors Stock Incentive Plan, each non-employee director received a grant of 500 non-qualified stock options for each meeting of our Board, and each meeting of a standing committee of the Board, that such director attended during a year of service.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2010 about the securities issued, or authorized for future issuance, under our equity compensation plans, consisting of our 2001 Stock Incentive Plan, our 2003 Non-Employee Director Stock Option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20" w:type="dxa"/>
            <w:vAlign w:val="bottom"/>
          </w:tcPr>
          <w:p>
            <w:pPr>
              <w:spacing w:after="0"/>
              <w:rPr>
                <w:sz w:val="12"/>
                <w:szCs w:val="12"/>
                <w:color w:val="auto"/>
              </w:rPr>
            </w:pPr>
          </w:p>
        </w:tc>
        <w:tc>
          <w:tcPr>
            <w:tcW w:w="10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6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4"/>
              </w:rPr>
              <w:t>of outstanding options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3"/>
              </w:rPr>
              <w:t>outstanding options,</w:t>
            </w:r>
          </w:p>
        </w:tc>
        <w:tc>
          <w:tcPr>
            <w:tcW w:w="106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11,430,000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364,250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106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11,794,250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jc w:val="right"/>
              <w:ind w:right="821"/>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b w:val="1"/>
          <w:bCs w:val="1"/>
          <w:color w:val="auto"/>
        </w:rPr>
        <w:t>TO APPROVE AN AMENDMENT TO THE PRO-PHARMACEUTICALS, INC. 2009 INCENTIVE COMPENSATION PLAN TO INCREASE THE NUMBER OF SHARES THAT MAY BE GRANTED UNDER THE PLAN TO 20,000,000</w:t>
      </w:r>
    </w:p>
    <w:p>
      <w:pPr>
        <w:spacing w:after="0" w:line="10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February 2009, our Board of Directors adopted the Pro-Pharmaceuticals, Inc. 2009 Incentive Compensation Plan, which we refer to as the 2009 Plan, which was approved by our stockholders at the 2009 Annual Meeting. At the time of its adoption, the 2009 Plan contained 10,000,000 shares available for grants under the Plan. Since the original adoption, the Compensation Committee, or the Board of Directors on its recommendation, has made awards of options and restricted stock that constituted nearly all of the originally available shares. This resulted from our need to use equity as a large component of compensation, rather than cash, in order to attract and retain highly qualified members to serve on our Board of Directors and management team. We expect that we must continue to rely on this strategy to retain our current leadership and attract additional highly-qualified persons. Accordingly, our Board of Directors approved an amendment of the 2009 Plan, subject to stockholder approval at the 2011 Annual Meeting, to increase the number of shares available for equity compensation awards under the 2009 from 10,000,000 to 20,000,000.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2009 Plan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purpose of the 2009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 term performance incentives to expend their maximum efforts in the creation of stockholder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Stockholder Approval of Amendment</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Stockholder approval of the amendment to the 2009 Plan is required (i) to comply with certain exclusions from the limitations of Section 162(m) of the Internal Revenue Code of 1986, which we refer to as the Code, as described below, (ii) for the 2009 Plan to be eligible under the “plan lender” exemption from the margin requirements of Regulation G promulgated under the Securities Exchange Act of 1934, as amended, which we refer to as the Exchange Act, (iii) to comply with the incentive stock options rules under Section 422 of the Code, and (iv) for purposes of complying with the stockholder approval requirements for the listing of shares on a national securities exchange in the event our shares of common stock are approved for listing.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2009 Plan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is a summary of certain principal features of the Amended and Restated 2009 Plan. This summary is qualified in its entirety by reference to the complete text of the Amended and Restated 2009 Plan. Stockholders are urged to read the actual text of the Amended and Restated 2009 Plan in its entirety which is set forth as Exhibit A to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 Annual Per-Person Limitations.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2009 Plan, the total number of shares of common stock of our company reserved and available for delivery under the 2009 Plan (the “awards”) at any time during the term of the 2009 Plan shall be equal to 20,000,000 shares. The 2009 Plan imposes individual limitations on the amount of certain awards in part to comply with Internal Revenue Code Section 162(m). Under these limitations, during any 12-month period, no participant may be granted (i) stock options or stock appreciation rights with respect to more than 2,000,000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 of our Board of Directors is authorized to adjust these limitations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persons eligible to receive awards under the 2009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w:t>
      </w:r>
    </w:p>
    <w:p>
      <w:pPr>
        <w:spacing w:after="0" w:line="132"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2009 Plan is to be administered by the Compensation Committee, provided, however, that except as otherwise expressly provided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2009 Plan, our Board of Directors may exercise any power or authority granted to the Compensation Committee under the 2009 Plan. Subject to the terms of the 2009 Plan, the Compensation Committee is authorized among other things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2009 Plan, construe and interpret the 2009 Plan and award agreements.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The Compensation Committee is authorized to grant stock options, including both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Restricted and Deferred Stock</w:t>
      </w:r>
      <w:r>
        <w:rPr>
          <w:rFonts w:ascii="Arial" w:cs="Arial" w:eastAsia="Arial" w:hAnsi="Arial"/>
          <w:sz w:val="18"/>
          <w:szCs w:val="18"/>
          <w:color w:val="auto"/>
        </w:rPr>
        <w:t>. The Compensation Committee is authorized to grant restricted stock and deferred stock. Restricted stock is a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The Compensation Committee is authorized to grant dividend equivalents conferring on participants the right to receive,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or on a deferred basis, cash, shares of common stock, other awards or other property equal in value to dividends paid on a specific number of shares of common stock or other periodic payments.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2" w:name="page33"/>
    <w:bookmarkEnd w:id="32"/>
    <w:p>
      <w:pPr>
        <w:jc w:val="both"/>
        <w:ind w:right="2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Stock and Awards in Lieu of Cash Obligations</w:t>
      </w:r>
      <w:r>
        <w:rPr>
          <w:rFonts w:ascii="Arial" w:cs="Arial" w:eastAsia="Arial" w:hAnsi="Arial"/>
          <w:sz w:val="18"/>
          <w:szCs w:val="18"/>
          <w:color w:val="auto"/>
        </w:rPr>
        <w:t>. The Compensation Committee is authorized to grant shares of common stock as a bonus free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to grant shares of common stock or other awards in lieu of company obligations to pay cash under the 2009 Plan or other plans or compensatory arrangements, subject to such terms as the Compensation Committee may specify.</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Compensation Committee is authorized to grant performance awards to participants on terms and conditions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Other Terms of Awards</w:t>
      </w:r>
      <w:r>
        <w:rPr>
          <w:rFonts w:ascii="Arial" w:cs="Arial" w:eastAsia="Arial" w:hAnsi="Arial"/>
          <w:sz w:val="18"/>
          <w:szCs w:val="18"/>
          <w:color w:val="auto"/>
        </w:rPr>
        <w:t>. Awards may be settled in the form of cash, shares of common stock, other awards or other property,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Compensation Committee may require or permit participants to defer the settlement of all or part of an award in accordance with such terms and conditions as the Compensation Committee may establish.</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Acceleration of Vesting; Change in Control</w:t>
      </w:r>
      <w:r>
        <w:rPr>
          <w:rFonts w:ascii="Arial" w:cs="Arial" w:eastAsia="Arial" w:hAnsi="Arial"/>
          <w:sz w:val="15"/>
          <w:szCs w:val="15"/>
          <w:color w:val="auto"/>
        </w:rPr>
        <w:t>. The Compensation Committee may, in its discretion, accelerate the exercisability, the lapsing of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or the expiration of deferral or vesting periods of any award, and such accelerated exercisability, lapse, expiration and if so provided in the award agreement or otherwise determined by the Compensation Committee, vesting shall occur automatically in the case of a “change in control” of our company (including the cash settlement of stock appreciation rights which may be exercisable in the event of a change in control). In addition, the Compensation Committee may provide in an award agreement that the performance goals relating to any performance award will be deemed to have been met upon the occurrence of any “change in control.”</w:t>
      </w:r>
    </w:p>
    <w:p>
      <w:pPr>
        <w:spacing w:after="0" w:line="10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alter, suspend, discontinue or terminate the 2009 Plan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2009 Plan which might increase the cost of the 2009 Plan or alter the eligibility of persons to receive awards.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TO APPROVE THE AMENDMENT TO THE PRO-PHARMACEUTICALS, INC. 2009 INCENTIVE COMPENSATION PLAN TO INCREASE THE NUMBER OF SHARES THAT MAY BE GRANTED UNDER THE PLAN TO 20,000,000.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OF OUR ARTICLES OF INCORPORATION TO PERMIT OUR BOARD OF DIRECTORS TO HAVE UP TO ELEVEN MEMBERS</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Article IV of our Articles of Incorporation currently states, in relevant part: “The number of directors of the corporation shall not be less than one or more than nine, such number to be determined by the corporation’s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propose to amend Article IV of our Articles of Incorporation to permit us to increase to eleven the number of persons who may be members of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Accordingly, we propose to delete Article IV and replace it with the following: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directors of the corporation shall not be less than one or more than eleven, such number to be determined by the corporation’s bylaws.”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 review of other companies, the Nominating and Governance Committee of our Board of Directors, or the Committee, has recommended that the governance of our company would benefit favorably from the ability to have a broader range of experience and expertise on the Board of Directors than is possible if the Board size is limited to nine persons. A company such as ours needs expertise in drug development and clinical trials, drug approval regulatory matters, pharmaceutical commercialization, international health care trends, corporate finance, financial reporting, and other matters. The Committee reviewed the boards of a number of other companies in the drug development sector and concluded that a larger board is consistent with our peers in this area.</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will not experience any change in your rights as a stockholder as a result of this amendment. Any amendment to our Articles of Incorporation must receive the consent of the Series B preferred, and 10X Fund, as the holder, has consented to this amendment.</w:t>
      </w:r>
    </w:p>
    <w:p>
      <w:pPr>
        <w:spacing w:after="0" w:line="132"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AMENDMENT OF OUR ARTICLES OF INCORPORATION TO PERMIT OUR BOARD OF DIRECTORS TO HAVE UP TO ELEVEN MEMBERS.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APPROVAL OF AN AMENDMENT TO OUR ARTICLES OF INCORPORATION TO AUTHORIZE OUR BOARD OF DIRECTORS TO CHANGE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NAME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Amendment Proposal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has approved, subject to stockholder approval, an amendment to our Articles of Incorporation to authorize our Board of Directors to changing the name of our company from “Pro-Pharmaceuticals, Inc.” to a name to be selected by the Directors. We believe that the name “Pro-Pharmaceuticals, Inc.” does not meaningfully convey the nature of our business and, accordingly, intend to adopt a name that characterizes more accurately our technology and position in the pharmaceutical market, and would serve as a more recognizable “brand.” Change of a corporate name, however, requires a number of essential steps, including analysis of corporate, trade name and stock ticker availability, website revision, and public acceptability. As we are unable to accomplish all of the preliminary steps prior to this proxy statement and desire to avoid the expense of calling a special meeting of stockholders for the name change, we seek approval of our stockholders to delegate to the Board the authority to select a new name of the company. Accordingly, we propose to replace Article I of our Articles of Incorporation with the following:</w:t>
      </w:r>
    </w:p>
    <w:p>
      <w:pPr>
        <w:spacing w:after="0" w:line="37"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“The name of the corporation shall be Pro-Pharmaceuticals, Inc. until the board of directors, having been duly empowered by action of the stockholders, has selected a new name of the corporation and a Certificate of Amendment amending Article I, entitled “Name,” to the Articles of Incorporation has been duly filed by the appropriate officers of the corporation that sets forth such new name, whereupon the name of the corporation shall be as set forth in such Certificate of Amendment.”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amendment proposal is approved by our stockholders at the 2011 Annual Meeting, we will file Certificate of Amendment with the Secretary of State of the State of Nevada that contains the text of the amendment to Article I stated above. Upon selection of a new name by our Board of Directors, which we expect to occur as soon as practicable following the 2011 Annual Meeting, we will file a subsequent amendment of Article I that states the new name of the company.</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will not experience any change in your rights as a stockholder as a result of this amendment. Any amendment to our Articles of Incorporation must receive the consent of the Series B preferred, and 10X Fund, as the holder, has consented to this amendment.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Following the effective date of a new corporate name, our ticker symbol will change to a yet to be determined symbol. Stockholders will not be required to submit their stock certificates for exchange as a result of this proposed name change. Following the effective date of the name change, all new stock certificates issued by us will use our new name.</w:t>
      </w:r>
    </w:p>
    <w:p>
      <w:pPr>
        <w:spacing w:after="0" w:line="140"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APPROVAL OF THE AMENDMENT TO OUR ARTICLES OF INCORPORATION TO AUTHORIZE OUR BOARD OF DIRECTORS TO CHANGE THE NAME OF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has, subject to the ratification of the stockholders, appointed McGaldrey &amp; Pullen, LLP as our independent auditors for the fiscal year ending December 31, 2011. Effective July 20, 2010, McGladrey &amp; Pullen, LLP (“McGladrey”) acquired certain assets of Caturano and Company, Inc. (formerly Caturano and Company, P.C.), our independent registered public accounting firm (“Caturano”), and substantially all of the officers and employees of Caturano joined McGladrey. As a result, Caturano resigned and we appointed McGladrey as our new independent registered public accounting firm on September 29, 2010. The decision to engage McGladrey &amp; Pullen, LLP was recommended by the Company’s Audit Committee of the Board of Directors. Prior to the acquisition by McGladrey, Caturano had served as our independent auditors since April 10, 2008.</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that a representative from McGladrey will be present at the Annual Meeting, and accordingly, McGladrey will be given the opportunity to make a statement and respond to any questions.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RATIFICATION OF THE APPOINTMENT OF MCGLADREY &amp; PULLEN, LLP, AS PRO-PHARMACEUTICALS’ INDEPENDENT PUBLIC ACCOUNTANTS FOR THE FISCAL YEAR ENDING DECEMBER 31, 2011.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MCGLADREY &amp; PULLEN, LLP and CATURANO AND COMPANY, INC. (FORMERLY CATURANO AND COMPANY, P.C.)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$ 129,254</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2"/>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$ 129,254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61"/>
        </w:trPr>
        <w:tc>
          <w:tcPr>
            <w:tcW w:w="11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$ 150,225</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Fees(4)</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2"/>
        </w:trPr>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$ 150,225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2010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2010 year end audit that were paid in 2011 and will be reported in the proxy statement for the 2012 annual meeting.</w:t>
      </w:r>
    </w:p>
    <w:p>
      <w:pPr>
        <w:ind w:left="460" w:right="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2009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2009 year end audit were paid in 2010 and have been reported in 2011.</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6" w:name="page37"/>
    <w:bookmarkEnd w:id="36"/>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McGladrey &amp; Pullen, LLP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McGladrey &amp; Pullen, LLP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Audit Committee has also received and reviewed the written disclosures and the letter from McGladrey &amp; Pullen, LLP, required by applicable requirements of the Public Company Accounting Oversight Board regarding the communications by McGladrey &amp; Pullen, LLP with the Audit Committee concerning independence, and has discussed with McGladrey &amp; Pullen, LLP,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2010 fiscal year be included in the Annual Report filed on Form 10-K for the year ended December 31, 2010.</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Colin Neill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2010, other than Dr. Traber serving as our interim Chief Medical Officer as previously disclosed.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7" w:name="page38"/>
    <w:bookmarkEnd w:id="37"/>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other than that one Form 4 of Peter G. Traber that reported one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2012 ANNUAL MEETING</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2012 annual meeting of stockholders, the proposal must be received by us, attention: Anthony D. Squeglia, Chief Financial Officer, at our principal executive offices by December 11, 2011. Also in accordance with SEC guidelines, if a stockholder notifies us of that stockholder’s intent to present a proposal at our 2012 annual meeting of stockholders after December 11, 2011, we may, acting through the persons named as proxies in the proxy materials for that meeting, exercise discretionary voting authority with respect to the proposal without including information about the proposal in our proxy materials. However, in either case, if the date of the 2012 annual meeting is changed by more than 30 days from the date of the 2011 Annual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2010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Suite 34, Newton, Massachusetts 02459, Attention: Chief Operating Officer; or (iii) sending an e-mail to us at foley@pro-pharmaceuticals.com. If you hold your shares through a broker, you can request a single copy of materials for future meetings by contacting the broker.</w:t>
      </w:r>
    </w:p>
    <w:p>
      <w:pPr>
        <w:spacing w:after="0" w:line="1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1303655" cy="61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pacing w:after="0" w:line="17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4"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PRO-PHARMACEUTICALS,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2009 INCENTIVE COMPENSATION PLAN</w:t>
      </w:r>
    </w:p>
    <w:p>
      <w:pPr>
        <w:sectPr>
          <w:pgSz w:w="11900" w:h="16838" w:orient="portrait"/>
          <w:cols w:equalWidth="0" w:num="1">
            <w:col w:w="10220"/>
          </w:cols>
          <w:pgMar w:left="1440" w:top="274" w:right="23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Purpose</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Definitions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Administration</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A-5</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Shares Subject to Plan</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Eligibility; Per-Person Award Limitations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Specific Terms of Awards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Certain Provisions Applicable to Awards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A-13</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Change in Control</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68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General Provisions</w:t>
            </w:r>
          </w:p>
        </w:tc>
        <w:tc>
          <w:tcPr>
            <w:tcW w:w="4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A-15</w:t>
            </w:r>
          </w:p>
        </w:tc>
      </w:tr>
    </w:tbl>
    <w:p>
      <w:pPr>
        <w:sectPr>
          <w:pgSz w:w="11900" w:h="16838" w:orient="portrait"/>
          <w:cols w:equalWidth="0" w:num="1">
            <w:col w:w="11320"/>
          </w:cols>
          <w:pgMar w:left="240" w:top="274"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65" w:lineRule="exact"/>
        <w:rPr>
          <w:sz w:val="20"/>
          <w:szCs w:val="20"/>
          <w:color w:val="auto"/>
        </w:rPr>
      </w:pPr>
    </w:p>
    <w:p>
      <w:pPr>
        <w:ind w:right="40" w:firstLine="464"/>
        <w:spacing w:after="0" w:line="254"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this amended and restated PRO-PHARMACEUTICALS, INC. 2009 INCENTIVE COMPENSATION PLAN (the “Plan”)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assist Pro-Pharmaceuticals,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44"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131" w:lineRule="exact"/>
        <w:rPr>
          <w:rFonts w:ascii="Arial" w:cs="Arial" w:eastAsia="Arial" w:hAnsi="Arial"/>
          <w:sz w:val="18"/>
          <w:szCs w:val="18"/>
          <w:color w:val="auto"/>
        </w:rPr>
      </w:pPr>
    </w:p>
    <w:p>
      <w:pPr>
        <w:ind w:firstLine="921"/>
        <w:spacing w:after="0" w:line="259" w:lineRule="auto"/>
        <w:tabs>
          <w:tab w:leader="none" w:pos="11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97"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41" w:name="page42"/>
    <w:bookmarkEnd w:id="41"/>
    <w:p>
      <w:pPr>
        <w:ind w:left="-8" w:right="60" w:firstLine="921"/>
        <w:spacing w:after="0" w:line="268" w:lineRule="auto"/>
        <w:tabs>
          <w:tab w:leader="none" w:pos="1154"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31" w:lineRule="exact"/>
        <w:rPr>
          <w:rFonts w:ascii="Arial" w:cs="Arial" w:eastAsia="Arial" w:hAnsi="Arial"/>
          <w:sz w:val="18"/>
          <w:szCs w:val="18"/>
          <w:color w:val="auto"/>
        </w:rPr>
      </w:pPr>
    </w:p>
    <w:p>
      <w:pPr>
        <w:ind w:left="-8" w:right="120" w:firstLine="921"/>
        <w:spacing w:after="0" w:line="291" w:lineRule="auto"/>
        <w:tabs>
          <w:tab w:leader="none" w:pos="11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20" w:lineRule="exact"/>
        <w:rPr>
          <w:rFonts w:ascii="Arial" w:cs="Arial" w:eastAsia="Arial" w:hAnsi="Arial"/>
          <w:sz w:val="16"/>
          <w:szCs w:val="16"/>
          <w:color w:val="auto"/>
        </w:rPr>
      </w:pPr>
    </w:p>
    <w:p>
      <w:pPr>
        <w:ind w:left="-8" w:right="260" w:firstLine="921"/>
        <w:spacing w:after="0" w:line="332" w:lineRule="auto"/>
        <w:tabs>
          <w:tab w:leader="none" w:pos="11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85" w:lineRule="exact"/>
        <w:rPr>
          <w:rFonts w:ascii="Arial" w:cs="Arial" w:eastAsia="Arial" w:hAnsi="Arial"/>
          <w:sz w:val="16"/>
          <w:szCs w:val="16"/>
          <w:color w:val="auto"/>
        </w:rPr>
      </w:pPr>
    </w:p>
    <w:p>
      <w:pPr>
        <w:ind w:left="-8" w:right="440" w:firstLine="921"/>
        <w:spacing w:after="0" w:line="305" w:lineRule="auto"/>
        <w:tabs>
          <w:tab w:leader="none" w:pos="1154" w:val="left"/>
        </w:tabs>
        <w:numPr>
          <w:ilvl w:val="1"/>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52" w:hanging="252"/>
        <w:spacing w:after="0"/>
        <w:tabs>
          <w:tab w:leader="none" w:pos="2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44" w:lineRule="exact"/>
        <w:rPr>
          <w:rFonts w:ascii="Arial" w:cs="Arial" w:eastAsia="Arial" w:hAnsi="Arial"/>
          <w:sz w:val="18"/>
          <w:szCs w:val="18"/>
          <w:color w:val="auto"/>
        </w:rPr>
      </w:pPr>
    </w:p>
    <w:p>
      <w:pPr>
        <w:ind w:left="-8" w:right="100" w:firstLine="921"/>
        <w:spacing w:after="0" w:line="298" w:lineRule="auto"/>
        <w:tabs>
          <w:tab w:leader="none" w:pos="11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12" w:lineRule="exact"/>
        <w:rPr>
          <w:rFonts w:ascii="Arial" w:cs="Arial" w:eastAsia="Arial" w:hAnsi="Arial"/>
          <w:sz w:val="16"/>
          <w:szCs w:val="16"/>
          <w:color w:val="auto"/>
        </w:rPr>
      </w:pPr>
    </w:p>
    <w:p>
      <w:pPr>
        <w:ind w:left="-8" w:right="180" w:firstLine="921"/>
        <w:spacing w:after="0" w:line="268" w:lineRule="auto"/>
        <w:tabs>
          <w:tab w:leader="none" w:pos="12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71" w:lineRule="exact"/>
        <w:rPr>
          <w:rFonts w:ascii="Arial" w:cs="Arial" w:eastAsia="Arial" w:hAnsi="Arial"/>
          <w:sz w:val="18"/>
          <w:szCs w:val="18"/>
          <w:color w:val="auto"/>
        </w:rPr>
      </w:pPr>
    </w:p>
    <w:p>
      <w:pPr>
        <w:ind w:left="-8" w:right="580" w:firstLine="921"/>
        <w:spacing w:after="0" w:line="268" w:lineRule="auto"/>
        <w:tabs>
          <w:tab w:leader="none" w:pos="11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31" w:lineRule="exact"/>
        <w:rPr>
          <w:rFonts w:ascii="Arial" w:cs="Arial" w:eastAsia="Arial" w:hAnsi="Arial"/>
          <w:sz w:val="18"/>
          <w:szCs w:val="18"/>
          <w:color w:val="auto"/>
        </w:rPr>
      </w:pPr>
    </w:p>
    <w:p>
      <w:pPr>
        <w:ind w:left="-8" w:right="100" w:firstLine="921"/>
        <w:spacing w:after="0" w:line="268" w:lineRule="auto"/>
        <w:tabs>
          <w:tab w:leader="none" w:pos="11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171" w:lineRule="exact"/>
        <w:rPr>
          <w:rFonts w:ascii="Arial" w:cs="Arial" w:eastAsia="Arial" w:hAnsi="Arial"/>
          <w:sz w:val="18"/>
          <w:szCs w:val="18"/>
          <w:color w:val="auto"/>
        </w:rPr>
      </w:pPr>
    </w:p>
    <w:p>
      <w:pPr>
        <w:ind w:left="-8" w:right="120" w:firstLine="921"/>
        <w:spacing w:after="0" w:line="259" w:lineRule="auto"/>
        <w:tabs>
          <w:tab w:leader="none" w:pos="11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280" w:right="259" w:bottom="1440" w:gutter="0" w:footer="0" w:header="0"/>
        </w:sectPr>
      </w:pPr>
    </w:p>
    <w:bookmarkStart w:id="42" w:name="page43"/>
    <w:bookmarkEnd w:id="42"/>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40" w:lineRule="exact"/>
        <w:rPr>
          <w:sz w:val="20"/>
          <w:szCs w:val="20"/>
          <w:color w:val="auto"/>
        </w:rPr>
      </w:pPr>
    </w:p>
    <w:p>
      <w:pPr>
        <w:ind w:right="300" w:firstLine="921"/>
        <w:spacing w:after="0" w:line="268"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15" w:lineRule="exact"/>
        <w:rPr>
          <w:rFonts w:ascii="Arial" w:cs="Arial" w:eastAsia="Arial" w:hAnsi="Arial"/>
          <w:sz w:val="16"/>
          <w:szCs w:val="16"/>
          <w:color w:val="auto"/>
        </w:rPr>
      </w:pPr>
    </w:p>
    <w:p>
      <w:pPr>
        <w:ind w:firstLine="921"/>
        <w:spacing w:after="0" w:line="286" w:lineRule="auto"/>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27"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71" w:lineRule="exact"/>
        <w:rPr>
          <w:sz w:val="20"/>
          <w:szCs w:val="20"/>
          <w:color w:val="auto"/>
        </w:rPr>
      </w:pPr>
    </w:p>
    <w:p>
      <w:pPr>
        <w:ind w:right="200" w:firstLine="921"/>
        <w:spacing w:after="0" w:line="332" w:lineRule="auto"/>
        <w:tabs>
          <w:tab w:leader="none" w:pos="1229"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85"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43" w:name="page44"/>
    <w:bookmarkEnd w:id="4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(cc)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71" w:lineRule="exact"/>
        <w:rPr>
          <w:rFonts w:ascii="Arial" w:cs="Arial" w:eastAsia="Arial" w:hAnsi="Arial"/>
          <w:sz w:val="18"/>
          <w:szCs w:val="18"/>
          <w:color w:val="auto"/>
        </w:rPr>
      </w:pPr>
    </w:p>
    <w:p>
      <w:pPr>
        <w:ind w:right="200" w:firstLine="921"/>
        <w:spacing w:after="0" w:line="332" w:lineRule="auto"/>
        <w:tabs>
          <w:tab w:leader="none" w:pos="123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has been granted an Award under the Plan which remains outstanding, including a person who is no longer an Eligible Person.</w:t>
      </w:r>
    </w:p>
    <w:p>
      <w:pPr>
        <w:spacing w:after="0" w:line="85" w:lineRule="exact"/>
        <w:rPr>
          <w:rFonts w:ascii="Arial" w:cs="Arial" w:eastAsia="Arial" w:hAnsi="Arial"/>
          <w:sz w:val="16"/>
          <w:szCs w:val="16"/>
          <w:color w:val="auto"/>
        </w:rPr>
      </w:pPr>
    </w:p>
    <w:p>
      <w:pPr>
        <w:ind w:left="1200" w:hanging="27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6(h) hereof.</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31" w:lineRule="exact"/>
        <w:rPr>
          <w:rFonts w:ascii="Arial" w:cs="Arial" w:eastAsia="Arial" w:hAnsi="Arial"/>
          <w:sz w:val="18"/>
          <w:szCs w:val="18"/>
          <w:color w:val="auto"/>
        </w:rPr>
      </w:pPr>
    </w:p>
    <w:p>
      <w:pPr>
        <w:jc w:val="both"/>
        <w:ind w:right="220" w:firstLine="921"/>
        <w:spacing w:after="0" w:line="335" w:lineRule="auto"/>
        <w:tabs>
          <w:tab w:leader="none" w:pos="1249" w:val="left"/>
        </w:tabs>
        <w:numPr>
          <w:ilvl w:val="0"/>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Share</w:t>
      </w:r>
      <w:r>
        <w:rPr>
          <w:rFonts w:ascii="Arial" w:cs="Arial" w:eastAsia="Arial" w:hAnsi="Arial"/>
          <w:sz w:val="15"/>
          <w:szCs w:val="15"/>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8" w:lineRule="exact"/>
        <w:rPr>
          <w:rFonts w:ascii="Arial" w:cs="Arial" w:eastAsia="Arial" w:hAnsi="Arial"/>
          <w:sz w:val="15"/>
          <w:szCs w:val="15"/>
          <w:color w:val="auto"/>
        </w:rPr>
      </w:pPr>
    </w:p>
    <w:p>
      <w:pPr>
        <w:ind w:right="40" w:firstLine="921"/>
        <w:spacing w:after="0" w:line="256"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8"/>
          <w:szCs w:val="18"/>
          <w:color w:val="auto"/>
        </w:rPr>
      </w:pPr>
    </w:p>
    <w:p>
      <w:pPr>
        <w:ind w:right="100" w:firstLine="921"/>
        <w:spacing w:after="0" w:line="268"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31" w:lineRule="exact"/>
        <w:rPr>
          <w:rFonts w:ascii="Arial" w:cs="Arial" w:eastAsia="Arial" w:hAnsi="Arial"/>
          <w:sz w:val="18"/>
          <w:szCs w:val="18"/>
          <w:color w:val="auto"/>
        </w:rPr>
      </w:pPr>
    </w:p>
    <w:p>
      <w:pPr>
        <w:ind w:right="180" w:firstLine="921"/>
        <w:spacing w:after="0" w:line="268"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8"/>
          <w:szCs w:val="18"/>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71" w:lineRule="exact"/>
        <w:rPr>
          <w:rFonts w:ascii="Arial" w:cs="Arial" w:eastAsia="Arial" w:hAnsi="Arial"/>
          <w:sz w:val="18"/>
          <w:szCs w:val="18"/>
          <w:color w:val="auto"/>
        </w:rPr>
      </w:pPr>
    </w:p>
    <w:p>
      <w:pPr>
        <w:ind w:right="2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31" w:lineRule="exact"/>
        <w:rPr>
          <w:rFonts w:ascii="Arial" w:cs="Arial" w:eastAsia="Arial" w:hAnsi="Arial"/>
          <w:sz w:val="18"/>
          <w:szCs w:val="18"/>
          <w:color w:val="auto"/>
        </w:rPr>
      </w:pPr>
    </w:p>
    <w:p>
      <w:pPr>
        <w:ind w:right="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44" w:name="page45"/>
    <w:bookmarkEnd w:id="44"/>
    <w:p>
      <w:pPr>
        <w:jc w:val="both"/>
        <w:ind w:left="-40" w:right="20" w:firstLine="921"/>
        <w:spacing w:after="0" w:line="306"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06" w:lineRule="exact"/>
        <w:rPr>
          <w:rFonts w:ascii="Arial" w:cs="Arial" w:eastAsia="Arial" w:hAnsi="Arial"/>
          <w:sz w:val="16"/>
          <w:szCs w:val="16"/>
          <w:color w:val="auto"/>
        </w:rPr>
      </w:pPr>
    </w:p>
    <w:p>
      <w:pPr>
        <w:jc w:val="both"/>
        <w:ind w:left="-40" w:right="380" w:firstLine="921"/>
        <w:spacing w:after="0" w:line="306" w:lineRule="auto"/>
        <w:tabs>
          <w:tab w:leader="none" w:pos="11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171" w:lineRule="exact"/>
        <w:rPr>
          <w:rFonts w:ascii="Arial" w:cs="Arial" w:eastAsia="Arial" w:hAnsi="Arial"/>
          <w:sz w:val="18"/>
          <w:szCs w:val="18"/>
          <w:color w:val="auto"/>
        </w:rPr>
      </w:pPr>
    </w:p>
    <w:p>
      <w:pPr>
        <w:ind w:left="-40" w:right="20" w:firstLine="921"/>
        <w:spacing w:after="0" w:line="287" w:lineRule="auto"/>
        <w:tabs>
          <w:tab w:leader="none" w:pos="1112"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22" w:lineRule="exact"/>
        <w:rPr>
          <w:rFonts w:ascii="Arial" w:cs="Arial" w:eastAsia="Arial" w:hAnsi="Arial"/>
          <w:sz w:val="16"/>
          <w:szCs w:val="16"/>
          <w:color w:val="auto"/>
        </w:rPr>
      </w:pPr>
    </w:p>
    <w:p>
      <w:pPr>
        <w:ind w:left="-40" w:right="20" w:firstLine="921"/>
        <w:spacing w:after="0" w:line="286" w:lineRule="auto"/>
        <w:tabs>
          <w:tab w:leader="none" w:pos="1121"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Manner of Exercise of Committee Authority. </w:t>
      </w:r>
      <w:r>
        <w:rPr>
          <w:rFonts w:ascii="Arial" w:cs="Arial" w:eastAsia="Arial" w:hAnsi="Arial"/>
          <w:sz w:val="16"/>
          <w:szCs w:val="16"/>
          <w:color w:val="auto"/>
        </w:rPr>
        <w:t>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4" w:lineRule="exact"/>
        <w:rPr>
          <w:rFonts w:ascii="Arial" w:cs="Arial" w:eastAsia="Arial" w:hAnsi="Arial"/>
          <w:sz w:val="16"/>
          <w:szCs w:val="16"/>
          <w:color w:val="auto"/>
        </w:rPr>
      </w:pPr>
    </w:p>
    <w:p>
      <w:pPr>
        <w:ind w:left="-40" w:firstLine="921"/>
        <w:spacing w:after="0" w:line="294" w:lineRule="auto"/>
        <w:tabs>
          <w:tab w:leader="none" w:pos="1112"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80" w:top="280" w:right="279" w:bottom="1440" w:gutter="0" w:footer="0" w:header="0"/>
        </w:sectPr>
      </w:pPr>
    </w:p>
    <w:bookmarkStart w:id="45" w:name="page46"/>
    <w:bookmarkEnd w:id="45"/>
    <w:p>
      <w:pPr>
        <w:ind w:left="632" w:hanging="176"/>
        <w:spacing w:after="0"/>
        <w:tabs>
          <w:tab w:leader="none" w:pos="632"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Subject to Plan.</w:t>
      </w:r>
    </w:p>
    <w:p>
      <w:pPr>
        <w:spacing w:after="0" w:line="171" w:lineRule="exact"/>
        <w:rPr>
          <w:rFonts w:ascii="Arial" w:cs="Arial" w:eastAsia="Arial" w:hAnsi="Arial"/>
          <w:sz w:val="18"/>
          <w:szCs w:val="18"/>
          <w:color w:val="auto"/>
        </w:rPr>
      </w:pPr>
    </w:p>
    <w:p>
      <w:pPr>
        <w:jc w:val="both"/>
        <w:ind w:left="-8" w:right="240" w:firstLine="921"/>
        <w:spacing w:after="0" w:line="259" w:lineRule="auto"/>
        <w:tabs>
          <w:tab w:leader="none" w:pos="1144"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Overall Number of Shares Available for Delivery Under Plan. </w:t>
      </w:r>
      <w:r>
        <w:rPr>
          <w:rFonts w:ascii="Arial" w:cs="Arial" w:eastAsia="Arial" w:hAnsi="Arial"/>
          <w:sz w:val="18"/>
          <w:szCs w:val="18"/>
          <w:color w:val="auto"/>
        </w:rPr>
        <w:t>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20,000,000. Any Shares delivered under the Plan may consist, in whole or in part, of authorized and unissued shares or treasury shares.</w:t>
      </w:r>
    </w:p>
    <w:p>
      <w:pPr>
        <w:spacing w:after="0" w:line="140" w:lineRule="exact"/>
        <w:rPr>
          <w:rFonts w:ascii="Arial" w:cs="Arial" w:eastAsia="Arial" w:hAnsi="Arial"/>
          <w:sz w:val="18"/>
          <w:szCs w:val="18"/>
          <w:color w:val="auto"/>
        </w:rPr>
      </w:pPr>
    </w:p>
    <w:p>
      <w:pPr>
        <w:jc w:val="both"/>
        <w:ind w:left="-8" w:right="120" w:firstLine="921"/>
        <w:spacing w:after="0" w:line="255" w:lineRule="auto"/>
        <w:tabs>
          <w:tab w:leader="none" w:pos="1153"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Awards. </w:t>
      </w:r>
      <w:r>
        <w:rPr>
          <w:rFonts w:ascii="Arial" w:cs="Arial" w:eastAsia="Arial" w:hAnsi="Arial"/>
          <w:sz w:val="18"/>
          <w:szCs w:val="18"/>
          <w:color w:val="auto"/>
        </w:rPr>
        <w:t>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42" w:lineRule="exact"/>
        <w:rPr>
          <w:rFonts w:ascii="Arial" w:cs="Arial" w:eastAsia="Arial" w:hAnsi="Arial"/>
          <w:sz w:val="18"/>
          <w:szCs w:val="18"/>
          <w:color w:val="auto"/>
        </w:rPr>
      </w:pPr>
    </w:p>
    <w:p>
      <w:pPr>
        <w:ind w:left="1152" w:hanging="239"/>
        <w:spacing w:after="0"/>
        <w:tabs>
          <w:tab w:leader="none" w:pos="1152"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171" w:lineRule="exact"/>
        <w:rPr>
          <w:rFonts w:ascii="Arial" w:cs="Arial" w:eastAsia="Arial" w:hAnsi="Arial"/>
          <w:sz w:val="18"/>
          <w:szCs w:val="18"/>
          <w:color w:val="auto"/>
        </w:rPr>
      </w:pPr>
    </w:p>
    <w:p>
      <w:pPr>
        <w:jc w:val="both"/>
        <w:ind w:left="-8" w:right="120" w:firstLine="1492"/>
        <w:spacing w:after="0" w:line="303" w:lineRule="auto"/>
        <w:tabs>
          <w:tab w:leader="none" w:pos="1685" w:val="left"/>
        </w:tabs>
        <w:numPr>
          <w:ilvl w:val="3"/>
          <w:numId w:val="37"/>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292" w:hanging="292"/>
        <w:spacing w:after="0"/>
        <w:tabs>
          <w:tab w:leader="none" w:pos="2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below.</w:t>
      </w:r>
    </w:p>
    <w:p>
      <w:pPr>
        <w:spacing w:after="0" w:line="164" w:lineRule="exact"/>
        <w:rPr>
          <w:rFonts w:ascii="Arial" w:cs="Arial" w:eastAsia="Arial" w:hAnsi="Arial"/>
          <w:sz w:val="18"/>
          <w:szCs w:val="18"/>
          <w:color w:val="auto"/>
        </w:rPr>
      </w:pPr>
    </w:p>
    <w:p>
      <w:pPr>
        <w:ind w:left="-8" w:right="120" w:firstLine="1492"/>
        <w:spacing w:after="0" w:line="298" w:lineRule="auto"/>
        <w:tabs>
          <w:tab w:leader="none" w:pos="1734" w:val="left"/>
        </w:tabs>
        <w:numPr>
          <w:ilvl w:val="3"/>
          <w:numId w:val="38"/>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12" w:lineRule="exact"/>
        <w:rPr>
          <w:rFonts w:ascii="Arial" w:cs="Arial" w:eastAsia="Arial" w:hAnsi="Arial"/>
          <w:sz w:val="16"/>
          <w:szCs w:val="16"/>
          <w:color w:val="auto"/>
        </w:rPr>
      </w:pPr>
    </w:p>
    <w:p>
      <w:pPr>
        <w:ind w:left="-8" w:firstLine="1492"/>
        <w:spacing w:after="0" w:line="290" w:lineRule="auto"/>
        <w:tabs>
          <w:tab w:leader="none" w:pos="1783" w:val="left"/>
        </w:tabs>
        <w:numPr>
          <w:ilvl w:val="3"/>
          <w:numId w:val="38"/>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18" w:lineRule="exact"/>
        <w:rPr>
          <w:rFonts w:ascii="Arial" w:cs="Arial" w:eastAsia="Arial" w:hAnsi="Arial"/>
          <w:sz w:val="16"/>
          <w:szCs w:val="16"/>
          <w:color w:val="auto"/>
        </w:rPr>
      </w:pPr>
    </w:p>
    <w:p>
      <w:pPr>
        <w:ind w:left="1772" w:hanging="288"/>
        <w:spacing w:after="0"/>
        <w:tabs>
          <w:tab w:leader="none" w:pos="1772" w:val="left"/>
        </w:tabs>
        <w:numPr>
          <w:ilvl w:val="3"/>
          <w:numId w:val="38"/>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171" w:lineRule="exact"/>
        <w:rPr>
          <w:rFonts w:ascii="Arial" w:cs="Arial" w:eastAsia="Arial" w:hAnsi="Arial"/>
          <w:sz w:val="18"/>
          <w:szCs w:val="18"/>
          <w:color w:val="auto"/>
        </w:rPr>
      </w:pPr>
    </w:p>
    <w:p>
      <w:pPr>
        <w:ind w:left="-8" w:firstLine="1492"/>
        <w:spacing w:after="0" w:line="332" w:lineRule="auto"/>
        <w:tabs>
          <w:tab w:leader="none" w:pos="1724" w:val="left"/>
        </w:tabs>
        <w:numPr>
          <w:ilvl w:val="3"/>
          <w:numId w:val="38"/>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20,000,000 Shares.</w:t>
      </w:r>
    </w:p>
    <w:p>
      <w:pPr>
        <w:spacing w:after="0" w:line="85" w:lineRule="exact"/>
        <w:rPr>
          <w:rFonts w:ascii="Arial" w:cs="Arial" w:eastAsia="Arial" w:hAnsi="Arial"/>
          <w:sz w:val="16"/>
          <w:szCs w:val="16"/>
          <w:color w:val="auto"/>
        </w:rPr>
      </w:pPr>
    </w:p>
    <w:p>
      <w:pPr>
        <w:ind w:left="-8" w:right="20" w:firstLine="464"/>
        <w:spacing w:after="0" w:line="294" w:lineRule="auto"/>
        <w:tabs>
          <w:tab w:leader="none" w:pos="624" w:val="left"/>
        </w:tabs>
        <w:numPr>
          <w:ilvl w:val="1"/>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Per-Person Award Limitations. </w:t>
      </w:r>
      <w:r>
        <w:rPr>
          <w:rFonts w:ascii="Arial" w:cs="Arial" w:eastAsia="Arial" w:hAnsi="Arial"/>
          <w:sz w:val="16"/>
          <w:szCs w:val="16"/>
          <w:color w:val="auto"/>
        </w:rPr>
        <w:t>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46" w:name="page47"/>
    <w:bookmarkEnd w:id="46"/>
    <w:p>
      <w:pPr>
        <w:ind w:left="620" w:hanging="1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Terms of Awards.</w:t>
      </w:r>
    </w:p>
    <w:p>
      <w:pPr>
        <w:spacing w:after="0" w:line="171" w:lineRule="exact"/>
        <w:rPr>
          <w:rFonts w:ascii="Arial" w:cs="Arial" w:eastAsia="Arial" w:hAnsi="Arial"/>
          <w:sz w:val="18"/>
          <w:szCs w:val="18"/>
          <w:color w:val="auto"/>
        </w:rPr>
      </w:pPr>
    </w:p>
    <w:p>
      <w:pPr>
        <w:ind w:left="-20" w:firstLine="921"/>
        <w:spacing w:after="0" w:line="290" w:lineRule="auto"/>
        <w:tabs>
          <w:tab w:leader="none" w:pos="1132"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171" w:lineRule="exact"/>
        <w:rPr>
          <w:rFonts w:ascii="Arial" w:cs="Arial" w:eastAsia="Arial" w:hAnsi="Arial"/>
          <w:sz w:val="18"/>
          <w:szCs w:val="18"/>
          <w:color w:val="auto"/>
        </w:rPr>
      </w:pPr>
    </w:p>
    <w:p>
      <w:pPr>
        <w:ind w:left="-20" w:right="40" w:firstLine="1492"/>
        <w:spacing w:after="0" w:line="290" w:lineRule="auto"/>
        <w:tabs>
          <w:tab w:leader="none" w:pos="1673"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18" w:lineRule="exact"/>
        <w:rPr>
          <w:rFonts w:ascii="Arial" w:cs="Arial" w:eastAsia="Arial" w:hAnsi="Arial"/>
          <w:sz w:val="16"/>
          <w:szCs w:val="16"/>
          <w:color w:val="auto"/>
        </w:rPr>
      </w:pPr>
    </w:p>
    <w:p>
      <w:pPr>
        <w:ind w:left="-20" w:right="20" w:firstLine="1492"/>
        <w:spacing w:after="0" w:line="289" w:lineRule="auto"/>
        <w:tabs>
          <w:tab w:leader="none" w:pos="1722"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18" w:lineRule="exact"/>
        <w:rPr>
          <w:rFonts w:ascii="Arial" w:cs="Arial" w:eastAsia="Arial" w:hAnsi="Arial"/>
          <w:sz w:val="16"/>
          <w:szCs w:val="16"/>
          <w:color w:val="auto"/>
        </w:rPr>
      </w:pPr>
    </w:p>
    <w:p>
      <w:pPr>
        <w:ind w:left="-20" w:right="60" w:firstLine="1492"/>
        <w:spacing w:after="0" w:line="291" w:lineRule="auto"/>
        <w:tabs>
          <w:tab w:leader="none" w:pos="1771"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20" w:lineRule="exact"/>
        <w:rPr>
          <w:rFonts w:ascii="Arial" w:cs="Arial" w:eastAsia="Arial" w:hAnsi="Arial"/>
          <w:sz w:val="16"/>
          <w:szCs w:val="16"/>
          <w:color w:val="auto"/>
        </w:rPr>
      </w:pPr>
    </w:p>
    <w:p>
      <w:pPr>
        <w:ind w:left="-20" w:right="120" w:firstLine="1948"/>
        <w:spacing w:after="0" w:line="306" w:lineRule="auto"/>
        <w:tabs>
          <w:tab w:leader="none" w:pos="2208" w:val="left"/>
        </w:tabs>
        <w:numPr>
          <w:ilvl w:val="3"/>
          <w:numId w:val="39"/>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47" w:name="page48"/>
    <w:bookmarkEnd w:id="4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85" w:lineRule="exact"/>
        <w:rPr>
          <w:sz w:val="20"/>
          <w:szCs w:val="20"/>
          <w:color w:val="auto"/>
        </w:rPr>
      </w:pPr>
    </w:p>
    <w:p>
      <w:pPr>
        <w:ind w:right="120" w:firstLine="1948"/>
        <w:spacing w:after="0" w:line="298" w:lineRule="auto"/>
        <w:tabs>
          <w:tab w:leader="none" w:pos="2218"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12"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43" w:lineRule="exact"/>
        <w:rPr>
          <w:rFonts w:ascii="Arial" w:cs="Arial" w:eastAsia="Arial" w:hAnsi="Arial"/>
          <w:sz w:val="18"/>
          <w:szCs w:val="18"/>
          <w:color w:val="auto"/>
        </w:rPr>
      </w:pPr>
    </w:p>
    <w:p>
      <w:pPr>
        <w:ind w:firstLine="1492"/>
        <w:spacing w:after="0" w:line="298" w:lineRule="auto"/>
        <w:tabs>
          <w:tab w:leader="none" w:pos="169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Payment. </w:t>
      </w:r>
      <w:r>
        <w:rPr>
          <w:rFonts w:ascii="Arial" w:cs="Arial" w:eastAsia="Arial" w:hAnsi="Arial"/>
          <w:sz w:val="16"/>
          <w:szCs w:val="16"/>
          <w:color w:val="auto"/>
        </w:rPr>
        <w:t>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12" w:lineRule="exact"/>
        <w:rPr>
          <w:rFonts w:ascii="Arial" w:cs="Arial" w:eastAsia="Arial" w:hAnsi="Arial"/>
          <w:sz w:val="16"/>
          <w:szCs w:val="16"/>
          <w:color w:val="auto"/>
        </w:rPr>
      </w:pPr>
    </w:p>
    <w:p>
      <w:pPr>
        <w:ind w:firstLine="1492"/>
        <w:spacing w:after="0" w:line="291" w:lineRule="auto"/>
        <w:tabs>
          <w:tab w:leader="none" w:pos="1742"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20" w:lineRule="exact"/>
        <w:rPr>
          <w:rFonts w:ascii="Arial" w:cs="Arial" w:eastAsia="Arial" w:hAnsi="Arial"/>
          <w:sz w:val="16"/>
          <w:szCs w:val="16"/>
          <w:color w:val="auto"/>
        </w:rPr>
      </w:pPr>
    </w:p>
    <w:p>
      <w:pPr>
        <w:ind w:right="80" w:firstLine="1492"/>
        <w:spacing w:after="0" w:line="288" w:lineRule="auto"/>
        <w:tabs>
          <w:tab w:leader="none" w:pos="179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Stock Appreciation Rights. </w:t>
      </w:r>
      <w:r>
        <w:rPr>
          <w:rFonts w:ascii="Arial" w:cs="Arial" w:eastAsia="Arial" w:hAnsi="Arial"/>
          <w:sz w:val="16"/>
          <w:szCs w:val="16"/>
          <w:color w:val="auto"/>
        </w:rPr>
        <w:t>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0" w:firstLine="1492"/>
        <w:spacing w:after="0" w:line="306" w:lineRule="auto"/>
        <w:tabs>
          <w:tab w:leader="none" w:pos="169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and Restrictions. </w:t>
      </w:r>
      <w:r>
        <w:rPr>
          <w:rFonts w:ascii="Arial" w:cs="Arial" w:eastAsia="Arial" w:hAnsi="Arial"/>
          <w:sz w:val="16"/>
          <w:szCs w:val="16"/>
          <w:color w:val="auto"/>
        </w:rPr>
        <w:t>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8" w:name="page49"/>
    <w:bookmarkEnd w:id="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18" w:lineRule="exact"/>
        <w:rPr>
          <w:sz w:val="20"/>
          <w:szCs w:val="20"/>
          <w:color w:val="auto"/>
        </w:rPr>
      </w:pPr>
    </w:p>
    <w:p>
      <w:pPr>
        <w:ind w:right="80" w:firstLine="1492"/>
        <w:spacing w:after="0" w:line="254" w:lineRule="auto"/>
        <w:tabs>
          <w:tab w:leader="none" w:pos="1742"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44" w:lineRule="exact"/>
        <w:rPr>
          <w:rFonts w:ascii="Arial" w:cs="Arial" w:eastAsia="Arial" w:hAnsi="Arial"/>
          <w:sz w:val="18"/>
          <w:szCs w:val="18"/>
          <w:color w:val="auto"/>
        </w:rPr>
      </w:pPr>
    </w:p>
    <w:p>
      <w:pPr>
        <w:jc w:val="both"/>
        <w:ind w:firstLine="1492"/>
        <w:spacing w:after="0" w:line="298" w:lineRule="auto"/>
        <w:tabs>
          <w:tab w:leader="none" w:pos="1791"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Certificates for Stock. </w:t>
      </w:r>
      <w:r>
        <w:rPr>
          <w:rFonts w:ascii="Arial" w:cs="Arial" w:eastAsia="Arial" w:hAnsi="Arial"/>
          <w:sz w:val="16"/>
          <w:szCs w:val="16"/>
          <w:color w:val="auto"/>
        </w:rPr>
        <w:t>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12" w:lineRule="exact"/>
        <w:rPr>
          <w:rFonts w:ascii="Arial" w:cs="Arial" w:eastAsia="Arial" w:hAnsi="Arial"/>
          <w:sz w:val="16"/>
          <w:szCs w:val="16"/>
          <w:color w:val="auto"/>
        </w:rPr>
      </w:pPr>
    </w:p>
    <w:p>
      <w:pPr>
        <w:ind w:right="20" w:firstLine="1492"/>
        <w:spacing w:after="0" w:line="255" w:lineRule="auto"/>
        <w:tabs>
          <w:tab w:leader="none" w:pos="1781"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and Splits. </w:t>
      </w:r>
      <w:r>
        <w:rPr>
          <w:rFonts w:ascii="Arial" w:cs="Arial" w:eastAsia="Arial" w:hAnsi="Arial"/>
          <w:sz w:val="18"/>
          <w:szCs w:val="18"/>
          <w:color w:val="auto"/>
        </w:rPr>
        <w:t>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Stock Award.  </w:t>
      </w:r>
      <w:r>
        <w:rPr>
          <w:rFonts w:ascii="Arial" w:cs="Arial" w:eastAsia="Arial" w:hAnsi="Arial"/>
          <w:sz w:val="16"/>
          <w:szCs w:val="16"/>
          <w:color w:val="auto"/>
        </w:rPr>
        <w:t>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 w:firstLine="1492"/>
        <w:spacing w:after="0" w:line="290" w:lineRule="auto"/>
        <w:tabs>
          <w:tab w:leader="none" w:pos="1693"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and Restrictions. </w:t>
      </w:r>
      <w:r>
        <w:rPr>
          <w:rFonts w:ascii="Arial" w:cs="Arial" w:eastAsia="Arial" w:hAnsi="Arial"/>
          <w:sz w:val="16"/>
          <w:szCs w:val="16"/>
          <w:color w:val="auto"/>
        </w:rPr>
        <w:t>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18" w:lineRule="exact"/>
        <w:rPr>
          <w:rFonts w:ascii="Arial" w:cs="Arial" w:eastAsia="Arial" w:hAnsi="Arial"/>
          <w:sz w:val="16"/>
          <w:szCs w:val="16"/>
          <w:color w:val="auto"/>
        </w:rPr>
      </w:pPr>
    </w:p>
    <w:p>
      <w:pPr>
        <w:ind w:right="20" w:firstLine="1492"/>
        <w:spacing w:after="0" w:line="259" w:lineRule="auto"/>
        <w:tabs>
          <w:tab w:leader="none" w:pos="1742"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49" w:name="page50"/>
    <w:bookmarkEnd w:id="49"/>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13" w:lineRule="exact"/>
        <w:rPr>
          <w:sz w:val="20"/>
          <w:szCs w:val="20"/>
          <w:color w:val="auto"/>
        </w:rPr>
      </w:pPr>
    </w:p>
    <w:p>
      <w:pPr>
        <w:ind w:right="60" w:firstLine="1492"/>
        <w:spacing w:after="0" w:line="253" w:lineRule="auto"/>
        <w:tabs>
          <w:tab w:leader="none" w:pos="1791"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45" w:lineRule="exact"/>
        <w:rPr>
          <w:rFonts w:ascii="Arial" w:cs="Arial" w:eastAsia="Arial" w:hAnsi="Arial"/>
          <w:sz w:val="18"/>
          <w:szCs w:val="18"/>
          <w:color w:val="auto"/>
        </w:rPr>
      </w:pPr>
    </w:p>
    <w:p>
      <w:pPr>
        <w:ind w:right="220" w:firstLine="921"/>
        <w:spacing w:after="0" w:line="294"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and Awards in Lieu of Obligations. </w:t>
      </w:r>
      <w:r>
        <w:rPr>
          <w:rFonts w:ascii="Arial" w:cs="Arial" w:eastAsia="Arial" w:hAnsi="Arial"/>
          <w:sz w:val="16"/>
          <w:szCs w:val="16"/>
          <w:color w:val="auto"/>
        </w:rPr>
        <w:t>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15" w:lineRule="exact"/>
        <w:rPr>
          <w:rFonts w:ascii="Arial" w:cs="Arial" w:eastAsia="Arial" w:hAnsi="Arial"/>
          <w:sz w:val="16"/>
          <w:szCs w:val="16"/>
          <w:color w:val="auto"/>
        </w:rPr>
      </w:pPr>
    </w:p>
    <w:p>
      <w:pPr>
        <w:ind w:firstLine="921"/>
        <w:spacing w:after="0" w:line="254" w:lineRule="auto"/>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44" w:lineRule="exact"/>
        <w:rPr>
          <w:rFonts w:ascii="Arial" w:cs="Arial" w:eastAsia="Arial" w:hAnsi="Arial"/>
          <w:sz w:val="18"/>
          <w:szCs w:val="18"/>
          <w:color w:val="auto"/>
        </w:rPr>
      </w:pPr>
    </w:p>
    <w:p>
      <w:pPr>
        <w:ind w:right="20" w:firstLine="921"/>
        <w:spacing w:after="0" w:line="287" w:lineRule="auto"/>
        <w:tabs>
          <w:tab w:leader="none" w:pos="1161"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22" w:lineRule="exact"/>
        <w:rPr>
          <w:rFonts w:ascii="Arial" w:cs="Arial" w:eastAsia="Arial" w:hAnsi="Arial"/>
          <w:sz w:val="16"/>
          <w:szCs w:val="16"/>
          <w:color w:val="auto"/>
        </w:rPr>
      </w:pPr>
    </w:p>
    <w:p>
      <w:pPr>
        <w:ind w:right="40" w:firstLine="921"/>
        <w:spacing w:after="0" w:line="268" w:lineRule="auto"/>
        <w:tabs>
          <w:tab w:leader="none" w:pos="112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The Committee is authorized, subject to limitations under applicable law, to grant to any Eligible Person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that may be denominated or payable in, valued in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50" w:name="page51"/>
    <w:bookmarkEnd w:id="5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27" w:lineRule="exact"/>
        <w:rPr>
          <w:rFonts w:ascii="Arial" w:cs="Arial" w:eastAsia="Arial" w:hAnsi="Arial"/>
          <w:sz w:val="16"/>
          <w:szCs w:val="16"/>
          <w:color w:val="auto"/>
        </w:rPr>
      </w:pPr>
    </w:p>
    <w:p>
      <w:pPr>
        <w:ind w:right="120" w:firstLine="921"/>
        <w:spacing w:after="0" w:line="259" w:lineRule="auto"/>
        <w:tabs>
          <w:tab w:leader="none" w:pos="1161"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of Awards. </w:t>
      </w:r>
      <w:r>
        <w:rPr>
          <w:rFonts w:ascii="Arial" w:cs="Arial" w:eastAsia="Arial" w:hAnsi="Arial"/>
          <w:sz w:val="18"/>
          <w:szCs w:val="18"/>
          <w:color w:val="auto"/>
        </w:rPr>
        <w:t>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40" w:lineRule="exact"/>
        <w:rPr>
          <w:rFonts w:ascii="Arial" w:cs="Arial" w:eastAsia="Arial" w:hAnsi="Arial"/>
          <w:sz w:val="18"/>
          <w:szCs w:val="18"/>
          <w:color w:val="auto"/>
        </w:rPr>
      </w:pPr>
    </w:p>
    <w:p>
      <w:pPr>
        <w:ind w:firstLine="921"/>
        <w:spacing w:after="0" w:line="286"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 and Timing of Payment Under Awards; Deferrals. </w:t>
      </w:r>
      <w:r>
        <w:rPr>
          <w:rFonts w:ascii="Arial" w:cs="Arial" w:eastAsia="Arial" w:hAnsi="Arial"/>
          <w:sz w:val="16"/>
          <w:szCs w:val="16"/>
          <w:color w:val="auto"/>
        </w:rPr>
        <w:t>Subject to the terms of the Plan and any applicable Award Agreement,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51" w:name="page52"/>
    <w:bookmarkEnd w:id="51"/>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installment or deferred payments or the grant or crediting of Dividend Equivalents or other amounts in respect of installment or deferred payments denominated in Shares.</w:t>
      </w:r>
    </w:p>
    <w:p>
      <w:pPr>
        <w:spacing w:after="0" w:line="132" w:lineRule="exact"/>
        <w:rPr>
          <w:sz w:val="20"/>
          <w:szCs w:val="20"/>
          <w:color w:val="auto"/>
        </w:rPr>
      </w:pPr>
    </w:p>
    <w:p>
      <w:pPr>
        <w:ind w:right="180" w:firstLine="921"/>
        <w:spacing w:after="0" w:line="294" w:lineRule="auto"/>
        <w:tabs>
          <w:tab w:leader="none" w:pos="1161"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12" w:lineRule="exact"/>
        <w:rPr>
          <w:rFonts w:ascii="Arial" w:cs="Arial" w:eastAsia="Arial" w:hAnsi="Arial"/>
          <w:sz w:val="16"/>
          <w:szCs w:val="16"/>
          <w:color w:val="auto"/>
        </w:rPr>
      </w:pPr>
    </w:p>
    <w:p>
      <w:pPr>
        <w:ind w:right="40" w:firstLine="1492"/>
        <w:spacing w:after="0" w:line="332" w:lineRule="auto"/>
        <w:tabs>
          <w:tab w:leader="none" w:pos="1742"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85" w:lineRule="exact"/>
        <w:rPr>
          <w:rFonts w:ascii="Arial" w:cs="Arial" w:eastAsia="Arial" w:hAnsi="Arial"/>
          <w:sz w:val="16"/>
          <w:szCs w:val="16"/>
          <w:color w:val="auto"/>
        </w:rPr>
      </w:pPr>
    </w:p>
    <w:p>
      <w:pPr>
        <w:ind w:right="60" w:firstLine="1948"/>
        <w:spacing w:after="0" w:line="298" w:lineRule="auto"/>
        <w:tabs>
          <w:tab w:leader="none" w:pos="2228" w:val="left"/>
        </w:tabs>
        <w:numPr>
          <w:ilvl w:val="2"/>
          <w:numId w:val="47"/>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12" w:lineRule="exact"/>
        <w:rPr>
          <w:rFonts w:ascii="Arial" w:cs="Arial" w:eastAsia="Arial" w:hAnsi="Arial"/>
          <w:sz w:val="16"/>
          <w:szCs w:val="16"/>
          <w:color w:val="auto"/>
        </w:rPr>
      </w:pPr>
    </w:p>
    <w:p>
      <w:pPr>
        <w:ind w:right="460" w:firstLine="1948"/>
        <w:spacing w:after="0" w:line="268" w:lineRule="auto"/>
        <w:tabs>
          <w:tab w:leader="none" w:pos="2218"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31" w:lineRule="exact"/>
        <w:rPr>
          <w:rFonts w:ascii="Arial" w:cs="Arial" w:eastAsia="Arial" w:hAnsi="Arial"/>
          <w:sz w:val="18"/>
          <w:szCs w:val="18"/>
          <w:color w:val="auto"/>
        </w:rPr>
      </w:pPr>
    </w:p>
    <w:p>
      <w:pPr>
        <w:ind w:right="1000" w:firstLine="1948"/>
        <w:spacing w:after="0" w:line="268" w:lineRule="auto"/>
        <w:tabs>
          <w:tab w:leader="none" w:pos="2218"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31" w:lineRule="exact"/>
        <w:rPr>
          <w:rFonts w:ascii="Arial" w:cs="Arial" w:eastAsia="Arial" w:hAnsi="Arial"/>
          <w:sz w:val="18"/>
          <w:szCs w:val="18"/>
          <w:color w:val="auto"/>
        </w:rPr>
      </w:pPr>
    </w:p>
    <w:p>
      <w:pPr>
        <w:ind w:firstLine="1948"/>
        <w:spacing w:after="0" w:line="282" w:lineRule="auto"/>
        <w:tabs>
          <w:tab w:leader="none" w:pos="2228"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 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52" w:name="page53"/>
    <w:bookmarkEnd w:id="52"/>
    <w:p>
      <w:pPr>
        <w:ind w:left="-20" w:right="40" w:firstLine="1492"/>
        <w:spacing w:after="0" w:line="255" w:lineRule="auto"/>
        <w:tabs>
          <w:tab w:leader="none" w:pos="1771" w:val="left"/>
        </w:tabs>
        <w:numPr>
          <w:ilvl w:val="2"/>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20" w:hanging="176"/>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171" w:lineRule="exact"/>
        <w:rPr>
          <w:rFonts w:ascii="Arial" w:cs="Arial" w:eastAsia="Arial" w:hAnsi="Arial"/>
          <w:sz w:val="18"/>
          <w:szCs w:val="18"/>
          <w:color w:val="auto"/>
        </w:rPr>
      </w:pPr>
    </w:p>
    <w:p>
      <w:pPr>
        <w:ind w:left="-20" w:right="60" w:firstLine="921"/>
        <w:spacing w:after="0" w:line="259"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40" w:lineRule="exact"/>
        <w:rPr>
          <w:rFonts w:ascii="Arial" w:cs="Arial" w:eastAsia="Arial" w:hAnsi="Arial"/>
          <w:sz w:val="18"/>
          <w:szCs w:val="18"/>
          <w:color w:val="auto"/>
        </w:rPr>
      </w:pPr>
    </w:p>
    <w:p>
      <w:pPr>
        <w:ind w:left="-20" w:firstLine="921"/>
        <w:spacing w:after="0" w:line="284" w:lineRule="auto"/>
        <w:tabs>
          <w:tab w:leader="none" w:pos="1141"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31" w:lineRule="exact"/>
        <w:rPr>
          <w:rFonts w:ascii="Arial" w:cs="Arial" w:eastAsia="Arial" w:hAnsi="Arial"/>
          <w:sz w:val="16"/>
          <w:szCs w:val="16"/>
          <w:color w:val="auto"/>
        </w:rPr>
      </w:pPr>
    </w:p>
    <w:p>
      <w:pPr>
        <w:ind w:left="-20" w:right="60" w:firstLine="921"/>
        <w:spacing w:after="0" w:line="298" w:lineRule="auto"/>
        <w:tabs>
          <w:tab w:leader="none" w:pos="113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12" w:lineRule="exact"/>
        <w:rPr>
          <w:rFonts w:ascii="Arial" w:cs="Arial" w:eastAsia="Arial" w:hAnsi="Arial"/>
          <w:sz w:val="16"/>
          <w:szCs w:val="16"/>
          <w:color w:val="auto"/>
        </w:rPr>
      </w:pPr>
    </w:p>
    <w:p>
      <w:pPr>
        <w:ind w:left="-20" w:right="40" w:firstLine="921"/>
        <w:spacing w:after="0" w:line="268" w:lineRule="auto"/>
        <w:tabs>
          <w:tab w:leader="none" w:pos="1141"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Section 8, but may not exercise discretion to increase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60" w:top="280" w:right="259" w:bottom="1440" w:gutter="0" w:footer="0" w:header="0"/>
        </w:sectPr>
      </w:pPr>
    </w:p>
    <w:bookmarkStart w:id="53" w:name="page54"/>
    <w:bookmarkEnd w:id="5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40" w:lineRule="exact"/>
        <w:rPr>
          <w:sz w:val="20"/>
          <w:szCs w:val="20"/>
          <w:color w:val="auto"/>
        </w:rPr>
      </w:pPr>
    </w:p>
    <w:p>
      <w:pPr>
        <w:ind w:right="120" w:firstLine="921"/>
        <w:spacing w:after="0" w:line="306" w:lineRule="auto"/>
        <w:tabs>
          <w:tab w:leader="none" w:pos="1152" w:val="left"/>
        </w:tabs>
        <w:numPr>
          <w:ilvl w:val="1"/>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171" w:lineRule="exact"/>
        <w:rPr>
          <w:rFonts w:ascii="Arial" w:cs="Arial" w:eastAsia="Arial" w:hAnsi="Arial"/>
          <w:sz w:val="18"/>
          <w:szCs w:val="18"/>
          <w:color w:val="auto"/>
        </w:rPr>
      </w:pPr>
    </w:p>
    <w:p>
      <w:pPr>
        <w:jc w:val="both"/>
        <w:ind w:right="480" w:firstLine="921"/>
        <w:spacing w:after="0" w:line="306"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06" w:lineRule="exact"/>
        <w:rPr>
          <w:rFonts w:ascii="Arial" w:cs="Arial" w:eastAsia="Arial" w:hAnsi="Arial"/>
          <w:sz w:val="16"/>
          <w:szCs w:val="16"/>
          <w:color w:val="auto"/>
        </w:rPr>
      </w:pPr>
    </w:p>
    <w:p>
      <w:pPr>
        <w:ind w:right="360" w:firstLine="1492"/>
        <w:spacing w:after="0" w:line="268" w:lineRule="auto"/>
        <w:tabs>
          <w:tab w:leader="none" w:pos="1693"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31" w:lineRule="exact"/>
        <w:rPr>
          <w:rFonts w:ascii="Arial" w:cs="Arial" w:eastAsia="Arial" w:hAnsi="Arial"/>
          <w:sz w:val="18"/>
          <w:szCs w:val="18"/>
          <w:color w:val="auto"/>
        </w:rPr>
      </w:pPr>
    </w:p>
    <w:p>
      <w:pPr>
        <w:ind w:right="200" w:firstLine="1492"/>
        <w:spacing w:after="0" w:line="306" w:lineRule="auto"/>
        <w:tabs>
          <w:tab w:leader="none" w:pos="1742" w:val="left"/>
        </w:tabs>
        <w:numPr>
          <w:ilvl w:val="2"/>
          <w:numId w:val="51"/>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06" w:lineRule="exact"/>
        <w:rPr>
          <w:rFonts w:ascii="Arial" w:cs="Arial" w:eastAsia="Arial" w:hAnsi="Arial"/>
          <w:sz w:val="16"/>
          <w:szCs w:val="16"/>
          <w:color w:val="auto"/>
        </w:rPr>
      </w:pPr>
    </w:p>
    <w:p>
      <w:pPr>
        <w:ind w:right="60" w:firstLine="1492"/>
        <w:spacing w:after="0" w:line="268" w:lineRule="auto"/>
        <w:tabs>
          <w:tab w:leader="none" w:pos="1791"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firstLine="921"/>
        <w:spacing w:after="0" w:line="268" w:lineRule="auto"/>
        <w:tabs>
          <w:tab w:leader="none" w:pos="1161"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131" w:lineRule="exact"/>
        <w:rPr>
          <w:rFonts w:ascii="Arial" w:cs="Arial" w:eastAsia="Arial" w:hAnsi="Arial"/>
          <w:sz w:val="18"/>
          <w:szCs w:val="18"/>
          <w:color w:val="auto"/>
        </w:rPr>
      </w:pPr>
    </w:p>
    <w:p>
      <w:pPr>
        <w:ind w:right="20" w:firstLine="1492"/>
        <w:spacing w:after="0" w:line="283" w:lineRule="auto"/>
        <w:tabs>
          <w:tab w:leader="none" w:pos="1693"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w:t>
      </w:r>
    </w:p>
    <w:p>
      <w:pPr>
        <w:spacing w:after="0" w:line="2"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43" w:lineRule="exact"/>
        <w:rPr>
          <w:rFonts w:ascii="Arial" w:cs="Arial" w:eastAsia="Arial" w:hAnsi="Arial"/>
          <w:sz w:val="16"/>
          <w:szCs w:val="16"/>
          <w:color w:val="auto"/>
        </w:rPr>
      </w:pPr>
    </w:p>
    <w:p>
      <w:pPr>
        <w:ind w:right="240" w:firstLine="1492"/>
        <w:spacing w:after="0" w:line="256" w:lineRule="auto"/>
        <w:tabs>
          <w:tab w:leader="none" w:pos="1742" w:val="left"/>
        </w:tabs>
        <w:numPr>
          <w:ilvl w:val="2"/>
          <w:numId w:val="51"/>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0" w:lineRule="exact"/>
        <w:rPr>
          <w:sz w:val="20"/>
          <w:szCs w:val="20"/>
          <w:color w:val="auto"/>
        </w:rPr>
      </w:pPr>
    </w:p>
    <w:p>
      <w:pPr>
        <w:ind w:firstLine="1492"/>
        <w:spacing w:after="0" w:line="285" w:lineRule="auto"/>
        <w:tabs>
          <w:tab w:leader="none" w:pos="1791" w:val="left"/>
        </w:tabs>
        <w:numPr>
          <w:ilvl w:val="2"/>
          <w:numId w:val="5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23" w:lineRule="exact"/>
        <w:rPr>
          <w:rFonts w:ascii="Arial" w:cs="Arial" w:eastAsia="Arial" w:hAnsi="Arial"/>
          <w:sz w:val="16"/>
          <w:szCs w:val="16"/>
          <w:color w:val="auto"/>
        </w:rPr>
      </w:pPr>
    </w:p>
    <w:p>
      <w:pPr>
        <w:ind w:left="1780" w:hanging="288"/>
        <w:spacing w:after="0"/>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20" w:lineRule="exact"/>
        <w:rPr>
          <w:rFonts w:ascii="Arial" w:cs="Arial" w:eastAsia="Arial" w:hAnsi="Arial"/>
          <w:sz w:val="16"/>
          <w:szCs w:val="16"/>
          <w:color w:val="auto"/>
        </w:rPr>
      </w:pPr>
    </w:p>
    <w:p>
      <w:pPr>
        <w:ind w:right="80" w:firstLine="921"/>
        <w:spacing w:after="0" w:line="291"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Limits on Transferability; Beneficiaries. </w:t>
      </w:r>
      <w:r>
        <w:rPr>
          <w:rFonts w:ascii="Arial" w:cs="Arial" w:eastAsia="Arial" w:hAnsi="Arial"/>
          <w:sz w:val="16"/>
          <w:szCs w:val="16"/>
          <w:color w:val="auto"/>
        </w:rPr>
        <w:t>No Award or other right or interest granted under the Plan shall be pledged, hypothecated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55" w:name="page56"/>
    <w:bookmarkEnd w:id="55"/>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13" w:lineRule="exact"/>
        <w:rPr>
          <w:sz w:val="20"/>
          <w:szCs w:val="20"/>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171" w:lineRule="exact"/>
        <w:rPr>
          <w:rFonts w:ascii="Arial" w:cs="Arial" w:eastAsia="Arial" w:hAnsi="Arial"/>
          <w:sz w:val="18"/>
          <w:szCs w:val="18"/>
          <w:color w:val="auto"/>
        </w:rPr>
      </w:pPr>
    </w:p>
    <w:p>
      <w:pPr>
        <w:ind w:right="80" w:firstLine="1492"/>
        <w:spacing w:after="0" w:line="289" w:lineRule="auto"/>
        <w:tabs>
          <w:tab w:leader="none" w:pos="1693"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to Awards. </w:t>
      </w:r>
      <w:r>
        <w:rPr>
          <w:rFonts w:ascii="Arial" w:cs="Arial" w:eastAsia="Arial" w:hAnsi="Arial"/>
          <w:sz w:val="16"/>
          <w:szCs w:val="16"/>
          <w:color w:val="auto"/>
        </w:rPr>
        <w:t>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18" w:lineRule="exact"/>
        <w:rPr>
          <w:rFonts w:ascii="Arial" w:cs="Arial" w:eastAsia="Arial" w:hAnsi="Arial"/>
          <w:sz w:val="16"/>
          <w:szCs w:val="16"/>
          <w:color w:val="auto"/>
        </w:rPr>
      </w:pPr>
    </w:p>
    <w:p>
      <w:pPr>
        <w:ind w:firstLine="1492"/>
        <w:spacing w:after="0" w:line="286" w:lineRule="auto"/>
        <w:tabs>
          <w:tab w:leader="none" w:pos="1742"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Case of Certain Transactions. </w:t>
      </w:r>
      <w:r>
        <w:rPr>
          <w:rFonts w:ascii="Arial" w:cs="Arial" w:eastAsia="Arial" w:hAnsi="Arial"/>
          <w:sz w:val="16"/>
          <w:szCs w:val="16"/>
          <w:color w:val="auto"/>
        </w:rPr>
        <w:t>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20" w:lineRule="exact"/>
        <w:rPr>
          <w:rFonts w:ascii="Arial" w:cs="Arial" w:eastAsia="Arial" w:hAnsi="Arial"/>
          <w:sz w:val="16"/>
          <w:szCs w:val="16"/>
          <w:color w:val="auto"/>
        </w:rPr>
      </w:pPr>
    </w:p>
    <w:p>
      <w:pPr>
        <w:ind w:right="80" w:firstLine="1492"/>
        <w:spacing w:after="0" w:line="289" w:lineRule="auto"/>
        <w:tabs>
          <w:tab w:leader="none" w:pos="179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Adjustments. </w:t>
      </w:r>
      <w:r>
        <w:rPr>
          <w:rFonts w:ascii="Arial" w:cs="Arial" w:eastAsia="Arial" w:hAnsi="Arial"/>
          <w:sz w:val="16"/>
          <w:szCs w:val="16"/>
          <w:color w:val="auto"/>
        </w:rPr>
        <w:t>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56" w:name="page57"/>
    <w:bookmarkEnd w:id="56"/>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98" w:lineRule="exact"/>
        <w:rPr>
          <w:sz w:val="20"/>
          <w:szCs w:val="20"/>
          <w:color w:val="auto"/>
        </w:rPr>
      </w:pPr>
    </w:p>
    <w:p>
      <w:pPr>
        <w:ind w:right="120" w:firstLine="921"/>
        <w:spacing w:after="0" w:line="291" w:lineRule="auto"/>
        <w:tabs>
          <w:tab w:leader="none" w:pos="116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20" w:lineRule="exact"/>
        <w:rPr>
          <w:rFonts w:ascii="Arial" w:cs="Arial" w:eastAsia="Arial" w:hAnsi="Arial"/>
          <w:sz w:val="16"/>
          <w:szCs w:val="16"/>
          <w:color w:val="auto"/>
        </w:rPr>
      </w:pPr>
    </w:p>
    <w:p>
      <w:pPr>
        <w:ind w:right="120" w:firstLine="921"/>
        <w:spacing w:after="0" w:line="287" w:lineRule="auto"/>
        <w:tabs>
          <w:tab w:leader="none" w:pos="115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the Plan and Awards. </w:t>
      </w:r>
      <w:r>
        <w:rPr>
          <w:rFonts w:ascii="Arial" w:cs="Arial" w:eastAsia="Arial" w:hAnsi="Arial"/>
          <w:sz w:val="16"/>
          <w:szCs w:val="16"/>
          <w:color w:val="auto"/>
        </w:rPr>
        <w:t>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22" w:lineRule="exact"/>
        <w:rPr>
          <w:rFonts w:ascii="Arial" w:cs="Arial" w:eastAsia="Arial" w:hAnsi="Arial"/>
          <w:sz w:val="16"/>
          <w:szCs w:val="16"/>
          <w:color w:val="auto"/>
        </w:rPr>
      </w:pPr>
    </w:p>
    <w:p>
      <w:pPr>
        <w:ind w:left="1140" w:hanging="219"/>
        <w:spacing w:after="0"/>
        <w:tabs>
          <w:tab w:leader="none" w:pos="1140"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Rights Conferred Under Plan.  </w:t>
      </w:r>
      <w:r>
        <w:rPr>
          <w:rFonts w:ascii="Arial" w:cs="Arial" w:eastAsia="Arial" w:hAnsi="Arial"/>
          <w:sz w:val="16"/>
          <w:szCs w:val="16"/>
          <w:color w:val="auto"/>
        </w:rPr>
        <w:t>Neither the Plan nor any action taken hereunder or under any Award shall be construed as</w:t>
      </w:r>
    </w:p>
    <w:p>
      <w:pPr>
        <w:spacing w:after="0" w:line="38" w:lineRule="exact"/>
        <w:rPr>
          <w:rFonts w:ascii="Arial" w:cs="Arial" w:eastAsia="Arial" w:hAnsi="Arial"/>
          <w:sz w:val="16"/>
          <w:szCs w:val="16"/>
          <w:color w:val="auto"/>
        </w:rPr>
      </w:pPr>
    </w:p>
    <w:p>
      <w:pPr>
        <w:ind w:firstLine="8"/>
        <w:spacing w:after="0" w:line="286" w:lineRule="auto"/>
        <w:tabs>
          <w:tab w:leader="none" w:pos="2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24" w:lineRule="exact"/>
        <w:rPr>
          <w:rFonts w:ascii="Arial" w:cs="Arial" w:eastAsia="Arial" w:hAnsi="Arial"/>
          <w:sz w:val="16"/>
          <w:szCs w:val="16"/>
          <w:color w:val="auto"/>
        </w:rPr>
      </w:pPr>
    </w:p>
    <w:p>
      <w:pPr>
        <w:ind w:right="160" w:firstLine="921"/>
        <w:spacing w:after="0" w:line="306"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80" w:right="239" w:bottom="1440" w:gutter="0" w:footer="0" w:header="0"/>
        </w:sectPr>
      </w:pPr>
    </w:p>
    <w:bookmarkStart w:id="57" w:name="page58"/>
    <w:bookmarkEnd w:id="5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13" w:lineRule="exact"/>
        <w:rPr>
          <w:sz w:val="20"/>
          <w:szCs w:val="20"/>
          <w:color w:val="auto"/>
        </w:rPr>
      </w:pPr>
    </w:p>
    <w:p>
      <w:pPr>
        <w:ind w:right="60" w:firstLine="921"/>
        <w:spacing w:after="0" w:line="30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Non-exclusivity of the Plan. </w:t>
      </w:r>
      <w:r>
        <w:rPr>
          <w:rFonts w:ascii="Arial" w:cs="Arial" w:eastAsia="Arial" w:hAnsi="Arial"/>
          <w:sz w:val="16"/>
          <w:szCs w:val="16"/>
          <w:color w:val="auto"/>
        </w:rPr>
        <w:t>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06" w:lineRule="exact"/>
        <w:rPr>
          <w:rFonts w:ascii="Arial" w:cs="Arial" w:eastAsia="Arial" w:hAnsi="Arial"/>
          <w:sz w:val="16"/>
          <w:szCs w:val="16"/>
          <w:color w:val="auto"/>
        </w:rPr>
      </w:pPr>
    </w:p>
    <w:p>
      <w:pPr>
        <w:ind w:right="280" w:firstLine="921"/>
        <w:spacing w:after="0" w:line="323" w:lineRule="auto"/>
        <w:tabs>
          <w:tab w:leader="none" w:pos="1122" w:val="left"/>
        </w:tabs>
        <w:numPr>
          <w:ilvl w:val="1"/>
          <w:numId w:val="5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Payments in the Event of Forfeitures; Fractional Shares. </w:t>
      </w:r>
      <w:r>
        <w:rPr>
          <w:rFonts w:ascii="Arial" w:cs="Arial" w:eastAsia="Arial" w:hAnsi="Arial"/>
          <w:sz w:val="15"/>
          <w:szCs w:val="15"/>
          <w:color w:val="auto"/>
        </w:rPr>
        <w:t>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7" w:lineRule="exact"/>
        <w:rPr>
          <w:rFonts w:ascii="Arial" w:cs="Arial" w:eastAsia="Arial" w:hAnsi="Arial"/>
          <w:sz w:val="15"/>
          <w:szCs w:val="15"/>
          <w:color w:val="auto"/>
        </w:rPr>
      </w:pPr>
    </w:p>
    <w:p>
      <w:pPr>
        <w:ind w:right="20" w:firstLine="921"/>
        <w:spacing w:after="0" w:line="332" w:lineRule="auto"/>
        <w:tabs>
          <w:tab w:leader="none" w:pos="1122"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85" w:lineRule="exact"/>
        <w:rPr>
          <w:rFonts w:ascii="Arial" w:cs="Arial" w:eastAsia="Arial" w:hAnsi="Arial"/>
          <w:sz w:val="16"/>
          <w:szCs w:val="16"/>
          <w:color w:val="auto"/>
        </w:rPr>
      </w:pPr>
    </w:p>
    <w:p>
      <w:pPr>
        <w:jc w:val="both"/>
        <w:ind w:right="520" w:firstLine="921"/>
        <w:spacing w:after="0" w:line="30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Non-U.S. Laws. </w:t>
      </w:r>
      <w:r>
        <w:rPr>
          <w:rFonts w:ascii="Arial" w:cs="Arial" w:eastAsia="Arial" w:hAnsi="Arial"/>
          <w:sz w:val="16"/>
          <w:szCs w:val="16"/>
          <w:color w:val="auto"/>
        </w:rPr>
        <w:t>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06" w:lineRule="exact"/>
        <w:rPr>
          <w:rFonts w:ascii="Arial" w:cs="Arial" w:eastAsia="Arial" w:hAnsi="Arial"/>
          <w:sz w:val="16"/>
          <w:szCs w:val="16"/>
          <w:color w:val="auto"/>
        </w:rPr>
      </w:pPr>
    </w:p>
    <w:p>
      <w:pPr>
        <w:ind w:right="40" w:firstLine="921"/>
        <w:spacing w:after="0" w:line="283" w:lineRule="auto"/>
        <w:tabs>
          <w:tab w:leader="none" w:pos="1122"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Plan Effective Date and Shareholder Approval; Termination of Plan. </w:t>
      </w:r>
      <w:r>
        <w:rPr>
          <w:rFonts w:ascii="Arial" w:cs="Arial" w:eastAsia="Arial" w:hAnsi="Arial"/>
          <w:sz w:val="16"/>
          <w:szCs w:val="16"/>
          <w:color w:val="auto"/>
        </w:rPr>
        <w:t>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80" w:firstLine="8"/>
        <w:spacing w:after="0" w:line="261"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CARD</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PRO-PHARMACEUTICALS, INC.</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appoints Peter G. Traber, M.D., Anthony D. Squeglia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March 31, 2011 at the 2011 Annual Meeting of Stockholders to be held at the Company’s office at 7 Wells Avenue, Suite 34, Newton, MA 02459 on May 26, 2011 at 9:00 A.M. EDT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PRO-PHARMACEUTICALS, INC.</w:t>
      </w:r>
    </w:p>
    <w:p>
      <w:pPr>
        <w:spacing w:after="0" w:line="218" w:lineRule="exact"/>
        <w:rPr>
          <w:sz w:val="20"/>
          <w:szCs w:val="20"/>
          <w:color w:val="auto"/>
        </w:rPr>
      </w:pPr>
    </w:p>
    <w:p>
      <w:pPr>
        <w:ind w:right="1460"/>
        <w:spacing w:after="0" w:line="332" w:lineRule="auto"/>
        <w:rPr>
          <w:sz w:val="20"/>
          <w:szCs w:val="20"/>
          <w:color w:val="auto"/>
        </w:rPr>
      </w:pPr>
      <w:r>
        <w:rPr>
          <w:rFonts w:ascii="Arial" w:cs="Arial" w:eastAsia="Arial" w:hAnsi="Arial"/>
          <w:sz w:val="16"/>
          <w:szCs w:val="16"/>
          <w:color w:val="auto"/>
        </w:rPr>
        <w:t>Important Notice Regarding the Availability of Proxy Materials for the 2011 Annual Meeting of Stockholders of Pro-Pharmaceuticals, Inc. to be held at the Company’s office at 7 Wells Avenue, Suite 34, Newton, MA on May 26, 2011 at 9:00 A.M. EDT.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 Vote Your Proxy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FOLD AND DETACH HERE AND READ THE REVERSE SIDE</w:t>
      </w:r>
      <w:r>
        <w:rPr>
          <w:rFonts w:ascii="Arial" w:cs="Arial" w:eastAsia="Arial" w:hAnsi="Arial"/>
          <w:sz w:val="18"/>
          <w:szCs w:val="18"/>
          <w:color w:val="auto"/>
        </w:rPr>
        <w:t xml:space="preserve"> q</w:t>
      </w:r>
    </w:p>
    <w:p>
      <w:pPr>
        <w:sectPr>
          <w:pgSz w:w="11900" w:h="16838" w:orient="portrait"/>
          <w:cols w:equalWidth="0" w:num="1">
            <w:col w:w="11340"/>
          </w:cols>
          <w:pgMar w:left="240" w:top="280" w:right="319" w:bottom="1440" w:gutter="0" w:footer="0" w:header="0"/>
        </w:sectPr>
      </w:pPr>
    </w:p>
    <w:bookmarkStart w:id="59" w:name="page60"/>
    <w:bookmarkEnd w:id="59"/>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321" w:lineRule="auto"/>
        <w:rPr>
          <w:sz w:val="20"/>
          <w:szCs w:val="20"/>
          <w:color w:val="auto"/>
        </w:rPr>
      </w:pPr>
      <w:r>
        <w:rPr>
          <w:rFonts w:ascii="Arial" w:cs="Arial" w:eastAsia="Arial" w:hAnsi="Arial"/>
          <w:sz w:val="12"/>
          <w:szCs w:val="12"/>
          <w:b w:val="1"/>
          <w:bCs w:val="1"/>
          <w:color w:val="auto"/>
        </w:rPr>
        <w:t>THIS PROXY WILL BE VOTED AS DIRECTED. IF NO DIRECTION IS INDICATED FOR PROPOSALS 3, 4 OR 5, EACH PROPOSAL WILL BE VOTED “FOR” THE PROPOSAL.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80" w:type="dxa"/>
            <w:vAlign w:val="bottom"/>
          </w:tcPr>
          <w:p>
            <w:pPr>
              <w:jc w:val="center"/>
              <w:ind w:left="41"/>
              <w:spacing w:after="0"/>
              <w:rPr>
                <w:sz w:val="20"/>
                <w:szCs w:val="20"/>
                <w:color w:val="auto"/>
              </w:rPr>
            </w:pPr>
            <w:r>
              <w:rPr>
                <w:rFonts w:ascii="Arial" w:cs="Arial" w:eastAsia="Arial" w:hAnsi="Arial"/>
                <w:sz w:val="14"/>
                <w:szCs w:val="14"/>
                <w:b w:val="1"/>
                <w:bCs w:val="1"/>
                <w:color w:val="auto"/>
                <w:w w:val="99"/>
              </w:rPr>
              <w:t>VOTE FOR ALL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280" w:type="dxa"/>
            <w:vAlign w:val="bottom"/>
          </w:tcPr>
          <w:p>
            <w:pPr>
              <w:jc w:val="center"/>
              <w:ind w:left="41"/>
              <w:spacing w:after="0"/>
              <w:rPr>
                <w:sz w:val="20"/>
                <w:szCs w:val="20"/>
                <w:color w:val="auto"/>
              </w:rPr>
            </w:pPr>
            <w:r>
              <w:rPr>
                <w:rFonts w:ascii="Arial" w:cs="Arial" w:eastAsia="Arial" w:hAnsi="Arial"/>
                <w:sz w:val="14"/>
                <w:szCs w:val="14"/>
                <w:b w:val="1"/>
                <w:bCs w:val="1"/>
                <w:color w:val="auto"/>
                <w:w w:val="99"/>
              </w:rPr>
              <w:t>NOMINEES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AUTHORITY</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tcPr>
          <w:p>
            <w:pPr>
              <w:spacing w:after="0"/>
              <w:rPr>
                <w:sz w:val="20"/>
                <w:szCs w:val="20"/>
                <w:color w:val="auto"/>
              </w:rPr>
            </w:pPr>
            <w:r>
              <w:rPr>
                <w:rFonts w:ascii="Arial" w:cs="Arial" w:eastAsia="Arial" w:hAnsi="Arial"/>
                <w:sz w:val="14"/>
                <w:szCs w:val="14"/>
                <w:b w:val="1"/>
                <w:bCs w:val="1"/>
                <w:color w:val="auto"/>
                <w:w w:val="92"/>
              </w:rPr>
              <w:t>The Board of Directors recommends a vote</w:t>
            </w:r>
          </w:p>
        </w:tc>
        <w:tc>
          <w:tcPr>
            <w:tcW w:w="1280" w:type="dxa"/>
            <w:vAlign w:val="bottom"/>
            <w:vMerge w:val="restart"/>
          </w:tcPr>
          <w:p>
            <w:pPr>
              <w:jc w:val="center"/>
              <w:ind w:left="41"/>
              <w:spacing w:after="0" w:line="321" w:lineRule="exact"/>
              <w:rPr>
                <w:sz w:val="20"/>
                <w:szCs w:val="20"/>
                <w:color w:val="auto"/>
              </w:rPr>
            </w:pPr>
            <w:r>
              <w:rPr>
                <w:rFonts w:ascii="MS PGothic" w:cs="MS PGothic" w:eastAsia="MS PGothic" w:hAnsi="MS PGothic"/>
                <w:sz w:val="32"/>
                <w:szCs w:val="32"/>
                <w:color w:val="auto"/>
                <w:w w:val="93"/>
              </w:rPr>
              <w:t>☐</w:t>
            </w:r>
          </w:p>
        </w:tc>
        <w:tc>
          <w:tcPr>
            <w:tcW w:w="9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7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34"/>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“FOR” the listed nominees.</w:t>
            </w: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68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20"/>
                <w:szCs w:val="20"/>
                <w:color w:val="auto"/>
              </w:rPr>
            </w:pPr>
            <w:r>
              <w:rPr>
                <w:rFonts w:ascii="Arial" w:cs="Arial" w:eastAsia="Arial" w:hAnsi="Arial"/>
                <w:sz w:val="14"/>
                <w:szCs w:val="14"/>
                <w:color w:val="auto"/>
                <w:w w:val="93"/>
              </w:rPr>
              <w:t>Gilbert F. Amelio, Ph.D.</w:t>
            </w:r>
          </w:p>
        </w:tc>
        <w:tc>
          <w:tcPr>
            <w:tcW w:w="1280" w:type="dxa"/>
            <w:vAlign w:val="bottom"/>
          </w:tcPr>
          <w:p>
            <w:pPr>
              <w:ind w:left="80"/>
              <w:spacing w:after="0"/>
              <w:rPr>
                <w:sz w:val="20"/>
                <w:szCs w:val="20"/>
                <w:color w:val="auto"/>
              </w:rPr>
            </w:pPr>
            <w:r>
              <w:rPr>
                <w:rFonts w:ascii="Arial" w:cs="Arial" w:eastAsia="Arial" w:hAnsi="Arial"/>
                <w:sz w:val="14"/>
                <w:szCs w:val="14"/>
                <w:color w:val="auto"/>
              </w:rPr>
              <w:t>Steven Prelack</w:t>
            </w:r>
          </w:p>
        </w:tc>
        <w:tc>
          <w:tcPr>
            <w:tcW w:w="1600" w:type="dxa"/>
            <w:vAlign w:val="bottom"/>
          </w:tcPr>
          <w:p>
            <w:pPr>
              <w:spacing w:after="0"/>
              <w:rPr>
                <w:sz w:val="20"/>
                <w:szCs w:val="20"/>
                <w:color w:val="auto"/>
              </w:rPr>
            </w:pPr>
            <w:r>
              <w:rPr>
                <w:rFonts w:ascii="Arial" w:cs="Arial" w:eastAsia="Arial" w:hAnsi="Arial"/>
                <w:sz w:val="14"/>
                <w:szCs w:val="14"/>
                <w:color w:val="auto"/>
              </w:rPr>
              <w:t>Paul Pressler</w:t>
            </w:r>
          </w:p>
        </w:tc>
        <w:tc>
          <w:tcPr>
            <w:tcW w:w="1200" w:type="dxa"/>
            <w:vAlign w:val="bottom"/>
            <w:vMerge w:val="restart"/>
          </w:tcPr>
          <w:p>
            <w:pPr>
              <w:ind w:left="9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Rod D. Martin</w:t>
            </w:r>
          </w:p>
        </w:tc>
        <w:tc>
          <w:tcPr>
            <w:tcW w:w="1280" w:type="dxa"/>
            <w:vAlign w:val="bottom"/>
          </w:tcPr>
          <w:p>
            <w:pPr>
              <w:ind w:left="100"/>
              <w:spacing w:after="0" w:line="149" w:lineRule="exact"/>
              <w:rPr>
                <w:sz w:val="20"/>
                <w:szCs w:val="20"/>
                <w:color w:val="auto"/>
              </w:rPr>
            </w:pPr>
            <w:r>
              <w:rPr>
                <w:rFonts w:ascii="Arial" w:cs="Arial" w:eastAsia="Arial" w:hAnsi="Arial"/>
                <w:sz w:val="14"/>
                <w:szCs w:val="14"/>
                <w:color w:val="auto"/>
              </w:rPr>
              <w:t>Jerald K. Rome</w:t>
            </w:r>
          </w:p>
        </w:tc>
        <w:tc>
          <w:tcPr>
            <w:tcW w:w="16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0" w:type="dxa"/>
            <w:vAlign w:val="bottom"/>
          </w:tcPr>
          <w:p>
            <w:pPr>
              <w:spacing w:after="0"/>
              <w:rPr>
                <w:sz w:val="20"/>
                <w:szCs w:val="20"/>
                <w:color w:val="auto"/>
              </w:rPr>
            </w:pPr>
            <w:r>
              <w:rPr>
                <w:rFonts w:ascii="Arial" w:cs="Arial" w:eastAsia="Arial" w:hAnsi="Arial"/>
                <w:sz w:val="14"/>
                <w:szCs w:val="14"/>
                <w:color w:val="auto"/>
              </w:rPr>
              <w:t>S. Colin Neill</w:t>
            </w:r>
          </w:p>
        </w:tc>
        <w:tc>
          <w:tcPr>
            <w:tcW w:w="1280" w:type="dxa"/>
            <w:vAlign w:val="bottom"/>
          </w:tcPr>
          <w:p>
            <w:pPr>
              <w:ind w:left="100"/>
              <w:spacing w:after="0"/>
              <w:rPr>
                <w:sz w:val="20"/>
                <w:szCs w:val="20"/>
                <w:color w:val="auto"/>
              </w:rPr>
            </w:pPr>
            <w:r>
              <w:rPr>
                <w:rFonts w:ascii="Arial" w:cs="Arial" w:eastAsia="Arial" w:hAnsi="Arial"/>
                <w:sz w:val="14"/>
                <w:szCs w:val="14"/>
                <w:color w:val="auto"/>
                <w:w w:val="86"/>
              </w:rPr>
              <w:t>Peter G. Traber, M.D.</w:t>
            </w:r>
          </w:p>
        </w:tc>
        <w:tc>
          <w:tcPr>
            <w:tcW w:w="16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51"/>
        <w:spacing w:after="0"/>
        <w:rPr>
          <w:sz w:val="20"/>
          <w:szCs w:val="20"/>
          <w:color w:val="auto"/>
        </w:rPr>
      </w:pPr>
      <w:r>
        <w:rPr>
          <w:rFonts w:ascii="Arial" w:cs="Arial" w:eastAsia="Arial" w:hAnsi="Arial"/>
          <w:sz w:val="14"/>
          <w:szCs w:val="14"/>
          <w:b w:val="1"/>
          <w:bCs w:val="1"/>
          <w:color w:val="auto"/>
        </w:rPr>
        <w:t>PROXY</w:t>
      </w:r>
    </w:p>
    <w:p>
      <w:pPr>
        <w:spacing w:after="0" w:line="200" w:lineRule="exact"/>
        <w:rPr>
          <w:sz w:val="20"/>
          <w:szCs w:val="20"/>
          <w:color w:val="auto"/>
        </w:rPr>
      </w:pPr>
    </w:p>
    <w:p>
      <w:pPr>
        <w:spacing w:after="0" w:line="355" w:lineRule="exact"/>
        <w:rPr>
          <w:sz w:val="20"/>
          <w:szCs w:val="20"/>
          <w:color w:val="auto"/>
        </w:rPr>
      </w:pPr>
    </w:p>
    <w:p>
      <w:pPr>
        <w:ind w:left="211" w:right="80" w:hanging="211"/>
        <w:spacing w:after="0" w:line="227" w:lineRule="auto"/>
        <w:tabs>
          <w:tab w:leader="none" w:pos="164"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A PROPOSALTO APPROVE AN AMENDMENT OF OUR 2009 INCENTIVE COMPENSATION PLAN TO INCREASE THE NUMBER OF SHARES OF COMMON STOCK THAT MAY BE AWARDED UNDER THIS PLAN TO 20,000,000. The Board of Directors recommends a vote “FOR” this proposal</w:t>
      </w:r>
    </w:p>
    <w:p>
      <w:pPr>
        <w:spacing w:after="0" w:line="382" w:lineRule="exact"/>
        <w:rPr>
          <w:rFonts w:ascii="Arial" w:cs="Arial" w:eastAsia="Arial" w:hAnsi="Arial"/>
          <w:sz w:val="14"/>
          <w:szCs w:val="14"/>
          <w:color w:val="auto"/>
        </w:rPr>
      </w:pPr>
    </w:p>
    <w:p>
      <w:pPr>
        <w:ind w:left="211" w:hanging="211"/>
        <w:spacing w:after="0" w:line="279" w:lineRule="auto"/>
        <w:tabs>
          <w:tab w:leader="none" w:pos="198"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A PROPOSAL TO AMEND OUR ARTICLES OF INCORPORATION TO PERMIT OUR BOARD OF DIRECTORS TO HAVE UP TO ELEVEN MEMBERS. The Board of Directors recommends a vote “FOR” this proposal</w:t>
      </w:r>
    </w:p>
    <w:p>
      <w:pPr>
        <w:spacing w:after="0" w:line="60" w:lineRule="exact"/>
        <w:rPr>
          <w:rFonts w:ascii="Arial" w:cs="Arial" w:eastAsia="Arial" w:hAnsi="Arial"/>
          <w:sz w:val="12"/>
          <w:szCs w:val="12"/>
          <w:color w:val="auto"/>
        </w:rPr>
      </w:pPr>
    </w:p>
    <w:p>
      <w:pPr>
        <w:ind w:left="211" w:right="160" w:hanging="211"/>
        <w:spacing w:after="0" w:line="229" w:lineRule="auto"/>
        <w:tabs>
          <w:tab w:leader="none" w:pos="198"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A PROPOSAL TO AMEND OUR ARTICLES OF INCORPORATION TO AUTHORIZE OUR BOARD OF DIRECTORS TO CHANGE THE NAME OF THE COMPANY. The Board of Directors recommends a vote “FOR” this proposal</w:t>
      </w:r>
    </w:p>
    <w:p>
      <w:pPr>
        <w:spacing w:after="0" w:line="82" w:lineRule="exact"/>
        <w:rPr>
          <w:rFonts w:ascii="Arial" w:cs="Arial" w:eastAsia="Arial" w:hAnsi="Arial"/>
          <w:sz w:val="14"/>
          <w:szCs w:val="14"/>
          <w:color w:val="auto"/>
        </w:rPr>
      </w:pPr>
    </w:p>
    <w:p>
      <w:pPr>
        <w:ind w:left="211" w:hanging="211"/>
        <w:spacing w:after="0" w:line="272" w:lineRule="auto"/>
        <w:tabs>
          <w:tab w:leader="none" w:pos="198"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A PROPOSAL TO RATIFY THE APPOINTMENT OF MCGLADREY &amp; PULLEN, LLP AS THE INDEPENDENT REGISTERED PUBLIC ACCOUNTING FIRM TO AUDIT THE FINANCIAL STATEMENTS FOR THE 2011 FISCAL YEAR. The Board of Directors recommends a vote “FOR” this proposal</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color w:val="auto"/>
        </w:rPr>
        <w:t>Please mark</w:t>
      </w:r>
    </w:p>
    <w:p>
      <w:pPr>
        <w:ind w:left="480"/>
        <w:spacing w:after="0" w:line="381" w:lineRule="exact"/>
        <w:tabs>
          <w:tab w:leader="none" w:pos="1240" w:val="left"/>
        </w:tabs>
        <w:rPr>
          <w:sz w:val="20"/>
          <w:szCs w:val="20"/>
          <w:color w:val="auto"/>
        </w:rPr>
      </w:pPr>
      <w:r>
        <w:rPr>
          <w:rFonts w:ascii="Arial" w:cs="Arial" w:eastAsia="Arial" w:hAnsi="Arial"/>
          <w:sz w:val="26"/>
          <w:szCs w:val="26"/>
          <w:color w:val="auto"/>
          <w:vertAlign w:val="superscript"/>
        </w:rPr>
        <w:t>your</w:t>
      </w:r>
      <w:r>
        <w:rPr>
          <w:rFonts w:ascii="Arial" w:cs="Arial" w:eastAsia="Arial" w:hAnsi="Arial"/>
          <w:sz w:val="13"/>
          <w:szCs w:val="13"/>
          <w:color w:val="auto"/>
        </w:rPr>
        <w:t>likethis</w:t>
      </w:r>
      <w:r>
        <w:rPr>
          <w:rFonts w:ascii="Arial" w:cs="Arial" w:eastAsia="Arial" w:hAnsi="Arial"/>
          <w:sz w:val="26"/>
          <w:szCs w:val="26"/>
          <w:color w:val="auto"/>
          <w:vertAlign w:val="superscript"/>
        </w:rPr>
        <w:t>votes</w:t>
      </w:r>
      <w:r>
        <w:rPr>
          <w:sz w:val="20"/>
          <w:szCs w:val="20"/>
          <w:color w:val="auto"/>
        </w:rPr>
        <w:tab/>
      </w:r>
      <w:r>
        <w:rPr>
          <w:rFonts w:ascii="MS PGothic" w:cs="MS PGothic" w:eastAsia="MS PGothic" w:hAnsi="MS PGothic"/>
          <w:sz w:val="38"/>
          <w:szCs w:val="38"/>
          <w:color w:val="auto"/>
        </w:rPr>
        <w:t>☒</w:t>
      </w:r>
    </w:p>
    <w:p>
      <w:pPr>
        <w:spacing w:after="0" w:line="198" w:lineRule="exact"/>
        <w:rPr>
          <w:sz w:val="20"/>
          <w:szCs w:val="20"/>
          <w:color w:val="auto"/>
        </w:rPr>
      </w:pPr>
    </w:p>
    <w:p>
      <w:pPr>
        <w:spacing w:after="0"/>
        <w:tabs>
          <w:tab w:leader="none" w:pos="400" w:val="left"/>
          <w:tab w:leader="none" w:pos="1100" w:val="left"/>
        </w:tabs>
        <w:rPr>
          <w:sz w:val="20"/>
          <w:szCs w:val="20"/>
          <w:color w:val="auto"/>
        </w:rPr>
      </w:pPr>
      <w:r>
        <w:rPr>
          <w:rFonts w:ascii="Arial" w:cs="Arial" w:eastAsia="Arial" w:hAnsi="Arial"/>
          <w:sz w:val="14"/>
          <w:szCs w:val="14"/>
          <w:color w:val="auto"/>
        </w:rPr>
        <w:t>FOR</w:t>
        <w:tab/>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382"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331" w:lineRule="exact"/>
        <w:rPr>
          <w:sz w:val="20"/>
          <w:szCs w:val="20"/>
          <w:color w:val="auto"/>
        </w:rPr>
      </w:pPr>
    </w:p>
    <w:p>
      <w:pPr>
        <w:spacing w:after="0" w:line="321" w:lineRule="exact"/>
        <w:tabs>
          <w:tab w:leader="none" w:pos="124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728" w:lineRule="exact"/>
        <w:rPr>
          <w:sz w:val="20"/>
          <w:szCs w:val="20"/>
          <w:color w:val="auto"/>
        </w:rPr>
      </w:pPr>
    </w:p>
    <w:p>
      <w:pPr>
        <w:sectPr>
          <w:pgSz w:w="11900" w:h="16838" w:orient="portrait"/>
          <w:cols w:equalWidth="0" w:num="3">
            <w:col w:w="5640" w:space="189"/>
            <w:col w:w="3711" w:space="180"/>
            <w:col w:w="1700"/>
          </w:cols>
          <w:pgMar w:left="240" w:top="249" w:right="239" w:bottom="1440" w:gutter="0" w:footer="0" w:header="0"/>
        </w:sectPr>
      </w:pPr>
    </w:p>
    <w:p>
      <w:pPr>
        <w:spacing w:after="0" w:line="19" w:lineRule="exact"/>
        <w:rPr>
          <w:sz w:val="20"/>
          <w:szCs w:val="20"/>
          <w:color w:val="auto"/>
        </w:rPr>
      </w:pPr>
    </w:p>
    <w:p>
      <w:pPr>
        <w:ind w:left="6040" w:right="260" w:hanging="211"/>
        <w:spacing w:after="0" w:line="239" w:lineRule="auto"/>
        <w:tabs>
          <w:tab w:leader="none" w:pos="60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177"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COMPANY ID:</w:t>
      </w:r>
    </w:p>
    <w:p>
      <w:pPr>
        <w:spacing w:after="0" w:line="35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PROXY NUMBER:</w:t>
      </w:r>
    </w:p>
    <w:p>
      <w:pPr>
        <w:spacing w:after="0" w:line="35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ACCOUNT NUMBER:</w:t>
      </w:r>
    </w:p>
    <w:p>
      <w:pPr>
        <w:spacing w:after="0" w:line="200" w:lineRule="exact"/>
        <w:rPr>
          <w:sz w:val="20"/>
          <w:szCs w:val="20"/>
          <w:color w:val="auto"/>
        </w:rPr>
      </w:pPr>
    </w:p>
    <w:p>
      <w:pPr>
        <w:spacing w:after="0" w:line="219" w:lineRule="exact"/>
        <w:rPr>
          <w:sz w:val="20"/>
          <w:szCs w:val="20"/>
          <w:color w:val="auto"/>
        </w:rPr>
      </w:pPr>
    </w:p>
    <w:p>
      <w:pPr>
        <w:spacing w:after="0"/>
        <w:tabs>
          <w:tab w:leader="none" w:pos="4240" w:val="left"/>
          <w:tab w:leader="none" w:pos="9260" w:val="left"/>
          <w:tab w:leader="none" w:pos="11060" w:val="left"/>
        </w:tabs>
        <w:rPr>
          <w:sz w:val="20"/>
          <w:szCs w:val="20"/>
          <w:color w:val="auto"/>
        </w:rPr>
      </w:pPr>
      <w:r>
        <w:rPr>
          <w:rFonts w:ascii="Arial" w:cs="Arial" w:eastAsia="Arial" w:hAnsi="Arial"/>
          <w:sz w:val="27"/>
          <w:szCs w:val="27"/>
          <w:b w:val="1"/>
          <w:bCs w:val="1"/>
          <w:color w:val="auto"/>
          <w:vertAlign w:val="superscript"/>
        </w:rPr>
        <w:t>Signature:</w:t>
      </w:r>
      <w:r>
        <w:rPr>
          <w:sz w:val="20"/>
          <w:szCs w:val="20"/>
          <w:color w:val="auto"/>
        </w:rPr>
        <w:tab/>
      </w:r>
      <w:r>
        <w:rPr>
          <w:rFonts w:ascii="Arial" w:cs="Arial" w:eastAsia="Arial" w:hAnsi="Arial"/>
          <w:sz w:val="14"/>
          <w:szCs w:val="14"/>
          <w:b w:val="1"/>
          <w:bCs w:val="1"/>
          <w:color w:val="auto"/>
        </w:rPr>
        <w:t>Signature (if joint):</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64490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9" w:lineRule="exact"/>
        <w:rPr>
          <w:sz w:val="20"/>
          <w:szCs w:val="20"/>
          <w:color w:val="auto"/>
        </w:rPr>
      </w:pPr>
    </w:p>
    <w:p>
      <w:pPr>
        <w:ind w:right="200"/>
        <w:spacing w:after="0" w:line="297"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24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lvl w:ilvl="1">
      <w:lvlJc w:val="left"/>
      <w:lvlText w:val="(%2)"/>
      <w:numFmt w:val="decimal"/>
      <w:start w:val="1"/>
    </w:lvl>
  </w:abstractNum>
  <w:abstractNum w:abstractNumId="4">
    <w:nsid w:val="22221A70"/>
    <w:multiLevelType w:val="hybridMultilevel"/>
    <w:lvl w:ilvl="0">
      <w:lvlJc w:val="left"/>
      <w:lvlText w:val="\emdash "/>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6"/>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lowerRoman"/>
      <w:start w:val="2"/>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3"/>
    </w:lvl>
  </w:abstractNum>
  <w:abstractNum w:abstractNumId="17">
    <w:nsid w:val="5E884ADC"/>
    <w:multiLevelType w:val="hybridMultilevel"/>
    <w:lvl w:ilvl="0">
      <w:lvlJc w:val="left"/>
      <w:lvlText w:val="(%1)"/>
      <w:numFmt w:val="decimal"/>
      <w:start w:val="6"/>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2"/>
    </w:lvl>
  </w:abstractNum>
  <w:abstractNum w:abstractNumId="20">
    <w:nsid w:val="580BD78F"/>
    <w:multiLevelType w:val="hybridMultilevel"/>
    <w:lvl w:ilvl="0">
      <w:lvlJc w:val="left"/>
      <w:lvlText w:val="(%1)"/>
      <w:numFmt w:val="decimal"/>
      <w:start w:val="6"/>
    </w:lvl>
  </w:abstractNum>
  <w:abstractNum w:abstractNumId="21">
    <w:nsid w:val="153EA438"/>
    <w:multiLevelType w:val="hybridMultilevel"/>
    <w:lvl w:ilvl="0">
      <w:lvlJc w:val="left"/>
      <w:lvlText w:val="(%1)"/>
      <w:numFmt w:val="lowerLetter"/>
      <w:start w:val="61"/>
    </w:lvl>
  </w:abstractNum>
  <w:abstractNum w:abstractNumId="22">
    <w:nsid w:val="3855585C"/>
    <w:multiLevelType w:val="hybridMultilevel"/>
    <w:lvl w:ilvl="0">
      <w:lvlJc w:val="left"/>
      <w:lvlText w:val="(%1)"/>
      <w:numFmt w:val="lowerLetter"/>
      <w:start w:val="4"/>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5"/>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4"/>
    </w:lvl>
  </w:abstractNum>
  <w:abstractNum w:abstractNumId="28">
    <w:nsid w:val="2CD89A32"/>
    <w:multiLevelType w:val="hybridMultilevel"/>
    <w:lvl w:ilvl="0">
      <w:lvlJc w:val="left"/>
      <w:lvlText w:val="%1."/>
      <w:numFmt w:val="decimal"/>
      <w:start w:val="1"/>
    </w:lvl>
    <w:lvl w:ilvl="1">
      <w:lvlJc w:val="left"/>
      <w:lvlText w:val="(%2)"/>
      <w:numFmt w:val="lowerLetter"/>
      <w:start w:val="1"/>
    </w:lvl>
  </w:abstractNum>
  <w:abstractNum w:abstractNumId="29">
    <w:nsid w:val="57E4CCAF"/>
    <w:multiLevelType w:val="hybridMultilevel"/>
    <w:lvl w:ilvl="0">
      <w:lvlJc w:val="left"/>
      <w:lvlText w:val="%1"/>
      <w:numFmt w:val="lowerRoman"/>
      <w:start w:val="1"/>
    </w:lvl>
    <w:lvl w:ilvl="1">
      <w:lvlJc w:val="left"/>
      <w:lvlText w:val="(%2)"/>
      <w:numFmt w:val="lowerLetter"/>
      <w:start w:val="8"/>
    </w:lvl>
  </w:abstractNum>
  <w:abstractNum w:abstractNumId="30">
    <w:nsid w:val="7A6D8D3C"/>
    <w:multiLevelType w:val="hybridMultilevel"/>
    <w:lvl w:ilvl="0">
      <w:lvlJc w:val="left"/>
      <w:lvlText w:val="(%1)"/>
      <w:numFmt w:val="lowerRoman"/>
      <w:start w:val="2"/>
    </w:lvl>
    <w:lvl w:ilvl="1">
      <w:lvlJc w:val="left"/>
      <w:lvlText w:val="(%2)"/>
      <w:numFmt w:val="lowerLetter"/>
      <w:start w:val="12"/>
    </w:lvl>
  </w:abstractNum>
  <w:abstractNum w:abstractNumId="31">
    <w:nsid w:val="4B588F54"/>
    <w:multiLevelType w:val="hybridMultilevel"/>
    <w:lvl w:ilvl="0">
      <w:lvlJc w:val="left"/>
      <w:lvlText w:val="(%1)"/>
      <w:numFmt w:val="lowerLetter"/>
      <w:start w:val="20"/>
    </w:lvl>
  </w:abstractNum>
  <w:abstractNum w:abstractNumId="32">
    <w:nsid w:val="542289EC"/>
    <w:multiLevelType w:val="hybridMultilevel"/>
    <w:lvl w:ilvl="0">
      <w:lvlJc w:val="left"/>
      <w:lvlText w:val="(%1)"/>
      <w:numFmt w:val="lowerLetter"/>
      <w:start w:val="27"/>
    </w:lvl>
  </w:abstractNum>
  <w:abstractNum w:abstractNumId="33">
    <w:nsid w:val="6DE91B18"/>
    <w:multiLevelType w:val="hybridMultilevel"/>
    <w:lvl w:ilvl="0">
      <w:lvlJc w:val="left"/>
      <w:lvlText w:val="(%1)"/>
      <w:numFmt w:val="lowerLetter"/>
      <w:start w:val="30"/>
    </w:lvl>
  </w:abstractNum>
  <w:abstractNum w:abstractNumId="34">
    <w:nsid w:val="38437FDB"/>
    <w:multiLevelType w:val="hybridMultilevel"/>
    <w:lvl w:ilvl="0">
      <w:lvlJc w:val="left"/>
      <w:lvlText w:val="%1"/>
      <w:numFmt w:val="decimal"/>
      <w:start w:val="1"/>
    </w:lvl>
    <w:lvl w:ilvl="1">
      <w:lvlJc w:val="left"/>
      <w:lvlText w:val="(%2)"/>
      <w:numFmt w:val="lowerLetter"/>
      <w:start w:val="44"/>
    </w:lvl>
  </w:abstractNum>
  <w:abstractNum w:abstractNumId="35">
    <w:nsid w:val="7644A45C"/>
    <w:multiLevelType w:val="hybridMultilevel"/>
    <w:lvl w:ilvl="0">
      <w:lvlJc w:val="left"/>
      <w:lvlText w:val="%1."/>
      <w:numFmt w:val="decimal"/>
      <w:start w:val="3"/>
    </w:lvl>
    <w:lvl w:ilvl="1">
      <w:lvlJc w:val="left"/>
      <w:lvlText w:val="(%2)"/>
      <w:numFmt w:val="lowerLetter"/>
      <w:start w:val="1"/>
    </w:lvl>
  </w:abstractNum>
  <w:abstractNum w:abstractNumId="36">
    <w:nsid w:val="32FFF902"/>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7">
    <w:nsid w:val="684A481A"/>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2"/>
    </w:lvl>
  </w:abstractNum>
  <w:abstractNum w:abstractNumId="38">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0">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
    <w:nsid w:val="1BA026FA"/>
    <w:multiLevelType w:val="hybridMultilevel"/>
    <w:lvl w:ilvl="0">
      <w:lvlJc w:val="left"/>
      <w:lvlText w:val="%1"/>
      <w:numFmt w:val="lowerLetter"/>
      <w:start w:val="1"/>
    </w:lvl>
    <w:lvl w:ilvl="1">
      <w:lvlJc w:val="left"/>
      <w:lvlText w:val="(%2)"/>
      <w:numFmt w:val="lowerRoman"/>
      <w:start w:val="2"/>
    </w:lvl>
  </w:abstractNum>
  <w:abstractNum w:abstractNumId="42">
    <w:nsid w:val="79A1DEAA"/>
    <w:multiLevelType w:val="hybridMultilevel"/>
    <w:lvl w:ilvl="0">
      <w:lvlJc w:val="left"/>
      <w:lvlText w:val="(%1)"/>
      <w:numFmt w:val="lowerLetter"/>
      <w:start w:val="5"/>
    </w:lvl>
    <w:lvl w:ilvl="1">
      <w:lvlJc w:val="left"/>
      <w:lvlText w:val="(%2)"/>
      <w:numFmt w:val="lowerRoman"/>
      <w:start w:val="1"/>
    </w:lvl>
  </w:abstractNum>
  <w:abstractNum w:abstractNumId="43">
    <w:nsid w:val="75C6C33A"/>
    <w:multiLevelType w:val="hybridMultilevel"/>
    <w:lvl w:ilvl="0">
      <w:lvlJc w:val="left"/>
      <w:lvlText w:val="%1"/>
      <w:numFmt w:val="lowerLetter"/>
      <w:start w:val="1"/>
    </w:lvl>
    <w:lvl w:ilvl="1">
      <w:lvlJc w:val="left"/>
      <w:lvlText w:val="(%2)"/>
      <w:numFmt w:val="lowerLetter"/>
      <w:start w:val="61"/>
    </w:lvl>
  </w:abstractNum>
  <w:abstractNum w:abstractNumId="44">
    <w:nsid w:val="12E685FB"/>
    <w:multiLevelType w:val="hybridMultilevel"/>
    <w:lvl w:ilvl="0">
      <w:lvlJc w:val="left"/>
      <w:lvlText w:val="(%1)"/>
      <w:numFmt w:val="lowerLetter"/>
      <w:start w:val="6"/>
    </w:lvl>
    <w:lvl w:ilvl="1">
      <w:lvlJc w:val="left"/>
      <w:lvlText w:val="%2"/>
      <w:numFmt w:val="lowerLetter"/>
      <w:start w:val="1"/>
    </w:lvl>
  </w:abstractNum>
  <w:abstractNum w:abstractNumId="45">
    <w:nsid w:val="70C6A529"/>
    <w:multiLevelType w:val="hybridMultilevel"/>
    <w:lvl w:ilvl="0">
      <w:lvlJc w:val="left"/>
      <w:lvlText w:val="%1."/>
      <w:numFmt w:val="decimal"/>
      <w:start w:val="7"/>
    </w:lvl>
    <w:lvl w:ilvl="1">
      <w:lvlJc w:val="left"/>
      <w:lvlText w:val="(%2)"/>
      <w:numFmt w:val="lowerLetter"/>
      <w:start w:val="1"/>
    </w:lvl>
  </w:abstractNum>
  <w:abstractNum w:abstractNumId="46">
    <w:nsid w:val="520EEDD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7">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8">
    <w:nsid w:val="4F4EF00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9">
    <w:nsid w:val="23F9C13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0">
    <w:nsid w:val="649BB77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1">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2">
    <w:nsid w:val="3938657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
    <w:nsid w:val="1CF10FD8"/>
    <w:multiLevelType w:val="hybridMultilevel"/>
    <w:lvl w:ilvl="0">
      <w:lvlJc w:val="left"/>
      <w:lvlText w:val="(%1)"/>
      <w:numFmt w:val="lowerLetter"/>
      <w:start w:val="3"/>
    </w:lvl>
    <w:lvl w:ilvl="1">
      <w:lvlJc w:val="left"/>
      <w:lvlText w:val="(%2)"/>
      <w:numFmt w:val="lowerRoman"/>
      <w:start w:val="1"/>
    </w:lvl>
  </w:abstractNum>
  <w:abstractNum w:abstractNumId="54">
    <w:nsid w:val="180115BE"/>
    <w:multiLevelType w:val="hybridMultilevel"/>
    <w:lvl w:ilvl="0">
      <w:lvlJc w:val="left"/>
      <w:lvlText w:val="%1"/>
      <w:numFmt w:val="lowerLetter"/>
      <w:start w:val="1"/>
    </w:lvl>
    <w:lvl w:ilvl="1">
      <w:lvlJc w:val="left"/>
      <w:lvlText w:val="(%2)"/>
      <w:numFmt w:val="lowerLetter"/>
      <w:start w:val="4"/>
    </w:lvl>
  </w:abstractNum>
  <w:abstractNum w:abstractNumId="55">
    <w:nsid w:val="235BA861"/>
    <w:multiLevelType w:val="hybridMultilevel"/>
    <w:lvl w:ilvl="0">
      <w:lvlJc w:val="left"/>
      <w:lvlText w:val="(%1)"/>
      <w:numFmt w:val="lowerLetter"/>
      <w:start w:val="9"/>
    </w:lvl>
    <w:lvl w:ilvl="1">
      <w:lvlJc w:val="left"/>
      <w:lvlText w:val="(%2)"/>
      <w:numFmt w:val="lowerLetter"/>
      <w:start w:val="7"/>
    </w:lvl>
  </w:abstractNum>
  <w:abstractNum w:abstractNumId="56">
    <w:nsid w:val="47398C89"/>
    <w:multiLevelType w:val="hybridMultilevel"/>
    <w:lvl w:ilvl="0">
      <w:lvlJc w:val="left"/>
      <w:lvlText w:val="%1"/>
      <w:numFmt w:val="lowerLetter"/>
      <w:start w:val="1"/>
    </w:lvl>
    <w:lvl w:ilvl="1">
      <w:lvlJc w:val="left"/>
      <w:lvlText w:val="(%2)"/>
      <w:numFmt w:val="lowerLetter"/>
      <w:start w:val="8"/>
    </w:lvl>
  </w:abstractNum>
  <w:abstractNum w:abstractNumId="57">
    <w:nsid w:val="354FE9F9"/>
    <w:multiLevelType w:val="hybridMultilevel"/>
    <w:lvl w:ilvl="0">
      <w:lvlJc w:val="left"/>
      <w:lvlText w:val="(%1)"/>
      <w:numFmt w:val="lowerLetter"/>
      <w:start w:val="2"/>
    </w:lvl>
    <w:lvl w:ilvl="1">
      <w:lvlJc w:val="left"/>
      <w:lvlText w:val="%2"/>
      <w:numFmt w:val="lowerLetter"/>
      <w:start w:val="1"/>
    </w:lvl>
  </w:abstractNum>
  <w:abstractNum w:abstractNumId="58">
    <w:nsid w:val="15B5AF5C"/>
    <w:multiLevelType w:val="hybridMultilevel"/>
    <w:lvl w:ilvl="0">
      <w:lvlJc w:val="left"/>
      <w:lvlText w:val="%1."/>
      <w:numFmt w:val="decimal"/>
      <w:start w:val="2"/>
    </w:lvl>
  </w:abstractNum>
  <w:abstractNum w:abstractNumId="59">
    <w:nsid w:val="741226B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2019-12-10T20:52:59Z</dcterms:created>
  <dcterms:modified xsi:type="dcterms:W3CDTF">2019-12-10T20:52:59Z</dcterms:modified>
</cp:coreProperties>
</file>