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8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80" w:lineRule="exact"/>
        <w:rPr>
          <w:sz w:val="24"/>
          <w:szCs w:val="24"/>
          <w:color w:val="auto"/>
        </w:rPr>
      </w:pPr>
    </w:p>
    <w:p>
      <w:pPr>
        <w:spacing w:after="0" w:line="207" w:lineRule="exact"/>
        <w:tabs>
          <w:tab w:leader="none" w:pos="48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GALECTIN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w:t>
      </w:r>
    </w:p>
    <w:p>
      <w:pPr>
        <w:spacing w:after="0" w:line="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1"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565785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222885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-170815</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-607695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-1045210</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-2365375</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-2802255</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-3239770</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-3813810</wp:posOffset>
            </wp:positionV>
            <wp:extent cx="5666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-4251325</wp:posOffset>
            </wp:positionV>
            <wp:extent cx="5666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377190</wp:posOffset>
            </wp:positionV>
            <wp:extent cx="6172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437515</wp:posOffset>
            </wp:positionV>
            <wp:extent cx="6172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3" w:right="1159" w:bottom="65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6459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October 14,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of stockholders (the “2022 Annual Meeting”) of Galectin Therapeutics Inc. The meeting will be held on Thursday, December 1, 2022 at 11:00 a.m., Eastern Standard Time. Due to the continuing travel and other impacts of the coronavirus outbreak (COVID-19), Galectin Therapeutics is conducting the 2022 Annual Meeting via an online-only format. Stockholders will be able to listen, vote, and submit questions from their home or any remote location with internet connectivity. The 2022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000" w:right="4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(11) nominees for director named in the accompanying proxy statement to hold office until the 2023 annual meeting of our stockholders.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executive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2022 Annual Meeting.</w:t>
      </w:r>
    </w:p>
    <w:p>
      <w:pPr>
        <w:spacing w:after="0" w:line="5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Only holders of the Company’s Common Stock or Series A 12% Convertible Preferred Stock of record as of October 10, 2022 are entitled to notice of and to vote at the 2022 Annual Meeting. These items of business are more fully described in the proxy statement accompanying this letter.</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2021 (the “Annual Report”), in the mail, stockholders will receive a Notice Regarding the Availability of Proxy Materials, which provides an internet website address where stockholders can access electronic copies of the proxy materials.</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Your vote is very important. Regardless of whether you plan to attend the 2022 Annual Meeting, please promptly vote your shares. You may vote your shares over the internet. If you received a paper copy of a proxy or voting instruction card by mail, you may submit your proxy or voting instruction card for the 2022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291465</wp:posOffset>
            </wp:positionV>
            <wp:extent cx="1097280"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Joel Lewis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THE 2022 ANNUAL MEETING OF STOCKHOLDERS</w:t>
      </w:r>
    </w:p>
    <w:p>
      <w:pPr>
        <w:sectPr>
          <w:pgSz w:w="11900" w:h="16838" w:orient="portrait"/>
          <w:cols w:equalWidth="0" w:num="1">
            <w:col w:w="9019"/>
          </w:cols>
          <w:pgMar w:left="1440" w:top="263" w:right="1440"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 a.m. Eastern Standard Time on Thursday, December 1, 2022; Online access begins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10:45 a.m. on December 1, 2022.</w:t>
      </w:r>
    </w:p>
    <w:p>
      <w:pPr>
        <w:spacing w:after="0" w:line="200" w:lineRule="exact"/>
        <w:rPr>
          <w:sz w:val="20"/>
          <w:szCs w:val="20"/>
          <w:color w:val="auto"/>
        </w:rPr>
      </w:pPr>
    </w:p>
    <w:p>
      <w:pPr>
        <w:sectPr>
          <w:pgSz w:w="11900" w:h="16838" w:orient="portrait"/>
          <w:cols w:equalWidth="0" w:num="2">
            <w:col w:w="1280" w:space="720"/>
            <w:col w:w="7019"/>
          </w:cols>
          <w:pgMar w:left="1440" w:top="263" w:right="1440" w:bottom="1440" w:gutter="0" w:footer="0" w:header="0"/>
          <w:type w:val="continuous"/>
        </w:sect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19"/>
        <w:spacing w:after="0" w:line="282" w:lineRule="auto"/>
        <w:rPr>
          <w:sz w:val="20"/>
          <w:szCs w:val="20"/>
          <w:color w:val="auto"/>
        </w:rPr>
      </w:pPr>
      <w:r>
        <w:rPr>
          <w:rFonts w:ascii="Times New Roman" w:cs="Times New Roman" w:eastAsia="Times New Roman" w:hAnsi="Times New Roman"/>
          <w:sz w:val="18"/>
          <w:szCs w:val="18"/>
          <w:color w:val="auto"/>
        </w:rPr>
        <w:t>The Annual Meeting will be held virtually via the internet, at www.virtualshareholdermeeting.com/GALT2022.</w:t>
      </w:r>
    </w:p>
    <w:p>
      <w:pPr>
        <w:spacing w:after="0" w:line="200" w:lineRule="exact"/>
        <w:rPr>
          <w:sz w:val="20"/>
          <w:szCs w:val="20"/>
          <w:color w:val="auto"/>
        </w:rPr>
      </w:pPr>
    </w:p>
    <w:p>
      <w:pPr>
        <w:sectPr>
          <w:pgSz w:w="11900" w:h="16838" w:orient="portrait"/>
          <w:cols w:equalWidth="0" w:num="2">
            <w:col w:w="1280" w:space="720"/>
            <w:col w:w="7019"/>
          </w:cols>
          <w:pgMar w:left="1440" w:top="263" w:right="1440" w:bottom="1440" w:gutter="0" w:footer="0" w:header="0"/>
          <w:type w:val="continuous"/>
        </w:sectPr>
      </w:pP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719" w:hanging="399"/>
        <w:spacing w:after="0" w:line="282" w:lineRule="auto"/>
        <w:rPr>
          <w:sz w:val="20"/>
          <w:szCs w:val="20"/>
          <w:color w:val="auto"/>
        </w:rPr>
      </w:pPr>
      <w:r>
        <w:rPr>
          <w:rFonts w:ascii="Times New Roman" w:cs="Times New Roman" w:eastAsia="Times New Roman" w:hAnsi="Times New Roman"/>
          <w:sz w:val="18"/>
          <w:szCs w:val="18"/>
          <w:color w:val="auto"/>
        </w:rPr>
        <w:t>1.</w:t>
      </w:r>
      <w:r>
        <w:rPr>
          <w:sz w:val="20"/>
          <w:szCs w:val="20"/>
          <w:color w:val="auto"/>
        </w:rPr>
        <w:t xml:space="preserve"> </w:t>
      </w:r>
      <w:r>
        <w:rPr>
          <w:rFonts w:ascii="Times New Roman" w:cs="Times New Roman" w:eastAsia="Times New Roman" w:hAnsi="Times New Roman"/>
          <w:sz w:val="18"/>
          <w:szCs w:val="18"/>
          <w:color w:val="auto"/>
        </w:rPr>
        <w:t>To elect the eleven (11) nominees for director named in the proxy statement accompanying this Notice to serve until our 2023 annual meeting of stockholders.</w:t>
      </w:r>
    </w:p>
    <w:p>
      <w:pPr>
        <w:spacing w:after="0" w:line="200" w:lineRule="exact"/>
        <w:rPr>
          <w:sz w:val="20"/>
          <w:szCs w:val="20"/>
          <w:color w:val="auto"/>
        </w:rPr>
      </w:pPr>
    </w:p>
    <w:p>
      <w:pPr>
        <w:sectPr>
          <w:pgSz w:w="11900" w:h="16838" w:orient="portrait"/>
          <w:cols w:equalWidth="0" w:num="2">
            <w:col w:w="1680" w:space="720"/>
            <w:col w:w="6619"/>
          </w:cols>
          <w:pgMar w:left="1440" w:top="263" w:right="1440" w:bottom="1440" w:gutter="0" w:footer="0" w:header="0"/>
          <w:type w:val="continuous"/>
        </w:sectPr>
      </w:pPr>
    </w:p>
    <w:p>
      <w:pPr>
        <w:spacing w:after="0" w:line="178" w:lineRule="exact"/>
        <w:rPr>
          <w:sz w:val="20"/>
          <w:szCs w:val="20"/>
          <w:color w:val="auto"/>
        </w:rPr>
      </w:pPr>
    </w:p>
    <w:p>
      <w:pPr>
        <w:ind w:left="2400" w:right="539" w:hanging="394"/>
        <w:spacing w:after="0" w:line="266" w:lineRule="auto"/>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2022.</w:t>
      </w:r>
    </w:p>
    <w:p>
      <w:pPr>
        <w:spacing w:after="0" w:line="391" w:lineRule="exact"/>
        <w:rPr>
          <w:rFonts w:ascii="Times New Roman" w:cs="Times New Roman" w:eastAsia="Times New Roman" w:hAnsi="Times New Roman"/>
          <w:sz w:val="18"/>
          <w:szCs w:val="18"/>
          <w:color w:val="auto"/>
        </w:rPr>
      </w:pPr>
    </w:p>
    <w:p>
      <w:pPr>
        <w:ind w:left="2400" w:right="359" w:hanging="394"/>
        <w:spacing w:after="0" w:line="254" w:lineRule="auto"/>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2400" w:hanging="394"/>
        <w:spacing w:after="0"/>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executive compensation.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0" w:right="859" w:hanging="394"/>
        <w:spacing w:after="0" w:line="282" w:lineRule="auto"/>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2021 Annual Meeting.</w:t>
      </w:r>
    </w:p>
    <w:p>
      <w:pPr>
        <w:spacing w:after="0" w:line="374" w:lineRule="exact"/>
        <w:rPr>
          <w:sz w:val="20"/>
          <w:szCs w:val="20"/>
          <w:color w:val="auto"/>
        </w:rPr>
      </w:pPr>
    </w:p>
    <w:p>
      <w:pPr>
        <w:ind w:left="2000" w:right="339" w:hanging="1713"/>
        <w:spacing w:after="0" w:line="282"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Who Can Vote:</w:t>
      </w:r>
      <w:r>
        <w:rPr>
          <w:sz w:val="20"/>
          <w:szCs w:val="20"/>
          <w:color w:val="auto"/>
        </w:rPr>
        <w:tab/>
      </w:r>
      <w:r>
        <w:rPr>
          <w:rFonts w:ascii="Times New Roman" w:cs="Times New Roman" w:eastAsia="Times New Roman" w:hAnsi="Times New Roman"/>
          <w:sz w:val="18"/>
          <w:szCs w:val="18"/>
          <w:color w:val="auto"/>
        </w:rPr>
        <w:t>You can vote if you were a stockholder of record of our Common Stock or our Series A 12% Convertible Preferred Stock, as of the close of business on October 10, 2022.</w:t>
      </w:r>
    </w:p>
    <w:p>
      <w:pPr>
        <w:spacing w:after="0" w:line="378" w:lineRule="exact"/>
        <w:rPr>
          <w:sz w:val="20"/>
          <w:szCs w:val="20"/>
          <w:color w:val="auto"/>
        </w:rPr>
      </w:pPr>
    </w:p>
    <w:p>
      <w:pPr>
        <w:ind w:left="2000" w:right="579" w:hanging="1713"/>
        <w:spacing w:after="0" w:line="266"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Proxy Materials:</w:t>
      </w:r>
      <w:r>
        <w:rPr>
          <w:sz w:val="20"/>
          <w:szCs w:val="20"/>
          <w:color w:val="auto"/>
        </w:rPr>
        <w:tab/>
      </w:r>
      <w:r>
        <w:rPr>
          <w:rFonts w:ascii="Times New Roman" w:cs="Times New Roman" w:eastAsia="Times New Roman" w:hAnsi="Times New Roman"/>
          <w:sz w:val="18"/>
          <w:szCs w:val="18"/>
          <w:color w:val="auto"/>
        </w:rPr>
        <w:t xml:space="preserve">You may access our Annual Report and this Notice and proxy statement at </w:t>
      </w:r>
      <w:r>
        <w:rPr>
          <w:rFonts w:ascii="Times New Roman" w:cs="Times New Roman" w:eastAsia="Times New Roman" w:hAnsi="Times New Roman"/>
          <w:sz w:val="18"/>
          <w:szCs w:val="18"/>
          <w:i w:val="1"/>
          <w:iCs w:val="1"/>
          <w:color w:val="auto"/>
        </w:rPr>
        <w:t xml:space="preserve">www.proxyvote.com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www.galectintherapeutics.com</w:t>
      </w:r>
      <w:r>
        <w:rPr>
          <w:rFonts w:ascii="Times New Roman" w:cs="Times New Roman" w:eastAsia="Times New Roman" w:hAnsi="Times New Roman"/>
          <w:sz w:val="18"/>
          <w:szCs w:val="18"/>
          <w:color w:val="auto"/>
        </w:rPr>
        <w:t>.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to obtain a paper copies of the proxy materials are on page 0 of this notice.</w:t>
      </w:r>
    </w:p>
    <w:p>
      <w:pPr>
        <w:spacing w:after="0" w:line="392" w:lineRule="exact"/>
        <w:rPr>
          <w:sz w:val="20"/>
          <w:szCs w:val="20"/>
          <w:color w:val="auto"/>
        </w:rPr>
      </w:pPr>
    </w:p>
    <w:p>
      <w:pPr>
        <w:ind w:left="2000" w:right="679" w:hanging="1713"/>
        <w:spacing w:after="0" w:line="282"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Date of Mailing:</w:t>
      </w:r>
      <w:r>
        <w:rPr>
          <w:sz w:val="20"/>
          <w:szCs w:val="20"/>
          <w:color w:val="auto"/>
        </w:rPr>
        <w:tab/>
      </w:r>
      <w:r>
        <w:rPr>
          <w:rFonts w:ascii="Times New Roman" w:cs="Times New Roman" w:eastAsia="Times New Roman" w:hAnsi="Times New Roman"/>
          <w:sz w:val="18"/>
          <w:szCs w:val="18"/>
          <w:color w:val="auto"/>
        </w:rPr>
        <w:t>This Notice, the proxy statement and the form of proxy are first being made available to stockholders on or about October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SUBMIT PROMPTLY VOTE YOUR SHARES BY FOLLOWING THE INSTRUCTIONS ON THE NOTICE CARD OR PROXY CARD.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 the Annual Meeting to be Held December 1, 2022.</w:t>
      </w:r>
    </w:p>
    <w:p>
      <w:pPr>
        <w:spacing w:after="0" w:line="95" w:lineRule="exact"/>
        <w:rPr>
          <w:sz w:val="20"/>
          <w:szCs w:val="20"/>
          <w:color w:val="auto"/>
        </w:rPr>
      </w:pPr>
    </w:p>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Letter to Stockholders, Notice of Meeting, Proxy Statement, and Annual Report on Form 10-K, are available at: www.proxyvote.com</w:t>
      </w:r>
    </w:p>
    <w:p>
      <w:pPr>
        <w:spacing w:after="0" w:line="1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85725</wp:posOffset>
            </wp:positionV>
            <wp:extent cx="1156970"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6980" w:type="dxa"/>
            <w:vAlign w:val="bottom"/>
            <w:tcBorders>
              <w:bottom w:val="single" w:sz="8" w:color="0000EE"/>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PROXY STATEMENT FOR 2022 ANNUAL MEETING OF STOCKHOLDERS To Be Held on</w:t>
            </w:r>
          </w:p>
        </w:tc>
        <w:tc>
          <w:tcPr>
            <w:tcW w:w="1140" w:type="dxa"/>
            <w:vAlign w:val="bottom"/>
            <w:tcBorders>
              <w:bottom w:val="single" w:sz="8" w:color="CCEEFF"/>
            </w:tcBorders>
            <w:gridSpan w:val="6"/>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1, 2022</w:t>
            </w:r>
          </w:p>
        </w:tc>
        <w:tc>
          <w:tcPr>
            <w:tcW w:w="300" w:type="dxa"/>
            <w:vAlign w:val="bottom"/>
            <w:tcBorders>
              <w:right w:val="single" w:sz="8" w:color="CCEEFF"/>
            </w:tcBorders>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QUESTIONS AND ANSWERS ABOUT THE ANNUAL MEETING AND VOTING</w:t>
            </w: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2021</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PROPOSAL NO. 2 RATIFICATION OF APPOINTMENT OF INDEPENDENT AUDITORS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FEES PAID TO CHERRY BEKAERT LLP</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3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PROPOSAL NO. 3 TO AUTHORIZE AND APPROVE, FOR PURPOSES OF COMPLYING WITH</w:t>
            </w:r>
          </w:p>
        </w:tc>
        <w:tc>
          <w:tcPr>
            <w:tcW w:w="8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NASDAQ LISTING RULE 5635, THE ISSUANCE OF MORE THAN 20% OF OUR ISSUED AND</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OUTSTANDING SHARES OF COMMON STOCK IN CONNECTION WITH OUR LINE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CREDIT PROVIDED BY RICHARD E. UIHLEIN, OUR CHAIRMAN OF THE BOARD OF</w:t>
            </w:r>
          </w:p>
        </w:tc>
        <w:tc>
          <w:tcPr>
            <w:tcW w:w="60" w:type="dxa"/>
            <w:vAlign w:val="bottom"/>
            <w:tcBorders>
              <w:top w:val="single" w:sz="8" w:color="0000EE"/>
            </w:tcBorders>
          </w:tcPr>
          <w:p>
            <w:pPr>
              <w:spacing w:after="0"/>
              <w:rPr>
                <w:sz w:val="17"/>
                <w:szCs w:val="17"/>
                <w:color w:val="auto"/>
              </w:rPr>
            </w:pPr>
          </w:p>
        </w:tc>
        <w:tc>
          <w:tcPr>
            <w:tcW w:w="104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DIRECTORS.</w:t>
            </w: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35</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4 TO VOTE ON A NON-BINDING ADVISORY RESOLUTION TO APPROVE</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040" w:type="dxa"/>
            <w:vAlign w:val="bottom"/>
            <w:tcBorders>
              <w:top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38</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PROPOSALS OF STOCKHOLDERS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ANNUAL REPORT</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40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HOW TO ATTEND THE 2022 ANNUAL MEETING</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41</w:t>
            </w:r>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04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38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-4662805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December 1, 2022</w:t>
      </w:r>
    </w:p>
    <w:p>
      <w:pPr>
        <w:spacing w:after="0" w:line="9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2022 annual meeting of stockholders (“2022 Annual Meeting”) of Galectin Therapeutics Inc. (referred to in this proxy statement as “Galectin”, “Galectin Therapeutics”, “the Company”, “we”, “our” or “us”). The 2022 Annual Meeting will be held virtually over the internet on Thursday, December 1, 2022, beginning at 11:00 a.m. Eastern Standard Time, at www.virtualshareholdermeeting.com/GALT2022. Online access begins at 10:45 a.m. on the date of the 2022 Annual Meeting. Due to the continuing travel and other impacts of the coronavirus outbreak (COVID-19), the Company is conducting an online-only format for the 2022 annual meeting. Stockholders will be able to listen, vote, and submit questions from their home or any remote location with internet connectivity. The 2022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our Board of Directors for use at the 2022 Annual Meeting. All proxies will be voted in accordance with the instructions they contain. If you do not specify your voting instructions on your proxy, it will be voted in accordance with the recommendations of our Board of Directors.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These proxy materials, together with our Annual Report to stockholders on Form 10-K for our 2021 fiscal year, are first being made available to stockholders on or about October 14, 2022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Instructions on How to Attend the 2022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2022 Annual Meeting, visit www.virtualshareholdermeeting.com/GALT2022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1, 2022. The meeting will begin promptly at 11:00 a.m. Eastern Standard Time on December 1, 2022.</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www.virtualshareholdermeeting.com/GALT2022,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2022 Annual Meeting has been designed to provide the same rights to participate as you would have at an in-person meeting. If you encounter any difficulties accessing the 2022 Annual Meeting during the check-in or meeting time, please call the technical support number that will be posted on the Virtual Shareholder Meeting log in page at www.virtualshareholdermeeting.com/GALT2022.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held in a virtual, online-only format this year?</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are holding our 2022 annual meeting in a virtual, online-only format this year due to the continuing travel and other impacts of the coronavirus outbreak (COVID-19). We believe that the virtual meeting format will facilitate stockholder attendance and participation at the annual meeting during the COVID-19 pandemic by enabling stockholders to participate remotely from any location.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2022 Annual Meeting will be held for the following purposes:</w:t>
      </w:r>
    </w:p>
    <w:p>
      <w:pPr>
        <w:spacing w:after="0" w:line="117" w:lineRule="exact"/>
        <w:rPr>
          <w:sz w:val="20"/>
          <w:szCs w:val="20"/>
          <w:color w:val="auto"/>
        </w:rPr>
      </w:pPr>
    </w:p>
    <w:p>
      <w:pPr>
        <w:ind w:left="1000" w:right="11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nominees named in this proxy statement for director to hold office until the 2023 annual meeting of our stockholders.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executive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2021 Annual Meeting.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if you were a stockholder of Galectin Therapeutics as of the close of business on the record date,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14, 2022. Shares outstanding on the record date are the following:</w:t>
      </w:r>
    </w:p>
    <w:p>
      <w:pPr>
        <w:spacing w:after="0" w:line="9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59,426,005 shares of common stock, par value $0.001 per share (“Common Stock”)</w:t>
      </w:r>
    </w:p>
    <w:p>
      <w:pPr>
        <w:spacing w:after="0" w:line="117" w:lineRule="exact"/>
        <w:rPr>
          <w:rFonts w:ascii="Times New Roman" w:cs="Times New Roman" w:eastAsia="Times New Roman" w:hAnsi="Times New Roman"/>
          <w:sz w:val="18"/>
          <w:szCs w:val="18"/>
          <w:color w:val="auto"/>
        </w:rPr>
      </w:pPr>
    </w:p>
    <w:p>
      <w:pPr>
        <w:ind w:left="1000" w:right="15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1,260,000 shares of Series A 12% Convertible Preferred Stock, par value $0.01 per share (“Series A Preferred Stock”).</w:t>
      </w:r>
    </w:p>
    <w:p>
      <w:pPr>
        <w:spacing w:after="0" w:line="54"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Directors and executive officers of Galectin Therapeutics own or control the voting of 16,845,479 shares of Common Stock or the common equivalent of voting Preferred Stock, representing approximately 28% of the total outstanding voting shares at the record date. We expect all of these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proposals as described in this proxy statement.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meaning that you own your shares in your own name and not through a bank or brokerage firm, you may vote as follows:</w:t>
      </w:r>
    </w:p>
    <w:p>
      <w:pPr>
        <w:spacing w:after="0" w:line="50" w:lineRule="exact"/>
        <w:rPr>
          <w:sz w:val="20"/>
          <w:szCs w:val="20"/>
          <w:color w:val="auto"/>
        </w:rPr>
      </w:pPr>
    </w:p>
    <w:p>
      <w:pPr>
        <w:ind w:left="1000" w:right="35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mail</w:t>
      </w:r>
      <w:r>
        <w:rPr>
          <w:rFonts w:ascii="Times New Roman" w:cs="Times New Roman" w:eastAsia="Times New Roman" w:hAnsi="Times New Roman"/>
          <w:sz w:val="18"/>
          <w:szCs w:val="18"/>
          <w:color w:val="auto"/>
        </w:rPr>
        <w:t>. You may vote by completing and signing the proxy card enclosed with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(or by requesting a 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74" w:lineRule="exact"/>
        <w:rPr>
          <w:rFonts w:ascii="Times New Roman" w:cs="Times New Roman" w:eastAsia="Times New Roman" w:hAnsi="Times New Roman"/>
          <w:sz w:val="18"/>
          <w:szCs w:val="18"/>
          <w:color w:val="auto"/>
        </w:rPr>
      </w:pPr>
    </w:p>
    <w:p>
      <w:pPr>
        <w:ind w:left="1000" w:right="419" w:hanging="348"/>
        <w:spacing w:after="0" w:line="25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Internet prior to the 2022 Annual Meeting</w:t>
      </w:r>
      <w:r>
        <w:rPr>
          <w:rFonts w:ascii="Times New Roman" w:cs="Times New Roman" w:eastAsia="Times New Roman" w:hAnsi="Times New Roman"/>
          <w:sz w:val="18"/>
          <w:szCs w:val="18"/>
          <w:color w:val="auto"/>
        </w:rPr>
        <w:t>. You may vote over the Internet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instructed on the proxy card enclosed with this proxy statement and accessing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4" w:lineRule="exact"/>
        <w:rPr>
          <w:rFonts w:ascii="Times New Roman" w:cs="Times New Roman" w:eastAsia="Times New Roman" w:hAnsi="Times New Roman"/>
          <w:sz w:val="18"/>
          <w:szCs w:val="18"/>
          <w:color w:val="auto"/>
        </w:rPr>
      </w:pPr>
    </w:p>
    <w:p>
      <w:pPr>
        <w:ind w:left="1000" w:right="559" w:hanging="348"/>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during the 2022 Annual Meeting</w:t>
      </w:r>
      <w:r>
        <w:rPr>
          <w:rFonts w:ascii="Times New Roman" w:cs="Times New Roman" w:eastAsia="Times New Roman" w:hAnsi="Times New Roman"/>
          <w:sz w:val="18"/>
          <w:szCs w:val="18"/>
          <w:color w:val="auto"/>
        </w:rPr>
        <w:t>. If you attend the 2022 Annual Meeting virtually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visiting www.virtualshareholdermeeting.com/GALT2022 at 11:00 a.m. Eastern Standard Time on December 1, 2022, you may vote during the 2022 Annual Meeting. You will need the 16-digit control number included on your notice of Internet availability of the proxy materials, on your proxy card or on the instructions that accompanied your proxy materials.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eleven nominees to serve as directors on the Board of Directors until our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w:t>
      </w:r>
    </w:p>
    <w:p>
      <w:pPr>
        <w:spacing w:after="0" w:line="47"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Cherry Bekaert LLP, as our independent registered public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2022 fiscal year.</w:t>
      </w:r>
    </w:p>
    <w:p>
      <w:pPr>
        <w:spacing w:after="0" w:line="47"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authorizing and approving, for purposes of complying with Nasdaq Listing Rule 5635, the issuance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approving, on a non-binding basis, executive compensation.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Any proxy card returned without directions given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presented in this proxy statement to the Board of Directors,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Cherry Bekaert LLP as our independent registered public accounting firm to audit the financial statements for our 2022 fiscal year,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authorizing and approving, for purposes of complying with Nasdaq Listing Rule 5635, the issuance of more than 20% of our issued and outstanding shares of common stock in connection with our line of credit provided by Richard E. Uihlein, our Chairman of the Board of Directors, (4)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approving on a non-binding basis, executive compensation, and (5) as to any other business that may come before the 2022 Annual Meeting, in accordance with the judgment of the person or persons named in the proxy.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w:t>
      </w:r>
    </w:p>
    <w:p>
      <w:pPr>
        <w:spacing w:after="0" w:line="6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proposals relating to the election of directors, approval of shares of common stock upon conversion, exchange or otherwise to Richard E. Uihlein and approval, on a non-binding basis, executive compensation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5" w:lineRule="exact"/>
        <w:rPr>
          <w:sz w:val="20"/>
          <w:szCs w:val="20"/>
          <w:color w:val="auto"/>
        </w:rPr>
      </w:pPr>
    </w:p>
    <w:p>
      <w:pPr>
        <w:ind w:left="300" w:right="419" w:firstLine="360"/>
        <w:spacing w:after="0" w:line="274" w:lineRule="auto"/>
        <w:rPr>
          <w:sz w:val="20"/>
          <w:szCs w:val="20"/>
          <w:color w:val="auto"/>
        </w:rPr>
      </w:pPr>
      <w:r>
        <w:rPr>
          <w:rFonts w:ascii="Times New Roman" w:cs="Times New Roman" w:eastAsia="Times New Roman" w:hAnsi="Times New Roman"/>
          <w:sz w:val="17"/>
          <w:szCs w:val="17"/>
          <w:color w:val="auto"/>
        </w:rPr>
        <w:t>The proposal to ratify the selection of Cherry Bekaert LLP as our independent auditor for fiscal year 2022, is considered a routine matter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Yes. You can change your vote and revoke your proxy at any time before the polls close at the meeting by doing any one of the following things:</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our Corporate Secretary, Jack W. Callicutt, written notice to that effect. He may be contacted at</w:t>
      </w:r>
    </w:p>
    <w:p>
      <w:pPr>
        <w:spacing w:after="0" w:line="27" w:lineRule="exact"/>
        <w:rPr>
          <w:rFonts w:ascii="Times New Roman" w:cs="Times New Roman" w:eastAsia="Times New Roman" w:hAnsi="Times New Roman"/>
          <w:sz w:val="18"/>
          <w:szCs w:val="18"/>
          <w:color w:val="auto"/>
        </w:rPr>
      </w:pPr>
    </w:p>
    <w:p>
      <w:pPr>
        <w:ind w:left="1000" w:right="8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4960 Peachtree Industrial Blvd., Suite 240, Norcross, GA 30071; telephone: 678-620-3186; e-mail: callicutt@galectintherapeutics.com;</w:t>
      </w:r>
    </w:p>
    <w:p>
      <w:pPr>
        <w:spacing w:after="0" w:line="7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prior to the time at which the Internet voting facilities close by following the procedures applicable to that method of voting, as directed on the enclosed proxy card;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2022 Annual Meeting virtually via the Internet and voting during the meeting.</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access the proxy materials over the internet?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You may view and also download our proxy materials, including the 2021 Annual Report, our Form 10-K for the year ended December 31, 2021, and the Notice by accessing www.proxyvote.com and on our website at www.galectintherapeutics.com</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for the solicitation of Proxies?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59,605,805 shares of Common Stock outstanding or deemed outstanding based on voting rights of Series A Preferred Stock on an as-converted basis. Thus, 19,868,602 shares must be represented by stockholders present at the meeting or by proxy to have a quorum.</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for each item to pass?</w:t>
      </w:r>
    </w:p>
    <w:p>
      <w:pPr>
        <w:spacing w:after="0" w:line="117" w:lineRule="exact"/>
        <w:rPr>
          <w:sz w:val="20"/>
          <w:szCs w:val="20"/>
          <w:color w:val="auto"/>
        </w:rPr>
      </w:pPr>
    </w:p>
    <w:p>
      <w:pPr>
        <w:ind w:left="300" w:right="4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Directors are elected by a plurality of the votes cast by the holders of shares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w:t>
      </w:r>
    </w:p>
    <w:p>
      <w:pPr>
        <w:spacing w:after="0" w:line="68" w:lineRule="exact"/>
        <w:rPr>
          <w:sz w:val="20"/>
          <w:szCs w:val="20"/>
          <w:color w:val="auto"/>
        </w:rPr>
      </w:pPr>
    </w:p>
    <w:p>
      <w:pPr>
        <w:ind w:left="300" w:right="33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Ratification of independent registered public accounting firm. </w:t>
      </w:r>
      <w:r>
        <w:rPr>
          <w:rFonts w:ascii="Times New Roman" w:cs="Times New Roman" w:eastAsia="Times New Roman" w:hAnsi="Times New Roman"/>
          <w:sz w:val="17"/>
          <w:szCs w:val="17"/>
          <w:color w:val="auto"/>
        </w:rPr>
        <w:t>The votes cast “for” must exceed the votes cast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“against” in order to ratify the selection of Cherry Bekaert LLP, as our independent registered public accounting firm. Abstentions will be counted for the purpose of establishing a quorum but will not be relevant to the outcome.</w:t>
      </w:r>
    </w:p>
    <w:p>
      <w:pPr>
        <w:spacing w:after="0" w:line="4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the Issuance of Shares to Richard E. Uihlein. </w:t>
      </w:r>
      <w:r>
        <w:rPr>
          <w:rFonts w:ascii="Times New Roman" w:cs="Times New Roman" w:eastAsia="Times New Roman" w:hAnsi="Times New Roman"/>
          <w:sz w:val="18"/>
          <w:szCs w:val="18"/>
          <w:color w:val="auto"/>
        </w:rPr>
        <w:t>The votes cast “for” must exceed the votes cast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in order to order to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 Abstentions will be counted for the purpose of establishing a quorum but will not be relevant to the outcome.</w:t>
      </w:r>
    </w:p>
    <w:p>
      <w:pPr>
        <w:spacing w:after="0" w:line="77" w:lineRule="exact"/>
        <w:rPr>
          <w:sz w:val="20"/>
          <w:szCs w:val="20"/>
          <w:color w:val="auto"/>
        </w:rPr>
      </w:pPr>
    </w:p>
    <w:p>
      <w:pPr>
        <w:jc w:val="both"/>
        <w:ind w:left="300" w:right="5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Say on Pay. </w:t>
      </w:r>
      <w:r>
        <w:rPr>
          <w:rFonts w:ascii="Times New Roman" w:cs="Times New Roman" w:eastAsia="Times New Roman" w:hAnsi="Times New Roman"/>
          <w:sz w:val="18"/>
          <w:szCs w:val="18"/>
          <w:color w:val="auto"/>
        </w:rPr>
        <w:t>The votes cast “for” must exceed the votes cast “against” in order to approve,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non-binding basis, executive compensation. Abstentions will be counted for the purpose of establishing a quorum but will not be relevant to the outcome.</w:t>
      </w:r>
    </w:p>
    <w:p>
      <w:pPr>
        <w:spacing w:after="0" w:line="6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proposals relating to the election of directors, approval of shares of common stock upon conversion, exchange or otherwise to Richard E. Uihlein, and approval, on a non-binding basis, executive compensation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2022, because these proposals are considered routine matters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we urge every shareholder to vote their shares.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16, 2023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2, 2023 nor earlier than August 3, 2023, in order to be considered timely.</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2023 annual meeting of stockholders is scheduled to take place on a date that is more than 30 calendar days from the one year anniversary of the 2022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report the voting results on Form 8-K within four business days after the end of our 2022 Annual Meeting of stockholders. If final voting results are not available to us in time to file a current report on Form 8-K within four business days after the 2022 Annual Meeting, we intend to file a current report on Form 8-K to publish preliminary results and, within four business days after the final results are known to us, file an additional current report on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September 1, 2022,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2022 Annual Meeting.</w:t>
      </w:r>
    </w:p>
    <w:p>
      <w:pPr>
        <w:spacing w:after="0" w:line="79"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1, 2022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146"/>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23"/>
                <w:szCs w:val="23"/>
                <w:b w:val="1"/>
                <w:bCs w:val="1"/>
                <w:color w:val="auto"/>
                <w:vertAlign w:val="superscript"/>
              </w:rPr>
              <w:t>(1)</w:t>
            </w:r>
          </w:p>
        </w:tc>
        <w:tc>
          <w:tcPr>
            <w:tcW w:w="300" w:type="dxa"/>
            <w:vAlign w:val="bottom"/>
            <w:vMerge w:val="restart"/>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3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(3)</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(4)</w:t>
            </w: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06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w w:val="92"/>
              </w:rPr>
              <w:t>12,985,601</w:t>
            </w:r>
            <w:r>
              <w:rPr>
                <w:rFonts w:ascii="Times New Roman" w:cs="Times New Roman" w:eastAsia="Times New Roman" w:hAnsi="Times New Roman"/>
                <w:sz w:val="29"/>
                <w:szCs w:val="29"/>
                <w:color w:val="auto"/>
                <w:w w:val="92"/>
                <w:vertAlign w:val="superscript"/>
              </w:rPr>
              <w:t>(5)</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10X Fund, L.P.</w:t>
            </w:r>
            <w:r>
              <w:rPr>
                <w:rFonts w:ascii="Times New Roman" w:cs="Times New Roman" w:eastAsia="Times New Roman" w:hAnsi="Times New Roman"/>
                <w:sz w:val="29"/>
                <w:szCs w:val="29"/>
                <w:color w:val="auto"/>
                <w:vertAlign w:val="superscript"/>
              </w:rPr>
              <w:t>(9)</w:t>
            </w:r>
          </w:p>
        </w:tc>
        <w:tc>
          <w:tcPr>
            <w:tcW w:w="1060" w:type="dxa"/>
            <w:vAlign w:val="bottom"/>
            <w:shd w:val="clear" w:color="auto" w:fill="CCEEFF"/>
          </w:tcPr>
          <w:p>
            <w:pPr>
              <w:jc w:val="right"/>
              <w:ind w:right="14"/>
              <w:spacing w:after="0" w:line="324" w:lineRule="exact"/>
              <w:rPr>
                <w:sz w:val="20"/>
                <w:szCs w:val="20"/>
                <w:color w:val="auto"/>
              </w:rPr>
            </w:pPr>
            <w:r>
              <w:rPr>
                <w:rFonts w:ascii="Times New Roman" w:cs="Times New Roman" w:eastAsia="Times New Roman" w:hAnsi="Times New Roman"/>
                <w:sz w:val="18"/>
                <w:szCs w:val="18"/>
                <w:color w:val="auto"/>
                <w:w w:val="90"/>
              </w:rPr>
              <w:t>11,901,193</w:t>
            </w:r>
            <w:r>
              <w:rPr>
                <w:rFonts w:ascii="Times New Roman" w:cs="Times New Roman" w:eastAsia="Times New Roman" w:hAnsi="Times New Roman"/>
                <w:sz w:val="29"/>
                <w:szCs w:val="29"/>
                <w:color w:val="auto"/>
                <w:w w:val="90"/>
                <w:vertAlign w:val="superscript"/>
              </w:rPr>
              <w:t>(6)</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David Smith</w:t>
            </w:r>
            <w:r>
              <w:rPr>
                <w:rFonts w:ascii="Times New Roman" w:cs="Times New Roman" w:eastAsia="Times New Roman" w:hAnsi="Times New Roman"/>
                <w:sz w:val="29"/>
                <w:szCs w:val="29"/>
                <w:color w:val="auto"/>
                <w:vertAlign w:val="superscript"/>
              </w:rPr>
              <w:t>(8)</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Early Equities LLC</w:t>
            </w:r>
            <w:r>
              <w:rPr>
                <w:rFonts w:ascii="Times New Roman" w:cs="Times New Roman" w:eastAsia="Times New Roman" w:hAnsi="Times New Roman"/>
                <w:sz w:val="29"/>
                <w:szCs w:val="29"/>
                <w:color w:val="auto"/>
                <w:vertAlign w:val="superscript"/>
              </w:rPr>
              <w:t>(10)</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(8)</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Richard E. Uihlein</w:t>
            </w:r>
            <w:r>
              <w:rPr>
                <w:rFonts w:ascii="Times New Roman" w:cs="Times New Roman" w:eastAsia="Times New Roman" w:hAnsi="Times New Roman"/>
                <w:sz w:val="29"/>
                <w:szCs w:val="29"/>
                <w:color w:val="auto"/>
                <w:vertAlign w:val="superscript"/>
              </w:rPr>
              <w:t>(12)</w:t>
            </w:r>
          </w:p>
        </w:tc>
        <w:tc>
          <w:tcPr>
            <w:tcW w:w="106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w w:val="91"/>
              </w:rPr>
              <w:t>16,884,827</w:t>
            </w:r>
            <w:r>
              <w:rPr>
                <w:rFonts w:ascii="Times New Roman" w:cs="Times New Roman" w:eastAsia="Times New Roman" w:hAnsi="Times New Roman"/>
                <w:sz w:val="29"/>
                <w:szCs w:val="29"/>
                <w:color w:val="auto"/>
                <w:w w:val="91"/>
                <w:vertAlign w:val="superscript"/>
              </w:rPr>
              <w:t>(13)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New Director Nominee and Other Named</w:t>
            </w: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175,614</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06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2"/>
              </w:rPr>
              <w:t>12,985,601</w:t>
            </w:r>
            <w:r>
              <w:rPr>
                <w:rFonts w:ascii="Times New Roman" w:cs="Times New Roman" w:eastAsia="Times New Roman" w:hAnsi="Times New Roman"/>
                <w:sz w:val="29"/>
                <w:szCs w:val="29"/>
                <w:color w:val="auto"/>
                <w:w w:val="92"/>
                <w:vertAlign w:val="superscript"/>
              </w:rPr>
              <w:t>(5)</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06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rPr>
              <w:t>951,575</w:t>
            </w:r>
            <w:r>
              <w:rPr>
                <w:rFonts w:ascii="Times New Roman" w:cs="Times New Roman" w:eastAsia="Times New Roman" w:hAnsi="Times New Roman"/>
                <w:sz w:val="29"/>
                <w:szCs w:val="29"/>
                <w:color w:val="auto"/>
                <w:vertAlign w:val="superscript"/>
              </w:rPr>
              <w:t>(14)</w:t>
            </w:r>
          </w:p>
        </w:tc>
        <w:tc>
          <w:tcPr>
            <w:tcW w:w="30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1.6 %</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06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967,692</w:t>
            </w:r>
            <w:r>
              <w:rPr>
                <w:rFonts w:ascii="Times New Roman" w:cs="Times New Roman" w:eastAsia="Times New Roman" w:hAnsi="Times New Roman"/>
                <w:sz w:val="29"/>
                <w:szCs w:val="29"/>
                <w:color w:val="auto"/>
                <w:vertAlign w:val="superscript"/>
              </w:rPr>
              <w:t>(11)</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1.6 %</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965,533</w:t>
            </w:r>
          </w:p>
        </w:tc>
        <w:tc>
          <w:tcPr>
            <w:tcW w:w="300" w:type="dxa"/>
            <w:vAlign w:val="bottom"/>
          </w:tcPr>
          <w:p>
            <w:pPr>
              <w:spacing w:after="0"/>
              <w:rPr>
                <w:sz w:val="23"/>
                <w:szCs w:val="23"/>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300,990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158,146</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41,000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441,706</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06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1"/>
              </w:rPr>
              <w:t>16,884,827</w:t>
            </w:r>
            <w:r>
              <w:rPr>
                <w:rFonts w:ascii="Times New Roman" w:cs="Times New Roman" w:eastAsia="Times New Roman" w:hAnsi="Times New Roman"/>
                <w:sz w:val="29"/>
                <w:szCs w:val="29"/>
                <w:color w:val="auto"/>
                <w:w w:val="91"/>
                <w:vertAlign w:val="superscript"/>
              </w:rPr>
              <w:t>(13)</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70,353</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170,000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368,905</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34,481,942</w:t>
            </w:r>
            <w:r>
              <w:rPr>
                <w:rFonts w:ascii="Times New Roman" w:cs="Times New Roman" w:eastAsia="Times New Roman" w:hAnsi="Times New Roman"/>
                <w:sz w:val="29"/>
                <w:szCs w:val="29"/>
                <w:color w:val="auto"/>
                <w:w w:val="92"/>
                <w:vertAlign w:val="superscript"/>
              </w:rPr>
              <w:t>(7)</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 persons)</w:t>
            </w:r>
          </w:p>
        </w:tc>
        <w:tc>
          <w:tcPr>
            <w:tcW w:w="1060" w:type="dxa"/>
            <w:vAlign w:val="bottom"/>
            <w:vMerge w:val="continue"/>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-4611370</wp:posOffset>
            </wp:positionV>
            <wp:extent cx="188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-4611370</wp:posOffset>
            </wp:positionV>
            <wp:extent cx="188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-4611370</wp:posOffset>
            </wp:positionV>
            <wp:extent cx="188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-4611370</wp:posOffset>
            </wp:positionV>
            <wp:extent cx="188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43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indicated, the address for each named person is c/o Galectin Therapeutics Inc., 4960 Peachtree Industrial Blvd., Suite 240, Norcross, GA 30071.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number of shares of our Common Stock issuable upon exercise of outstanding stock options granted to our named executive officers and directors that are exercisable within 60 days after September 1, 2022.</w:t>
      </w:r>
    </w:p>
    <w:p>
      <w:pPr>
        <w:spacing w:after="0" w:line="134" w:lineRule="exact"/>
        <w:rPr>
          <w:sz w:val="20"/>
          <w:szCs w:val="20"/>
          <w:color w:val="auto"/>
        </w:rPr>
      </w:pPr>
    </w:p>
    <w:p>
      <w:pPr>
        <w:ind w:left="660"/>
        <w:spacing w:after="0"/>
        <w:tabs>
          <w:tab w:leader="none" w:pos="6060" w:val="left"/>
          <w:tab w:leader="none" w:pos="6100" w:val="left"/>
          <w:tab w:leader="none" w:pos="6160" w:val="left"/>
        </w:tabs>
        <w:rPr>
          <w:sz w:val="20"/>
          <w:szCs w:val="20"/>
          <w:color w:val="auto"/>
        </w:rPr>
      </w:pPr>
      <w:r>
        <w:rPr>
          <w:rFonts w:ascii="Times New Roman" w:cs="Times New Roman" w:eastAsia="Times New Roman" w:hAnsi="Times New Roman"/>
          <w:sz w:val="14"/>
          <w:szCs w:val="14"/>
          <w:b w:val="1"/>
          <w:bCs w:val="1"/>
          <w:color w:val="auto"/>
        </w:rPr>
        <w:t>Directors, Nominees and Named Executive Officers</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Times New Roman" w:cs="Times New Roman" w:eastAsia="Times New Roman" w:hAnsi="Times New Roman"/>
          <w:sz w:val="14"/>
          <w:szCs w:val="14"/>
          <w:b w:val="1"/>
          <w:bCs w:val="1"/>
          <w:color w:val="auto"/>
        </w:rPr>
        <w:t>Options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50800</wp:posOffset>
            </wp:positionV>
            <wp:extent cx="49288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8870" cy="17970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Gilbert F. Amelio, Ph.D.</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Kary Eldred</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Kevin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8870" cy="162560"/>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Joel Lewis</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Gilbert S. Omenn,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Marc Rubin, M.D.</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Harold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Richard E. Uihlein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Pol F. Boudes,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8870" cy="171450"/>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Jack Callicutt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executive officers and directors as a group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38"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115,000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295,125</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141,875</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219,839</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365,916</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218,750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144,565</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433,000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106,362</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170,000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364,905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2,655,138</w:t>
      </w:r>
    </w:p>
    <w:p>
      <w:pPr>
        <w:spacing w:after="0" w:line="96" w:lineRule="exact"/>
        <w:rPr>
          <w:sz w:val="20"/>
          <w:szCs w:val="20"/>
          <w:color w:val="auto"/>
        </w:rPr>
      </w:pPr>
    </w:p>
    <w:p>
      <w:pPr>
        <w:sectPr>
          <w:pgSz w:w="11900" w:h="16838" w:orient="portrait"/>
          <w:cols w:equalWidth="0" w:num="3">
            <w:col w:w="5360" w:space="720"/>
            <w:col w:w="200" w:space="720"/>
            <w:col w:w="2019"/>
          </w:cols>
          <w:pgMar w:left="1440" w:top="263" w:right="1440" w:bottom="1440" w:gutter="0" w:footer="0" w:header="0"/>
          <w:type w:val="continuous"/>
        </w:sectPr>
      </w:pPr>
    </w:p>
    <w:p>
      <w:pPr>
        <w:ind w:left="640" w:right="35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named person and group included in this table, percentage ownership of our Common Stock is calculated by dividing the number of shares of our Common Stock beneficially owned by such person or group by the sum of (i) 59,395,805 shares of our Common Stock outstanding as of September 1, 2022 and (ii) the number of shares of our Common Stock that such person has the right to acquire within 60 days after September 1, 2022.</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1,260,000 shares of Series A preferred stock outstanding as of September 1, 2022.</w:t>
      </w:r>
    </w:p>
    <w:p>
      <w:pPr>
        <w:spacing w:after="0" w:line="41" w:lineRule="exact"/>
        <w:rPr>
          <w:rFonts w:ascii="Times New Roman" w:cs="Times New Roman" w:eastAsia="Times New Roman" w:hAnsi="Times New Roman"/>
          <w:sz w:val="14"/>
          <w:szCs w:val="14"/>
          <w:color w:val="auto"/>
        </w:rPr>
      </w:pPr>
    </w:p>
    <w:p>
      <w:pPr>
        <w:ind w:left="640" w:right="43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6,168,940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772,616 shares of Common Stock owned by Mr. Czirr, 295,125 shares issuable upon the exercise of vested stock options owned by</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Czirr, and 16,667 shares of our Common Stock issuable upon conversion of Series A preferred stock owned by Mr. Czirr.</w:t>
      </w:r>
    </w:p>
    <w:p>
      <w:pPr>
        <w:spacing w:after="0" w:line="2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6,168,940 common shares, and (ii) 5,732,253 common shares issuable upon exercise of warrants.</w:t>
      </w:r>
    </w:p>
    <w:p>
      <w:pPr>
        <w:spacing w:after="0" w:line="41"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5,732,253 common shares issuable upon exercise of warrants and (ii) 6,168,940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14" w:lineRule="exact"/>
        <w:rPr>
          <w:rFonts w:ascii="Times New Roman" w:cs="Times New Roman" w:eastAsia="Times New Roman" w:hAnsi="Times New Roman"/>
          <w:sz w:val="14"/>
          <w:szCs w:val="14"/>
          <w:color w:val="auto"/>
        </w:rPr>
      </w:pPr>
    </w:p>
    <w:p>
      <w:pPr>
        <w:ind w:left="640" w:right="93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Smith is the manager of Early Equities LLC, a Connecticut limited liability company, and may be deemed to have voting and investment control over, but disclaims beneficial ownership of, the shares of Series A preferred stock.</w:t>
      </w:r>
    </w:p>
    <w:p>
      <w:pPr>
        <w:ind w:left="640" w:right="45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10X Capital Management, LLC at Davis Gillett Mottern &amp; Sims LLC attn: Bob Mottern 545 Dutch Valley Road, N.E., Suite A, Atlanta, GA 30309.</w:t>
      </w: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David Smith 34 Shorehaven Road E., Norwalk, CT 06855.</w:t>
      </w:r>
    </w:p>
    <w:p>
      <w:pPr>
        <w:spacing w:after="0" w:line="41" w:lineRule="exact"/>
        <w:rPr>
          <w:rFonts w:ascii="Times New Roman" w:cs="Times New Roman" w:eastAsia="Times New Roman" w:hAnsi="Times New Roman"/>
          <w:sz w:val="14"/>
          <w:szCs w:val="14"/>
          <w:color w:val="auto"/>
        </w:rPr>
      </w:pPr>
    </w:p>
    <w:p>
      <w:pPr>
        <w:ind w:left="640" w:right="63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567,952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Uline Corporation, 12575 Uline Drive, Pleasant Prairie, WI 53158</w:t>
      </w:r>
    </w:p>
    <w:p>
      <w:pPr>
        <w:spacing w:after="0" w:line="41" w:lineRule="exact"/>
        <w:rPr>
          <w:rFonts w:ascii="Times New Roman" w:cs="Times New Roman" w:eastAsia="Times New Roman" w:hAnsi="Times New Roman"/>
          <w:sz w:val="14"/>
          <w:szCs w:val="14"/>
          <w:color w:val="auto"/>
        </w:rPr>
      </w:pPr>
    </w:p>
    <w:p>
      <w:pPr>
        <w:ind w:left="640" w:right="43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7,942,869 shares of common stock, (ii) 3,136,384 common shares issuable upon the exercise of Common Stock purchase warrants, (iii) 5,615,878 common shares issuable upon conversion of notes payable, (iv) 83,334 common shares issuable upon conversion of Series C preferred non-voting stock, and (v) 106,362 common shares issuable upon the exercise of common stock options.</w:t>
      </w:r>
    </w:p>
    <w:p>
      <w:pPr>
        <w:spacing w:after="0" w:line="14" w:lineRule="exact"/>
        <w:rPr>
          <w:rFonts w:ascii="Times New Roman" w:cs="Times New Roman" w:eastAsia="Times New Roman" w:hAnsi="Times New Roman"/>
          <w:sz w:val="14"/>
          <w:szCs w:val="14"/>
          <w:color w:val="auto"/>
        </w:rPr>
      </w:pPr>
    </w:p>
    <w:p>
      <w:pPr>
        <w:ind w:left="640" w:right="45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44,915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 w:name="page15"/>
    <w:bookmarkEnd w:id="1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121" w:lineRule="exact"/>
        <w:rPr>
          <w:sz w:val="20"/>
          <w:szCs w:val="20"/>
          <w:color w:val="auto"/>
        </w:rPr>
      </w:pPr>
    </w:p>
    <w:p>
      <w:pPr>
        <w:ind w:left="1300" w:right="1440" w:firstLine="3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2021, except for: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Filer</w:t>
            </w: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Late Reports</w:t>
            </w:r>
          </w:p>
        </w:tc>
        <w:tc>
          <w:tcPr>
            <w:tcW w:w="31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Number of Late Transactions</w:t>
            </w:r>
          </w:p>
        </w:tc>
      </w:tr>
      <w:tr>
        <w:trPr>
          <w:trHeight w:val="50"/>
        </w:trPr>
        <w:tc>
          <w:tcPr>
            <w:tcW w:w="130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Amelio</w:t>
            </w:r>
          </w:p>
        </w:tc>
        <w:tc>
          <w:tcPr>
            <w:tcW w:w="3120" w:type="dxa"/>
            <w:vAlign w:val="bottom"/>
            <w:tcBorders>
              <w:bottom w:val="single" w:sz="8" w:color="CCEEFF"/>
            </w:tcBorders>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James Czirr / 10X Fund L.P.</w:t>
            </w:r>
          </w:p>
        </w:tc>
        <w:tc>
          <w:tcPr>
            <w:tcW w:w="3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88"/>
              </w:rPr>
              <w:t>5</w:t>
            </w:r>
          </w:p>
        </w:tc>
        <w:tc>
          <w:tcPr>
            <w:tcW w:w="3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Zordani</w:t>
            </w:r>
          </w:p>
        </w:tc>
        <w:tc>
          <w:tcPr>
            <w:tcW w:w="3120" w:type="dxa"/>
            <w:vAlign w:val="bottom"/>
            <w:tcBorders>
              <w:bottom w:val="single" w:sz="8" w:color="CCEEFF"/>
            </w:tcBorders>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Elissa Schwartz</w:t>
            </w:r>
          </w:p>
        </w:tc>
        <w:tc>
          <w:tcPr>
            <w:tcW w:w="3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-1242695</wp:posOffset>
            </wp:positionV>
            <wp:extent cx="222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-1242695</wp:posOffset>
            </wp:positionV>
            <wp:extent cx="240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or “Board”, has nominated eleven members currently serving on our Board, identified below, to be re-elected at the 2022 Annual Meeting to serve until the 2023 annual meeting of stockholders and until their respective successors are elected and qualified. James C. Czirr is being nominated by 10X Fund L.P., pursuant to contractual rights set forth in certain warrants to purchase Common Stock that 10X Fund L.P. holds. Each of the director nominees has agreed to serve on the Board, if elected.</w:t>
      </w:r>
    </w:p>
    <w:p>
      <w:pPr>
        <w:spacing w:after="0" w:line="7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nominees, as of December 1, 2022, including their ages, positions with Galectin Therapeutics, recent employment and other directorships.</w:t>
      </w:r>
    </w:p>
    <w:p>
      <w:pPr>
        <w:spacing w:after="0" w:line="5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ELECTION TO THE BOARD OF EACH NOMINEE.</w:t>
      </w:r>
    </w:p>
    <w:p>
      <w:pPr>
        <w:spacing w:after="0" w:line="5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persons who have been nominated for election at the 2022 Annual Meeting to serve on our Board of Directors are named in the table below. Proxies cannot be voted for a greater number of persons than the number of nominees named.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Nominees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51"/>
        </w:trPr>
        <w:tc>
          <w:tcPr>
            <w:tcW w:w="6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331"/>
        </w:trPr>
        <w:tc>
          <w:tcPr>
            <w:tcW w:w="710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Gilbert F. Amelio, Ph.D.</w:t>
            </w:r>
            <w:r>
              <w:rPr>
                <w:rFonts w:ascii="Times New Roman" w:cs="Times New Roman" w:eastAsia="Times New Roman" w:hAnsi="Times New Roman"/>
                <w:sz w:val="29"/>
                <w:szCs w:val="29"/>
                <w:color w:val="auto"/>
                <w:vertAlign w:val="superscript"/>
              </w:rPr>
              <w:t>(2)(3)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Kary Eldred</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r>
      <w:tr>
        <w:trPr>
          <w:trHeight w:val="324"/>
        </w:trPr>
        <w:tc>
          <w:tcPr>
            <w:tcW w:w="71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Kevin D. Freeman</w:t>
            </w:r>
            <w:r>
              <w:rPr>
                <w:rFonts w:ascii="Times New Roman" w:cs="Times New Roman" w:eastAsia="Times New Roman" w:hAnsi="Times New Roman"/>
                <w:sz w:val="29"/>
                <w:szCs w:val="29"/>
                <w:color w:val="auto"/>
                <w:vertAlign w:val="superscript"/>
              </w:rPr>
              <w:t>(1)(2)(3)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r>
      <w:tr>
        <w:trPr>
          <w:trHeight w:val="324"/>
        </w:trPr>
        <w:tc>
          <w:tcPr>
            <w:tcW w:w="71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Gilbert S. Omenn, M.D., Ph.D.</w:t>
            </w:r>
            <w:r>
              <w:rPr>
                <w:rFonts w:ascii="Times New Roman" w:cs="Times New Roman" w:eastAsia="Times New Roman" w:hAnsi="Times New Roman"/>
                <w:sz w:val="29"/>
                <w:szCs w:val="29"/>
                <w:color w:val="auto"/>
                <w:vertAlign w:val="superscript"/>
              </w:rPr>
              <w:t>(2)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2014</w:t>
            </w: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Marc Rubin, M.D.</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Richard A. Zordani</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-2279650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-2279650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Member of audit committee</w:t>
      </w:r>
    </w:p>
    <w:p>
      <w:pPr>
        <w:spacing w:after="0" w:line="4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(2)</w:t>
        <w:tab/>
        <w:t>Member of compensation committee</w:t>
      </w:r>
    </w:p>
    <w:p>
      <w:pPr>
        <w:spacing w:after="0" w:line="4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(3)</w:t>
        <w:tab/>
        <w:t>Member of nominating and governance committee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w:t>
      </w:r>
    </w:p>
    <w:p>
      <w:pPr>
        <w:spacing w:after="0" w:line="29"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New Jersey. Since January 1, 2012, 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James C. Czirr</w:t>
      </w:r>
      <w:r>
        <w:rPr>
          <w:rFonts w:ascii="Times New Roman" w:cs="Times New Roman" w:eastAsia="Times New Roman" w:hAnsi="Times New Roman"/>
          <w:sz w:val="18"/>
          <w:szCs w:val="18"/>
          <w:color w:val="auto"/>
        </w:rPr>
        <w:t>, is being nominated by 10X Fund L.P., pursuant to contractual rights set forth in certain</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warrants to purchase Common Stock that 10X Fund L.P. holds. Mr. Czirr has served as a director since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2009, served as Chairman of the Board from February 2009 until January 2016 and Executive Chairman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February 2010 until January 2016, is a co-founder of 10X Fund, L.P. and is a managing member of 10X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Management LLC, the general partner of 10X Fund, L.P. Mr. Czirr was a co-founder of Galectin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Therapeutics in July 2000. Mr. Czirr was instrumental in the early-stage development of Safe Science Inc.,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developer of anti-cancer drugs; served from 2005 to 2008 as Chief Executive Officer of Minerva Biotechnologies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 a developer of nano particle bio chips to determine the cause of solid tumours. Mr. Czirr is an early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stage investor and on the board of directors of Gold Express a private gold mining company with multiple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exploration properties in the U.S. Mr. Czirr received a B.B.A. degree from the University of Michigan. We believe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Mr. Czirr is best situated to sit on our Board because he is the director who was a co-founder of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is familiar with our business and industry</w:t>
      </w:r>
    </w:p>
    <w:p>
      <w:pPr>
        <w:spacing w:after="0" w:line="9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82"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Kevin D. Freeman, </w:t>
      </w:r>
      <w:r>
        <w:rPr>
          <w:rFonts w:ascii="Times New Roman" w:cs="Times New Roman" w:eastAsia="Times New Roman" w:hAnsi="Times New Roman"/>
          <w:sz w:val="17"/>
          <w:szCs w:val="17"/>
          <w:color w:val="auto"/>
        </w:rPr>
        <w:t>a director since May 2011, holds the Chartered Financial Analyst designation and is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w:t>
      </w:r>
    </w:p>
    <w:p>
      <w:pPr>
        <w:spacing w:after="0" w:line="2"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Mr. Freeman’s qualifications to sit on our Board of Directors includes his extensive financial expertise and his years of experience providing financial advisory services.</w:t>
      </w:r>
    </w:p>
    <w:p>
      <w:pPr>
        <w:spacing w:after="0" w:line="7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8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7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Marc Rubin, M.D, </w:t>
      </w:r>
      <w:r>
        <w:rPr>
          <w:rFonts w:ascii="Times New Roman" w:cs="Times New Roman" w:eastAsia="Times New Roman" w:hAnsi="Times New Roman"/>
          <w:sz w:val="18"/>
          <w:szCs w:val="18"/>
          <w:color w:val="auto"/>
        </w:rPr>
        <w:t>a director since October 2011 and Chairman of the Board from January 2016 through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is Executive Chairman of the 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8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70"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Richard E. Uihlein</w:t>
      </w:r>
      <w:r>
        <w:rPr>
          <w:rFonts w:ascii="Times New Roman" w:cs="Times New Roman" w:eastAsia="Times New Roman" w:hAnsi="Times New Roman"/>
          <w:sz w:val="18"/>
          <w:szCs w:val="18"/>
          <w:color w:val="auto"/>
        </w:rPr>
        <w:t>, a director since 2017 and Chairman since May 2018, co-founded Uline, Inc.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7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Joel Lewis, </w:t>
      </w:r>
      <w:r>
        <w:rPr>
          <w:rFonts w:ascii="Times New Roman" w:cs="Times New Roman" w:eastAsia="Times New Roman" w:hAnsi="Times New Roman"/>
          <w:sz w:val="18"/>
          <w:szCs w:val="18"/>
          <w:color w:val="auto"/>
        </w:rPr>
        <w:t>see above under Nominees.</w:t>
      </w:r>
    </w:p>
    <w:p>
      <w:pPr>
        <w:spacing w:after="0" w:line="117"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W. Callicutt, </w:t>
      </w:r>
      <w:r>
        <w:rPr>
          <w:rFonts w:ascii="Times New Roman" w:cs="Times New Roman" w:eastAsia="Times New Roman" w:hAnsi="Times New Roman"/>
          <w:sz w:val="18"/>
          <w:szCs w:val="18"/>
          <w:color w:val="auto"/>
        </w:rPr>
        <w:t>age 54, became our Chief Financial Officer on July 1, 2013. From August 2012 through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r>
        <w:rPr>
          <w:rFonts w:ascii="Times New Roman" w:cs="Times New Roman" w:eastAsia="Times New Roman" w:hAnsi="Times New Roman"/>
          <w:sz w:val="18"/>
          <w:szCs w:val="18"/>
          <w:i w:val="1"/>
          <w:iCs w:val="1"/>
          <w:color w:val="auto"/>
        </w:rPr>
        <w:t>.</w:t>
      </w:r>
    </w:p>
    <w:p>
      <w:pPr>
        <w:spacing w:after="0" w:line="7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Pol F. Boudes, M.D.</w:t>
      </w:r>
      <w:r>
        <w:rPr>
          <w:rFonts w:ascii="Times New Roman" w:cs="Times New Roman" w:eastAsia="Times New Roman" w:hAnsi="Times New Roman"/>
          <w:sz w:val="18"/>
          <w:szCs w:val="18"/>
          <w:color w:val="auto"/>
        </w:rPr>
        <w:t>, age 65, became the Company’s Chief Medical Officer on March 2, 2020.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Dr. Boudes served as 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 w:cs="Times New Roman" w:eastAsia="Times New Roman" w:hAnsi="Times New Roman"/>
          <w:sz w:val="18"/>
          <w:szCs w:val="18"/>
          <w:u w:val="single" w:color="auto"/>
          <w:color w:val="auto"/>
        </w:rPr>
        <w:t>www.galectintherapeutics.com</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met once in 2021.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our equity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met 5 times in 2021.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met once in 2021. Gilbert F. Amelio, Ph.D. (chair), Marc Rubin and Kevin Freeman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and Amelio and</w:t>
      </w:r>
    </w:p>
    <w:p>
      <w:pPr>
        <w:spacing w:after="0" w:line="4" w:lineRule="exact"/>
        <w:rPr>
          <w:sz w:val="20"/>
          <w:szCs w:val="20"/>
          <w:color w:val="auto"/>
        </w:rPr>
      </w:pPr>
    </w:p>
    <w:p>
      <w:pPr>
        <w:ind w:left="300" w:right="399"/>
        <w:spacing w:after="0" w:line="260" w:lineRule="auto"/>
        <w:rPr>
          <w:sz w:val="20"/>
          <w:szCs w:val="20"/>
          <w:color w:val="auto"/>
        </w:rPr>
      </w:pPr>
      <w:r>
        <w:rPr>
          <w:rFonts w:ascii="Times New Roman" w:cs="Times New Roman" w:eastAsia="Times New Roman" w:hAnsi="Times New Roman"/>
          <w:sz w:val="18"/>
          <w:szCs w:val="18"/>
          <w:color w:val="auto"/>
        </w:rPr>
        <w:t>Mr. Freeman satisfy the independence standards for such committee established by Rule 10C-1 under the Exchange Act, the SEC and the NASDAQ Marketplace Rules, as applicable.</w:t>
      </w:r>
    </w:p>
    <w:p>
      <w:pPr>
        <w:spacing w:after="0" w:line="73"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with Respect to Transactions with Related Persons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have adopted a Code of Ethics, which is available at www.galectintherapeutics.com, that sets forth various policies and procedures intended to promote the ethical behaviour of the Company’s employees, officers and directors. The Code of Ethics describes our policy on conflicts of interest.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2021,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2020.</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w:t>
      </w:r>
    </w:p>
    <w:p>
      <w:pPr>
        <w:spacing w:after="0" w:line="8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(currently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2022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6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83"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2022 Annual Meeting.</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During 2021, there were 7 meetings of the Board. Each currently serving director attended at least 75% of the total meetings of the Board and committees of the Board of which the director was a member, during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72"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the annual meeting, although all directors are strongly encouraged to attend. At the 2021 annual meeting of stockholders, which was held virtually online, all of the then current board members were present.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and Diversity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3883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3883025"/>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iversity</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atrix</w:t>
      </w:r>
    </w:p>
    <w:p>
      <w:pPr>
        <w:spacing w:after="0" w:line="69" w:lineRule="exact"/>
        <w:rPr>
          <w:sz w:val="20"/>
          <w:szCs w:val="20"/>
          <w:color w:val="auto"/>
        </w:rPr>
      </w:pPr>
    </w:p>
    <w:tbl>
      <w:tblPr>
        <w:tblLayout w:type="fixed"/>
        <w:tblInd w:w="300" w:type="dxa"/>
        <w:tblCellMar>
          <w:top w:w="0" w:type="dxa"/>
          <w:left w:w="0" w:type="dxa"/>
          <w:bottom w:w="0" w:type="dxa"/>
          <w:right w:w="0" w:type="dxa"/>
        </w:tblCellMar>
      </w:tblPr>
      <w:tr>
        <w:trPr>
          <w:trHeight w:val="365"/>
        </w:trPr>
        <w:tc>
          <w:tcPr>
            <w:tcW w:w="41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Eleven</w:t>
            </w:r>
            <w:r>
              <w:rPr>
                <w:rFonts w:ascii="Times New Roman" w:cs="Times New Roman" w:eastAsia="Times New Roman" w:hAnsi="Times New Roman"/>
                <w:sz w:val="29"/>
                <w:szCs w:val="29"/>
                <w:b w:val="1"/>
                <w:bCs w:val="1"/>
                <w:color w:val="auto"/>
                <w:w w:val="90"/>
                <w:vertAlign w:val="superscript"/>
              </w:rPr>
              <w:t>(11)</w:t>
            </w:r>
          </w:p>
        </w:tc>
        <w:tc>
          <w:tcPr>
            <w:tcW w:w="14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55"/>
        </w:trPr>
        <w:tc>
          <w:tcPr>
            <w:tcW w:w="4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 Disclose</w:t>
            </w:r>
          </w:p>
        </w:tc>
        <w:tc>
          <w:tcPr>
            <w:tcW w:w="20" w:type="dxa"/>
            <w:vAlign w:val="bottom"/>
          </w:tcPr>
          <w:p>
            <w:pPr>
              <w:spacing w:after="0"/>
              <w:rPr>
                <w:sz w:val="22"/>
                <w:szCs w:val="22"/>
                <w:color w:val="auto"/>
              </w:rPr>
            </w:pPr>
          </w:p>
        </w:tc>
      </w:tr>
      <w:tr>
        <w:trPr>
          <w:trHeight w:val="238"/>
        </w:trPr>
        <w:tc>
          <w:tcPr>
            <w:tcW w:w="41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Pr>
          <w:p>
            <w:pPr>
              <w:spacing w:after="0"/>
              <w:rPr>
                <w:sz w:val="20"/>
                <w:szCs w:val="20"/>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Asian American</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LGBTQ+</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11"/>
        </w:trPr>
        <w:tc>
          <w:tcPr>
            <w:tcW w:w="412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20" w:type="dxa"/>
            <w:vAlign w:val="bottom"/>
            <w:tcBorders>
              <w:bottom w:val="single" w:sz="8" w:color="CCEEFF"/>
              <w:right w:val="single" w:sz="8" w:color="auto"/>
            </w:tcBorders>
            <w:shd w:val="clear" w:color="auto" w:fill="CCEEFF"/>
          </w:tcPr>
          <w:p>
            <w:pPr>
              <w:spacing w:after="0"/>
              <w:rPr>
                <w:sz w:val="24"/>
                <w:szCs w:val="24"/>
                <w:color w:val="auto"/>
              </w:rPr>
            </w:pPr>
          </w:p>
        </w:tc>
        <w:tc>
          <w:tcPr>
            <w:tcW w:w="70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CCEEFF"/>
              <w:right w:val="single" w:sz="8" w:color="auto"/>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of our directors identify as belonging to “Two or More Races or Ethnicities” within the Nasdaq Diversity Rules.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Times New Roman" w:cs="Times New Roman" w:eastAsia="Times New Roman" w:hAnsi="Times New Roman"/>
          <w:sz w:val="18"/>
          <w:szCs w:val="18"/>
          <w:i w:val="1"/>
          <w:iCs w:val="1"/>
          <w:color w:val="auto"/>
        </w:rPr>
        <w:t xml:space="preserve">Communication With Audit Committees </w:t>
      </w:r>
      <w:r>
        <w:rPr>
          <w:rFonts w:ascii="Times New Roman" w:cs="Times New Roman" w:eastAsia="Times New Roman" w:hAnsi="Times New Roman"/>
          <w:sz w:val="18"/>
          <w:szCs w:val="18"/>
          <w:color w:val="auto"/>
        </w:rPr>
        <w:t>(as amended), which includes, among other items, matters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86"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our Board of Directors that the audited financial statements of Galectin Therapeutics for the 2021 fiscal year be included in the Annual Report filed on Form 10-K for the year ended December 31, 2021.</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 Directors of Galectin Therapeutic Inc.</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Richard A. Zordani, Chair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Kevin D. Freeman</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Kary Eldred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vMerge w:val="continue"/>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0"/>
                <w:vertAlign w:val="subscript"/>
              </w:rPr>
              <w:t>($)</w:t>
            </w:r>
            <w:r>
              <w:rPr>
                <w:rFonts w:ascii="Times New Roman" w:cs="Times New Roman" w:eastAsia="Times New Roman" w:hAnsi="Times New Roman"/>
                <w:sz w:val="11"/>
                <w:szCs w:val="11"/>
                <w:b w:val="1"/>
                <w:bCs w:val="1"/>
                <w:color w:val="auto"/>
                <w:w w:val="90"/>
              </w:rPr>
              <w:t>(1)</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(3)</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218,800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38,500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210,300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42,500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214,300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51,000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222,800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216,800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38,500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210,300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206,800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-1722120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-1722120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-1722120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-1722120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-1722120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-1722120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Uihlein elected to receive restricted stock in lieu of cash retainer for their service. The restricted shares vested in full on December 31, 2021</w:t>
      </w:r>
    </w:p>
    <w:p>
      <w:pPr>
        <w:ind w:left="640" w:right="359" w:hanging="348"/>
        <w:spacing w:after="0" w:line="23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option awards based upon the Black Scholes valuation model made in 2021. Two option grants were made on March 25, 2021. Each non-employee director received one grant of 40,000 options which will vest in full on March 31, 2022. Each non-employee director also received one grant of 70,000 options which will vest 100% when the Company has received the interim results of the NAVIGATE clinical trial and makes a public announcement that it has received the interim results. For a description of the assumptions used to determine these amounts, see Note 9 to the Notes to the Consolidated Financial Statements herein our Annual Report on Form 10-K for the fiscal year ended December 31, 2021.</w:t>
      </w:r>
    </w:p>
    <w:p>
      <w:pPr>
        <w:sectPr>
          <w:pgSz w:w="11900" w:h="16838" w:orient="portrait"/>
          <w:cols w:equalWidth="0" w:num="1">
            <w:col w:w="9019"/>
          </w:cols>
          <w:pgMar w:left="1440" w:top="263" w:right="1440" w:bottom="1440" w:gutter="0" w:footer="0" w:header="0"/>
        </w:sectPr>
      </w:pPr>
    </w:p>
    <w:p>
      <w:pPr>
        <w:spacing w:after="0" w:line="15"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travel expense reimbursements.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wp:posOffset>
            </wp:positionV>
            <wp:extent cx="5117465"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17465" cy="196850"/>
                    </a:xfrm>
                    <a:prstGeom prst="rect">
                      <a:avLst/>
                    </a:prstGeom>
                    <a:noFill/>
                  </pic:spPr>
                </pic:pic>
              </a:graphicData>
            </a:graphic>
          </wp:anchor>
        </w:drawing>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Gilbert F. Amelio, Ph.D.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Kary Eldred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Gilbert S. Omenn, M.D., Ph.D.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 Rubin,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Elissa J. Schwartz, Ph.D.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Uihlein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51435</wp:posOffset>
            </wp:positionV>
            <wp:extent cx="51174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Number of Shares Subject to Option Awards Held as of December 31, 2021</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185,000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365,125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211,875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289,839</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288,750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214,565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110,000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503,000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176,362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8890</wp:posOffset>
            </wp:positionV>
            <wp:extent cx="4540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2,454,516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34290</wp:posOffset>
            </wp:positionV>
            <wp:extent cx="454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3">
            <w:col w:w="6620" w:space="720"/>
            <w:col w:w="120" w:space="120"/>
            <w:col w:w="1439"/>
          </w:cols>
          <w:pgMar w:left="1440" w:top="263" w:right="1440" w:bottom="1440" w:gutter="0" w:footer="0" w:header="0"/>
          <w:type w:val="continuous"/>
        </w:sect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2021 fiscal year.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2021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78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60" w:type="dxa"/>
            <w:vAlign w:val="bottom"/>
            <w:gridSpan w:val="2"/>
            <w:vMerge w:val="continue"/>
          </w:tcPr>
          <w:p>
            <w:pPr>
              <w:spacing w:after="0"/>
              <w:rPr>
                <w:sz w:val="12"/>
                <w:szCs w:val="12"/>
                <w:color w:val="auto"/>
              </w:rPr>
            </w:pPr>
          </w:p>
        </w:tc>
        <w:tc>
          <w:tcPr>
            <w:tcW w:w="278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78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78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78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100" w:type="dxa"/>
            <w:vAlign w:val="bottom"/>
            <w:gridSpan w:val="2"/>
            <w:vMerge w:val="continue"/>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7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4,895,561</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3,266,179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1062"/>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-762635</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-762635</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-762635</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99"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2021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51"/>
        </w:trPr>
        <w:tc>
          <w:tcPr>
            <w:tcW w:w="2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7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32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32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68"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At our last “Say-on-Pay vote” held 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81" w:lineRule="exact"/>
        <w:rPr>
          <w:sz w:val="20"/>
          <w:szCs w:val="20"/>
          <w:color w:val="auto"/>
        </w:rPr>
      </w:pPr>
    </w:p>
    <w:p>
      <w:pPr>
        <w:ind w:left="300" w:right="319" w:firstLine="360"/>
        <w:spacing w:after="0" w:line="236" w:lineRule="auto"/>
        <w:rPr>
          <w:sz w:val="20"/>
          <w:szCs w:val="20"/>
          <w:color w:val="auto"/>
        </w:rPr>
      </w:pPr>
      <w:r>
        <w:rPr>
          <w:rFonts w:ascii="Times New Roman" w:cs="Times New Roman" w:eastAsia="Times New Roman" w:hAnsi="Times New Roman"/>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26" w:lineRule="auto"/>
        <w:rPr>
          <w:sz w:val="20"/>
          <w:szCs w:val="20"/>
          <w:color w:val="auto"/>
        </w:rPr>
      </w:pPr>
      <w:r>
        <w:rPr>
          <w:rFonts w:ascii="Times New Roman" w:cs="Times New Roman" w:eastAsia="Times New Roman" w:hAnsi="Times New Roman"/>
          <w:sz w:val="18"/>
          <w:szCs w:val="18"/>
          <w:color w:val="auto"/>
        </w:rPr>
        <w:t>The Compensation Committee may use a compensation consultant in the future and to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117"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2021 Base Salary</w:t>
            </w: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 Base Salary</w:t>
            </w:r>
          </w:p>
        </w:tc>
      </w:tr>
      <w:tr>
        <w:trPr>
          <w:trHeight w:val="50"/>
        </w:trPr>
        <w:tc>
          <w:tcPr>
            <w:tcW w:w="5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31"/>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60" w:type="dxa"/>
            <w:vAlign w:val="bottom"/>
            <w:shd w:val="clear" w:color="auto" w:fill="CCEEFF"/>
          </w:tcPr>
          <w:p>
            <w:pPr>
              <w:ind w:left="200"/>
              <w:spacing w:after="0" w:line="331" w:lineRule="exact"/>
              <w:rPr>
                <w:sz w:val="20"/>
                <w:szCs w:val="20"/>
                <w:color w:val="auto"/>
              </w:rPr>
            </w:pPr>
            <w:r>
              <w:rPr>
                <w:rFonts w:ascii="Times New Roman" w:cs="Times New Roman" w:eastAsia="Times New Roman" w:hAnsi="Times New Roman"/>
                <w:sz w:val="18"/>
                <w:szCs w:val="18"/>
                <w:color w:val="auto"/>
                <w:w w:val="93"/>
              </w:rPr>
              <w:t>$500,000</w:t>
            </w:r>
            <w:r>
              <w:rPr>
                <w:rFonts w:ascii="Times New Roman" w:cs="Times New Roman" w:eastAsia="Times New Roman" w:hAnsi="Times New Roman"/>
                <w:sz w:val="29"/>
                <w:szCs w:val="29"/>
                <w:color w:val="auto"/>
                <w:w w:val="93"/>
                <w:vertAlign w:val="superscript"/>
              </w:rPr>
              <w:t>(3)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ind w:left="200"/>
              <w:spacing w:after="0" w:line="331" w:lineRule="exact"/>
              <w:rPr>
                <w:sz w:val="20"/>
                <w:szCs w:val="20"/>
                <w:color w:val="auto"/>
              </w:rPr>
            </w:pPr>
            <w:r>
              <w:rPr>
                <w:rFonts w:ascii="Times New Roman" w:cs="Times New Roman" w:eastAsia="Times New Roman" w:hAnsi="Times New Roman"/>
                <w:sz w:val="18"/>
                <w:szCs w:val="18"/>
                <w:color w:val="auto"/>
                <w:w w:val="90"/>
              </w:rPr>
              <w:t>$500,000</w:t>
            </w:r>
            <w:r>
              <w:rPr>
                <w:rFonts w:ascii="Times New Roman" w:cs="Times New Roman" w:eastAsia="Times New Roman" w:hAnsi="Times New Roman"/>
                <w:sz w:val="29"/>
                <w:szCs w:val="29"/>
                <w:color w:val="auto"/>
                <w:w w:val="90"/>
                <w:vertAlign w:val="superscript"/>
              </w:rPr>
              <w:t>(1)(3)</w:t>
            </w:r>
          </w:p>
        </w:tc>
      </w:tr>
      <w:tr>
        <w:trPr>
          <w:trHeight w:val="32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$455,000</w:t>
            </w:r>
          </w:p>
        </w:tc>
        <w:tc>
          <w:tcPr>
            <w:tcW w:w="100" w:type="dxa"/>
            <w:vAlign w:val="bottom"/>
          </w:tcPr>
          <w:p>
            <w:pPr>
              <w:spacing w:after="0"/>
              <w:rPr>
                <w:sz w:val="24"/>
                <w:szCs w:val="24"/>
                <w:color w:val="auto"/>
              </w:rPr>
            </w:pPr>
          </w:p>
        </w:tc>
        <w:tc>
          <w:tcPr>
            <w:tcW w:w="1240" w:type="dxa"/>
            <w:vAlign w:val="bottom"/>
          </w:tcPr>
          <w:p>
            <w:pPr>
              <w:ind w:left="200"/>
              <w:spacing w:after="0" w:line="324" w:lineRule="exact"/>
              <w:rPr>
                <w:sz w:val="20"/>
                <w:szCs w:val="20"/>
                <w:color w:val="auto"/>
              </w:rPr>
            </w:pPr>
            <w:r>
              <w:rPr>
                <w:rFonts w:ascii="Times New Roman" w:cs="Times New Roman" w:eastAsia="Times New Roman" w:hAnsi="Times New Roman"/>
                <w:sz w:val="18"/>
                <w:szCs w:val="18"/>
                <w:color w:val="auto"/>
              </w:rPr>
              <w:t>$440,500</w:t>
            </w:r>
            <w:r>
              <w:rPr>
                <w:rFonts w:ascii="Times New Roman" w:cs="Times New Roman" w:eastAsia="Times New Roman" w:hAnsi="Times New Roman"/>
                <w:sz w:val="29"/>
                <w:szCs w:val="29"/>
                <w:color w:val="auto"/>
                <w:vertAlign w:val="superscript"/>
              </w:rPr>
              <w:t>(2)</w:t>
            </w:r>
          </w:p>
        </w:tc>
      </w:tr>
      <w:tr>
        <w:trPr>
          <w:trHeight w:val="27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$302,100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$302,100</w:t>
            </w:r>
          </w:p>
        </w:tc>
      </w:tr>
      <w:tr>
        <w:trPr>
          <w:trHeight w:val="54"/>
        </w:trPr>
        <w:tc>
          <w:tcPr>
            <w:tcW w:w="5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-633730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-633730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 became our President and Chief Executive Officer on September 2,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became our Chief Medical Officer on March 3, 2020.</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2021 performance bonuses were paid in February 2022.</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Performance Bonus</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Awarded Amount</w:t>
            </w:r>
          </w:p>
        </w:tc>
        <w:tc>
          <w:tcPr>
            <w:tcW w:w="0" w:type="dxa"/>
            <w:vAlign w:val="bottom"/>
          </w:tcPr>
          <w:p>
            <w:pPr>
              <w:spacing w:after="0"/>
              <w:rPr>
                <w:sz w:val="1"/>
                <w:szCs w:val="1"/>
                <w:color w:val="auto"/>
              </w:rPr>
            </w:pPr>
          </w:p>
        </w:tc>
      </w:tr>
      <w:tr>
        <w:trPr>
          <w:trHeight w:val="190"/>
        </w:trPr>
        <w:tc>
          <w:tcPr>
            <w:tcW w:w="5740" w:type="dxa"/>
            <w:vAlign w:val="bottom"/>
            <w:gridSpan w:val="3"/>
            <w:vMerge w:val="continue"/>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 of Base Salary</w:t>
            </w:r>
          </w:p>
        </w:tc>
        <w:tc>
          <w:tcPr>
            <w:tcW w:w="0" w:type="dxa"/>
            <w:vAlign w:val="bottom"/>
          </w:tcPr>
          <w:p>
            <w:pPr>
              <w:spacing w:after="0"/>
              <w:rPr>
                <w:sz w:val="1"/>
                <w:szCs w:val="1"/>
                <w:color w:val="auto"/>
              </w:rPr>
            </w:pPr>
          </w:p>
        </w:tc>
      </w:tr>
      <w:tr>
        <w:trPr>
          <w:trHeight w:val="50"/>
        </w:trPr>
        <w:tc>
          <w:tcPr>
            <w:tcW w:w="128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40" w:type="dxa"/>
            <w:vAlign w:val="bottom"/>
            <w:shd w:val="clear" w:color="auto" w:fill="CCEEFF"/>
          </w:tcPr>
          <w:p>
            <w:pPr>
              <w:ind w:left="280"/>
              <w:spacing w:after="0" w:line="331"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$136,500</w:t>
            </w:r>
          </w:p>
        </w:tc>
        <w:tc>
          <w:tcPr>
            <w:tcW w:w="120" w:type="dxa"/>
            <w:vAlign w:val="bottom"/>
          </w:tcPr>
          <w:p>
            <w:pPr>
              <w:spacing w:after="0"/>
              <w:rPr>
                <w:sz w:val="23"/>
                <w:szCs w:val="23"/>
                <w:color w:val="auto"/>
              </w:rPr>
            </w:pPr>
          </w:p>
        </w:tc>
        <w:tc>
          <w:tcPr>
            <w:tcW w:w="13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$ 90,630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-736600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-736600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0"/>
          <w:szCs w:val="20"/>
          <w:color w:val="auto"/>
        </w:rPr>
      </w:pPr>
    </w:p>
    <w:p>
      <w:pPr>
        <w:ind w:left="640" w:right="47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March 25, 2021, the NEOs were awarded the options noted below based on 2020 performance. For the performance options, 25% vest on each of September 30, 2021, March 31, 2022, September 30, 2022 and March 31, 2023. The exercise price of the options is set at the closing price of our stock as of the grant date. The NEOs also were awarded longer term option grants that vest 100% when the Company has received the interim results of the NAVIGATE clinical trial and makes a public announcement that it has received the interim results.</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Pr>
          <w:p>
            <w:pPr>
              <w:spacing w:after="0"/>
              <w:rPr>
                <w:sz w:val="23"/>
                <w:szCs w:val="2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Pr>
          <w:p>
            <w:pPr>
              <w:spacing w:after="0"/>
              <w:rPr>
                <w:sz w:val="23"/>
                <w:szCs w:val="2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Pr>
          <w:p>
            <w:pPr>
              <w:spacing w:after="0"/>
              <w:rPr>
                <w:sz w:val="23"/>
                <w:szCs w:val="2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-1216660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-1216660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-1216660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termination of employment or change in control of the Company, which is provided in further detail under the section entitled “Potential Payments Upon Termination or Change in Control.”</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automatically renews for additional one-year terms thereafter, unless either Mr. Lewis or the Company elects not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renew. Mr. Lewis will serve as Chief Executive Officer of the Company effective as of September 2, 2020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and subject to the provisions set forth in the DSU Agreement. In addition, Mr. Lewis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entitled to participate in the Company’s performance bonus plan with a potential of up to 50% of his annual base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salary, which will also be paid 20% in cash and 80% in DSU’s. Further, Mr. Lewis received on the date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an initial grant of options to purchase 250,000 shares of the Company’s common stock, par value $0.001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 share, which options shall vest one-twelfth on a quarterly basis for twelve consecutive quarters, such that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options shall be fully vested twelve quarters following the date of grant (the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The options under the Award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Mr. Lewis is also eligible to receive healthcare benefits as may be provided from time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by the Company to its employees generally, to participate in the Company’s 401(k) plan and to receive paid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off annually in accordance with the Company’s policies in effect from time to time. Finally,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the Company will be required to furnish a lump sum cash payment to Mr. Lewis upon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of Mr. Lewis without “Cause” or upon Mr. Lewis’ resignation for “Good Reason” as such terms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defined in the Employment Agreement or in the event the Company gives notice of non-renewal on or before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The Employment Agreement includes customary intellectual property, assignment, and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representations by Mr. Lewis.</w:t>
      </w:r>
    </w:p>
    <w:p>
      <w:pPr>
        <w:spacing w:after="0" w:line="9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Pursuant to the DSU Agreement, 80% of Mr. Lewis’ base salary under the Employment Agreement shall be payable in DSUs, which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 F. Boudes, M.D., Chief Medical Officer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19, 2020, the Company entered into an Employment Agreement with Dr. Boudes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which governs the terms of Dr. Boudes’ employment in his position as the Company’s Chief Medical</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 Dr. Boudes will serve as the Chief Medical Officer of the Company during an initial term that commences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March 2,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February 28, 2021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Initial Term, the term of the Agreement automatically renews for successive twelve (12) month terms unless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either party provides the other party with notice of non-renewal at least sixty (60) days prior to the expiration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then-current term. Under the Agreement, the Company has agreed to pay Dr. Boudes a base salary of $444,500 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Boudes will also be entitled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certain restrictions described in the Agreement, Dr. Boudes will receive a $100,000 signing bonus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Agreement. Dr. Boudes will also be granted options to purchase 300,000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Company’s common stock pursuant to the Company’s 2019 Omnibus Equity Incentive Plan. The Options vest as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follows: twenty percent (20%) of the Options shall vest upon one (1) year of employment, twenty percent (20%)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Options shall vest upon two (2) years of employment, twenty percent (20%) of the Options shall vest upon three</w:t>
      </w:r>
    </w:p>
    <w:p>
      <w:pPr>
        <w:spacing w:after="0" w:line="9" w:lineRule="exact"/>
        <w:rPr>
          <w:sz w:val="20"/>
          <w:szCs w:val="20"/>
          <w:color w:val="auto"/>
        </w:rPr>
      </w:pPr>
    </w:p>
    <w:p>
      <w:pPr>
        <w:ind w:left="300" w:right="679" w:hanging="8"/>
        <w:spacing w:after="0" w:line="260" w:lineRule="auto"/>
        <w:tabs>
          <w:tab w:leader="none" w:pos="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employment, and the remaining forty percent (40%) of the Options shall vest upon four (4) years of employment.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119"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80"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2021 and 2020.</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7"/>
                <w:vertAlign w:val="subscript"/>
              </w:rPr>
              <w:t>($)</w:t>
            </w:r>
            <w:r>
              <w:rPr>
                <w:rFonts w:ascii="Times New Roman" w:cs="Times New Roman" w:eastAsia="Times New Roman" w:hAnsi="Times New Roman"/>
                <w:sz w:val="12"/>
                <w:szCs w:val="12"/>
                <w:b w:val="1"/>
                <w:bCs w:val="1"/>
                <w:color w:val="auto"/>
                <w:w w:val="87"/>
              </w:rPr>
              <w:t xml:space="preserve"> (1)</w:t>
            </w:r>
          </w:p>
        </w:tc>
        <w:tc>
          <w:tcPr>
            <w:tcW w:w="2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4"/>
              <w:spacing w:after="0" w:line="259" w:lineRule="exact"/>
              <w:rPr>
                <w:sz w:val="20"/>
                <w:szCs w:val="20"/>
                <w:color w:val="auto"/>
              </w:rPr>
            </w:pPr>
            <w:r>
              <w:rPr>
                <w:rFonts w:ascii="Times New Roman" w:cs="Times New Roman" w:eastAsia="Times New Roman" w:hAnsi="Times New Roman"/>
                <w:sz w:val="18"/>
                <w:szCs w:val="18"/>
                <w:color w:val="auto"/>
                <w:w w:val="85"/>
              </w:rPr>
              <w:t>2021</w:t>
            </w:r>
            <w:r>
              <w:rPr>
                <w:rFonts w:ascii="Times New Roman" w:cs="Times New Roman" w:eastAsia="Times New Roman" w:hAnsi="Times New Roman"/>
                <w:sz w:val="29"/>
                <w:szCs w:val="29"/>
                <w:color w:val="auto"/>
                <w:w w:val="85"/>
                <w:vertAlign w:val="superscript"/>
              </w:rPr>
              <w:t>(2)</w:t>
            </w: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329,177</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ind w:left="180"/>
              <w:spacing w:after="0" w:line="259" w:lineRule="exact"/>
              <w:rPr>
                <w:sz w:val="20"/>
                <w:szCs w:val="20"/>
                <w:color w:val="auto"/>
              </w:rPr>
            </w:pPr>
            <w:r>
              <w:rPr>
                <w:rFonts w:ascii="Times New Roman" w:cs="Times New Roman" w:eastAsia="Times New Roman" w:hAnsi="Times New Roman"/>
                <w:sz w:val="18"/>
                <w:szCs w:val="18"/>
                <w:color w:val="auto"/>
              </w:rPr>
              <w:t>88,444</w:t>
            </w:r>
            <w:r>
              <w:rPr>
                <w:rFonts w:ascii="Times New Roman" w:cs="Times New Roman" w:eastAsia="Times New Roman" w:hAnsi="Times New Roman"/>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1,167,621</w:t>
            </w:r>
          </w:p>
        </w:tc>
        <w:tc>
          <w:tcPr>
            <w:tcW w:w="0" w:type="dxa"/>
            <w:vAlign w:val="bottom"/>
          </w:tcPr>
          <w:p>
            <w:pPr>
              <w:spacing w:after="0"/>
              <w:rPr>
                <w:sz w:val="1"/>
                <w:szCs w:val="1"/>
                <w:color w:val="auto"/>
              </w:rPr>
            </w:pPr>
          </w:p>
        </w:tc>
      </w:tr>
      <w:tr>
        <w:trPr>
          <w:trHeight w:val="234"/>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00" w:type="dxa"/>
            <w:vAlign w:val="bottom"/>
            <w:shd w:val="clear" w:color="auto" w:fill="CCEEFF"/>
          </w:tcPr>
          <w:p>
            <w:pPr>
              <w:spacing w:after="0"/>
              <w:rPr>
                <w:sz w:val="20"/>
                <w:szCs w:val="20"/>
                <w:color w:val="auto"/>
              </w:rPr>
            </w:pPr>
          </w:p>
        </w:tc>
        <w:tc>
          <w:tcPr>
            <w:tcW w:w="6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5"/>
              </w:rPr>
              <w:t>2020</w:t>
            </w:r>
            <w:r>
              <w:rPr>
                <w:rFonts w:ascii="Times New Roman" w:cs="Times New Roman" w:eastAsia="Times New Roman" w:hAnsi="Times New Roman"/>
                <w:sz w:val="29"/>
                <w:szCs w:val="29"/>
                <w:color w:val="auto"/>
                <w:w w:val="85"/>
                <w:vertAlign w:val="superscript"/>
              </w:rPr>
              <w:t>(4)</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164,773</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486,125</w:t>
            </w:r>
          </w:p>
        </w:tc>
        <w:tc>
          <w:tcPr>
            <w:tcW w:w="2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27,660</w:t>
            </w:r>
            <w:r>
              <w:rPr>
                <w:rFonts w:ascii="Times New Roman" w:cs="Times New Roman" w:eastAsia="Times New Roman" w:hAnsi="Times New Roman"/>
                <w:sz w:val="29"/>
                <w:szCs w:val="29"/>
                <w:color w:val="auto"/>
                <w:vertAlign w:val="superscript"/>
              </w:rPr>
              <w:t>(5)</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753,558</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720" w:type="dxa"/>
            <w:vAlign w:val="bottom"/>
            <w:gridSpan w:val="2"/>
          </w:tcPr>
          <w:p>
            <w:pPr>
              <w:jc w:val="right"/>
              <w:ind w:right="14"/>
              <w:spacing w:after="0" w:line="252" w:lineRule="exact"/>
              <w:rPr>
                <w:sz w:val="20"/>
                <w:szCs w:val="20"/>
                <w:color w:val="auto"/>
              </w:rPr>
            </w:pPr>
            <w:r>
              <w:rPr>
                <w:rFonts w:ascii="Times New Roman" w:cs="Times New Roman" w:eastAsia="Times New Roman" w:hAnsi="Times New Roman"/>
                <w:sz w:val="18"/>
                <w:szCs w:val="18"/>
                <w:color w:val="auto"/>
              </w:rPr>
              <w:t>2021</w:t>
            </w:r>
            <w:r>
              <w:rPr>
                <w:rFonts w:ascii="Times New Roman" w:cs="Times New Roman" w:eastAsia="Times New Roman" w:hAnsi="Times New Roman"/>
                <w:sz w:val="29"/>
                <w:szCs w:val="29"/>
                <w:color w:val="auto"/>
                <w:vertAlign w:val="superscript"/>
              </w:rPr>
              <w:t>(6)</w:t>
            </w:r>
          </w:p>
        </w:tc>
        <w:tc>
          <w:tcPr>
            <w:tcW w:w="2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452,583</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136,500</w:t>
            </w:r>
          </w:p>
        </w:tc>
        <w:tc>
          <w:tcPr>
            <w:tcW w:w="1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235,126</w:t>
            </w:r>
          </w:p>
        </w:tc>
        <w:tc>
          <w:tcPr>
            <w:tcW w:w="200" w:type="dxa"/>
            <w:vAlign w:val="bottom"/>
          </w:tcPr>
          <w:p>
            <w:pPr>
              <w:spacing w:after="0"/>
              <w:rPr>
                <w:sz w:val="21"/>
                <w:szCs w:val="21"/>
                <w:color w:val="auto"/>
              </w:rPr>
            </w:pPr>
          </w:p>
        </w:tc>
        <w:tc>
          <w:tcPr>
            <w:tcW w:w="940" w:type="dxa"/>
            <w:vAlign w:val="bottom"/>
          </w:tcPr>
          <w:p>
            <w:pPr>
              <w:ind w:left="180"/>
              <w:spacing w:after="0" w:line="252" w:lineRule="exact"/>
              <w:rPr>
                <w:sz w:val="20"/>
                <w:szCs w:val="20"/>
                <w:color w:val="auto"/>
              </w:rPr>
            </w:pPr>
            <w:r>
              <w:rPr>
                <w:rFonts w:ascii="Times New Roman" w:cs="Times New Roman" w:eastAsia="Times New Roman" w:hAnsi="Times New Roman"/>
                <w:sz w:val="18"/>
                <w:szCs w:val="18"/>
                <w:color w:val="auto"/>
              </w:rPr>
              <w:t>99,474</w:t>
            </w:r>
            <w:r>
              <w:rPr>
                <w:rFonts w:ascii="Times New Roman" w:cs="Times New Roman" w:eastAsia="Times New Roman" w:hAnsi="Times New Roman"/>
                <w:sz w:val="29"/>
                <w:szCs w:val="29"/>
                <w:color w:val="auto"/>
                <w:vertAlign w:val="superscript"/>
              </w:rPr>
              <w:t>(7)</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923,683</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72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9"/>
                <w:szCs w:val="29"/>
                <w:color w:val="auto"/>
                <w:vertAlign w:val="superscript"/>
              </w:rPr>
              <w:t>(8)</w:t>
            </w:r>
          </w:p>
        </w:tc>
        <w:tc>
          <w:tcPr>
            <w:tcW w:w="26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367,083</w:t>
            </w:r>
          </w:p>
        </w:tc>
        <w:tc>
          <w:tcPr>
            <w:tcW w:w="1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210,000</w:t>
            </w:r>
          </w:p>
        </w:tc>
        <w:tc>
          <w:tcPr>
            <w:tcW w:w="18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419,460</w:t>
            </w:r>
          </w:p>
        </w:tc>
        <w:tc>
          <w:tcPr>
            <w:tcW w:w="200" w:type="dxa"/>
            <w:vAlign w:val="bottom"/>
          </w:tcPr>
          <w:p>
            <w:pPr>
              <w:spacing w:after="0"/>
              <w:rPr>
                <w:sz w:val="20"/>
                <w:szCs w:val="20"/>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85,938</w:t>
            </w:r>
            <w:r>
              <w:rPr>
                <w:rFonts w:ascii="Times New Roman" w:cs="Times New Roman" w:eastAsia="Times New Roman" w:hAnsi="Times New Roman"/>
                <w:sz w:val="29"/>
                <w:szCs w:val="29"/>
                <w:color w:val="auto"/>
                <w:vertAlign w:val="superscript"/>
              </w:rPr>
              <w:t>(9)</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1,082,481</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w w:val="84"/>
              </w:rPr>
              <w:t>2021</w:t>
            </w:r>
            <w:r>
              <w:rPr>
                <w:rFonts w:ascii="Times New Roman" w:cs="Times New Roman" w:eastAsia="Times New Roman" w:hAnsi="Times New Roman"/>
                <w:sz w:val="29"/>
                <w:szCs w:val="29"/>
                <w:color w:val="auto"/>
                <w:w w:val="84"/>
                <w:vertAlign w:val="superscript"/>
              </w:rPr>
              <w:t>(10)</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302,100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235,126</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ind w:left="180"/>
              <w:spacing w:after="0" w:line="252" w:lineRule="exact"/>
              <w:rPr>
                <w:sz w:val="20"/>
                <w:szCs w:val="20"/>
                <w:color w:val="auto"/>
              </w:rPr>
            </w:pPr>
            <w:r>
              <w:rPr>
                <w:rFonts w:ascii="Times New Roman" w:cs="Times New Roman" w:eastAsia="Times New Roman" w:hAnsi="Times New Roman"/>
                <w:sz w:val="18"/>
                <w:szCs w:val="18"/>
                <w:color w:val="auto"/>
                <w:w w:val="90"/>
              </w:rPr>
              <w:t>78,062</w:t>
            </w:r>
            <w:r>
              <w:rPr>
                <w:rFonts w:ascii="Times New Roman" w:cs="Times New Roman" w:eastAsia="Times New Roman" w:hAnsi="Times New Roman"/>
                <w:sz w:val="29"/>
                <w:szCs w:val="29"/>
                <w:color w:val="auto"/>
                <w:w w:val="90"/>
                <w:vertAlign w:val="superscript"/>
              </w:rPr>
              <w:t>(11)</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705,918</w:t>
            </w:r>
          </w:p>
        </w:tc>
        <w:tc>
          <w:tcPr>
            <w:tcW w:w="0" w:type="dxa"/>
            <w:vAlign w:val="bottom"/>
          </w:tcPr>
          <w:p>
            <w:pPr>
              <w:spacing w:after="0"/>
              <w:rPr>
                <w:sz w:val="1"/>
                <w:szCs w:val="1"/>
                <w:color w:val="auto"/>
              </w:rPr>
            </w:pPr>
          </w:p>
        </w:tc>
      </w:tr>
      <w:tr>
        <w:trPr>
          <w:trHeight w:val="234"/>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shd w:val="clear" w:color="auto" w:fill="CCEEFF"/>
          </w:tcPr>
          <w:p>
            <w:pPr>
              <w:spacing w:after="0"/>
              <w:rPr>
                <w:sz w:val="20"/>
                <w:szCs w:val="2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2020</w:t>
            </w:r>
            <w:r>
              <w:rPr>
                <w:rFonts w:ascii="Times New Roman" w:cs="Times New Roman" w:eastAsia="Times New Roman" w:hAnsi="Times New Roman"/>
                <w:sz w:val="29"/>
                <w:szCs w:val="29"/>
                <w:color w:val="auto"/>
                <w:w w:val="84"/>
                <w:vertAlign w:val="superscript"/>
              </w:rPr>
              <w:t>(12)</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300,675</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236,050</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110,190</w:t>
            </w:r>
          </w:p>
        </w:tc>
        <w:tc>
          <w:tcPr>
            <w:tcW w:w="2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0"/>
              </w:rPr>
              <w:t>73,457</w:t>
            </w:r>
            <w:r>
              <w:rPr>
                <w:rFonts w:ascii="Times New Roman" w:cs="Times New Roman" w:eastAsia="Times New Roman" w:hAnsi="Times New Roman"/>
                <w:sz w:val="29"/>
                <w:szCs w:val="29"/>
                <w:color w:val="auto"/>
                <w:w w:val="90"/>
                <w:vertAlign w:val="superscript"/>
              </w:rPr>
              <w:t>(13)</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720,372</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-1250950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-1250950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-1250950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-1250950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-1250950</wp:posOffset>
            </wp:positionV>
            <wp:extent cx="171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-1250950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1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option awards made during 2021 and 2020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2021 and 2020.</w:t>
      </w:r>
    </w:p>
    <w:p>
      <w:pPr>
        <w:spacing w:after="0" w:line="14"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Lewis’s performance bonus for 2021 was approved in January 2022. Pursuant to his employment agreement 20% of his salary and bonus are paid in cash and 80% are in deferred stock units.</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$76,844 for health and other insurance and $11,600 for 401(k) plan contributions.</w:t>
      </w:r>
    </w:p>
    <w:p>
      <w:pPr>
        <w:spacing w:after="0" w:line="41"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 became our Chief Executive Officer and President effective September 2, 2020, and his performance bonus was prorated for 2020 and paid in March 2021. Pursuant to his employment agreement, 20% his salary and bonus are paid in cash and 80% are in deferred stock units.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$25,419 for health and other insurance and $2,341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performance bonus for 2021 was paid in February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$87,874 for health and other insurance and $11,600 for 401(k) plan contributions.</w:t>
      </w:r>
    </w:p>
    <w:p>
      <w:pPr>
        <w:spacing w:after="0" w:line="41" w:lineRule="exact"/>
        <w:rPr>
          <w:rFonts w:ascii="Times New Roman" w:cs="Times New Roman" w:eastAsia="Times New Roman" w:hAnsi="Times New Roman"/>
          <w:sz w:val="14"/>
          <w:szCs w:val="14"/>
          <w:color w:val="auto"/>
        </w:rPr>
      </w:pPr>
    </w:p>
    <w:p>
      <w:pPr>
        <w:ind w:left="640" w:right="6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became our Chief Medical Officer effective March 2, 2020. He was paid a $100,000 bonus upon joining the Company. His performance bonus of $110,000 was prorated for 2020 and paid in March 2021.</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$74,538 for health and other insurance and $11,400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Callicutt’s performance bonus for 2021 was paid in February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$66,462 for health and other insurance and $11,600 for 401(k) plan contributions.</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Callicutt’s bonus amount in 2020 consisted of $75,525 retention bonuses paid in July 2020 and January 2021 and $85,000 performance bonus earned in 2020 which was paid in March 2021.</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$62,057 for health and other insurance and $11,400 for 401(k) plan contributions.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2021. The exercise price of the options is set at the closing price of our stock at the date prior to or as of the date of grant. Outstanding options have been approved by our Compensation Committee and our Board.</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 of or Payout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Have Not Have Not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1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1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7" w:lineRule="exact"/>
              <w:rPr>
                <w:sz w:val="20"/>
                <w:szCs w:val="20"/>
                <w:color w:val="auto"/>
              </w:rPr>
            </w:pPr>
            <w:r>
              <w:rPr>
                <w:rFonts w:ascii="Times New Roman" w:cs="Times New Roman" w:eastAsia="Times New Roman" w:hAnsi="Times New Roman"/>
                <w:sz w:val="17"/>
                <w:szCs w:val="17"/>
                <w:color w:val="auto"/>
              </w:rPr>
              <w:t>54,250</w:t>
            </w:r>
            <w:r>
              <w:rPr>
                <w:rFonts w:ascii="Times New Roman" w:cs="Times New Roman" w:eastAsia="Times New Roman" w:hAnsi="Times New Roman"/>
                <w:sz w:val="28"/>
                <w:szCs w:val="28"/>
                <w:color w:val="auto"/>
                <w:vertAlign w:val="superscript"/>
              </w:rPr>
              <w:t>(1)</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12/14/2027</w:t>
            </w: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8"/>
                <w:szCs w:val="28"/>
                <w:color w:val="auto"/>
                <w:vertAlign w:val="superscript"/>
              </w:rPr>
              <w:t>(2)</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01/16/2029</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40,000</w:t>
            </w:r>
            <w:r>
              <w:rPr>
                <w:rFonts w:ascii="Times New Roman" w:cs="Times New Roman" w:eastAsia="Times New Roman" w:hAnsi="Times New Roman"/>
                <w:sz w:val="28"/>
                <w:szCs w:val="28"/>
                <w:color w:val="auto"/>
                <w:vertAlign w:val="superscript"/>
              </w:rPr>
              <w:t>(3)</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01/09/2030</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104,166</w:t>
            </w:r>
            <w:r>
              <w:rPr>
                <w:rFonts w:ascii="Times New Roman" w:cs="Times New Roman" w:eastAsia="Times New Roman" w:hAnsi="Times New Roman"/>
                <w:sz w:val="28"/>
                <w:szCs w:val="28"/>
                <w:color w:val="auto"/>
                <w:vertAlign w:val="superscript"/>
              </w:rPr>
              <w:t>(4)</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145,834</w:t>
            </w:r>
            <w:r>
              <w:rPr>
                <w:rFonts w:ascii="Times New Roman" w:cs="Times New Roman" w:eastAsia="Times New Roman" w:hAnsi="Times New Roman"/>
                <w:sz w:val="28"/>
                <w:szCs w:val="28"/>
                <w:color w:val="auto"/>
                <w:vertAlign w:val="superscript"/>
              </w:rPr>
              <w:t>(4)</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08/31/2030</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17,500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52,500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140,000</w:t>
            </w:r>
            <w:r>
              <w:rPr>
                <w:rFonts w:ascii="Times New Roman" w:cs="Times New Roman" w:eastAsia="Times New Roman" w:hAnsi="Times New Roman"/>
                <w:sz w:val="28"/>
                <w:szCs w:val="28"/>
                <w:color w:val="auto"/>
                <w:vertAlign w:val="superscript"/>
              </w:rPr>
              <w:t>(6)</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Pol F. Boudes, M.D.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60,000</w:t>
            </w:r>
            <w:r>
              <w:rPr>
                <w:rFonts w:ascii="Times New Roman" w:cs="Times New Roman" w:eastAsia="Times New Roman" w:hAnsi="Times New Roman"/>
                <w:sz w:val="28"/>
                <w:szCs w:val="28"/>
                <w:color w:val="auto"/>
                <w:vertAlign w:val="superscript"/>
              </w:rPr>
              <w:t>(7)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240,000</w:t>
            </w:r>
            <w:r>
              <w:rPr>
                <w:rFonts w:ascii="Times New Roman" w:cs="Times New Roman" w:eastAsia="Times New Roman" w:hAnsi="Times New Roman"/>
                <w:sz w:val="28"/>
                <w:szCs w:val="28"/>
                <w:color w:val="auto"/>
                <w:vertAlign w:val="superscript"/>
              </w:rPr>
              <w:t>(7)</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03/12/2030</w:t>
            </w:r>
          </w:p>
        </w:tc>
        <w:tc>
          <w:tcPr>
            <w:tcW w:w="60" w:type="dxa"/>
            <w:vAlign w:val="bottom"/>
          </w:tcPr>
          <w:p>
            <w:pPr>
              <w:spacing w:after="0"/>
              <w:rPr>
                <w:sz w:val="24"/>
                <w:szCs w:val="24"/>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line="310" w:lineRule="exact"/>
              <w:rPr>
                <w:sz w:val="20"/>
                <w:szCs w:val="20"/>
                <w:color w:val="auto"/>
              </w:rPr>
            </w:pPr>
            <w:r>
              <w:rPr>
                <w:rFonts w:ascii="Times New Roman" w:cs="Times New Roman" w:eastAsia="Times New Roman" w:hAnsi="Times New Roman"/>
                <w:sz w:val="17"/>
                <w:szCs w:val="17"/>
                <w:color w:val="auto"/>
              </w:rPr>
              <w:t>12,500</w:t>
            </w:r>
            <w:r>
              <w:rPr>
                <w:rFonts w:ascii="Times New Roman" w:cs="Times New Roman" w:eastAsia="Times New Roman" w:hAnsi="Times New Roman"/>
                <w:sz w:val="28"/>
                <w:szCs w:val="28"/>
                <w:color w:val="auto"/>
                <w:vertAlign w:val="superscript"/>
              </w:rPr>
              <w:t>(5)</w:t>
            </w:r>
          </w:p>
        </w:tc>
        <w:tc>
          <w:tcPr>
            <w:tcW w:w="920" w:type="dxa"/>
            <w:vAlign w:val="bottom"/>
            <w:gridSpan w:val="2"/>
          </w:tcPr>
          <w:p>
            <w:pPr>
              <w:jc w:val="right"/>
              <w:spacing w:after="0" w:line="310" w:lineRule="exact"/>
              <w:rPr>
                <w:sz w:val="20"/>
                <w:szCs w:val="20"/>
                <w:color w:val="auto"/>
              </w:rPr>
            </w:pPr>
            <w:r>
              <w:rPr>
                <w:rFonts w:ascii="Times New Roman" w:cs="Times New Roman" w:eastAsia="Times New Roman" w:hAnsi="Times New Roman"/>
                <w:sz w:val="17"/>
                <w:szCs w:val="17"/>
                <w:color w:val="auto"/>
              </w:rPr>
              <w:t>37,500</w:t>
            </w:r>
            <w:r>
              <w:rPr>
                <w:rFonts w:ascii="Times New Roman" w:cs="Times New Roman" w:eastAsia="Times New Roman" w:hAnsi="Times New Roman"/>
                <w:sz w:val="28"/>
                <w:szCs w:val="28"/>
                <w:color w:val="auto"/>
                <w:vertAlign w:val="superscript"/>
              </w:rPr>
              <w:t>(5)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line="292"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26,000</w:t>
            </w:r>
            <w:r>
              <w:rPr>
                <w:rFonts w:ascii="Times New Roman" w:cs="Times New Roman" w:eastAsia="Times New Roman" w:hAnsi="Times New Roman"/>
                <w:sz w:val="28"/>
                <w:szCs w:val="28"/>
                <w:color w:val="auto"/>
                <w:vertAlign w:val="superscript"/>
              </w:rPr>
              <w:t>(8)</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01/21/2024</w:t>
            </w: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8,706</w:t>
            </w:r>
            <w:r>
              <w:rPr>
                <w:rFonts w:ascii="Times New Roman" w:cs="Times New Roman" w:eastAsia="Times New Roman" w:hAnsi="Times New Roman"/>
                <w:sz w:val="28"/>
                <w:szCs w:val="28"/>
                <w:color w:val="auto"/>
                <w:vertAlign w:val="superscript"/>
              </w:rPr>
              <w:t>(9)</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01/20/2026</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(10)</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01/15/2028</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(11)</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05/22/2028</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(12)</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01/16/2029</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(13)</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01/09/2030</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12,500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37,500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-3368040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-3368040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-3368040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-3368040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-3368040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-3368040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-3368040</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-3368040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-3368040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14,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January 16,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31,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One-twelfth of the total options vest quarterly from August 31, 2020, which was the grant date.</w:t>
      </w:r>
    </w:p>
    <w:p>
      <w:pPr>
        <w:spacing w:after="0" w:line="41"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September 30, 2021, 25% vest on March 31, 2022, 25% vest on September 30, 2022, 25% vest on March 31, 2023.</w:t>
      </w:r>
    </w:p>
    <w:p>
      <w:pPr>
        <w:ind w:left="640" w:right="9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 when the Company has received the interim results of the NAVIGATE clinical trial and makes a public announcement that it has received the interim results.</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options vest on each of March 2, 2021, March 2, 2022, and March 2023 and 40% of the options vest on March 2, 2024.</w:t>
      </w:r>
    </w:p>
    <w:p>
      <w:pPr>
        <w:spacing w:after="0" w:line="41"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21, 2014, the grant date with the remainder vested ratably on a monthly basis over a three-year period.</w:t>
      </w:r>
    </w:p>
    <w:p>
      <w:pPr>
        <w:ind w:left="640" w:right="7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29, 2015, the grant date with the remainder vested ratably on a monthly basis over a three-year period.</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15, 2018 (grant date), 25% vested on June 30, 2018, and 50% vested on December 31,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2018, 25% vested on September 30, 2018, and 50% vested on December 31, 2018.</w:t>
      </w:r>
    </w:p>
    <w:p>
      <w:pPr>
        <w:spacing w:after="0" w:line="41" w:lineRule="exact"/>
        <w:rPr>
          <w:rFonts w:ascii="Times New Roman" w:cs="Times New Roman" w:eastAsia="Times New Roman" w:hAnsi="Times New Roman"/>
          <w:sz w:val="14"/>
          <w:szCs w:val="14"/>
          <w:color w:val="auto"/>
        </w:rPr>
      </w:pPr>
    </w:p>
    <w:p>
      <w:pPr>
        <w:ind w:left="640" w:right="8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2019, 25% vested on December 31, 2019, 25% vested on June 30, 2020, and 25% vested on December 31, 2020.</w:t>
      </w:r>
    </w:p>
    <w:p>
      <w:pPr>
        <w:ind w:left="640" w:right="8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2020, 25% vested on December 31, 2020, 25% vested on June 30, 2021, and 25% vested on December 31, 2021.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2009 Incentive Compensation Plan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options granted under our 2009 Incentive Compensation Plan, the options will become immediately vested and exercisable upon a change of control. Upon termination of employment for cause, all outstanding options immediately terminate. Options remain</w:t>
      </w:r>
    </w:p>
    <w:p>
      <w:pPr>
        <w:spacing w:after="0" w:line="68"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exercisable for one year following termination due to the executive’s death or disability or retirement, or for twelve months after termination for any other reason other than for cause.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2009 Incentive Compensation Plan, change of control is defined as:</w:t>
      </w:r>
    </w:p>
    <w:p>
      <w:pPr>
        <w:spacing w:after="0" w:line="117" w:lineRule="exact"/>
        <w:rPr>
          <w:sz w:val="20"/>
          <w:szCs w:val="20"/>
          <w:color w:val="auto"/>
        </w:rPr>
      </w:pPr>
    </w:p>
    <w:p>
      <w:pPr>
        <w:ind w:left="1000" w:right="53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1"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9"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73"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a complete liquidation or dissolution of the Company.</w:t>
      </w:r>
    </w:p>
    <w:p>
      <w:pPr>
        <w:spacing w:after="0" w:line="117"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“Disability” is defined as a permanent and total disability (within the meaning of Code Section 22(e)), as determined by a medical doctor satisfactory to the Compensation Committee.</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option or SAR exceeds the fair market value of our Common Stock and the option or SAR is not assumed or replaced by the surviving company (or its parent company), such options and SARs will be cancelled without any payment to the grantee.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Pol Boudes:</w:t>
      </w:r>
    </w:p>
    <w:p>
      <w:pPr>
        <w:spacing w:after="0" w:line="119"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Under the Employment Agreement with Dr. Boudes, if (i) Dr. Boudes terminates the Agreement for Good Reason (as defined in the Agreement) or the Company terminates the Agreement without Cause (as defined in the Agreement), then the Company shall pay to Dr. Boudes: (1) the Base Salary accrued through the date of termination,</w:t>
      </w:r>
    </w:p>
    <w:p>
      <w:pPr>
        <w:spacing w:after="0" w:line="2"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86"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9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2022. We expect that a representative from Cherry Bekaert LLP will be present at the 2022 Annual Meeting, and accordingly, the representative will be given the opportunity to make a statement and respond to any questions.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majority of the votes cast of this Proposal. Accordingly, abstentions and broker non-votes will have no effect on the outcome of this Proposal.</w:t>
      </w:r>
    </w:p>
    <w:p>
      <w:pPr>
        <w:spacing w:after="0" w:line="50"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2022.</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90"/>
        </w:trPr>
        <w:tc>
          <w:tcPr>
            <w:tcW w:w="67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
        </w:trPr>
        <w:tc>
          <w:tcPr>
            <w:tcW w:w="67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76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$143,000</w:t>
            </w: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$135,000</w:t>
            </w:r>
          </w:p>
        </w:tc>
        <w:tc>
          <w:tcPr>
            <w:tcW w:w="20" w:type="dxa"/>
            <w:vAlign w:val="bottom"/>
            <w:shd w:val="clear" w:color="auto" w:fill="CCEEFF"/>
          </w:tcPr>
          <w:p>
            <w:pPr>
              <w:spacing w:after="0"/>
              <w:rPr>
                <w:sz w:val="24"/>
                <w:szCs w:val="24"/>
                <w:color w:val="auto"/>
              </w:rPr>
            </w:pPr>
          </w:p>
        </w:tc>
      </w:tr>
      <w:tr>
        <w:trPr>
          <w:trHeight w:val="324"/>
        </w:trPr>
        <w:tc>
          <w:tcPr>
            <w:tcW w:w="67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 w:type="dxa"/>
            <w:vAlign w:val="bottom"/>
          </w:tcPr>
          <w:p>
            <w:pPr>
              <w:spacing w:after="0"/>
              <w:rPr>
                <w:sz w:val="24"/>
                <w:szCs w:val="24"/>
                <w:color w:val="auto"/>
              </w:rPr>
            </w:pPr>
          </w:p>
        </w:tc>
      </w:tr>
      <w:tr>
        <w:trPr>
          <w:trHeight w:val="304"/>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67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184,775</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166,323</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-1062355</wp:posOffset>
            </wp:positionV>
            <wp:extent cx="1714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-1062355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6"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Audit Fees. </w:t>
      </w:r>
      <w:r>
        <w:rPr>
          <w:rFonts w:ascii="Times New Roman" w:cs="Times New Roman" w:eastAsia="Times New Roman" w:hAnsi="Times New Roman"/>
          <w:sz w:val="14"/>
          <w:szCs w:val="14"/>
          <w:color w:val="auto"/>
        </w:rPr>
        <w:t>These are fees for professional services for the audit of our annual financial statements dated December 31, 2021 and</w:t>
      </w:r>
    </w:p>
    <w:p>
      <w:pPr>
        <w:spacing w:after="0" w:line="5" w:lineRule="exact"/>
        <w:rPr>
          <w:rFonts w:ascii="Times New Roman" w:cs="Times New Roman" w:eastAsia="Times New Roman" w:hAnsi="Times New Roman"/>
          <w:sz w:val="14"/>
          <w:szCs w:val="14"/>
          <w:color w:val="auto"/>
        </w:rPr>
      </w:pPr>
    </w:p>
    <w:p>
      <w:pPr>
        <w:ind w:left="640" w:right="8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included in our Annual Reports on Form 10-K for fiscal years then ended, and review of financial statements included in our Quarterly Reports on Form 10-Q for each fiscal quarter during the 2021 and 2020 fiscal years.</w:t>
      </w:r>
    </w:p>
    <w:p>
      <w:pPr>
        <w:spacing w:after="0" w:line="12" w:lineRule="exact"/>
        <w:rPr>
          <w:rFonts w:ascii="Times New Roman" w:cs="Times New Roman" w:eastAsia="Times New Roman" w:hAnsi="Times New Roman"/>
          <w:sz w:val="14"/>
          <w:szCs w:val="14"/>
          <w:color w:val="auto"/>
        </w:rPr>
      </w:pPr>
    </w:p>
    <w:p>
      <w:pPr>
        <w:ind w:left="640" w:right="299" w:hanging="348"/>
        <w:spacing w:after="0" w:line="23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Audit-Related Fees</w:t>
      </w:r>
      <w:r>
        <w:rPr>
          <w:rFonts w:ascii="Times New Roman" w:cs="Times New Roman" w:eastAsia="Times New Roman" w:hAnsi="Times New Roman"/>
          <w:sz w:val="14"/>
          <w:szCs w:val="14"/>
          <w:color w:val="auto"/>
        </w:rPr>
        <w:t>. These are fees for assurance and related services that are reasonably related to the performance of the audit or review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 The Audit Committee has considered whether the provision of non-core audit services to Galectin Therapeutics by Cherry Bekaert LLP is compatible with maintaining independence.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119"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72"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left="300" w:right="319"/>
        <w:spacing w:after="0" w:line="251" w:lineRule="auto"/>
        <w:rPr>
          <w:sz w:val="20"/>
          <w:szCs w:val="20"/>
          <w:color w:val="auto"/>
        </w:rPr>
      </w:pPr>
      <w:r>
        <w:rPr>
          <w:rFonts w:ascii="Times New Roman" w:cs="Times New Roman" w:eastAsia="Times New Roman" w:hAnsi="Times New Roman"/>
          <w:sz w:val="18"/>
          <w:szCs w:val="18"/>
          <w:b w:val="1"/>
          <w:bCs w:val="1"/>
          <w:color w:val="auto"/>
        </w:rPr>
        <w:t>TO AUTHORIZE AND APPROVE, FOR PURPOSES OF COMPLYING WITH NASDAQ LISTING RULE 5635, THE ISSUANCE OF MORE THAN 20% OF THE COMPANY’S ISSUED AND OUTSTANDING SHARES OF OUR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and Description of Proposal</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(AFR) for short term loans (3.01% for September 2022),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Estimate of the Number of Shares of Common Stock Issuable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are seeking shareholder approval of (i) 1,700,000 shares of our common stock issuable upon exercise of the Warrants, (ii) up to an aggregate of 20,000,000 shares of our common stock issuable upon conversion of the principal amount of the Promissory Notes, based on the credit limit of $60.0 million (if we draw upon the maximum available credit limit) and the minimum conversion price of $3.00 per share, and (iii) an indeterminate number of shares of our common stock issuable upon conversion of the interest that may accrue under the Promissory Notes because of the timing of the borrowings and interest rate at the time of borrowings.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Based on our good faith projection that we begin drawing down $10 million in the first quarter of 2023, and thereafter in the next five fiscal quarters, and assuming an interest rate of 5.01% (based on the AFR of 3.01% for September 2022 plus 2%) and assuming the minimum conversion price of $3.00, the number of shares of common stock issuable with respect to interest payment at maturity would be 3,753,496 shares of common stock. The number of shares of common stock issuable with respect to interest payment at maturity would increase if the AFR increases If the AFR increases to 7%, such that the interest on the Promissory Notes is 9%, the number of shares of common stock issuable with respect to interest payment at maturity would be 8,628,107 shares of common stock. The two scenarios are illustrated in the table below.</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2022 AFR of 3.01%</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Assuming AFR increases to 7%</w:t>
            </w:r>
          </w:p>
        </w:tc>
      </w:tr>
      <w:tr>
        <w:trPr>
          <w:trHeight w:val="190"/>
        </w:trPr>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(Scenario A)</w:t>
            </w:r>
          </w:p>
        </w:tc>
        <w:tc>
          <w:tcPr>
            <w:tcW w:w="58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(Scenario B)</w:t>
            </w:r>
          </w:p>
        </w:tc>
      </w:tr>
      <w:tr>
        <w:trPr>
          <w:trHeight w:val="50"/>
        </w:trPr>
        <w:tc>
          <w:tcPr>
            <w:tcW w:w="226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3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with respect to:</w:t>
            </w:r>
          </w:p>
        </w:tc>
        <w:tc>
          <w:tcPr>
            <w:tcW w:w="5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75"/>
        </w:trPr>
        <w:tc>
          <w:tcPr>
            <w:tcW w:w="2260" w:type="dxa"/>
            <w:vAlign w:val="bottom"/>
            <w:tcBorders>
              <w:top w:val="single" w:sz="8" w:color="auto"/>
            </w:tcBorders>
            <w:shd w:val="clear" w:color="auto" w:fill="CCEEFF"/>
          </w:tcPr>
          <w:p>
            <w:pPr>
              <w:spacing w:after="0"/>
              <w:rPr>
                <w:sz w:val="6"/>
                <w:szCs w:val="6"/>
                <w:color w:val="auto"/>
              </w:rPr>
            </w:pPr>
          </w:p>
        </w:tc>
        <w:tc>
          <w:tcPr>
            <w:tcW w:w="19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right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r>
      <w:tr>
        <w:trPr>
          <w:trHeight w:val="2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Principal</w:t>
            </w:r>
          </w:p>
        </w:tc>
        <w:tc>
          <w:tcPr>
            <w:tcW w:w="19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20,000,000</w:t>
            </w:r>
          </w:p>
        </w:tc>
        <w:tc>
          <w:tcPr>
            <w:tcW w:w="300" w:type="dxa"/>
            <w:vAlign w:val="bottom"/>
          </w:tcPr>
          <w:p>
            <w:pPr>
              <w:spacing w:after="0"/>
              <w:rPr>
                <w:sz w:val="23"/>
                <w:szCs w:val="23"/>
                <w:color w:val="auto"/>
              </w:rPr>
            </w:pPr>
          </w:p>
        </w:tc>
        <w:tc>
          <w:tcPr>
            <w:tcW w:w="2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20,000,000</w:t>
            </w:r>
          </w:p>
        </w:tc>
      </w:tr>
      <w:tr>
        <w:trPr>
          <w:trHeight w:val="54"/>
        </w:trPr>
        <w:tc>
          <w:tcPr>
            <w:tcW w:w="2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Accrued Interest</w:t>
            </w:r>
          </w:p>
        </w:tc>
        <w:tc>
          <w:tcPr>
            <w:tcW w:w="13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3,753,496</w:t>
            </w:r>
          </w:p>
        </w:tc>
        <w:tc>
          <w:tcPr>
            <w:tcW w:w="5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8,628,107</w:t>
            </w:r>
          </w:p>
        </w:tc>
        <w:tc>
          <w:tcPr>
            <w:tcW w:w="620" w:type="dxa"/>
            <w:vAlign w:val="bottom"/>
            <w:tcBorders>
              <w:bottom w:val="single" w:sz="8" w:color="CCEEFF"/>
            </w:tcBorders>
            <w:shd w:val="clear" w:color="auto" w:fill="CCEEFF"/>
          </w:tcPr>
          <w:p>
            <w:pPr>
              <w:spacing w:after="0"/>
              <w:rPr>
                <w:sz w:val="24"/>
                <w:szCs w:val="24"/>
                <w:color w:val="auto"/>
              </w:rPr>
            </w:pPr>
          </w:p>
        </w:tc>
      </w:tr>
      <w:tr>
        <w:trPr>
          <w:trHeight w:val="25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620" w:type="dxa"/>
            <w:vAlign w:val="bottom"/>
          </w:tcPr>
          <w:p>
            <w:pPr>
              <w:spacing w:after="0"/>
              <w:rPr>
                <w:sz w:val="22"/>
                <w:szCs w:val="22"/>
                <w:color w:val="auto"/>
              </w:rPr>
            </w:pPr>
          </w:p>
        </w:tc>
      </w:tr>
      <w:tr>
        <w:trPr>
          <w:trHeight w:val="61"/>
        </w:trPr>
        <w:tc>
          <w:tcPr>
            <w:tcW w:w="22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r>
      <w:tr>
        <w:trPr>
          <w:trHeight w:val="291"/>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25,453,469</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8"/>
              </w:rPr>
              <w:t>30,328,107</w:t>
            </w:r>
          </w:p>
        </w:tc>
      </w:tr>
      <w:tr>
        <w:trPr>
          <w:trHeight w:val="27"/>
        </w:trPr>
        <w:tc>
          <w:tcPr>
            <w:tcW w:w="226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auto"/>
            </w:tcBorders>
            <w:shd w:val="clear" w:color="auto" w:fill="000000"/>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-1062355</wp:posOffset>
            </wp:positionV>
            <wp:extent cx="1885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-1062355</wp:posOffset>
            </wp:positionV>
            <wp:extent cx="946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and Background for Shareholder Approval</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Our Common Stock is listed on the Nasdaq Stock Market and, as such, we are subject to the Nasdaq Stock Market Rules. Nasdaq Listing Rule 5635(b) requires shareholder approval prior to the issuance of common stock when the issuance or potential issuance will result in a change of control of the Company. Subject to certain exceptions, Nasdaq would generally view an issuance as resulting in a change of control if it would result in a shareholder becoming a 20% or greater shareholder. Although the Lender is already a greater than 20% shareholder and is our currently our largest shareholder, due to the potential issuance of a substantial number of shares of our common stock, for the avoidance of doubt. we are seeking shareholder approval of the issuance of shares of our common stock upon conversion, exchange or otherwise to Richard E. Uihlein, our Chairman of the Board of Directors, pursuant to the terms of the Notes. As of the date of this proxy, there are an aggregate of 59,426,005 of shares of common stock outstanding.</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of the Company’s Directors, Officers and Employees in the Proposal</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Richard E. Uihlein is our Chairman of the Board of Directors and has been the Company’s largest individual investor. As an investor, Mr. Uihlein may benefit in that his the Notes and bear interest at the Applicable Federal Rate (AFR) for short term loans (3.01% for September 2022), plus two (2%) percent. Furthermore, the Warrants that we issued to Mr. Uihlein, which are exercisable at $5.00 per share, although currently out-of themoney, may be in-the-money during the exercise period of the Warrants.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Effects of Approving this Proposal</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this Proposal is approved, shareholders may be subject to significant dilution. On a pro forma basis, based on beneficial ownership information as of September 1, 2022, the issuance of 25,453,469 shares of common stock in Scenario A described in the table above, would result in Mr. Uihlein being the beneficial owner of 45.1% of the Company’s common stock, calculated in accordance with Section 13(d) of the Exchange Act. On a pro forma basis, based on beneficial ownership information as of September 1, 2022, the issuance of 30,328,107 shares of common stock in Scenario B described in the table above, would result in Mr. Uihlein being the beneficial owner of 47.9% of the Company’s common stock, calculated in accordance with Section 13(d) of the Exchange Act.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of Not Approving this Proposal</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We believe that the unsecured Line of Credit with Mr. Uihlein is the best and least costly financing source available to us at this time. Generally, lines of credits, secured by assets or unsecured, are not available to the Company from other lenders, and lenders would seek to obtain rights to convert a note at a discount to the market price, rather than at the market price. We believe that the terms are more favorable to the Company than terms that the Company could obtain from other parties. We believe that the benefits of the Line of Credit exceed the potential dilutive effects. If our shareholders do not approve this Proposal, we will be unable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borrow any amounts under the Credit Agreement and we will be required to seek other sources of financing. Accordingly, if this Proposal is not approved, we may be limited in our ability to raise sufficient funds on acceptable terms to fund our operations and our clinical trials.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majority of the votes cast of this Proposal. Accordingly, abstentions and broker non-votes will have no effect on the outcome of this Proposal.</w:t>
      </w:r>
    </w:p>
    <w:p>
      <w:pPr>
        <w:spacing w:after="0" w:line="306" w:lineRule="exact"/>
        <w:rPr>
          <w:sz w:val="20"/>
          <w:szCs w:val="20"/>
          <w:color w:val="auto"/>
        </w:rPr>
      </w:pPr>
    </w:p>
    <w:p>
      <w:pPr>
        <w:jc w:val="center"/>
        <w:ind w:left="300" w:right="319"/>
        <w:spacing w:after="0" w:line="254" w:lineRule="auto"/>
        <w:rPr>
          <w:sz w:val="20"/>
          <w:szCs w:val="20"/>
          <w:color w:val="auto"/>
        </w:rPr>
      </w:pPr>
      <w:r>
        <w:rPr>
          <w:rFonts w:ascii="Times New Roman" w:cs="Times New Roman" w:eastAsia="Times New Roman" w:hAnsi="Times New Roman"/>
          <w:sz w:val="18"/>
          <w:szCs w:val="18"/>
          <w:b w:val="1"/>
          <w:bCs w:val="1"/>
          <w:color w:val="auto"/>
        </w:rPr>
        <w:t>TO AUTHORIZE AND APPROVE, FOR PURPOSES OF COMPLYING WITH NASDAQ LISTING RULE 5635, THE ISSUANCE OF MORE THAN 20% OF THE COMPANY’S ISSUED AND OUTSTANDING SHARES OF OUR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RESOLUTION TO APPROVE EXECUTIVE COMPENSATION</w:t>
      </w:r>
    </w:p>
    <w:p>
      <w:pPr>
        <w:spacing w:after="0" w:line="9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amended Section 14A of the Securities Exchange Act of 1934, which requires that we provide our stockholders with the opportunity to vote to approve, on a nonbinding, advisory basis, on the compensation of our named executive officers as disclosed in this proxy statement in accordance with the executive compensation disclosure rules of the Securities and Exchange Commission (“SEC”).</w:t>
      </w:r>
    </w:p>
    <w:p>
      <w:pPr>
        <w:spacing w:after="0" w:line="7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As described in more detail in the above section titled “Executive Compensation,”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vote is advisory, which means that the vote on executive compensation is not binding on the Company, our Board of Directors or the Compensation Committee of the Board of Directors. We believe in a corporate governance structure that is responsive to stockholder concerns, and we view this vote as a meaningful opportunity to gauge stockholder approval of our executive compensation policies.</w:t>
      </w:r>
    </w:p>
    <w:p>
      <w:pPr>
        <w:spacing w:after="0" w:line="68" w:lineRule="exact"/>
        <w:rPr>
          <w:sz w:val="20"/>
          <w:szCs w:val="20"/>
          <w:color w:val="auto"/>
        </w:rPr>
      </w:pPr>
    </w:p>
    <w:p>
      <w:pPr>
        <w:ind w:left="30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ASKS YOU TO APPROVE AND VOTE FOR THE FOLLOWING NON-BINDING RESOLUTION AT THE ANNUAL MEETING:</w:t>
      </w:r>
    </w:p>
    <w:p>
      <w:pPr>
        <w:spacing w:after="0" w:line="5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2022 Annual Meeting of Stockholders pursuant to the executive compensation disclosure rules of the Securities and Exchange Commission, including the Summary Compensation Table and the other related tables and disclosure.”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 Recommendation of the Board</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by Stockholders present, in person (virtually) or by proxy, and entitled to vote at the Annual Meeting, is required for advisory approval of this Proposal 4.</w:t>
      </w:r>
    </w:p>
    <w:p>
      <w:pPr>
        <w:spacing w:after="0" w:line="50"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APPROVAL OF THE NON-BINDING RESOLUTION TO APPROVE EXECUTIVE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16, 2023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2, 2023 nor earlier than August 3, 2023, in order to be considered timely.</w:t>
      </w:r>
    </w:p>
    <w:p>
      <w:pPr>
        <w:spacing w:after="0" w:line="8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2023 annual meeting of stockholders is scheduled to take place on a date that is more than 30 calendar days from the one year anniversary of the 2022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Our Annual Report on Form 10-K, filed with the SEC for the fiscal year ended December 31, 2021,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85725</wp:posOffset>
            </wp:positionV>
            <wp:extent cx="1156970" cy="3689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TO ATTEND THE 2022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2022 Annual Meeting, visit www.virtualshareholdermeeting.com/GALT2022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1, 2022. The meeting will begin promptly at 11:00 a.m. Eastern Standard Time on December 1, 2022.</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www.virtualshareholdermeeting.com/GALT2022,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2022 Annual Meeting has been designed to provide the same rights to participate as you would have at an in-person meeting. If you encounter any difficulties accessing the 2022 Annual Meeting during the check-in or meeting time, please call the technical support number that will be posted on the Virtual Shareholder Meeting log in page at www.virtualshareholdermeeting.com/GALT2022.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3"/>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2022-10-06T11:24:54Z</dcterms:created>
  <dcterms:modified xsi:type="dcterms:W3CDTF">2022-10-06T11:24:54Z</dcterms:modified>
</cp:coreProperties>
</file>