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(Rule 14a-101)</w:t>
      </w:r>
    </w:p>
    <w:p>
      <w:pPr>
        <w:spacing w:after="0" w:line="172" w:lineRule="exact"/>
        <w:rPr>
          <w:sz w:val="24"/>
          <w:szCs w:val="24"/>
          <w:color w:val="auto"/>
        </w:rPr>
      </w:pPr>
    </w:p>
    <w:tbl>
      <w:tblPr>
        <w:tblLayout w:type="fixed"/>
        <w:tblInd w:w="120" w:type="dxa"/>
        <w:tblCellMar>
          <w:top w:w="0" w:type="dxa"/>
          <w:left w:w="0" w:type="dxa"/>
          <w:bottom w:w="0" w:type="dxa"/>
          <w:right w:w="0" w:type="dxa"/>
        </w:tblCellMar>
      </w:tblPr>
      <w:tr>
        <w:trPr>
          <w:trHeight w:val="253"/>
        </w:trPr>
        <w:tc>
          <w:tcPr>
            <w:tcW w:w="2520" w:type="dxa"/>
            <w:vAlign w:val="bottom"/>
          </w:tcPr>
          <w:p>
            <w:pPr>
              <w:spacing w:after="0"/>
              <w:rPr>
                <w:sz w:val="21"/>
                <w:szCs w:val="21"/>
                <w:color w:val="auto"/>
              </w:rPr>
            </w:pPr>
          </w:p>
        </w:tc>
        <w:tc>
          <w:tcPr>
            <w:tcW w:w="5240" w:type="dxa"/>
            <w:vAlign w:val="bottom"/>
            <w:gridSpan w:val="4"/>
          </w:tcPr>
          <w:p>
            <w:pPr>
              <w:jc w:val="center"/>
              <w:ind w:left="637"/>
              <w:spacing w:after="0"/>
              <w:rPr>
                <w:sz w:val="20"/>
                <w:szCs w:val="20"/>
                <w:color w:val="auto"/>
              </w:rPr>
            </w:pPr>
            <w:r>
              <w:rPr>
                <w:rFonts w:ascii="Arial" w:cs="Arial" w:eastAsia="Arial" w:hAnsi="Arial"/>
                <w:sz w:val="22"/>
                <w:szCs w:val="22"/>
                <w:b w:val="1"/>
                <w:bCs w:val="1"/>
                <w:color w:val="auto"/>
                <w:w w:val="88"/>
              </w:rPr>
              <w:t>Proxy Statement Pursuant to Section 14(a) of the</w:t>
            </w:r>
          </w:p>
        </w:tc>
      </w:tr>
      <w:tr>
        <w:trPr>
          <w:trHeight w:val="243"/>
        </w:trPr>
        <w:tc>
          <w:tcPr>
            <w:tcW w:w="2520" w:type="dxa"/>
            <w:vAlign w:val="bottom"/>
          </w:tcPr>
          <w:p>
            <w:pPr>
              <w:spacing w:after="0"/>
              <w:rPr>
                <w:sz w:val="21"/>
                <w:szCs w:val="21"/>
                <w:color w:val="auto"/>
              </w:rPr>
            </w:pPr>
          </w:p>
        </w:tc>
        <w:tc>
          <w:tcPr>
            <w:tcW w:w="5240" w:type="dxa"/>
            <w:vAlign w:val="bottom"/>
            <w:gridSpan w:val="4"/>
          </w:tcPr>
          <w:p>
            <w:pPr>
              <w:jc w:val="center"/>
              <w:ind w:left="617"/>
              <w:spacing w:after="0" w:line="243" w:lineRule="exact"/>
              <w:rPr>
                <w:sz w:val="20"/>
                <w:szCs w:val="20"/>
                <w:color w:val="auto"/>
              </w:rPr>
            </w:pPr>
            <w:r>
              <w:rPr>
                <w:rFonts w:ascii="Arial" w:cs="Arial" w:eastAsia="Arial" w:hAnsi="Arial"/>
                <w:sz w:val="22"/>
                <w:szCs w:val="22"/>
                <w:b w:val="1"/>
                <w:bCs w:val="1"/>
                <w:color w:val="auto"/>
                <w:w w:val="87"/>
              </w:rPr>
              <w:t>Securities Exchange Act of 1934</w:t>
            </w:r>
          </w:p>
        </w:tc>
      </w:tr>
      <w:tr>
        <w:trPr>
          <w:trHeight w:val="280"/>
        </w:trPr>
        <w:tc>
          <w:tcPr>
            <w:tcW w:w="2520" w:type="dxa"/>
            <w:vAlign w:val="bottom"/>
          </w:tcPr>
          <w:p>
            <w:pPr>
              <w:spacing w:after="0"/>
              <w:rPr>
                <w:sz w:val="24"/>
                <w:szCs w:val="24"/>
                <w:color w:val="auto"/>
              </w:rPr>
            </w:pPr>
          </w:p>
        </w:tc>
        <w:tc>
          <w:tcPr>
            <w:tcW w:w="3640" w:type="dxa"/>
            <w:vAlign w:val="bottom"/>
            <w:gridSpan w:val="2"/>
          </w:tcPr>
          <w:p>
            <w:pPr>
              <w:ind w:left="1720"/>
              <w:spacing w:after="0"/>
              <w:rPr>
                <w:sz w:val="20"/>
                <w:szCs w:val="20"/>
                <w:color w:val="auto"/>
              </w:rPr>
            </w:pPr>
            <w:r>
              <w:rPr>
                <w:rFonts w:ascii="Arial" w:cs="Arial" w:eastAsia="Arial" w:hAnsi="Arial"/>
                <w:sz w:val="22"/>
                <w:szCs w:val="22"/>
                <w:b w:val="1"/>
                <w:bCs w:val="1"/>
                <w:color w:val="auto"/>
              </w:rPr>
              <w:t>(Amendment No.</w:t>
            </w:r>
          </w:p>
        </w:tc>
        <w:tc>
          <w:tcPr>
            <w:tcW w:w="1600" w:type="dxa"/>
            <w:vAlign w:val="bottom"/>
            <w:gridSpan w:val="2"/>
          </w:tcPr>
          <w:p>
            <w:pPr>
              <w:jc w:val="right"/>
              <w:ind w:right="1000"/>
              <w:spacing w:after="0"/>
              <w:rPr>
                <w:sz w:val="20"/>
                <w:szCs w:val="20"/>
                <w:color w:val="auto"/>
              </w:rPr>
            </w:pPr>
            <w:r>
              <w:rPr>
                <w:rFonts w:ascii="Arial" w:cs="Arial" w:eastAsia="Arial" w:hAnsi="Arial"/>
                <w:sz w:val="22"/>
                <w:szCs w:val="22"/>
                <w:b w:val="1"/>
                <w:bCs w:val="1"/>
                <w:color w:val="auto"/>
              </w:rPr>
              <w:t>)</w:t>
            </w:r>
          </w:p>
        </w:tc>
      </w:tr>
      <w:tr>
        <w:trPr>
          <w:trHeight w:val="341"/>
        </w:trPr>
        <w:tc>
          <w:tcPr>
            <w:tcW w:w="25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2520" w:type="dxa"/>
            <w:vAlign w:val="bottom"/>
          </w:tcPr>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tc>
        <w:tc>
          <w:tcPr>
            <w:tcW w:w="3640" w:type="dxa"/>
            <w:vAlign w:val="bottom"/>
            <w:gridSpan w:val="2"/>
          </w:tcPr>
          <w:p>
            <w:pPr>
              <w:ind w:left="640"/>
              <w:spacing w:after="0"/>
              <w:rPr>
                <w:sz w:val="20"/>
                <w:szCs w:val="20"/>
                <w:color w:val="auto"/>
              </w:rPr>
            </w:pPr>
            <w:r>
              <w:rPr>
                <w:rFonts w:ascii="Arial" w:cs="Arial" w:eastAsia="Arial" w:hAnsi="Arial"/>
                <w:sz w:val="18"/>
                <w:szCs w:val="18"/>
                <w:color w:val="auto"/>
                <w:w w:val="90"/>
              </w:rPr>
              <w:t>Filed by a Party other than the Registrant</w:t>
            </w:r>
          </w:p>
        </w:tc>
        <w:tc>
          <w:tcPr>
            <w:tcW w:w="1600" w:type="dxa"/>
            <w:vAlign w:val="bottom"/>
            <w:gridSpan w:val="2"/>
          </w:tcPr>
          <w:p>
            <w:pPr>
              <w:jc w:val="right"/>
              <w:ind w:right="140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18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-2642235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-1167765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1020"/>
          </w:cols>
          <w:pgMar w:left="320" w:top="230" w:right="559" w:bottom="713" w:gutter="0" w:footer="0" w:header="0"/>
        </w:sectPr>
      </w:pPr>
    </w:p>
    <w:bookmarkStart w:id="1" w:name="page2"/>
    <w:bookmarkEnd w:id="1"/>
    <w:p>
      <w:pPr>
        <w:ind w:left="537" w:hanging="537"/>
        <w:spacing w:after="0"/>
        <w:tabs>
          <w:tab w:leader="none" w:pos="537"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537" w:hanging="537"/>
        <w:spacing w:after="0"/>
        <w:tabs>
          <w:tab w:leader="none" w:pos="537" w:val="left"/>
        </w:tabs>
        <w:numPr>
          <w:ilvl w:val="0"/>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486410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528955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2339975" cy="540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399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12,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You are cordially invited to attend the 2021 annual meeting of stockholders (the “2021 Annual Meeting”) of Galectin Therapeutics Inc. The meeting will be held on Friday, December 3, 2021 at 11:00 a.m., Eastern Standard Time. Due to the potential travel and other impacts of the coronavirus outbreak (COVID-19), Galectin Therapeutics is conducting the 2021 Annual Meeting via an online-only format. Stockholders will be able to listen, vote, and submit questions from their home or any remote location with internet connectivity. The 2021 Annual Meeting has been designed to provide the same rights to participate as you would have at an in-person meeting. Information on how to participate in this year’s virtual meeting can be found on page 40.</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meeting will be held for the following purposes:</w:t>
      </w:r>
    </w:p>
    <w:p>
      <w:pPr>
        <w:spacing w:after="0" w:line="131" w:lineRule="exact"/>
        <w:rPr>
          <w:sz w:val="20"/>
          <w:szCs w:val="20"/>
          <w:color w:val="auto"/>
        </w:rPr>
      </w:pPr>
    </w:p>
    <w:p>
      <w:pPr>
        <w:ind w:left="1540" w:right="48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the eleven (11) nominees for director named in the accompanying proxy statement to hold office until the 2022 annual meeting of our stockholders.</w:t>
      </w:r>
    </w:p>
    <w:p>
      <w:pPr>
        <w:spacing w:after="0" w:line="75" w:lineRule="exact"/>
        <w:rPr>
          <w:rFonts w:ascii="Arial" w:cs="Arial" w:eastAsia="Arial" w:hAnsi="Arial"/>
          <w:sz w:val="18"/>
          <w:szCs w:val="18"/>
          <w:color w:val="auto"/>
        </w:rPr>
      </w:pPr>
    </w:p>
    <w:p>
      <w:pPr>
        <w:ind w:left="1540" w:right="4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2021.</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100,000,000 to 150,000,000.</w:t>
      </w:r>
    </w:p>
    <w:p>
      <w:pPr>
        <w:spacing w:after="0" w:line="75" w:lineRule="exact"/>
        <w:rPr>
          <w:rFonts w:ascii="Arial" w:cs="Arial" w:eastAsia="Arial" w:hAnsi="Arial"/>
          <w:sz w:val="18"/>
          <w:szCs w:val="18"/>
          <w:color w:val="auto"/>
        </w:rPr>
      </w:pPr>
    </w:p>
    <w:p>
      <w:pPr>
        <w:ind w:left="1540" w:right="160" w:hanging="439"/>
        <w:spacing w:after="0" w:line="277"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amendment to our 2019 Omnibus Equity Incentive Plan to reserve an additional 3,000,000 shares for issuance under the plan.</w:t>
      </w:r>
    </w:p>
    <w:p>
      <w:pPr>
        <w:spacing w:after="0" w:line="75" w:lineRule="exact"/>
        <w:rPr>
          <w:rFonts w:ascii="Arial" w:cs="Arial" w:eastAsia="Arial" w:hAnsi="Arial"/>
          <w:sz w:val="18"/>
          <w:szCs w:val="18"/>
          <w:color w:val="auto"/>
        </w:rPr>
      </w:pPr>
    </w:p>
    <w:p>
      <w:pPr>
        <w:ind w:left="1540" w:right="120" w:hanging="439"/>
        <w:spacing w:after="0" w:line="259"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92" w:lineRule="exact"/>
        <w:rPr>
          <w:rFonts w:ascii="Arial" w:cs="Arial" w:eastAsia="Arial" w:hAnsi="Arial"/>
          <w:sz w:val="18"/>
          <w:szCs w:val="18"/>
          <w:color w:val="auto"/>
        </w:rPr>
      </w:pPr>
    </w:p>
    <w:p>
      <w:pPr>
        <w:jc w:val="both"/>
        <w:ind w:left="1540" w:right="40" w:hanging="439"/>
        <w:spacing w:after="0" w:line="342" w:lineRule="auto"/>
        <w:tabs>
          <w:tab w:leader="none" w:pos="1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29" w:lineRule="exact"/>
        <w:rPr>
          <w:rFonts w:ascii="Arial" w:cs="Arial" w:eastAsia="Arial" w:hAnsi="Arial"/>
          <w:sz w:val="16"/>
          <w:szCs w:val="16"/>
          <w:color w:val="auto"/>
        </w:rPr>
      </w:pPr>
    </w:p>
    <w:p>
      <w:pPr>
        <w:ind w:left="1540" w:hanging="439"/>
        <w:spacing w:after="0"/>
        <w:tabs>
          <w:tab w:leader="none" w:pos="1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or any adjournments of the 2021 Annual Meeting.</w:t>
      </w:r>
    </w:p>
    <w:p>
      <w:pPr>
        <w:spacing w:after="0" w:line="237"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Only holders of the Company’s Common Stock or Series A 12% Convertible Preferred Stock of record as of October 7, 2021 are entitled to notice of and to vote at the 2021 Annual Meeting. These items of business are more fully described in the proxy statement accompanying this letter.</w:t>
      </w:r>
    </w:p>
    <w:p>
      <w:pPr>
        <w:spacing w:after="0" w:line="12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is pleased to save costs and help protect the environment by using the “Notice and Access” method of delivery for its proxy materials. Instead of receiving paper copies of our proxy materials, including the Company’s Annual Report on Form 10-K for the year ended December 31, 2020 (the “Annual Report”), in the mail, stockholders will receive a Notice Regarding the Availability of Proxy Materials, which provides an internet website address where stockholders can access electronic copies of the proxy materials.</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Your vote is very important. Regardless of whether you plan to attend the 2021 Annual Meeting, please promptly vote your shares. You may vote your shares over the internet. If you received a paper copy of a proxy or voting instruction card by mail, you may submit your proxy or voting instruction card for the 2021 Annual Meeting by completing, signing, dating and returning your proxy or voting instruction card in the pre-addressed envelope provided. For specific instructions on how to vote your shares, please refer to the section entitled Questions and Answers About the Annual Meeting and Voting Rights on page 1 of the proxy statement.</w:t>
      </w:r>
    </w:p>
    <w:p>
      <w:pPr>
        <w:spacing w:after="0" w:line="188"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84" w:lineRule="exact"/>
        <w:rPr>
          <w:sz w:val="20"/>
          <w:szCs w:val="20"/>
          <w:color w:val="auto"/>
        </w:rPr>
      </w:pPr>
    </w:p>
    <w:p>
      <w:pPr>
        <w:ind w:left="120" w:right="1100" w:firstLine="440"/>
        <w:spacing w:after="0" w:line="277" w:lineRule="auto"/>
        <w:rPr>
          <w:sz w:val="20"/>
          <w:szCs w:val="20"/>
          <w:color w:val="auto"/>
        </w:rPr>
      </w:pPr>
      <w:r>
        <w:rPr>
          <w:rFonts w:ascii="Arial" w:cs="Arial" w:eastAsia="Arial" w:hAnsi="Arial"/>
          <w:sz w:val="18"/>
          <w:szCs w:val="18"/>
          <w:color w:val="auto"/>
        </w:rPr>
        <w:t>If you have any questions or need assistance voting your shares, please contact Kingsdale Advisors, our proxy solicitor, by calling 1-800-775-1986 or by emailing contactus@kingsdaleadvisors.com.</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314960</wp:posOffset>
            </wp:positionV>
            <wp:extent cx="1251585"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158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Joel Lewis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320" w:top="459" w:right="5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40" w:type="dxa"/>
            <w:vAlign w:val="bottom"/>
            <w:gridSpan w:val="4"/>
          </w:tcPr>
          <w:p>
            <w:pPr>
              <w:jc w:val="center"/>
              <w:ind w:right="2660"/>
              <w:spacing w:after="0"/>
              <w:rPr>
                <w:sz w:val="20"/>
                <w:szCs w:val="20"/>
                <w:color w:val="auto"/>
              </w:rPr>
            </w:pPr>
            <w:r>
              <w:rPr>
                <w:rFonts w:ascii="Arial" w:cs="Arial" w:eastAsia="Arial" w:hAnsi="Arial"/>
                <w:sz w:val="18"/>
                <w:szCs w:val="18"/>
                <w:b w:val="1"/>
                <w:bCs w:val="1"/>
                <w:color w:val="auto"/>
              </w:rPr>
              <w:t>GALECTIN THERAPEUTICS INC.</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40" w:type="dxa"/>
            <w:vAlign w:val="bottom"/>
            <w:gridSpan w:val="4"/>
          </w:tcPr>
          <w:p>
            <w:pPr>
              <w:jc w:val="center"/>
              <w:ind w:right="2640"/>
              <w:spacing w:after="0"/>
              <w:rPr>
                <w:sz w:val="20"/>
                <w:szCs w:val="20"/>
                <w:color w:val="auto"/>
              </w:rPr>
            </w:pPr>
            <w:r>
              <w:rPr>
                <w:rFonts w:ascii="Arial" w:cs="Arial" w:eastAsia="Arial" w:hAnsi="Arial"/>
                <w:sz w:val="18"/>
                <w:szCs w:val="18"/>
                <w:b w:val="1"/>
                <w:bCs w:val="1"/>
                <w:color w:val="auto"/>
                <w:w w:val="90"/>
              </w:rPr>
              <w:t>4960 Peachtree Industrial Blvd., Suite 240</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40" w:type="dxa"/>
            <w:vAlign w:val="bottom"/>
            <w:gridSpan w:val="4"/>
          </w:tcPr>
          <w:p>
            <w:pPr>
              <w:jc w:val="center"/>
              <w:ind w:right="2660"/>
              <w:spacing w:after="0"/>
              <w:rPr>
                <w:sz w:val="20"/>
                <w:szCs w:val="20"/>
                <w:color w:val="auto"/>
              </w:rPr>
            </w:pPr>
            <w:r>
              <w:rPr>
                <w:rFonts w:ascii="Arial" w:cs="Arial" w:eastAsia="Arial" w:hAnsi="Arial"/>
                <w:sz w:val="18"/>
                <w:szCs w:val="18"/>
                <w:b w:val="1"/>
                <w:bCs w:val="1"/>
                <w:color w:val="auto"/>
                <w:w w:val="88"/>
              </w:rPr>
              <w:t>Norcross, Georgia 30071</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340" w:type="dxa"/>
            <w:vAlign w:val="bottom"/>
            <w:gridSpan w:val="4"/>
          </w:tcPr>
          <w:p>
            <w:pPr>
              <w:jc w:val="center"/>
              <w:ind w:right="2660"/>
              <w:spacing w:after="0"/>
              <w:rPr>
                <w:sz w:val="20"/>
                <w:szCs w:val="20"/>
                <w:color w:val="auto"/>
              </w:rPr>
            </w:pPr>
            <w:r>
              <w:rPr>
                <w:rFonts w:ascii="Arial" w:cs="Arial" w:eastAsia="Arial" w:hAnsi="Arial"/>
                <w:sz w:val="18"/>
                <w:szCs w:val="18"/>
                <w:b w:val="1"/>
                <w:bCs w:val="1"/>
                <w:color w:val="auto"/>
              </w:rPr>
              <w:t>NOTICE OF THE 2021 ANNUAL MEETING OF STOCKHOLDERS</w:t>
            </w:r>
          </w:p>
        </w:tc>
        <w:tc>
          <w:tcPr>
            <w:tcW w:w="0" w:type="dxa"/>
            <w:vAlign w:val="bottom"/>
          </w:tcPr>
          <w:p>
            <w:pPr>
              <w:spacing w:after="0"/>
              <w:rPr>
                <w:sz w:val="1"/>
                <w:szCs w:val="1"/>
                <w:color w:val="auto"/>
              </w:rPr>
            </w:pPr>
          </w:p>
        </w:tc>
      </w:tr>
      <w:tr>
        <w:trPr>
          <w:trHeight w:val="445"/>
        </w:trPr>
        <w:tc>
          <w:tcPr>
            <w:tcW w:w="2540" w:type="dxa"/>
            <w:vAlign w:val="bottom"/>
            <w:gridSpan w:val="2"/>
          </w:tcPr>
          <w:p>
            <w:pPr>
              <w:ind w:left="120"/>
              <w:spacing w:after="0"/>
              <w:rPr>
                <w:sz w:val="20"/>
                <w:szCs w:val="20"/>
                <w:color w:val="auto"/>
              </w:rPr>
            </w:pPr>
            <w:r>
              <w:rPr>
                <w:rFonts w:ascii="Arial" w:cs="Arial" w:eastAsia="Arial" w:hAnsi="Arial"/>
                <w:sz w:val="18"/>
                <w:szCs w:val="18"/>
                <w:b w:val="1"/>
                <w:bCs w:val="1"/>
                <w:color w:val="auto"/>
              </w:rPr>
              <w:t>Time:</w:t>
            </w:r>
          </w:p>
        </w:tc>
        <w:tc>
          <w:tcPr>
            <w:tcW w:w="8580" w:type="dxa"/>
            <w:vAlign w:val="bottom"/>
            <w:gridSpan w:val="5"/>
          </w:tcPr>
          <w:p>
            <w:pPr>
              <w:spacing w:after="0"/>
              <w:rPr>
                <w:sz w:val="20"/>
                <w:szCs w:val="20"/>
                <w:color w:val="auto"/>
              </w:rPr>
            </w:pPr>
            <w:r>
              <w:rPr>
                <w:rFonts w:ascii="Arial" w:cs="Arial" w:eastAsia="Arial" w:hAnsi="Arial"/>
                <w:sz w:val="18"/>
                <w:szCs w:val="18"/>
                <w:color w:val="auto"/>
                <w:w w:val="91"/>
              </w:rPr>
              <w:t>11:00 a.m. Eastern Standard Time on Friday, December 3, 2021; Online access begins at 10:45 a.m. on December 3,</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gridSpan w:val="2"/>
          </w:tcPr>
          <w:p>
            <w:pPr>
              <w:spacing w:after="0"/>
              <w:rPr>
                <w:sz w:val="20"/>
                <w:szCs w:val="20"/>
                <w:color w:val="auto"/>
              </w:rPr>
            </w:pPr>
            <w:r>
              <w:rPr>
                <w:rFonts w:ascii="Arial" w:cs="Arial" w:eastAsia="Arial" w:hAnsi="Arial"/>
                <w:sz w:val="18"/>
                <w:szCs w:val="18"/>
                <w:color w:val="auto"/>
              </w:rPr>
              <w:t>2021.</w:t>
            </w:r>
          </w:p>
        </w:tc>
        <w:tc>
          <w:tcPr>
            <w:tcW w:w="22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540" w:type="dxa"/>
            <w:vAlign w:val="bottom"/>
            <w:gridSpan w:val="2"/>
          </w:tcPr>
          <w:p>
            <w:pPr>
              <w:ind w:left="120"/>
              <w:spacing w:after="0"/>
              <w:rPr>
                <w:sz w:val="20"/>
                <w:szCs w:val="20"/>
                <w:color w:val="auto"/>
              </w:rPr>
            </w:pPr>
            <w:r>
              <w:rPr>
                <w:rFonts w:ascii="Arial" w:cs="Arial" w:eastAsia="Arial" w:hAnsi="Arial"/>
                <w:sz w:val="18"/>
                <w:szCs w:val="18"/>
                <w:b w:val="1"/>
                <w:bCs w:val="1"/>
                <w:color w:val="auto"/>
              </w:rPr>
              <w:t>Place:</w:t>
            </w:r>
          </w:p>
        </w:tc>
        <w:tc>
          <w:tcPr>
            <w:tcW w:w="8580" w:type="dxa"/>
            <w:vAlign w:val="bottom"/>
            <w:gridSpan w:val="5"/>
          </w:tcPr>
          <w:p>
            <w:pPr>
              <w:spacing w:after="0"/>
              <w:rPr>
                <w:sz w:val="20"/>
                <w:szCs w:val="20"/>
                <w:color w:val="auto"/>
              </w:rPr>
            </w:pPr>
            <w:r>
              <w:rPr>
                <w:rFonts w:ascii="Arial" w:cs="Arial" w:eastAsia="Arial" w:hAnsi="Arial"/>
                <w:sz w:val="18"/>
                <w:szCs w:val="18"/>
                <w:color w:val="auto"/>
                <w:w w:val="99"/>
              </w:rPr>
              <w:t>The Annual Meeting will be held virtually via the internet, at www.virtualshareholdermeeting.com/GALT2021.</w:t>
            </w:r>
          </w:p>
        </w:tc>
        <w:tc>
          <w:tcPr>
            <w:tcW w:w="0" w:type="dxa"/>
            <w:vAlign w:val="bottom"/>
          </w:tcPr>
          <w:p>
            <w:pPr>
              <w:spacing w:after="0"/>
              <w:rPr>
                <w:sz w:val="1"/>
                <w:szCs w:val="1"/>
                <w:color w:val="auto"/>
              </w:rPr>
            </w:pPr>
          </w:p>
        </w:tc>
      </w:tr>
      <w:tr>
        <w:trPr>
          <w:trHeight w:val="20"/>
        </w:trPr>
        <w:tc>
          <w:tcPr>
            <w:tcW w:w="25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Items of Business:</w:t>
            </w: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540" w:type="dxa"/>
            <w:vAlign w:val="bottom"/>
            <w:gridSpan w:val="2"/>
            <w:vMerge w:val="continue"/>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1.</w:t>
            </w: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92"/>
              </w:rPr>
              <w:t>To elect the eleven (11) nominees for director named in the proxy statement accompanying this Notice to serve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rPr>
              <w:t>until our 2022 annual meeting of stockholders.</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2.</w:t>
            </w: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rPr>
              <w:t>To ratify the selection by the Audit Committee of the Board of Directors of Cherry Bekaert LLP as our</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rPr>
              <w:t>independent registered public accounting firm for the fiscal year ending December 31, 2021.</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3.</w:t>
            </w: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99"/>
              </w:rPr>
              <w:t>To adopt and approve an amendment to our Restated Articles of Incorporation increasing the number 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rPr>
              <w:t>authorized common voting shares (“common stock”) from 100,000,000 to 150,000,000.</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4.</w:t>
            </w: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91"/>
              </w:rPr>
              <w:t>To approve an amendment to our 2019 Omnibus Equity Incentive Plan to reserve an additional 3,000,000 shares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rPr>
              <w:t>for issuance under the plan.</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5.</w:t>
            </w: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96"/>
              </w:rPr>
              <w:t>To authorize and approve, for purposes of complying with Nasdaq Listing Rule 5635, the issuance of up to</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91"/>
              </w:rPr>
              <w:t>7,645,268 shares of our common stock upon conversion, exchange or otherwise of principal and accrued interest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98"/>
              </w:rPr>
              <w:t>to Richard E. Uihlein, our Chairman of the Board of Directors, pursuant to the terms of certain unsecured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rPr>
              <w:t>convertible notes aggregating $30,000,000 and the related accrued interest.</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6.</w:t>
            </w: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94"/>
              </w:rPr>
              <w:t>To authorize the adjournment of the annual meeting if necessary or appropriate, including to solicit additional</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91"/>
              </w:rPr>
              <w:t>proxies if there are not sufficient votes at the time of the annual meeting or adjournment or postponement thereof</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rPr>
              <w:t>to approve any of the foregoing proposals.</w:t>
            </w:r>
          </w:p>
        </w:tc>
        <w:tc>
          <w:tcPr>
            <w:tcW w:w="0" w:type="dxa"/>
            <w:vAlign w:val="bottom"/>
          </w:tcPr>
          <w:p>
            <w:pPr>
              <w:spacing w:after="0"/>
              <w:rPr>
                <w:sz w:val="1"/>
                <w:szCs w:val="1"/>
                <w:color w:val="auto"/>
              </w:rPr>
            </w:pPr>
          </w:p>
        </w:tc>
      </w:tr>
      <w:tr>
        <w:trPr>
          <w:trHeight w:val="310"/>
        </w:trPr>
        <w:tc>
          <w:tcPr>
            <w:tcW w:w="1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7.</w:t>
            </w: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w w:val="89"/>
              </w:rPr>
              <w:t>To transact such other business as may properly come before the meeting or any adjournments of the 2021 Annual</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340" w:type="dxa"/>
            <w:vAlign w:val="bottom"/>
            <w:gridSpan w:val="4"/>
          </w:tcPr>
          <w:p>
            <w:pPr>
              <w:ind w:left="120"/>
              <w:spacing w:after="0"/>
              <w:rPr>
                <w:sz w:val="20"/>
                <w:szCs w:val="20"/>
                <w:color w:val="auto"/>
              </w:rPr>
            </w:pPr>
            <w:r>
              <w:rPr>
                <w:rFonts w:ascii="Arial" w:cs="Arial" w:eastAsia="Arial" w:hAnsi="Arial"/>
                <w:sz w:val="18"/>
                <w:szCs w:val="18"/>
                <w:color w:val="auto"/>
              </w:rPr>
              <w:t>Meeting.</w:t>
            </w:r>
          </w:p>
        </w:tc>
        <w:tc>
          <w:tcPr>
            <w:tcW w:w="0" w:type="dxa"/>
            <w:vAlign w:val="bottom"/>
          </w:tcPr>
          <w:p>
            <w:pPr>
              <w:spacing w:after="0"/>
              <w:rPr>
                <w:sz w:val="1"/>
                <w:szCs w:val="1"/>
                <w:color w:val="auto"/>
              </w:rPr>
            </w:pPr>
          </w:p>
        </w:tc>
      </w:tr>
      <w:tr>
        <w:trPr>
          <w:trHeight w:val="323"/>
        </w:trPr>
        <w:tc>
          <w:tcPr>
            <w:tcW w:w="2540" w:type="dxa"/>
            <w:vAlign w:val="bottom"/>
            <w:gridSpan w:val="2"/>
          </w:tcPr>
          <w:p>
            <w:pPr>
              <w:ind w:left="120"/>
              <w:spacing w:after="0"/>
              <w:rPr>
                <w:sz w:val="20"/>
                <w:szCs w:val="20"/>
                <w:color w:val="auto"/>
              </w:rPr>
            </w:pPr>
            <w:r>
              <w:rPr>
                <w:rFonts w:ascii="Arial" w:cs="Arial" w:eastAsia="Arial" w:hAnsi="Arial"/>
                <w:sz w:val="18"/>
                <w:szCs w:val="18"/>
                <w:b w:val="1"/>
                <w:bCs w:val="1"/>
                <w:color w:val="auto"/>
              </w:rPr>
              <w:t>Who Can Vote:</w:t>
            </w:r>
          </w:p>
        </w:tc>
        <w:tc>
          <w:tcPr>
            <w:tcW w:w="8580" w:type="dxa"/>
            <w:vAlign w:val="bottom"/>
            <w:gridSpan w:val="5"/>
          </w:tcPr>
          <w:p>
            <w:pPr>
              <w:spacing w:after="0"/>
              <w:rPr>
                <w:sz w:val="20"/>
                <w:szCs w:val="20"/>
                <w:color w:val="auto"/>
              </w:rPr>
            </w:pPr>
            <w:r>
              <w:rPr>
                <w:rFonts w:ascii="Arial" w:cs="Arial" w:eastAsia="Arial" w:hAnsi="Arial"/>
                <w:sz w:val="18"/>
                <w:szCs w:val="18"/>
                <w:color w:val="auto"/>
                <w:w w:val="94"/>
              </w:rPr>
              <w:t>You can vote if you were a stockholder of record of our Common Stock or our Series A 12% Convertible Preferred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auto"/>
              </w:rPr>
              <w:t>Stock, as of the close of business on October 7, 2021.</w:t>
            </w:r>
          </w:p>
        </w:tc>
        <w:tc>
          <w:tcPr>
            <w:tcW w:w="0" w:type="dxa"/>
            <w:vAlign w:val="bottom"/>
          </w:tcPr>
          <w:p>
            <w:pPr>
              <w:spacing w:after="0"/>
              <w:rPr>
                <w:sz w:val="1"/>
                <w:szCs w:val="1"/>
                <w:color w:val="auto"/>
              </w:rPr>
            </w:pPr>
          </w:p>
        </w:tc>
      </w:tr>
      <w:tr>
        <w:trPr>
          <w:trHeight w:val="310"/>
        </w:trPr>
        <w:tc>
          <w:tcPr>
            <w:tcW w:w="254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Proxy Materials:</w:t>
            </w:r>
          </w:p>
        </w:tc>
        <w:tc>
          <w:tcPr>
            <w:tcW w:w="8580" w:type="dxa"/>
            <w:vAlign w:val="bottom"/>
            <w:gridSpan w:val="5"/>
          </w:tcPr>
          <w:p>
            <w:pPr>
              <w:spacing w:after="0"/>
              <w:rPr>
                <w:sz w:val="20"/>
                <w:szCs w:val="20"/>
                <w:color w:val="auto"/>
              </w:rPr>
            </w:pPr>
            <w:r>
              <w:rPr>
                <w:rFonts w:ascii="Arial" w:cs="Arial" w:eastAsia="Arial" w:hAnsi="Arial"/>
                <w:sz w:val="18"/>
                <w:szCs w:val="18"/>
                <w:color w:val="auto"/>
                <w:w w:val="91"/>
              </w:rPr>
              <w:t xml:space="preserve">You may access our Annual Report and this Notice and proxy statement at </w:t>
            </w:r>
            <w:r>
              <w:rPr>
                <w:rFonts w:ascii="Arial" w:cs="Arial" w:eastAsia="Arial" w:hAnsi="Arial"/>
                <w:sz w:val="18"/>
                <w:szCs w:val="18"/>
                <w:i w:val="1"/>
                <w:iCs w:val="1"/>
                <w:color w:val="auto"/>
                <w:w w:val="91"/>
              </w:rPr>
              <w:t>www.proxyvote.com</w:t>
            </w:r>
            <w:r>
              <w:rPr>
                <w:rFonts w:ascii="Arial" w:cs="Arial" w:eastAsia="Arial" w:hAnsi="Arial"/>
                <w:sz w:val="18"/>
                <w:szCs w:val="18"/>
                <w:color w:val="auto"/>
                <w:w w:val="91"/>
              </w:rPr>
              <w:t xml:space="preserve"> and on our website at</w:t>
            </w:r>
          </w:p>
        </w:tc>
        <w:tc>
          <w:tcPr>
            <w:tcW w:w="0" w:type="dxa"/>
            <w:vAlign w:val="bottom"/>
          </w:tcPr>
          <w:p>
            <w:pPr>
              <w:spacing w:after="0"/>
              <w:rPr>
                <w:sz w:val="1"/>
                <w:szCs w:val="1"/>
                <w:color w:val="auto"/>
              </w:rPr>
            </w:pPr>
          </w:p>
        </w:tc>
      </w:tr>
      <w:tr>
        <w:trPr>
          <w:trHeight w:val="190"/>
        </w:trPr>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580" w:type="dxa"/>
            <w:vAlign w:val="bottom"/>
            <w:gridSpan w:val="5"/>
          </w:tcPr>
          <w:p>
            <w:pPr>
              <w:spacing w:after="0" w:line="190" w:lineRule="exact"/>
              <w:rPr>
                <w:sz w:val="20"/>
                <w:szCs w:val="20"/>
                <w:color w:val="auto"/>
              </w:rPr>
            </w:pPr>
            <w:r>
              <w:rPr>
                <w:rFonts w:ascii="Arial" w:cs="Arial" w:eastAsia="Arial" w:hAnsi="Arial"/>
                <w:sz w:val="18"/>
                <w:szCs w:val="18"/>
                <w:i w:val="1"/>
                <w:iCs w:val="1"/>
                <w:color w:val="auto"/>
                <w:w w:val="92"/>
              </w:rPr>
              <w:t xml:space="preserve">www.galectintherapeutics.com. </w:t>
            </w:r>
            <w:r>
              <w:rPr>
                <w:rFonts w:ascii="Arial" w:cs="Arial" w:eastAsia="Arial" w:hAnsi="Arial"/>
                <w:sz w:val="18"/>
                <w:szCs w:val="18"/>
                <w:color w:val="auto"/>
                <w:w w:val="92"/>
              </w:rPr>
              <w:t>Instructions on how to obtain a paper copies of the proxy materials are on page 29 of</w:t>
            </w: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2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this notice.</w:t>
            </w:r>
          </w:p>
        </w:tc>
        <w:tc>
          <w:tcPr>
            <w:tcW w:w="63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540" w:type="dxa"/>
            <w:vAlign w:val="bottom"/>
            <w:gridSpan w:val="2"/>
          </w:tcPr>
          <w:p>
            <w:pPr>
              <w:ind w:left="120"/>
              <w:spacing w:after="0"/>
              <w:rPr>
                <w:sz w:val="20"/>
                <w:szCs w:val="20"/>
                <w:color w:val="auto"/>
              </w:rPr>
            </w:pPr>
            <w:r>
              <w:rPr>
                <w:rFonts w:ascii="Arial" w:cs="Arial" w:eastAsia="Arial" w:hAnsi="Arial"/>
                <w:sz w:val="18"/>
                <w:szCs w:val="18"/>
                <w:b w:val="1"/>
                <w:bCs w:val="1"/>
                <w:color w:val="auto"/>
              </w:rPr>
              <w:t>Date of Mailing:</w:t>
            </w:r>
          </w:p>
        </w:tc>
        <w:tc>
          <w:tcPr>
            <w:tcW w:w="8580" w:type="dxa"/>
            <w:vAlign w:val="bottom"/>
            <w:gridSpan w:val="5"/>
          </w:tcPr>
          <w:p>
            <w:pPr>
              <w:spacing w:after="0"/>
              <w:rPr>
                <w:sz w:val="20"/>
                <w:szCs w:val="20"/>
                <w:color w:val="auto"/>
              </w:rPr>
            </w:pPr>
            <w:r>
              <w:rPr>
                <w:rFonts w:ascii="Arial" w:cs="Arial" w:eastAsia="Arial" w:hAnsi="Arial"/>
                <w:sz w:val="18"/>
                <w:szCs w:val="18"/>
                <w:color w:val="auto"/>
                <w:w w:val="95"/>
              </w:rPr>
              <w:t>This Notice, the proxy statement and the form of proxy are first being made available to stockholders on or about</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580" w:type="dxa"/>
            <w:vAlign w:val="bottom"/>
            <w:gridSpan w:val="5"/>
          </w:tcPr>
          <w:p>
            <w:pPr>
              <w:spacing w:after="0"/>
              <w:rPr>
                <w:sz w:val="20"/>
                <w:szCs w:val="20"/>
                <w:color w:val="auto"/>
              </w:rPr>
            </w:pPr>
            <w:r>
              <w:rPr>
                <w:rFonts w:ascii="Arial" w:cs="Arial" w:eastAsia="Arial" w:hAnsi="Arial"/>
                <w:sz w:val="18"/>
                <w:szCs w:val="18"/>
                <w:color w:val="auto"/>
              </w:rPr>
              <w:t>October 12, 2021.</w:t>
            </w:r>
          </w:p>
        </w:tc>
        <w:tc>
          <w:tcPr>
            <w:tcW w:w="0" w:type="dxa"/>
            <w:vAlign w:val="bottom"/>
          </w:tcPr>
          <w:p>
            <w:pPr>
              <w:spacing w:after="0"/>
              <w:rPr>
                <w:sz w:val="1"/>
                <w:szCs w:val="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60"/>
        <w:spacing w:after="0" w:line="282" w:lineRule="auto"/>
        <w:rPr>
          <w:sz w:val="20"/>
          <w:szCs w:val="20"/>
          <w:color w:val="auto"/>
        </w:rPr>
      </w:pPr>
      <w:r>
        <w:rPr>
          <w:rFonts w:ascii="Arial" w:cs="Arial" w:eastAsia="Arial" w:hAnsi="Arial"/>
          <w:sz w:val="18"/>
          <w:szCs w:val="18"/>
          <w:b w:val="1"/>
          <w:bCs w:val="1"/>
          <w:color w:val="auto"/>
        </w:rPr>
        <w:t>WHETHER OR NOT YOU EXPECT TO ATTEND THE ANNUAL MEETING, PLEASE SUBMIT PROMPTLY VOTE YOUR SHARES BY FOLLOWING THE INSTRUCTIONS ON THE NOTICE CARD OR PROXY CARD.</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for the Annual Meeting to be Held December 3, 2021.</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The Letter to Stockholders, Notice of Meeting, Proxy Statement, and Annual Report on Form 10-K, are available at: www.proxyvote.com</w:t>
      </w:r>
    </w:p>
    <w:p>
      <w:pPr>
        <w:spacing w:after="0" w:line="27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151765</wp:posOffset>
            </wp:positionV>
            <wp:extent cx="130302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120"/>
          </w:cols>
          <w:pgMar w:left="320" w:top="44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40" w:type="dxa"/>
            <w:vAlign w:val="bottom"/>
            <w:gridSpan w:val="22"/>
            <w:vMerge w:val="restart"/>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PROXY STATEMENT FOR 2021 ANNUAL MEETING OF STOCKHOLDERS To Be Held on December 3, 2021</w:t>
              </w:r>
            </w:hyperlink>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8340" w:type="dxa"/>
            <w:vAlign w:val="bottom"/>
            <w:tcBorders>
              <w:bottom w:val="single" w:sz="8" w:color="0000EE"/>
            </w:tcBorders>
            <w:gridSpan w:val="22"/>
            <w:vMerge w:val="continue"/>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20" w:type="dxa"/>
            <w:vAlign w:val="bottom"/>
            <w:gridSpan w:val="2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QUESTIONS AND ANSWERS ABOUT THE ANNUAL MEETING AND VOTING</w:t>
              </w:r>
            </w:hyperlink>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SECURITY OWNERSHIP OF CERTAIN BENEFICIAL OWNERS AND MANAGEMENT</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7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SECTION 16(a) BENEFICIAL OWNERSHIP REPORTING COMPLIANCE</w:t>
              </w:r>
            </w:hyperlink>
          </w:p>
        </w:tc>
        <w:tc>
          <w:tcPr>
            <w:tcW w:w="3900" w:type="dxa"/>
            <w:vAlign w:val="bottom"/>
            <w:gridSpan w:val="10"/>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6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PROPOSAL NO. 1 ELECTION OF DIRECTORS</w:t>
              </w:r>
            </w:hyperlink>
          </w:p>
        </w:tc>
        <w:tc>
          <w:tcPr>
            <w:tcW w:w="500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EXECUTIVE OFFICERS</w:t>
              </w:r>
            </w:hyperlink>
          </w:p>
        </w:tc>
        <w:tc>
          <w:tcPr>
            <w:tcW w:w="1740" w:type="dxa"/>
            <w:vAlign w:val="bottom"/>
            <w:tcBorders>
              <w:top w:val="single" w:sz="8" w:color="0000EE"/>
            </w:tcBorders>
            <w:gridSpan w:val="8"/>
          </w:tcPr>
          <w:p>
            <w:pPr>
              <w:spacing w:after="0"/>
              <w:rPr>
                <w:sz w:val="17"/>
                <w:szCs w:val="17"/>
                <w:color w:val="auto"/>
              </w:rPr>
            </w:pPr>
          </w:p>
        </w:tc>
        <w:tc>
          <w:tcPr>
            <w:tcW w:w="6980" w:type="dxa"/>
            <w:vAlign w:val="bottom"/>
            <w:gridSpan w:val="1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19">
              <w:r>
                <w:rPr>
                  <w:rFonts w:ascii="Arial" w:cs="Arial" w:eastAsia="Arial" w:hAnsi="Arial"/>
                  <w:sz w:val="18"/>
                  <w:szCs w:val="18"/>
                  <w:color w:val="0000EE"/>
                  <w:w w:val="93"/>
                </w:rPr>
                <w:t>CORPORATE GOVERNANCE</w:t>
              </w:r>
            </w:hyperlink>
          </w:p>
        </w:tc>
        <w:tc>
          <w:tcPr>
            <w:tcW w:w="8280" w:type="dxa"/>
            <w:vAlign w:val="bottom"/>
            <w:gridSpan w:val="22"/>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20" w:type="dxa"/>
            <w:vAlign w:val="bottom"/>
            <w:gridSpan w:val="2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DIRECTOR COMPENSATION</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27">
              <w:r>
                <w:rPr>
                  <w:rFonts w:ascii="Arial" w:cs="Arial" w:eastAsia="Arial" w:hAnsi="Arial"/>
                  <w:sz w:val="18"/>
                  <w:szCs w:val="18"/>
                  <w:color w:val="0000EE"/>
                  <w:w w:val="95"/>
                </w:rPr>
                <w:t>EXECUTIVE COMPENSATION</w:t>
              </w:r>
            </w:hyperlink>
          </w:p>
        </w:tc>
        <w:tc>
          <w:tcPr>
            <w:tcW w:w="8180" w:type="dxa"/>
            <w:vAlign w:val="bottom"/>
            <w:gridSpan w:val="21"/>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620" w:type="dxa"/>
            <w:vAlign w:val="bottom"/>
            <w:gridSpan w:val="29"/>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SUMMARY COMPENSATION TABLE</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OUTSTANDING EQUITY AWARDS AT FISCAL YEAR-END 2020</w:t>
              </w:r>
            </w:hyperlink>
          </w:p>
        </w:tc>
        <w:tc>
          <w:tcPr>
            <w:tcW w:w="5540" w:type="dxa"/>
            <w:vAlign w:val="bottom"/>
            <w:gridSpan w:val="1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620" w:type="dxa"/>
            <w:vAlign w:val="bottom"/>
            <w:gridSpan w:val="29"/>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PROPOSAL NO. 2 RATIFICATION OF APPOINTMENT OF INDEPENDENT AUDITORS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4"/>
              </w:rPr>
            </w:pPr>
            <w:hyperlink w:anchor="page36">
              <w:r>
                <w:rPr>
                  <w:rFonts w:ascii="Arial" w:cs="Arial" w:eastAsia="Arial" w:hAnsi="Arial"/>
                  <w:sz w:val="18"/>
                  <w:szCs w:val="18"/>
                  <w:color w:val="0000EE"/>
                  <w:w w:val="94"/>
                </w:rPr>
                <w:t>FEES PAID TO CHERRY BEKAERT LLP</w:t>
              </w:r>
            </w:hyperlink>
          </w:p>
        </w:tc>
        <w:tc>
          <w:tcPr>
            <w:tcW w:w="3620" w:type="dxa"/>
            <w:vAlign w:val="bottom"/>
            <w:tcBorders>
              <w:top w:val="single" w:sz="8" w:color="0000EE"/>
            </w:tcBorders>
            <w:gridSpan w:val="9"/>
          </w:tcPr>
          <w:p>
            <w:pPr>
              <w:spacing w:after="0"/>
              <w:rPr>
                <w:sz w:val="17"/>
                <w:szCs w:val="17"/>
                <w:color w:val="auto"/>
              </w:rPr>
            </w:pPr>
          </w:p>
        </w:tc>
        <w:tc>
          <w:tcPr>
            <w:tcW w:w="3860" w:type="dxa"/>
            <w:vAlign w:val="bottom"/>
            <w:gridSpan w:val="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620" w:type="dxa"/>
            <w:vAlign w:val="bottom"/>
            <w:gridSpan w:val="29"/>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PROPOSAL NO. 3 TO ADOPT AND APPROVE AN AMENDMENT TO OUR RESTATED ARTICLES OF INCORPORATION</w:t>
              </w:r>
            </w:hyperlink>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2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INCREASING THE NUMBER OF AUTHORIZED COMMON STOCK FROM 100,000,000 TO 150,000,000</w:t>
              </w:r>
            </w:hyperlink>
          </w:p>
        </w:tc>
        <w:tc>
          <w:tcPr>
            <w:tcW w:w="1180" w:type="dxa"/>
            <w:vAlign w:val="bottom"/>
            <w:gridSpan w:val="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20" w:type="dxa"/>
            <w:vAlign w:val="bottom"/>
            <w:gridSpan w:val="2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PROPOSAL NO. 4 TO APPROVE AN AMENDMENT TO OUR 2019 OMNIBUS EQUITY INCENTIVE PLAN TO RESERVE AN</w:t>
              </w:r>
            </w:hyperlink>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5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ADDITIONAL 3,000,000 SHARES FOR ISSUANCE UNDER THE PLAN</w:t>
              </w:r>
            </w:hyperlink>
          </w:p>
        </w:tc>
        <w:tc>
          <w:tcPr>
            <w:tcW w:w="920" w:type="dxa"/>
            <w:vAlign w:val="bottom"/>
            <w:gridSpan w:val="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20" w:type="dxa"/>
            <w:vAlign w:val="bottom"/>
            <w:tcBorders>
              <w:bottom w:val="single" w:sz="8" w:color="0000EE"/>
            </w:tcBorders>
            <w:gridSpan w:val="27"/>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PROPOSAL NO. 5 TO AUTHORIZE AND APPROVE, FOR PURPOSES OF COMPLYING WITH NASDAQ LISTING RULE 5635, THE</w:t>
              </w:r>
            </w:hyperlink>
          </w:p>
        </w:tc>
        <w:tc>
          <w:tcPr>
            <w:tcW w:w="40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88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ISSUANCE OF UP TO 7,645,268 SHARES OF OUR COMMON STOCK UPON CONVERSION, EXCHANGE OR OTHERWISE OF</w:t>
              </w:r>
            </w:hyperlink>
          </w:p>
        </w:tc>
        <w:tc>
          <w:tcPr>
            <w:tcW w:w="560" w:type="dxa"/>
            <w:vAlign w:val="bottom"/>
            <w:gridSpan w:val="3"/>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46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PRINCIPAL AND ACCRUED INTEREST TO RICHARD E. UIHLEIN, OUR CHAIRMAN OF THE BOARD OF DIRECTORS,</w:t>
              </w:r>
            </w:hyperlink>
          </w:p>
        </w:tc>
        <w:tc>
          <w:tcPr>
            <w:tcW w:w="980" w:type="dxa"/>
            <w:vAlign w:val="bottom"/>
            <w:gridSpan w:val="5"/>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200" w:type="dxa"/>
            <w:vAlign w:val="bottom"/>
            <w:tcBorders>
              <w:bottom w:val="single" w:sz="8" w:color="0000EE"/>
            </w:tcBorders>
            <w:gridSpan w:val="27"/>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 xml:space="preserve">PURSUANT TO THE TERMS OF CERTAIN USECURED CONVERTIBLE NOTES AGGREGATING </w:t>
              </w:r>
              <w:r>
                <w:rPr>
                  <w:rFonts w:ascii="Arial" w:cs="Arial" w:eastAsia="Arial" w:hAnsi="Arial"/>
                  <w:sz w:val="18"/>
                  <w:szCs w:val="18"/>
                  <w:u w:val="single" w:color="auto"/>
                  <w:color w:val="0000EE"/>
                  <w:w w:val="94"/>
                </w:rPr>
                <w:t>$</w:t>
              </w:r>
              <w:r>
                <w:rPr>
                  <w:rFonts w:ascii="Arial" w:cs="Arial" w:eastAsia="Arial" w:hAnsi="Arial"/>
                  <w:sz w:val="18"/>
                  <w:szCs w:val="18"/>
                  <w:color w:val="0000EE"/>
                  <w:w w:val="94"/>
                </w:rPr>
                <w:t>30,000,000 AND THE RELATED</w:t>
              </w:r>
            </w:hyperlink>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ACCRUED INTEREST</w:t>
              </w:r>
            </w:hyperlink>
          </w:p>
        </w:tc>
        <w:tc>
          <w:tcPr>
            <w:tcW w:w="8680" w:type="dxa"/>
            <w:vAlign w:val="bottom"/>
            <w:gridSpan w:val="2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620" w:type="dxa"/>
            <w:vAlign w:val="bottom"/>
            <w:gridSpan w:val="29"/>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PROPOSAL NO. 6 ADJOURNMENT OF THE 2021 ANNUAL MEETING</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w:anchor="page45">
              <w:r>
                <w:rPr>
                  <w:rFonts w:ascii="Arial" w:cs="Arial" w:eastAsia="Arial" w:hAnsi="Arial"/>
                  <w:sz w:val="18"/>
                  <w:szCs w:val="18"/>
                  <w:color w:val="0000EE"/>
                  <w:w w:val="92"/>
                </w:rPr>
                <w:t>PROPOSALS OF STOCKHOLDERS</w:t>
              </w:r>
            </w:hyperlink>
          </w:p>
        </w:tc>
        <w:tc>
          <w:tcPr>
            <w:tcW w:w="2760" w:type="dxa"/>
            <w:vAlign w:val="bottom"/>
            <w:tcBorders>
              <w:top w:val="single" w:sz="8" w:color="0000EE"/>
            </w:tcBorders>
            <w:gridSpan w:val="6"/>
          </w:tcPr>
          <w:p>
            <w:pPr>
              <w:spacing w:after="0"/>
              <w:rPr>
                <w:sz w:val="17"/>
                <w:szCs w:val="17"/>
                <w:color w:val="auto"/>
              </w:rPr>
            </w:pPr>
          </w:p>
        </w:tc>
        <w:tc>
          <w:tcPr>
            <w:tcW w:w="5100" w:type="dxa"/>
            <w:vAlign w:val="bottom"/>
            <w:gridSpan w:val="14"/>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ANNUAL REPORT</w:t>
              </w:r>
            </w:hyperlink>
          </w:p>
        </w:tc>
        <w:tc>
          <w:tcPr>
            <w:tcW w:w="9140" w:type="dxa"/>
            <w:vAlign w:val="bottom"/>
            <w:gridSpan w:val="2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HOW TO ATTEND THE 2021 ANNUAL MEETING</w:t>
              </w:r>
            </w:hyperlink>
          </w:p>
        </w:tc>
        <w:tc>
          <w:tcPr>
            <w:tcW w:w="6700" w:type="dxa"/>
            <w:vAlign w:val="bottom"/>
            <w:gridSpan w:val="1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0620" w:type="dxa"/>
            <w:vAlign w:val="bottom"/>
            <w:gridSpan w:val="2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Appendix A</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Appendix B</w:t>
              </w:r>
            </w:hyperlink>
          </w:p>
        </w:tc>
        <w:tc>
          <w:tcPr>
            <w:tcW w:w="9740" w:type="dxa"/>
            <w:vAlign w:val="bottom"/>
            <w:gridSpan w:val="2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Norcross, Georgia 30071</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2021 ANNUAL MEETING OF STOCKHOLDERS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December 3, 2021</w:t>
      </w:r>
    </w:p>
    <w:p>
      <w:pPr>
        <w:spacing w:after="0" w:line="21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This proxy statement contains information about the 2021 annual meeting of stockholders (“2021 Annual Meeting”) of Galectin Therapeutics Inc. (referred to in this proxy statement as “Galectin”, “Galectin Therapeutics”, “the Company”, “we”, “our” or “us”). The 2021 Annual Meeting will be held virtually over the internet on Friday, December 3, 2021, beginning at 11:00 a.m. Eastern Standard Time, at </w:t>
      </w:r>
      <w:r>
        <w:rPr>
          <w:rFonts w:ascii="Arial" w:cs="Arial" w:eastAsia="Arial" w:hAnsi="Arial"/>
          <w:sz w:val="18"/>
          <w:szCs w:val="18"/>
          <w:u w:val="single" w:color="auto"/>
          <w:color w:val="auto"/>
        </w:rPr>
        <w:t>www.virtualshareholdermeeting.com/GALT2021</w:t>
      </w:r>
      <w:r>
        <w:rPr>
          <w:rFonts w:ascii="Arial" w:cs="Arial" w:eastAsia="Arial" w:hAnsi="Arial"/>
          <w:sz w:val="18"/>
          <w:szCs w:val="18"/>
          <w:color w:val="auto"/>
        </w:rPr>
        <w:t>. Online access begins at 10:45 a.m. on the date of the 2021 Annual Meeting. Due to the potential travel and other impacts of the coronavirus outbreak (COVID-19), the Company is conducting an online-only format for the 2021 annual meeting. Stockholders will be able to listen, vote, and submit questions from their home or any remote location with internet connectivity. The 2021 Annual Meeting has been designed to provide the same rights to participate as you would have at an in-person meeting. Information on how to participate in this year’s virtual meeting can be found on page 30.</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2021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These proxy materials, together with our Annual Report to stockholders on Form 10-K for our 2020 fiscal year, are first being made available to stockholders on or about October 12, 2021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18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If you have questions about the proposals to be voted on at the 2021 Annual Meeting or this proxy statement, would like additional copies of this proxy statement/prospectus, or need to obtain proxy cards or other information related to the proxy solicitation, please contact Kingsdale Advisors, our proxy solicitor at:</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Kingsdale Advisors</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745 Fifth Avenue, 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10151</w:t>
      </w:r>
    </w:p>
    <w:p>
      <w:pPr>
        <w:spacing w:after="0" w:line="9" w:lineRule="exact"/>
        <w:rPr>
          <w:sz w:val="20"/>
          <w:szCs w:val="20"/>
          <w:color w:val="auto"/>
        </w:rPr>
      </w:pPr>
    </w:p>
    <w:p>
      <w:pPr>
        <w:ind w:left="2060"/>
        <w:spacing w:after="0"/>
        <w:tabs>
          <w:tab w:leader="none" w:pos="5920" w:val="left"/>
        </w:tabs>
        <w:rPr>
          <w:sz w:val="20"/>
          <w:szCs w:val="20"/>
          <w:color w:val="auto"/>
        </w:rPr>
      </w:pPr>
      <w:r>
        <w:rPr>
          <w:rFonts w:ascii="Arial" w:cs="Arial" w:eastAsia="Arial" w:hAnsi="Arial"/>
          <w:sz w:val="18"/>
          <w:szCs w:val="18"/>
          <w:color w:val="auto"/>
        </w:rPr>
        <w:t>Banks and Brokerage Firms Call: 416-867-2272</w:t>
      </w:r>
      <w:r>
        <w:rPr>
          <w:sz w:val="20"/>
          <w:szCs w:val="20"/>
          <w:color w:val="auto"/>
        </w:rPr>
        <w:tab/>
      </w:r>
      <w:r>
        <w:rPr>
          <w:rFonts w:ascii="Arial" w:cs="Arial" w:eastAsia="Arial" w:hAnsi="Arial"/>
          <w:sz w:val="16"/>
          <w:szCs w:val="16"/>
          <w:color w:val="auto"/>
        </w:rPr>
        <w:t>Shareholders Call Toll Free: 1-800-775-1986</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contactus@kingsdaleadvisors.com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Instructions on How to Attend the 2021 Annual Meeting</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This year our annual meeting will be a virtual online-only meeting. There will be no physical meeting location. The meeting will only be conducted via live webcast. To participate in the 2021 Annual Meeting, visit </w:t>
      </w:r>
      <w:r>
        <w:rPr>
          <w:rFonts w:ascii="Arial" w:cs="Arial" w:eastAsia="Arial" w:hAnsi="Arial"/>
          <w:sz w:val="18"/>
          <w:szCs w:val="18"/>
          <w:u w:val="single" w:color="auto"/>
          <w:color w:val="auto"/>
        </w:rPr>
        <w:t>www.virtualshareholdermeeting.com/GALT2021</w:t>
      </w:r>
      <w:r>
        <w:rPr>
          <w:rFonts w:ascii="Arial" w:cs="Arial" w:eastAsia="Arial" w:hAnsi="Arial"/>
          <w:sz w:val="18"/>
          <w:szCs w:val="18"/>
          <w:color w:val="auto"/>
        </w:rPr>
        <w:t xml:space="preserve">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2021. The meeting will begin promptly at 11:00 a.m. Eastern Standard Time on December 3, 2021.</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If you want to submit question during the meeting, log into the virtual meeting platform at </w:t>
      </w:r>
      <w:r>
        <w:rPr>
          <w:rFonts w:ascii="Arial" w:cs="Arial" w:eastAsia="Arial" w:hAnsi="Arial"/>
          <w:sz w:val="17"/>
          <w:szCs w:val="17"/>
          <w:u w:val="single" w:color="auto"/>
          <w:color w:val="auto"/>
        </w:rPr>
        <w:t>www.virtualshareholdermeeting.com/GALT2021</w:t>
      </w:r>
      <w:r>
        <w:rPr>
          <w:rFonts w:ascii="Arial" w:cs="Arial" w:eastAsia="Arial" w:hAnsi="Arial"/>
          <w:sz w:val="17"/>
          <w:szCs w:val="17"/>
          <w:color w:val="auto"/>
        </w:rPr>
        <w:t xml:space="preserve">,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2021 Annual Meeting has been designed to provide the same rights to participate as you would have at an in-person meeting. If you encounter any difficulties accessing the 2021 Annual Meeting during the check-in or meeting time, please call the technical support number that will be posted on the Virtual Shareholder Meeting log in page at </w:t>
      </w:r>
      <w:r>
        <w:rPr>
          <w:rFonts w:ascii="Arial" w:cs="Arial" w:eastAsia="Arial" w:hAnsi="Arial"/>
          <w:sz w:val="17"/>
          <w:szCs w:val="17"/>
          <w:u w:val="single" w:color="auto"/>
          <w:color w:val="auto"/>
        </w:rPr>
        <w:t>www.virtualshareholdermeeting.com/GALT2021</w:t>
      </w:r>
      <w:r>
        <w:rPr>
          <w:rFonts w:ascii="Arial" w:cs="Arial" w:eastAsia="Arial" w:hAnsi="Arial"/>
          <w:sz w:val="17"/>
          <w:szCs w:val="17"/>
          <w:color w:val="auto"/>
        </w:rPr>
        <w: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the annual meeting held in a virtual, online-only format this year?</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We are holding our 2021 annual meeting in a virtual, online-only format this year due to the potential travel and other impacts of the coronavirus outbreak (COVID-19). We believe that the virtual meeting format will facilitate stockholder attendance and participation at the annual meeting during the COVID-19 pandemic by enabling stockholders to participate remotely from any location.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2021 Annual Meeting will be held for the following purposes:</w:t>
      </w:r>
    </w:p>
    <w:p>
      <w:pPr>
        <w:spacing w:after="0" w:line="13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the eleven nominees named in this proxy statement for director to hold office until the 2022 annual meeting of our stockholders.</w:t>
      </w:r>
    </w:p>
    <w:p>
      <w:pPr>
        <w:spacing w:after="0" w:line="153"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2022.</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adopt and approve an amendment to our Restated Articles of Incorporation increasing the number of authorized common voting shares (“common stock”) from 100,000,000 to 150,000,000.</w:t>
      </w:r>
    </w:p>
    <w:p>
      <w:pPr>
        <w:spacing w:after="0" w:line="75" w:lineRule="exact"/>
        <w:rPr>
          <w:rFonts w:ascii="Arial" w:cs="Arial" w:eastAsia="Arial" w:hAnsi="Arial"/>
          <w:sz w:val="18"/>
          <w:szCs w:val="18"/>
          <w:color w:val="auto"/>
        </w:rPr>
      </w:pPr>
    </w:p>
    <w:p>
      <w:pPr>
        <w:ind w:left="1080" w:right="3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amendment to our 2019 Omnibus Equity Incentive Plan to reserve an additional 3,000,000 shares for issuance under the plan.</w:t>
      </w:r>
    </w:p>
    <w:p>
      <w:pPr>
        <w:spacing w:after="0" w:line="75" w:lineRule="exact"/>
        <w:rPr>
          <w:rFonts w:ascii="Arial" w:cs="Arial" w:eastAsia="Arial" w:hAnsi="Arial"/>
          <w:sz w:val="18"/>
          <w:szCs w:val="18"/>
          <w:color w:val="auto"/>
        </w:rPr>
      </w:pPr>
    </w:p>
    <w:p>
      <w:pPr>
        <w:ind w:left="1080" w:right="60" w:hanging="532"/>
        <w:spacing w:after="0" w:line="31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54" w:lineRule="exact"/>
        <w:rPr>
          <w:rFonts w:ascii="Arial" w:cs="Arial" w:eastAsia="Arial" w:hAnsi="Arial"/>
          <w:sz w:val="16"/>
          <w:szCs w:val="16"/>
          <w:color w:val="auto"/>
        </w:rPr>
      </w:pPr>
    </w:p>
    <w:p>
      <w:pPr>
        <w:jc w:val="both"/>
        <w:ind w:left="1080" w:right="460" w:hanging="532"/>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2021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You may vote if you were a stockholder of Galectin Therapeutics as of the close of business on the record date, October 7, 2021. Shares outstanding on the record date are the following:</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59,289,952 shares of common stock, par value $0.001 per share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1,302,500 shares of Series A 12% Convertible Preferred Stock, par value $0.01 per share (“Series A Preferred Stock”).</w:t>
      </w:r>
    </w:p>
    <w:p>
      <w:pPr>
        <w:spacing w:after="0" w:line="225"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16,545,339 shares of Common Stock or the common equivalent of voting Preferred Stock, representing approximately 28% of the total outstanding voting shares at the record date. We expect all of these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proposals as described in this proxy statement.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72" w:lineRule="exact"/>
        <w:rPr>
          <w:sz w:val="20"/>
          <w:szCs w:val="20"/>
          <w:color w:val="auto"/>
        </w:rPr>
      </w:pPr>
    </w:p>
    <w:p>
      <w:pPr>
        <w:ind w:left="1080" w:right="20" w:hanging="532"/>
        <w:spacing w:after="0" w:line="298"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You may vote by mail</w:t>
      </w:r>
      <w:r>
        <w:rPr>
          <w:rFonts w:ascii="Arial" w:cs="Arial" w:eastAsia="Arial" w:hAnsi="Arial"/>
          <w:sz w:val="16"/>
          <w:szCs w:val="16"/>
          <w:color w:val="auto"/>
        </w:rPr>
        <w:t>. You may vote by completing and signing the proxy card enclosed with this proxy statement (or by requesting a</w:t>
      </w:r>
      <w:r>
        <w:rPr>
          <w:rFonts w:ascii="Arial" w:cs="Arial" w:eastAsia="Arial" w:hAnsi="Arial"/>
          <w:sz w:val="16"/>
          <w:szCs w:val="16"/>
          <w:b w:val="1"/>
          <w:bCs w:val="1"/>
          <w:color w:val="auto"/>
        </w:rPr>
        <w:t xml:space="preserve"> </w:t>
      </w:r>
      <w:r>
        <w:rPr>
          <w:rFonts w:ascii="Arial" w:cs="Arial" w:eastAsia="Arial" w:hAnsi="Arial"/>
          <w:sz w:val="16"/>
          <w:szCs w:val="16"/>
          <w:color w:val="auto"/>
        </w:rPr>
        <w:t>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59" w:lineRule="exact"/>
        <w:rPr>
          <w:rFonts w:ascii="Arial" w:cs="Arial" w:eastAsia="Arial" w:hAnsi="Arial"/>
          <w:sz w:val="16"/>
          <w:szCs w:val="16"/>
          <w:color w:val="auto"/>
        </w:rPr>
      </w:pPr>
    </w:p>
    <w:p>
      <w:pPr>
        <w:ind w:left="1080" w:right="20" w:hanging="532"/>
        <w:spacing w:after="0" w:line="303"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You may vote by Internet prior to the 2021 Annual Meeting</w:t>
      </w:r>
      <w:r>
        <w:rPr>
          <w:rFonts w:ascii="Arial" w:cs="Arial" w:eastAsia="Arial" w:hAnsi="Arial"/>
          <w:sz w:val="16"/>
          <w:szCs w:val="16"/>
          <w:color w:val="auto"/>
        </w:rPr>
        <w:t>. You may vote over the Internet as instructed on the proxy card enclosed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this proxy statement and accessing </w:t>
      </w:r>
      <w:r>
        <w:rPr>
          <w:rFonts w:ascii="Arial" w:cs="Arial" w:eastAsia="Arial" w:hAnsi="Arial"/>
          <w:sz w:val="16"/>
          <w:szCs w:val="16"/>
          <w:i w:val="1"/>
          <w:iCs w:val="1"/>
          <w:color w:val="auto"/>
        </w:rPr>
        <w:t>www.proxyvote.com</w:t>
      </w:r>
      <w:r>
        <w:rPr>
          <w:rFonts w:ascii="Arial" w:cs="Arial" w:eastAsia="Arial" w:hAnsi="Arial"/>
          <w:sz w:val="16"/>
          <w:szCs w:val="16"/>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56" w:lineRule="exact"/>
        <w:rPr>
          <w:rFonts w:ascii="Arial" w:cs="Arial" w:eastAsia="Arial" w:hAnsi="Arial"/>
          <w:sz w:val="16"/>
          <w:szCs w:val="16"/>
          <w:color w:val="auto"/>
        </w:rPr>
      </w:pPr>
    </w:p>
    <w:p>
      <w:pPr>
        <w:ind w:left="1080" w:right="40" w:hanging="532"/>
        <w:spacing w:after="0" w:line="261"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You may vote during the 2021 Annual Meeting</w:t>
      </w:r>
      <w:r>
        <w:rPr>
          <w:rFonts w:ascii="Arial" w:cs="Arial" w:eastAsia="Arial" w:hAnsi="Arial"/>
          <w:sz w:val="18"/>
          <w:szCs w:val="18"/>
          <w:color w:val="auto"/>
        </w:rPr>
        <w:t>. If you attend the 2021 Annual Meeting virtually by visiting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www.virtualshareholdermeeting.com/GALT2021</w:t>
      </w:r>
      <w:r>
        <w:rPr>
          <w:rFonts w:ascii="Arial" w:cs="Arial" w:eastAsia="Arial" w:hAnsi="Arial"/>
          <w:sz w:val="18"/>
          <w:szCs w:val="18"/>
          <w:color w:val="auto"/>
        </w:rPr>
        <w:t xml:space="preserve"> at 11:00 a.m. Eastern Standard Time on December 3, 2021, you may vote during the 2021 Annual Meeting. You will need the 16-digit control number included on your notice of Internet availability of the proxy materials, on your proxy card or on the instructions that accompanied your proxy materials.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the eleven nominees to serve as directors on the Board of Directors until our 2022 annual meeting of stockholders.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selection of Cherry Bekaert LLP, as our independent registered public accounting firm for the 2021 fiscal year.</w:t>
      </w:r>
    </w:p>
    <w:p>
      <w:pPr>
        <w:spacing w:after="0" w:line="129" w:lineRule="exact"/>
        <w:rPr>
          <w:sz w:val="20"/>
          <w:szCs w:val="20"/>
          <w:color w:val="auto"/>
        </w:rPr>
      </w:pPr>
    </w:p>
    <w:p>
      <w:pPr>
        <w:ind w:left="560"/>
        <w:spacing w:after="0" w:line="282" w:lineRule="auto"/>
        <w:rPr>
          <w:sz w:val="20"/>
          <w:szCs w:val="20"/>
          <w:color w:val="auto"/>
        </w:rPr>
      </w:pPr>
      <w:r>
        <w:rPr>
          <w:rFonts w:ascii="Arial" w:cs="Arial" w:eastAsia="Arial" w:hAnsi="Arial"/>
          <w:sz w:val="18"/>
          <w:szCs w:val="18"/>
          <w:b w:val="1"/>
          <w:bCs w:val="1"/>
          <w:color w:val="auto"/>
        </w:rPr>
        <w:t>FOR</w:t>
      </w:r>
      <w:r>
        <w:rPr>
          <w:rFonts w:ascii="Arial" w:cs="Arial" w:eastAsia="Arial" w:hAnsi="Arial"/>
          <w:sz w:val="18"/>
          <w:szCs w:val="18"/>
          <w:color w:val="auto"/>
        </w:rPr>
        <w:t>, adopting and approving an amendment to our Restated Articles of Incorporation increasing the number of authorized common voting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from 100,000,000 to 150,000,000.</w:t>
      </w:r>
    </w:p>
    <w:p>
      <w:pPr>
        <w:spacing w:after="0" w:line="5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approving an amendment to our 2019 Omnibus Equity Incentive Plan to reserve an additional 3,000,000 shares for issuance under the plan.</w:t>
      </w:r>
    </w:p>
    <w:p>
      <w:pPr>
        <w:spacing w:after="0" w:line="140" w:lineRule="exact"/>
        <w:rPr>
          <w:sz w:val="20"/>
          <w:szCs w:val="20"/>
          <w:color w:val="auto"/>
        </w:rPr>
      </w:pPr>
    </w:p>
    <w:p>
      <w:pPr>
        <w:ind w:left="560" w:right="20"/>
        <w:spacing w:after="0" w:line="266"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for purposes of complying with Nasdaq Listing Rule 5635, the issuance of up to 7,645,268 shares of our common stock upon</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68" w:lineRule="exact"/>
        <w:rPr>
          <w:sz w:val="20"/>
          <w:szCs w:val="20"/>
          <w:color w:val="auto"/>
        </w:rPr>
      </w:pPr>
    </w:p>
    <w:p>
      <w:pPr>
        <w:ind w:left="560" w:right="660"/>
        <w:spacing w:after="0" w:line="347" w:lineRule="auto"/>
        <w:rPr>
          <w:sz w:val="20"/>
          <w:szCs w:val="20"/>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authorizing the adjournment of the annual meeting if necessary or appropriate, including to solicit additional proxies if there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sufficient votes at the time of the annual meeting or adjournment or postponement thereof to approve any of the foregoing proposals.</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560" w:right="100"/>
        <w:spacing w:after="0" w:line="256" w:lineRule="auto"/>
        <w:rPr>
          <w:sz w:val="20"/>
          <w:szCs w:val="20"/>
          <w:color w:val="auto"/>
        </w:rPr>
      </w:pPr>
      <w:r>
        <w:rPr>
          <w:rFonts w:ascii="Arial" w:cs="Arial" w:eastAsia="Arial" w:hAnsi="Arial"/>
          <w:sz w:val="18"/>
          <w:szCs w:val="18"/>
          <w:color w:val="auto"/>
        </w:rPr>
        <w:t>Any proxy card returned without directions given will be voted (1) “</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presented in this proxy statement to the Board of Directors,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Cherry Bekaert LLP as our independent registered public accounting firm to audit the financial statements for our 2021 fiscal year, (3) “</w:t>
      </w:r>
      <w:r>
        <w:rPr>
          <w:rFonts w:ascii="Arial" w:cs="Arial" w:eastAsia="Arial" w:hAnsi="Arial"/>
          <w:sz w:val="18"/>
          <w:szCs w:val="18"/>
          <w:b w:val="1"/>
          <w:bCs w:val="1"/>
          <w:color w:val="auto"/>
        </w:rPr>
        <w:t>FOR”</w:t>
      </w:r>
      <w:r>
        <w:rPr>
          <w:rFonts w:ascii="Arial" w:cs="Arial" w:eastAsia="Arial" w:hAnsi="Arial"/>
          <w:sz w:val="18"/>
          <w:szCs w:val="18"/>
          <w:color w:val="auto"/>
        </w:rPr>
        <w:t>, adopting and approving an amendment to our Restated Articles of Incorporation increasing the number of authorized common voting shares (“common stock”) from 100,000,000 to 150,000,000, (4)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approving an amendment to our 2019 Omnibus Equity Incentive Plan to reserve an additional 3,000,000 shares for issuance under the plan, (5)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approving, for purposes of complying with Nasdaq</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color w:val="auto"/>
        </w:rPr>
        <w:t>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 (6) “</w:t>
      </w:r>
      <w:r>
        <w:rPr>
          <w:rFonts w:ascii="Arial" w:cs="Arial" w:eastAsia="Arial" w:hAnsi="Arial"/>
          <w:sz w:val="17"/>
          <w:szCs w:val="17"/>
          <w:b w:val="1"/>
          <w:bCs w:val="1"/>
          <w:color w:val="auto"/>
        </w:rPr>
        <w:t>FOR”</w:t>
      </w:r>
      <w:r>
        <w:rPr>
          <w:rFonts w:ascii="Arial" w:cs="Arial" w:eastAsia="Arial" w:hAnsi="Arial"/>
          <w:sz w:val="17"/>
          <w:szCs w:val="17"/>
          <w:color w:val="auto"/>
        </w:rPr>
        <w:t xml:space="preserve"> authorizing the adjournment of the annual meeting if necessary or appropriate, including to solicit additional proxies if there are not sufficient votes at the time of the annual meeting or adjournment or postponement thereof to approve any of the foregoing proposals, and (7) as to any other business that may come before the 2020 Annual Meeting, in accordance with the judgment of the person or persons named in the proxy.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Your shares may be voted if they are held in the name of a brokerage firm, even if you do not provide the brokerage firm with voting instructions.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21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proposals relating to the election of directors, an amendment to our Omnibus Equity Incentive Plan, and approval of shares of common stock upon conversion, exchange or otherwise to Richard E. Uihlein are not considered “routine” under applicable rules. When a proposal is not a routine matter and the brokerage firm has not received voting instructions from the beneficial owner of the shares with respect to that proposal, the brokerage firm cannot vote the shares on these proposal. This is called a “broker non-vote.”</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proposals to ratify the selection of Cherry Bekaert LLP as our independent auditor for fiscal year 2021, amend our Restated Articles of Incorporation and adjourn the 2021 Annual Meeting are considered routine matters for which brokerage firms may (or may not) vote shares for which they have not received voting instructions. In recent years, several large brokerage firms, such as Charles Schwab and TD Ameritrade have announced that they have eliminated discretionary voting for even “routine” matters. Therefore, if you hold your shares through such brokerage firms, then your shares might not be voted, even for “routine” matters if you do not give voting instruction to your broker. Therefore, we urge every shareholder to vote their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54"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giving our Corporate Secretary, Jack W. Callicutt, written notice to that effect. He may be contacted at 4960 Peachtree Industrial Blvd., Suite 240, Norcross, GA 30071; telephone: 678-620-3186; e-mail: callicutt@galectintherapeutics.com;</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attending the 2021 Annual Meeting virtually via the Internet and voting during the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You may view and also download our proxy materials, including the 2020 Annual Report, our Form 10-K for the year ended December 31, 2020, and the Notice by accessing www.proxyvote.com and on our website at www.galectintherapeutics.com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solicitation of proxies in the enclosed form is made on behalf of the Board of Directors. We have engaged Kingsdale Advisors to assist in the solicitation of proxies for the 2021 Annual Meeting. We have agreed to pay Kingsdale Advisors a fee of up to $9,000, plus disbursements. We will reimburse Kingsdale Advisors for reasonable out-of-pocket expenses and will indemnify Kingsdale Advisors and its affiliates against certain claims, liabilities, losses, damages and expenses.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59,507,036 shares of Common Stock outstanding or deemed outstanding based on voting rights of Series A Preferred Stock on an as-converted basis. Thus, 19,835,679 shares must be represented by stockholders present at the meeting or by proxy to have a quorum.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b w:val="1"/>
          <w:bCs w:val="1"/>
          <w:i w:val="1"/>
          <w:iCs w:val="1"/>
          <w:color w:val="auto"/>
        </w:rPr>
        <w:t>Election of Directors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Directors are elected by a plurality of the votes cast by the holders of shares entitled to vote in the election. There are eleven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nominees and eleven positions to be filled; this means that the eleven individuals receiving the most votes will be elected. Abstentions and broker non-votes will not be relevant to the outcome, but abstentions and votes “withheld” are counted for the purpose of establishing a quorum.</w:t>
      </w:r>
    </w:p>
    <w:p>
      <w:pPr>
        <w:spacing w:after="0" w:line="165"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b w:val="1"/>
          <w:bCs w:val="1"/>
          <w:i w:val="1"/>
          <w:iCs w:val="1"/>
          <w:color w:val="auto"/>
        </w:rPr>
        <w:t>Ratification of independent registered public accounting firm</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votes cast “for” must exceed the votes cast “against” in order to ratify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selection of Cherry Bekaert LLP, as our independent registered public accounting firm. Abstentions will be counted for the purpose of establishing a quorum but will not be relevant to the outcome.</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b w:val="1"/>
          <w:bCs w:val="1"/>
          <w:i w:val="1"/>
          <w:iCs w:val="1"/>
          <w:color w:val="auto"/>
        </w:rPr>
        <w:t xml:space="preserve">Amendment to our Restated Articles of Incorporation. </w:t>
      </w:r>
      <w:r>
        <w:rPr>
          <w:rFonts w:ascii="Arial" w:cs="Arial" w:eastAsia="Arial" w:hAnsi="Arial"/>
          <w:sz w:val="16"/>
          <w:szCs w:val="16"/>
          <w:color w:val="auto"/>
        </w:rPr>
        <w:t>Approval of the amendment to our Restated Articles of Incorporation, requires a majority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votes entitled to be cast on the matter. Accordingly, abstentions and broker non-votes will have the same effect as a vote “against” on this proposal.</w:t>
      </w:r>
    </w:p>
    <w:p>
      <w:pPr>
        <w:spacing w:after="0" w:line="124"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Amendment to our 2019 Omnibus Equity Incentive Plan. </w:t>
      </w:r>
      <w:r>
        <w:rPr>
          <w:rFonts w:ascii="Arial" w:cs="Arial" w:eastAsia="Arial" w:hAnsi="Arial"/>
          <w:sz w:val="18"/>
          <w:szCs w:val="18"/>
          <w:color w:val="auto"/>
        </w:rPr>
        <w:t>The votes cast “for” must exceed the votes cast “against” in order to approve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 to our 2019 Omnibus Equity Incentive Plan to reserve an additional 3,000,000 shares for issuance under the plan. Abstentions will be counted for the purpose of establishing a quorum but will not be relevant to the outcome.</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Approval of the Issuance of Shares to Richard E. Uihlein</w:t>
      </w:r>
      <w:r>
        <w:rPr>
          <w:rFonts w:ascii="Arial" w:cs="Arial" w:eastAsia="Arial" w:hAnsi="Arial"/>
          <w:sz w:val="18"/>
          <w:szCs w:val="18"/>
          <w:color w:val="auto"/>
        </w:rPr>
        <w:t>. The votes cast “for” must exceed the votes cast “against” in order to order to approve,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 Abstentions will be counted for the purpose of establishing a quorum but will not be relevant to the outcome.</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Approval of the adjournment of the 2021 Annual Meeting. </w:t>
      </w:r>
      <w:r>
        <w:rPr>
          <w:rFonts w:ascii="Arial" w:cs="Arial" w:eastAsia="Arial" w:hAnsi="Arial"/>
          <w:sz w:val="18"/>
          <w:szCs w:val="18"/>
          <w:color w:val="auto"/>
        </w:rPr>
        <w:t>The votes cast “for” must exceed the votes cast “against” in order to approve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adjournment of the 2021 Annual Meeting if necessary or appropriate, including to solicit additional proxies if there are not sufficient votes at the time of the annual meeting or adjournment or postponement thereof to approve any of the foregoing proposals. Abstentions will be counted for the purpose of establishing a quorum but will not be relevant to the outcome.</w:t>
      </w:r>
    </w:p>
    <w:p>
      <w:pPr>
        <w:spacing w:after="0" w:line="18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proposals relating to the election of directors, an amendment to our Omnibus Equity Incentive Plan, and approval of shares of common stock upon conversion, exchange or otherwise to Richard E. Uihlein are not considered “routine” under applicable rules. When a proposal is not a routine matter and the brokerage firm has not received voting instructions from the beneficial owner of the shares with respect to that proposal, the brokerage firm cannot vote the shares on these proposal. This is called a “broker non-vote.”</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If your shares are held in street name and you do not provide voting instructions to your broker, bank or other nominee, your broker is entitled to vote your shares with respect to the proposals to ratify the selection of Cherry Bekaert LLP as our independent auditor for fiscal year 2021, amend our Restated Articles of Incorporation and adjourn the 2021 Annual Meeting because these proposals are considered routine matters for which brokerage firms may (or may not) vote shares for which they have not received voting instructions. In recent years, several large brokerage firms, such as Charles Schwab and TD Ameritrade have announced that they have eliminated discretionary voting for even “routine” matters. Therefore, we urge every shareholder to vote their shares.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What is “householding”?</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14, 2022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2022 nor earlier than August 5, 2022, in order to be considered timely.</w:t>
      </w:r>
    </w:p>
    <w:p>
      <w:pPr>
        <w:spacing w:after="0" w:line="19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Notwithstanding the foregoing, if the date of the 2022 annual meeting of stockholders is scheduled to take place on a date that is more than 30 calendar days from the one year anniversary of the 2021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will report the voting results on Form 8-K within four business days after the end of our 2021 Annual Meeting of stockholders. If final voting results are not available to us in time to file a current report on Form 8-K within four business days after the 2021 Annual Meeting, we intend to file a current report on Form 8-K to publish preliminary results and, within four business days after the final results are known to us, file an additional current report on Form 8-K to publish the final results.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table sets forth, as of September 1, 2021,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2021 Annual Meeting.</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September 1, 2021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Shares of</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Shares of</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Series A</w:t>
            </w:r>
          </w:p>
        </w:tc>
        <w:tc>
          <w:tcPr>
            <w:tcW w:w="10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1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Common</w:t>
            </w:r>
          </w:p>
        </w:tc>
        <w:tc>
          <w:tcPr>
            <w:tcW w:w="116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 of</w:t>
            </w:r>
          </w:p>
        </w:tc>
        <w:tc>
          <w:tcPr>
            <w:tcW w:w="1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Preferred</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3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9"/>
              </w:rPr>
              <w:t>Stock</w:t>
            </w: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Series A</w:t>
            </w:r>
          </w:p>
        </w:tc>
        <w:tc>
          <w:tcPr>
            <w:tcW w:w="0" w:type="dxa"/>
            <w:vAlign w:val="bottom"/>
          </w:tcPr>
          <w:p>
            <w:pPr>
              <w:spacing w:after="0"/>
              <w:rPr>
                <w:sz w:val="1"/>
                <w:szCs w:val="1"/>
                <w:color w:val="auto"/>
              </w:rPr>
            </w:pPr>
          </w:p>
        </w:tc>
      </w:tr>
      <w:tr>
        <w:trPr>
          <w:trHeight w:val="148"/>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Address(1)</w:t>
            </w:r>
          </w:p>
        </w:tc>
        <w:tc>
          <w:tcPr>
            <w:tcW w:w="3080" w:type="dxa"/>
            <w:vAlign w:val="bottom"/>
            <w:vMerge w:val="restart"/>
          </w:tcPr>
          <w:p>
            <w:pPr>
              <w:spacing w:after="0"/>
              <w:rPr>
                <w:sz w:val="12"/>
                <w:szCs w:val="12"/>
                <w:color w:val="auto"/>
              </w:rPr>
            </w:pPr>
          </w:p>
        </w:tc>
        <w:tc>
          <w:tcPr>
            <w:tcW w:w="13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Common</w:t>
            </w:r>
          </w:p>
        </w:tc>
        <w:tc>
          <w:tcPr>
            <w:tcW w:w="13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3080" w:type="dxa"/>
            <w:vAlign w:val="bottom"/>
            <w:vMerge w:val="continue"/>
          </w:tcPr>
          <w:p>
            <w:pPr>
              <w:spacing w:after="0"/>
              <w:rPr>
                <w:sz w:val="15"/>
                <w:szCs w:val="15"/>
                <w:color w:val="auto"/>
              </w:rPr>
            </w:pPr>
          </w:p>
        </w:tc>
        <w:tc>
          <w:tcPr>
            <w:tcW w:w="13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7"/>
              </w:rPr>
              <w:t>Owned(2)</w:t>
            </w:r>
          </w:p>
        </w:tc>
        <w:tc>
          <w:tcPr>
            <w:tcW w:w="180" w:type="dxa"/>
            <w:vAlign w:val="bottom"/>
          </w:tcPr>
          <w:p>
            <w:pPr>
              <w:spacing w:after="0"/>
              <w:rPr>
                <w:sz w:val="15"/>
                <w:szCs w:val="15"/>
                <w:color w:val="auto"/>
              </w:rPr>
            </w:pPr>
          </w:p>
        </w:tc>
        <w:tc>
          <w:tcPr>
            <w:tcW w:w="9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Stock(3)</w:t>
            </w:r>
          </w:p>
        </w:tc>
        <w:tc>
          <w:tcPr>
            <w:tcW w:w="180" w:type="dxa"/>
            <w:vAlign w:val="bottom"/>
          </w:tcPr>
          <w:p>
            <w:pPr>
              <w:spacing w:after="0"/>
              <w:rPr>
                <w:sz w:val="15"/>
                <w:szCs w:val="15"/>
                <w:color w:val="auto"/>
              </w:rPr>
            </w:pPr>
          </w:p>
        </w:tc>
        <w:tc>
          <w:tcPr>
            <w:tcW w:w="112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4"/>
              </w:rPr>
              <w:t>Owned</w:t>
            </w:r>
          </w:p>
        </w:tc>
        <w:tc>
          <w:tcPr>
            <w:tcW w:w="200" w:type="dxa"/>
            <w:vAlign w:val="bottom"/>
          </w:tcPr>
          <w:p>
            <w:pPr>
              <w:spacing w:after="0"/>
              <w:rPr>
                <w:sz w:val="15"/>
                <w:szCs w:val="15"/>
                <w:color w:val="auto"/>
              </w:rPr>
            </w:pPr>
          </w:p>
        </w:tc>
        <w:tc>
          <w:tcPr>
            <w:tcW w:w="8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Stock(4)</w:t>
            </w:r>
          </w:p>
        </w:tc>
        <w:tc>
          <w:tcPr>
            <w:tcW w:w="0" w:type="dxa"/>
            <w:vAlign w:val="bottom"/>
          </w:tcPr>
          <w:p>
            <w:pPr>
              <w:spacing w:after="0"/>
              <w:rPr>
                <w:sz w:val="1"/>
                <w:szCs w:val="1"/>
                <w:color w:val="auto"/>
              </w:rPr>
            </w:pPr>
          </w:p>
        </w:tc>
      </w:tr>
      <w:tr>
        <w:trPr>
          <w:trHeight w:val="190"/>
        </w:trPr>
        <w:tc>
          <w:tcPr>
            <w:tcW w:w="4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8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13,013,596(5)</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19.9%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(9)</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11,971,188(6)</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David Smith (8)</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3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Early Equities LLC (10)</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100,000(8)</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Richard E. Uihlein (12)</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11,228,949(13)</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4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Directors, New Director</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Nominee and Other Named</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860" w:type="dxa"/>
            <w:vAlign w:val="bottom"/>
          </w:tcPr>
          <w:p>
            <w:pPr>
              <w:jc w:val="right"/>
              <w:spacing w:after="0"/>
              <w:rPr>
                <w:sz w:val="20"/>
                <w:szCs w:val="20"/>
                <w:color w:val="auto"/>
              </w:rPr>
            </w:pPr>
            <w:r>
              <w:rPr>
                <w:rFonts w:ascii="Arial" w:cs="Arial" w:eastAsia="Arial" w:hAnsi="Arial"/>
                <w:sz w:val="18"/>
                <w:szCs w:val="18"/>
                <w:color w:val="auto"/>
              </w:rPr>
              <w:t>135,614</w:t>
            </w:r>
          </w:p>
        </w:tc>
        <w:tc>
          <w:tcPr>
            <w:tcW w:w="48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Czirr</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13,013,596(5)</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911,575(14)</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Freeman</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891,910(11)</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Joel Lewis</w:t>
            </w:r>
          </w:p>
        </w:tc>
        <w:tc>
          <w:tcPr>
            <w:tcW w:w="860" w:type="dxa"/>
            <w:vAlign w:val="bottom"/>
          </w:tcPr>
          <w:p>
            <w:pPr>
              <w:jc w:val="right"/>
              <w:spacing w:after="0"/>
              <w:rPr>
                <w:sz w:val="20"/>
                <w:szCs w:val="20"/>
                <w:color w:val="auto"/>
              </w:rPr>
            </w:pPr>
            <w:r>
              <w:rPr>
                <w:rFonts w:ascii="Arial" w:cs="Arial" w:eastAsia="Arial" w:hAnsi="Arial"/>
                <w:sz w:val="18"/>
                <w:szCs w:val="18"/>
                <w:color w:val="auto"/>
              </w:rPr>
              <w:t>513,346</w:t>
            </w:r>
          </w:p>
        </w:tc>
        <w:tc>
          <w:tcPr>
            <w:tcW w:w="48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S. Omenn, M.D., Ph.D.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260,990</w:t>
            </w:r>
          </w:p>
        </w:tc>
        <w:tc>
          <w:tcPr>
            <w:tcW w:w="4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Marc Rubin, M.D.</w:t>
            </w:r>
          </w:p>
        </w:tc>
        <w:tc>
          <w:tcPr>
            <w:tcW w:w="860" w:type="dxa"/>
            <w:vAlign w:val="bottom"/>
          </w:tcPr>
          <w:p>
            <w:pPr>
              <w:jc w:val="right"/>
              <w:spacing w:after="0"/>
              <w:rPr>
                <w:sz w:val="20"/>
                <w:szCs w:val="20"/>
                <w:color w:val="auto"/>
              </w:rPr>
            </w:pPr>
            <w:r>
              <w:rPr>
                <w:rFonts w:ascii="Arial" w:cs="Arial" w:eastAsia="Arial" w:hAnsi="Arial"/>
                <w:sz w:val="18"/>
                <w:szCs w:val="18"/>
                <w:color w:val="auto"/>
              </w:rPr>
              <w:t>118,146</w:t>
            </w:r>
          </w:p>
        </w:tc>
        <w:tc>
          <w:tcPr>
            <w:tcW w:w="48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Elissa J. Schwartz, Ph.D.</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860" w:type="dxa"/>
            <w:vAlign w:val="bottom"/>
          </w:tcPr>
          <w:p>
            <w:pPr>
              <w:jc w:val="right"/>
              <w:spacing w:after="0"/>
              <w:rPr>
                <w:sz w:val="20"/>
                <w:szCs w:val="20"/>
                <w:color w:val="auto"/>
              </w:rPr>
            </w:pPr>
            <w:r>
              <w:rPr>
                <w:rFonts w:ascii="Arial" w:cs="Arial" w:eastAsia="Arial" w:hAnsi="Arial"/>
                <w:sz w:val="18"/>
                <w:szCs w:val="18"/>
                <w:color w:val="auto"/>
              </w:rPr>
              <w:t>384,206</w:t>
            </w:r>
          </w:p>
        </w:tc>
        <w:tc>
          <w:tcPr>
            <w:tcW w:w="48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Uihlein</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11,228,949(13)</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Richard A. Zordani</w:t>
            </w:r>
          </w:p>
        </w:tc>
        <w:tc>
          <w:tcPr>
            <w:tcW w:w="860" w:type="dxa"/>
            <w:vAlign w:val="bottom"/>
          </w:tcPr>
          <w:p>
            <w:pPr>
              <w:jc w:val="right"/>
              <w:spacing w:after="0"/>
              <w:rPr>
                <w:sz w:val="20"/>
                <w:szCs w:val="20"/>
                <w:color w:val="auto"/>
              </w:rPr>
            </w:pPr>
            <w:r>
              <w:rPr>
                <w:rFonts w:ascii="Arial" w:cs="Arial" w:eastAsia="Arial" w:hAnsi="Arial"/>
                <w:sz w:val="18"/>
                <w:szCs w:val="18"/>
                <w:color w:val="auto"/>
              </w:rPr>
              <w:t>15,353</w:t>
            </w:r>
          </w:p>
        </w:tc>
        <w:tc>
          <w:tcPr>
            <w:tcW w:w="48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 F. Boudes, M.D.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4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860" w:type="dxa"/>
            <w:vAlign w:val="bottom"/>
          </w:tcPr>
          <w:p>
            <w:pPr>
              <w:jc w:val="right"/>
              <w:spacing w:after="0"/>
              <w:rPr>
                <w:sz w:val="20"/>
                <w:szCs w:val="20"/>
                <w:color w:val="auto"/>
              </w:rPr>
            </w:pPr>
            <w:r>
              <w:rPr>
                <w:rFonts w:ascii="Arial" w:cs="Arial" w:eastAsia="Arial" w:hAnsi="Arial"/>
                <w:sz w:val="18"/>
                <w:szCs w:val="18"/>
                <w:color w:val="auto"/>
              </w:rPr>
              <w:t>318,905</w:t>
            </w:r>
          </w:p>
        </w:tc>
        <w:tc>
          <w:tcPr>
            <w:tcW w:w="48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4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executive officers and directors as a group</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4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(13 persons)</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27,865,090(7)</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3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right="240" w:hanging="424"/>
        <w:spacing w:after="0" w:line="260"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700" w:hanging="424"/>
        <w:spacing w:after="0" w:line="27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September 1, 2021.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Directors, Nominees and Named Executive Officers</w:t>
            </w:r>
          </w:p>
        </w:tc>
        <w:tc>
          <w:tcPr>
            <w:tcW w:w="2040" w:type="dxa"/>
            <w:vAlign w:val="bottom"/>
          </w:tcPr>
          <w:p>
            <w:pPr>
              <w:spacing w:after="0"/>
              <w:rPr>
                <w:sz w:val="16"/>
                <w:szCs w:val="16"/>
                <w:color w:val="auto"/>
              </w:rPr>
            </w:pPr>
          </w:p>
        </w:tc>
        <w:tc>
          <w:tcPr>
            <w:tcW w:w="2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Options Exercisable Within 60 Days</w:t>
            </w: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2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255,125</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101,875</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179,839</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230,082</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178,750</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104,565</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Harold Shlevin, Ph.D.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375,500</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Uihlein</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66,362</w:t>
            </w: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72,500</w:t>
            </w: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Callicutt</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314,706</w:t>
            </w:r>
          </w:p>
        </w:tc>
      </w:tr>
      <w:tr>
        <w:trPr>
          <w:trHeight w:val="224"/>
        </w:trPr>
        <w:tc>
          <w:tcPr>
            <w:tcW w:w="520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2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1,954,304</w:t>
            </w:r>
          </w:p>
        </w:tc>
        <w:tc>
          <w:tcPr>
            <w:tcW w:w="60" w:type="dxa"/>
            <w:vAlign w:val="bottom"/>
          </w:tcPr>
          <w:p>
            <w:pPr>
              <w:spacing w:after="0"/>
              <w:rPr>
                <w:sz w:val="19"/>
                <w:szCs w:val="19"/>
                <w:color w:val="auto"/>
              </w:rPr>
            </w:pPr>
          </w:p>
        </w:tc>
      </w:tr>
    </w:tbl>
    <w:p>
      <w:pPr>
        <w:spacing w:after="0" w:line="106" w:lineRule="exact"/>
        <w:rPr>
          <w:sz w:val="20"/>
          <w:szCs w:val="20"/>
          <w:color w:val="auto"/>
        </w:rPr>
      </w:pPr>
    </w:p>
    <w:p>
      <w:pPr>
        <w:ind w:left="540" w:right="140" w:hanging="424"/>
        <w:spacing w:after="0" w:line="254"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Common Stock is calculated by dividing the number of shares of our Common Stock beneficially owned by such person or group by the sum of (i) 59,289,952 shares of our Common Stock outstanding as of September 1, 2021 and (ii) the number of shares of our Common Stock that such person has the right to acquire within 60 days after September 1, 2021.</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1,302,500 shares of Series A preferred stock outstanding as of September 1, 2021.</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Includes (i) 6,238,935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770,616 shares of Common Stock owned by Mr. Czirr, 255,125 shares issuable upon the exercise of vested stock options owned by Mr. Czirr, and 16,667 shares of our Common Stock issuable upon conversion of Series A preferred stock owned by Mr. Czirr</w:t>
      </w: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6,238,935 common shares, and (ii) 5,732,253 common shares issuable upon exercise of warrants.</w:t>
      </w:r>
    </w:p>
    <w:p>
      <w:pPr>
        <w:spacing w:after="0" w:line="9" w:lineRule="exact"/>
        <w:rPr>
          <w:rFonts w:ascii="Arial" w:cs="Arial" w:eastAsia="Arial" w:hAnsi="Arial"/>
          <w:sz w:val="18"/>
          <w:szCs w:val="18"/>
          <w:color w:val="auto"/>
        </w:rPr>
      </w:pPr>
    </w:p>
    <w:p>
      <w:pPr>
        <w:jc w:val="both"/>
        <w:ind w:left="540" w:right="32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5,732,253 common shares issuable upon exercise of warrants and (ii) 6,238,935 common shares owned by 10X Fund, as to which Mr. Czirr has voting and investment control but are counted one time for purposes of this total. For additional information about the beneficial ownership of our capital stock by Mr. Czirr, see note 5.</w:t>
      </w:r>
    </w:p>
    <w:p>
      <w:pPr>
        <w:spacing w:after="0" w:line="1" w:lineRule="exact"/>
        <w:rPr>
          <w:rFonts w:ascii="Arial" w:cs="Arial" w:eastAsia="Arial" w:hAnsi="Arial"/>
          <w:sz w:val="18"/>
          <w:szCs w:val="18"/>
          <w:color w:val="auto"/>
        </w:rPr>
      </w:pPr>
    </w:p>
    <w:p>
      <w:pPr>
        <w:ind w:left="540" w:right="42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540" w:right="4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Contact: c/o 10X Capital Management, LLC at Davis Gillett Mottern &amp; Sims LLC attn: Bob Mottern 545 Dutch Valley Road, N.E., Suite A, Atlanta, GA 30309.</w:t>
      </w: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567,170 shares of the Company’s Common Stock and warrants for the purchase of 75,432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9" w:lineRule="exact"/>
        <w:rPr>
          <w:rFonts w:ascii="Arial" w:cs="Arial" w:eastAsia="Arial" w:hAnsi="Arial"/>
          <w:sz w:val="18"/>
          <w:szCs w:val="18"/>
          <w:color w:val="auto"/>
        </w:rPr>
      </w:pPr>
    </w:p>
    <w:p>
      <w:pPr>
        <w:jc w:val="both"/>
        <w:ind w:left="540" w:right="26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(i) 7,942,869 shares of common stock, (ii) 3,136,384 common shares issuable upon the exercise of Common Stock purchase warrants, (iii) 83,334 common shares issuable upon conversion of Series C preferred non-voting stock, and (iv) 66,362 common shares issuable upon the exercise of common stock options.</w:t>
      </w:r>
    </w:p>
    <w:p>
      <w:pPr>
        <w:spacing w:after="0" w:line="1" w:lineRule="exact"/>
        <w:rPr>
          <w:rFonts w:ascii="Arial" w:cs="Arial" w:eastAsia="Arial" w:hAnsi="Arial"/>
          <w:sz w:val="18"/>
          <w:szCs w:val="18"/>
          <w:color w:val="auto"/>
        </w:rPr>
      </w:pPr>
    </w:p>
    <w:p>
      <w:pPr>
        <w:ind w:left="540" w:right="120" w:hanging="424"/>
        <w:spacing w:after="0" w:line="253"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44,915 shares of Common Stock and 16,869 Common Stock purchase warrants personally owned by Mr. Eldred, 431,527 shares of Common Stock and 311,964 Common Stock purchase warrants owned by two private foundations over which Mr. Eldred shares management control, and 4,425 shares of Common Stock held in a trust or for a minor child; however, Mr. Eldred disclaims beneficial ownership of the shares and warrants owned by such private foundations or trusts.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2020, except for an Initial Statement of Beneficial Ownership on Form 3 for each of Richard A. Zordani and Elissa J. Schwartz relating to their appointment to the Board of Directors on August 31, 2020. Each of these Form 3s have subsequently been filed with the SEC.</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Nominating and Corporate Governance Committee of our Board of Directors, or “Board”, has nominated eleven members currently serving on our Board, identified below, to be re-elected at the 2021 Annual Meeting to serve until the 2022 annual meeting of stockholders and until their respective successors are elected and qualified. James C. Czirr is being nominated by 10X Fund L.P., pursuant to contractual rights set forth in certain warrants to purchase Common Stock that 10X Fund L.P. holds. Each of the director nominees has agreed to serve on the Board, if elected.</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Set forth below is information regarding the nominees, as of December 3, 2021, including their ages, positions with Galectin Therapeutics, recent employment and other directorships.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persons who have been nominated for election at the 2021 Annual Meeting to serve on our Board of Directors are named in the table below.</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Proxies cannot be voted for a greater number of persons than the number of nominees named.</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Company Nominees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6300" w:type="dxa"/>
            <w:vAlign w:val="bottom"/>
          </w:tcPr>
          <w:p>
            <w:pPr>
              <w:spacing w:after="0"/>
              <w:rPr>
                <w:sz w:val="16"/>
                <w:szCs w:val="16"/>
                <w:color w:val="auto"/>
              </w:rPr>
            </w:pPr>
          </w:p>
        </w:tc>
        <w:tc>
          <w:tcPr>
            <w:tcW w:w="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3"/>
              </w:rPr>
              <w:t>Age</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Director Since</w:t>
            </w:r>
          </w:p>
        </w:tc>
      </w:tr>
      <w:tr>
        <w:trPr>
          <w:trHeight w:val="203"/>
        </w:trPr>
        <w:tc>
          <w:tcPr>
            <w:tcW w:w="6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 (2)(3)</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2009</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 (1)</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2018</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Kevin D. Freeman (1)(2)(3)</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2011</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Gilbert S. Omenn, M.D., Ph.D. (2)</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80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2014</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 (3)</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66</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Elissa J. Schwartz, Ph.D.</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51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2020</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2019</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Richard E. Uihlein, Chairman</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2017</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Zordani (1)</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nominating and governance committee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Gilbert F. Amelio, Ph.D</w:t>
      </w:r>
      <w:r>
        <w:rPr>
          <w:rFonts w:ascii="Arial" w:cs="Arial" w:eastAsia="Arial" w:hAnsi="Arial"/>
          <w:sz w:val="16"/>
          <w:szCs w:val="16"/>
          <w:color w:val="auto"/>
        </w:rPr>
        <w:t>., a director since February 2009, began his career at Bell Labs in Murray Hill, New Jersey. Since January 1, 2012, Dr. Amelio</w:t>
      </w:r>
      <w:r>
        <w:rPr>
          <w:rFonts w:ascii="Arial" w:cs="Arial" w:eastAsia="Arial" w:hAnsi="Arial"/>
          <w:sz w:val="16"/>
          <w:szCs w:val="16"/>
          <w:i w:val="1"/>
          <w:iCs w:val="1"/>
          <w:color w:val="auto"/>
        </w:rPr>
        <w:t xml:space="preserve"> </w:t>
      </w:r>
      <w:r>
        <w:rPr>
          <w:rFonts w:ascii="Arial" w:cs="Arial" w:eastAsia="Arial" w:hAnsi="Arial"/>
          <w:sz w:val="16"/>
          <w:szCs w:val="16"/>
          <w:color w:val="auto"/>
        </w:rPr>
        <w:t>has provided consulting and advisory services through GFA, LLC, a California limited liability company. He was a Senior Partner of Sienna Ventures (a privately held venture capital firm in Sausalito, California) from April 2001 until the fund closed per plan on December 31, 2011. 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i w:val="1"/>
          <w:iCs w:val="1"/>
          <w:color w:val="auto"/>
        </w:rPr>
        <w:t>James C. Czirr</w:t>
      </w:r>
      <w:r>
        <w:rPr>
          <w:rFonts w:ascii="Arial" w:cs="Arial" w:eastAsia="Arial" w:hAnsi="Arial"/>
          <w:sz w:val="17"/>
          <w:szCs w:val="17"/>
          <w:color w:val="auto"/>
        </w:rPr>
        <w:t>, is being nominated by 10X Fund L.P., pursuant to contractual rights set forth in certain warrants to purchase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10X Fund L.P. holds. Mr. Czirr has served as a director since February 2009,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8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Kary Eldred, </w:t>
      </w:r>
      <w:r>
        <w:rPr>
          <w:rFonts w:ascii="Arial" w:cs="Arial" w:eastAsia="Arial" w:hAnsi="Arial"/>
          <w:sz w:val="17"/>
          <w:szCs w:val="17"/>
          <w:color w:val="auto"/>
        </w:rPr>
        <w:t>is a director since 2018 and Chief Investment Officer for the Living Stones Foundation since July 2015 and has been an active</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Kevin D. Freeman, </w:t>
      </w:r>
      <w:r>
        <w:rPr>
          <w:rFonts w:ascii="Arial" w:cs="Arial" w:eastAsia="Arial" w:hAnsi="Arial"/>
          <w:sz w:val="17"/>
          <w:szCs w:val="17"/>
          <w:color w:val="auto"/>
        </w:rPr>
        <w:t>a director since May 2011, holds the Chartered Financial Analyst designation and is Chief Executive Officer of Cross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i w:val="1"/>
          <w:iCs w:val="1"/>
          <w:color w:val="auto"/>
        </w:rPr>
        <w:t>Joel Lewis</w:t>
      </w:r>
      <w:r>
        <w:rPr>
          <w:rFonts w:ascii="Arial" w:cs="Arial" w:eastAsia="Arial" w:hAnsi="Arial"/>
          <w:sz w:val="16"/>
          <w:szCs w:val="16"/>
          <w:color w:val="auto"/>
        </w:rPr>
        <w:t>, a director since 2017, became our President and Chief Executive Officer on September 2, 2020. Previously, he was the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of Shareholder Services at Uline, Inc. (a distributor of shipping, packaging and industrial supplies), a position he held from 2007 through 2019. Mr. Lewis is a financial executive with over 26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high-net-worth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66"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Gilbert S. Omenn, M.D., Ph.D.</w:t>
      </w:r>
      <w:r>
        <w:rPr>
          <w:rFonts w:ascii="Arial" w:cs="Arial" w:eastAsia="Arial" w:hAnsi="Arial"/>
          <w:sz w:val="16"/>
          <w:szCs w:val="16"/>
          <w:color w:val="auto"/>
        </w:rPr>
        <w:t>, a director since September 2014, served on the board of directors of Amgen Inc. for 27 years and of Rohm &amp;</w:t>
      </w:r>
      <w:r>
        <w:rPr>
          <w:rFonts w:ascii="Arial" w:cs="Arial" w:eastAsia="Arial" w:hAnsi="Arial"/>
          <w:sz w:val="16"/>
          <w:szCs w:val="16"/>
          <w:i w:val="1"/>
          <w:iCs w:val="1"/>
          <w:color w:val="auto"/>
        </w:rPr>
        <w:t xml:space="preserve"> </w:t>
      </w:r>
      <w:r>
        <w:rPr>
          <w:rFonts w:ascii="Arial" w:cs="Arial" w:eastAsia="Arial" w:hAnsi="Arial"/>
          <w:sz w:val="16"/>
          <w:szCs w:val="16"/>
          <w:color w:val="auto"/>
        </w:rPr>
        <w:t>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7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 xml:space="preserve">Marc Rubin, M.D, </w:t>
      </w:r>
      <w:r>
        <w:rPr>
          <w:rFonts w:ascii="Arial" w:cs="Arial" w:eastAsia="Arial" w:hAnsi="Arial"/>
          <w:sz w:val="18"/>
          <w:szCs w:val="18"/>
          <w:color w:val="auto"/>
        </w:rPr>
        <w:t>a director since October 2011 and Chairman of the Board from January 2016 through May 2018, is Executive Chairman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1" w:lineRule="auto"/>
        <w:rPr>
          <w:sz w:val="20"/>
          <w:szCs w:val="20"/>
          <w:color w:val="auto"/>
        </w:rPr>
      </w:pPr>
      <w:r>
        <w:rPr>
          <w:rFonts w:ascii="Arial" w:cs="Arial" w:eastAsia="Arial" w:hAnsi="Arial"/>
          <w:sz w:val="17"/>
          <w:szCs w:val="17"/>
          <w:color w:val="auto"/>
        </w:rPr>
        <w:t>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78"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i w:val="1"/>
          <w:iCs w:val="1"/>
          <w:color w:val="auto"/>
        </w:rPr>
        <w:t xml:space="preserve">Elissa J. Schwartz, Ph.D., </w:t>
      </w:r>
      <w:r>
        <w:rPr>
          <w:rFonts w:ascii="Arial" w:cs="Arial" w:eastAsia="Arial" w:hAnsi="Arial"/>
          <w:sz w:val="16"/>
          <w:szCs w:val="16"/>
          <w:color w:val="auto"/>
        </w:rPr>
        <w:t>a director appointed by the board in September 2020, is a disease modeler who is currently a professor of biological</w:t>
      </w:r>
      <w:r>
        <w:rPr>
          <w:rFonts w:ascii="Arial" w:cs="Arial" w:eastAsia="Arial" w:hAnsi="Arial"/>
          <w:sz w:val="16"/>
          <w:szCs w:val="16"/>
          <w:i w:val="1"/>
          <w:iCs w:val="1"/>
          <w:color w:val="auto"/>
        </w:rPr>
        <w:t xml:space="preserve"> </w:t>
      </w:r>
      <w:r>
        <w:rPr>
          <w:rFonts w:ascii="Arial" w:cs="Arial" w:eastAsia="Arial" w:hAnsi="Arial"/>
          <w:sz w:val="16"/>
          <w:szCs w:val="16"/>
          <w:color w:val="auto"/>
        </w:rPr>
        <w:t>sciences and mathematics at Washington State University (WSU). She received a PhD in Biomedical Sciences from Mount Sinai–NYU, a BA in Mathematics from UC Berkeley, and interdisciplinary postdoctoral training in Biomathematics and Biostatistics from UCLA. She is also affiliated with the WSU College of Veterinary Medicine in microbiology and pathology, and she is currently on the WSU COVID-19 modeling task force.</w:t>
      </w:r>
    </w:p>
    <w:p>
      <w:pPr>
        <w:spacing w:after="0" w:line="1"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Dr. Schwartz is the author of over 30 scientific publications on infectious disease, the immune response, and biological modeling. She serves on the Board of Directors for the Society for Mathematical Biology, and she previously served as a consultant for Pharmerit International, LP, a pharmaceutical economics company. Dr. Schwartz has held fellowships with the Mathematical Biosciences Institute (Ohio State University) and the African Institute for Mathematical Sciences (Cape Town, South Africa), and she served on the teaching faculty for courses in British Columbia, India, and Nepal. We believe Dr. Schwartz’ qualifications to sit on our Board of Directors include her extensive expertise in biomathematics and biostatistics in the pharmaceutical industry.</w:t>
      </w:r>
    </w:p>
    <w:p>
      <w:pPr>
        <w:spacing w:after="0" w:line="194"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i w:val="1"/>
          <w:iCs w:val="1"/>
          <w:color w:val="auto"/>
        </w:rPr>
        <w:t>Harold Shlevin, Ph.D.</w:t>
      </w:r>
      <w:r>
        <w:rPr>
          <w:rFonts w:ascii="Arial" w:cs="Arial" w:eastAsia="Arial" w:hAnsi="Arial"/>
          <w:sz w:val="17"/>
          <w:szCs w:val="17"/>
          <w:color w:val="auto"/>
        </w:rPr>
        <w:t>, retired from being our President and Chief Executive Officer on September 2, 2020, a position he had held since June 14,</w:t>
      </w:r>
      <w:r>
        <w:rPr>
          <w:rFonts w:ascii="Arial" w:cs="Arial" w:eastAsia="Arial" w:hAnsi="Arial"/>
          <w:sz w:val="17"/>
          <w:szCs w:val="17"/>
          <w:i w:val="1"/>
          <w:iCs w:val="1"/>
          <w:color w:val="auto"/>
        </w:rPr>
        <w:t xml:space="preserve"> </w:t>
      </w:r>
      <w:r>
        <w:rPr>
          <w:rFonts w:ascii="Arial" w:cs="Arial" w:eastAsia="Arial" w:hAnsi="Arial"/>
          <w:sz w:val="17"/>
          <w:szCs w:val="17"/>
          <w:color w:val="auto"/>
        </w:rPr>
        <w:t>2018; and serves as a consultant to the Company. Dr. Shlevin previously served as our 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18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Richard E. Uihlein</w:t>
      </w:r>
      <w:r>
        <w:rPr>
          <w:rFonts w:ascii="Arial" w:cs="Arial" w:eastAsia="Arial" w:hAnsi="Arial"/>
          <w:sz w:val="18"/>
          <w:szCs w:val="18"/>
          <w:color w:val="auto"/>
        </w:rPr>
        <w:t>, a director since 2017 and Chairman since May 2018, co-founded Uline, Inc. (a leading distributor of shipping, packaging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8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i w:val="1"/>
          <w:iCs w:val="1"/>
          <w:color w:val="auto"/>
        </w:rPr>
        <w:t xml:space="preserve">Richard A. Zordani, </w:t>
      </w:r>
      <w:r>
        <w:rPr>
          <w:rFonts w:ascii="Arial" w:cs="Arial" w:eastAsia="Arial" w:hAnsi="Arial"/>
          <w:sz w:val="17"/>
          <w:szCs w:val="17"/>
          <w:color w:val="auto"/>
        </w:rPr>
        <w:t>a director appointed by the board in September 2020, has been the Director of Shareholder Services at Uline, Inc. (a</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distributor of shipping, packaging and industrial supplies) since 2013. Prior to joining Uline, Mr. Zordani served as a Director and Vice President for Diversified Financial Management Corp. (Pritzker family office) where he advised on complex legal and tax structures for domestic and foreign entities and trusts from 2003 through 2013 and an Audit Manager for Altschuler, Melvoin &amp; Glasser LLP (now RSM McGladrey) from 1996 through 2003. Mr. Zordani received his undergraduate degree from the University of Illinois at Urbana/Champaign and is a Registered CPA in the state of Illinois. We believe that Mr. Zordani’s qualifications to sit on our Board include his business and financial expertise.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Joel Lewis, </w:t>
      </w:r>
      <w:r>
        <w:rPr>
          <w:rFonts w:ascii="Arial" w:cs="Arial" w:eastAsia="Arial" w:hAnsi="Arial"/>
          <w:sz w:val="18"/>
          <w:szCs w:val="18"/>
          <w:color w:val="auto"/>
        </w:rPr>
        <w:t>see above under Nominees.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Jack W. Callicutt</w:t>
      </w:r>
      <w:r>
        <w:rPr>
          <w:rFonts w:ascii="Arial" w:cs="Arial" w:eastAsia="Arial" w:hAnsi="Arial"/>
          <w:sz w:val="18"/>
          <w:szCs w:val="18"/>
          <w:color w:val="auto"/>
        </w:rPr>
        <w:t>, age 54, became our Chief Financial Officer on July 1, 2013. From August 2012 through June 2012, Mr. Callicutt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Pol F. Boudes, M.D.</w:t>
      </w:r>
      <w:r>
        <w:rPr>
          <w:rFonts w:ascii="Arial" w:cs="Arial" w:eastAsia="Arial" w:hAnsi="Arial"/>
          <w:sz w:val="16"/>
          <w:szCs w:val="16"/>
          <w:color w:val="auto"/>
        </w:rPr>
        <w:t>, age 64, became the Company’s Chief Medical Officer on March 2, 2020. Prior to joining the Company, Dr. Boudes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Chief Medical Officer of CymaBay Therapeutics from March 2014 through October 2019, where he worked on CymaBay’s proprietary NASH compound and was instrumental in inventing and launching programs in rare liver diseases. Prior to his time at CymaBay, Dr. Boudes served as the Chief Medical Officer of Amicus Therapeutics, a company focusing on rare lysosomal storage disorders. Following this experience, Dr. Boudes became a Board member of Protalix BioTherapeutics, a company developing plant cell expressed recombinant proteins with improved therapeutic profiles, notably for lysosomal disorders. Before his time working as a Chief Medical Officer, Dr. Boudes held positions of increased responsibilities in clinical development at Bayer HealthCare Pharmaceuticals, Wyeth Research, Hoffman-La Roche and Pasteur Merieux.</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Chief Medical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Arial" w:cs="Arial" w:eastAsia="Arial" w:hAnsi="Arial"/>
          <w:sz w:val="17"/>
          <w:szCs w:val="17"/>
          <w:u w:val="single" w:color="auto"/>
          <w:color w:val="auto"/>
        </w:rPr>
        <w:t>www.galectintherapeutics.com</w:t>
      </w:r>
      <w:r>
        <w:rPr>
          <w:rFonts w:ascii="Arial" w:cs="Arial" w:eastAsia="Arial" w:hAnsi="Arial"/>
          <w:sz w:val="17"/>
          <w:szCs w:val="17"/>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Compensation Committee met 4 times in 2020. Dr. Gilbert S. Omenn (chair), Gilbert F. Amelio, Ph.D. and Kevin F. Freeman are the members of the Compensation Committee.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administration of grants and awards to directors, officers, employees, consultants and advisors under our equity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Audit Committee met 5 times in 2020. The members of this committee are Richard A. Zordani (chair), Kary Eldred and Kevin D. Freeman. The Audit Committee is responsible for oversight of the quality and integrity of the accounting, auditing and reporting practices of Galectin Therapeutics. More specifically, it assists the Board of Directors in fulfilling its oversight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Zordani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Nominating and Corporate Governance Committee met 3 times in 2020. Gilbert F. Amelio, Ph.D. (chair), Marc Rubin and Kevin Freeman are the members of the Nominating and Corporate Governance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the Company, either directly or indirectly. Based upon this review, our board has determined that all of our directors other than Mr. Lewis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Zordani,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w:t>
      </w:r>
    </w:p>
    <w:p>
      <w:pPr>
        <w:spacing w:after="0" w:line="2" w:lineRule="exact"/>
        <w:rPr>
          <w:sz w:val="20"/>
          <w:szCs w:val="20"/>
          <w:color w:val="auto"/>
        </w:rPr>
      </w:pPr>
    </w:p>
    <w:p>
      <w:pPr>
        <w:ind w:left="120" w:right="400"/>
        <w:spacing w:after="0" w:line="255" w:lineRule="auto"/>
        <w:rPr>
          <w:sz w:val="20"/>
          <w:szCs w:val="20"/>
          <w:color w:val="auto"/>
        </w:rPr>
      </w:pPr>
      <w:r>
        <w:rPr>
          <w:rFonts w:ascii="Arial" w:cs="Arial" w:eastAsia="Arial" w:hAnsi="Arial"/>
          <w:sz w:val="18"/>
          <w:szCs w:val="18"/>
          <w:color w:val="auto"/>
        </w:rPr>
        <w:t>Mr. Zordani is an “audit committee financial expert” within the meaning of SEC rules. With respect to our compensation committee, our board of directors has determined that Drs. Omenn and Amelio and Mr. Freeman satisfy the independence standards for such committee established by Rule 10C-1 under the Exchange Act, the SEC and the NASDAQ Marketplace Rules, as applicable.</w:t>
      </w:r>
    </w:p>
    <w:p>
      <w:pPr>
        <w:spacing w:after="0" w:line="19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Hedging Policy</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this time, the Company has not adopted a policy regarding the ability of officers, directors and employees to purchase financial instruments (including prepaid variable forward contracts, equity swaps, collars, and exchange funds) or otherwise engage in transactions, that hedge or offset, or are designed to hedge or offset, any decrease in the market value of the Company’s equity securities.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 the ethical behavior of the Company’s employees, officers and directors. The Code of Ethics describes our policy on conflicts of interest.</w:t>
      </w:r>
    </w:p>
    <w:p>
      <w:pPr>
        <w:spacing w:after="0" w:line="18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Except as set forth below, since the beginning of fiscal year 2020,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84"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2020.</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 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w:t>
      </w:r>
    </w:p>
    <w:p>
      <w:pPr>
        <w:spacing w:after="0" w:line="19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on at the rate of two percent (2%) per annum, compounded annually, and accrues additional interest at a rate of 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 The second additional note for $10 million is expected to close on December 17, 2021. The terms of the second additional note will be the same as for the September 2021 Note, and the conversion price will be the greater of 228% of the closing price of our common stock the day prior to closing or $5.00, whichever is greater.</w:t>
      </w:r>
    </w:p>
    <w:p>
      <w:pPr>
        <w:spacing w:after="0" w:line="182"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Company had a $10 million line of credit (“Line of Credit”) arrangement with Richard E. Uihlein that was entered into in December 2017. The Line of Credit was most recently extended in January 2019 to make one or more borrowings available until December 31, 2021, with repayment due on December 31, 2022. There have been no borrowings under the Line of Credit, and it will be terminated in connection with the December 17, 2021 additional debt financing described above.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 For the 2021 Annual Meeting, 10X Fund L.P., pursuant to its contractual right under warrants that it holds, nominated James C. Czirr, who has been a director since February 2009. Mr. Czirr’s nomination has been accepted by each of the Nominating Committee and the Board.</w:t>
      </w:r>
    </w:p>
    <w:p>
      <w:pPr>
        <w:spacing w:after="0" w:line="17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7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2021 Annual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During 2020, there were 9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15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We do not have a formal policy requiring members of the Board to attend the annual meeting, although all directors are strongly encouraged to attend. At the 2020 annual meeting of stockholders, which was held virtually online, all of the then current board members were present.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6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Use of multiple compensation vehicles that provide a balance of long- and short-term incentives with fixed and variable components; and</w:t>
      </w:r>
    </w:p>
    <w:p>
      <w:pPr>
        <w:spacing w:after="0" w:line="153"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short-term gain is discouraged because it would not maximize the value of equity incentive awards over the long-term.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considering whether to recommend any candidate for inclusion in the Board’s slate of recommended director nominees (other than the candidate nominated by 10X Fund L.P.),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(as amended), which includes, among other items, matters related to the 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Based upon the review and discussions referred to above, the Audit Committee recommended to our Board of Directors that the audited financial statements of Galectin Therapeutics for the 2020 fiscal year be included in the Annual Report filed on Form 10-K for the year ended December 31,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25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Richard A. Zordani, Chair</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Kary Eldred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Fees Earned</w:t>
            </w: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Restricted</w:t>
            </w: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Non-Equity</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82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920" w:type="dxa"/>
            <w:vAlign w:val="bottom"/>
            <w:vMerge w:val="restart"/>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or Paid in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8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920" w:type="dxa"/>
            <w:vAlign w:val="bottom"/>
            <w:vMerge w:val="continue"/>
          </w:tcPr>
          <w:p>
            <w:pPr>
              <w:spacing w:after="0"/>
              <w:rPr>
                <w:sz w:val="15"/>
                <w:szCs w:val="15"/>
                <w:color w:val="auto"/>
              </w:rPr>
            </w:pPr>
          </w:p>
        </w:tc>
        <w:tc>
          <w:tcPr>
            <w:tcW w:w="10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Cash ($)</w:t>
            </w:r>
          </w:p>
        </w:tc>
        <w:tc>
          <w:tcPr>
            <w:tcW w:w="62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 (4)</w:t>
            </w:r>
          </w:p>
        </w:tc>
        <w:tc>
          <w:tcPr>
            <w:tcW w:w="260" w:type="dxa"/>
            <w:vAlign w:val="bottom"/>
          </w:tcPr>
          <w:p>
            <w:pPr>
              <w:spacing w:after="0"/>
              <w:rPr>
                <w:sz w:val="15"/>
                <w:szCs w:val="15"/>
                <w:color w:val="auto"/>
              </w:rPr>
            </w:pPr>
          </w:p>
        </w:tc>
        <w:tc>
          <w:tcPr>
            <w:tcW w:w="560" w:type="dxa"/>
            <w:vAlign w:val="bottom"/>
          </w:tcPr>
          <w:p>
            <w:pPr>
              <w:jc w:val="right"/>
              <w:ind w:right="14"/>
              <w:spacing w:after="0" w:line="158" w:lineRule="exact"/>
              <w:rPr>
                <w:sz w:val="20"/>
                <w:szCs w:val="20"/>
                <w:color w:val="auto"/>
              </w:rPr>
            </w:pPr>
            <w:r>
              <w:rPr>
                <w:rFonts w:ascii="Arial" w:cs="Arial" w:eastAsia="Arial" w:hAnsi="Arial"/>
                <w:sz w:val="14"/>
                <w:szCs w:val="14"/>
                <w:b w:val="1"/>
                <w:bCs w:val="1"/>
                <w:color w:val="auto"/>
              </w:rPr>
              <w:t>($) (2)</w:t>
            </w:r>
          </w:p>
        </w:tc>
        <w:tc>
          <w:tcPr>
            <w:tcW w:w="2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(3)</w:t>
            </w:r>
          </w:p>
        </w:tc>
        <w:tc>
          <w:tcPr>
            <w:tcW w:w="240" w:type="dxa"/>
            <w:vAlign w:val="bottom"/>
          </w:tcPr>
          <w:p>
            <w:pPr>
              <w:spacing w:after="0"/>
              <w:rPr>
                <w:sz w:val="15"/>
                <w:szCs w:val="15"/>
                <w:color w:val="auto"/>
              </w:rPr>
            </w:pPr>
          </w:p>
        </w:tc>
        <w:tc>
          <w:tcPr>
            <w:tcW w:w="66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47,000</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87,997</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134,997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38,500</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65,998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104,498</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48,500</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98,997</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147,497</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42,500</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65,998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108,498</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58,500</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87,997</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146,497</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45,000</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87,997</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132,997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38,500</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65,998</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104,498</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Elissa J. Schwartz, Ph.D. (1)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11,569</w:t>
            </w:r>
          </w:p>
        </w:tc>
        <w:tc>
          <w:tcPr>
            <w:tcW w:w="8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 (1)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11,569</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11,569</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Richard Uihlein</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35,000</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98,997</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133,997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A. Zordani (1)</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16,528</w:t>
            </w: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500" w:hanging="424"/>
        <w:spacing w:after="0" w:line="255"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 Schwartz and Mr. Zordani were appointed to the board effective August 31, 2020. Dr. Shlevin retired as our Chief Executive Officer and president effective September 2, 2020 but retained his position on our board. Dr. Shlevin’s board compensation is for the period after his retirement from employment through the end of the year.</w:t>
      </w:r>
    </w:p>
    <w:p>
      <w:pPr>
        <w:spacing w:after="0" w:line="2"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2020. Options were granted on January 9, 2020 and will vested in full on December 31, 2020. For a description of the assumptions used to determine these amounts, see Note 7 to the Notes to the Consolidated Financial Statements herein our Annual Report on Form 10-K for the fiscal year ended December 31, 2020.</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540" w:right="760" w:hanging="424"/>
        <w:spacing w:after="0" w:line="260"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Lewis and Mr. Uihlein elected to receive restricted stock in lieu of cash retainer for their service. The restricted shares vest in full on January 9, 2021.</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8"/>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8"/>
        </w:trPr>
        <w:tc>
          <w:tcPr>
            <w:tcW w:w="6300" w:type="dxa"/>
            <w:vAlign w:val="bottom"/>
            <w:gridSpan w:val="3"/>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75,000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755,125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 (1)</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Richard Uihlein</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66,362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1,436,154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640" w:hanging="424"/>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Lewis became our Chief Executive Officer and president effective September 2, 2020 and was granted 250,000 stock options which is included here.</w:t>
      </w:r>
    </w:p>
    <w:p>
      <w:pPr>
        <w:spacing w:after="0" w:line="170" w:lineRule="exact"/>
        <w:rPr>
          <w:rFonts w:ascii="Arial" w:cs="Arial" w:eastAsia="Arial" w:hAnsi="Arial"/>
          <w:sz w:val="18"/>
          <w:szCs w:val="18"/>
          <w:color w:val="auto"/>
        </w:rPr>
      </w:pPr>
    </w:p>
    <w:p>
      <w:pPr>
        <w:ind w:left="560" w:right="20"/>
        <w:spacing w:after="0" w:line="263" w:lineRule="auto"/>
        <w:rPr>
          <w:rFonts w:ascii="Arial" w:cs="Arial" w:eastAsia="Arial" w:hAnsi="Arial"/>
          <w:sz w:val="18"/>
          <w:szCs w:val="18"/>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 Condition and Results of Operations — Critical Accounting Policies and Estimates — Stock-Based Compensation” included herein the Form 10-K for the 2020 fiscal year.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Company’s cash compensation program for directors, non-employee directors of the Company will receive an annual cash retainer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$35,000. Each Nominating and Corporate Governance Committee member will receive an additional cash retainer of $3,500; each Compensation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member will receive an additional cash retainer of $5,000; and each Audit Committee member will receive an additional cash retainer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$7,500. In addition to the annual fee and committee membership retainers, the Nominating and Corporate Governance Committee Chairman will receive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 annual cash retainer of $3,500; the Compensation Committee Chairman will receive an annual cash retainer of $5,000; and the Audit Committee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Chairman will receive an annual cash retainer of $7,500. Additionally, in December 2016, the Board approved cash retainers of $3,500 to be paid to each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 of the Board’s investor relation/public relations committee.</w:t>
      </w:r>
    </w:p>
    <w:p>
      <w:pPr>
        <w:spacing w:after="0" w:line="211"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On January 9, 2020, stock option grants were made to non-employee directors which vest 100% on December 31, 2020. The Chairman and Vice-Chairman were each granted 45,000 stock options, the chairs of the Nominating and Corporate Governance Committee, the Audit Committee and the Compensation Committee were each granted 40,000 stock options and remaining non-employee directors were each granted 30,000 stock options.</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table provides information as of December 31, 2020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2020.</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220" w:type="dxa"/>
            <w:vAlign w:val="bottom"/>
            <w:gridSpan w:val="3"/>
          </w:tcPr>
          <w:p>
            <w:pPr>
              <w:jc w:val="center"/>
              <w:ind w:left="556"/>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40" w:type="dxa"/>
            <w:vAlign w:val="bottom"/>
            <w:gridSpan w:val="2"/>
            <w:vMerge w:val="restart"/>
          </w:tcPr>
          <w:p>
            <w:pPr>
              <w:jc w:val="center"/>
              <w:ind w:left="359"/>
              <w:spacing w:after="0"/>
              <w:rPr>
                <w:sz w:val="20"/>
                <w:szCs w:val="20"/>
                <w:color w:val="auto"/>
              </w:rPr>
            </w:pPr>
            <w:r>
              <w:rPr>
                <w:rFonts w:ascii="Arial" w:cs="Arial" w:eastAsia="Arial" w:hAnsi="Arial"/>
                <w:sz w:val="14"/>
                <w:szCs w:val="14"/>
                <w:b w:val="1"/>
                <w:bCs w:val="1"/>
                <w:color w:val="auto"/>
                <w:w w:val="92"/>
              </w:rPr>
              <w:t>Number of Securities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720" w:type="dxa"/>
            <w:vAlign w:val="bottom"/>
            <w:gridSpan w:val="3"/>
          </w:tcPr>
          <w:p>
            <w:pPr>
              <w:ind w:left="72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7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58"/>
        </w:trPr>
        <w:tc>
          <w:tcPr>
            <w:tcW w:w="358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outstanding options</w:t>
            </w: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20"/>
              <w:spacing w:after="0" w:line="158" w:lineRule="exact"/>
              <w:rPr>
                <w:sz w:val="20"/>
                <w:szCs w:val="20"/>
                <w:color w:val="auto"/>
              </w:rPr>
            </w:pPr>
            <w:r>
              <w:rPr>
                <w:rFonts w:ascii="Arial" w:cs="Arial" w:eastAsia="Arial" w:hAnsi="Arial"/>
                <w:sz w:val="14"/>
                <w:szCs w:val="14"/>
                <w:b w:val="1"/>
                <w:bCs w:val="1"/>
                <w:color w:val="auto"/>
                <w:w w:val="86"/>
              </w:rPr>
              <w:t>options</w:t>
            </w:r>
          </w:p>
        </w:tc>
        <w:tc>
          <w:tcPr>
            <w:tcW w:w="720" w:type="dxa"/>
            <w:vAlign w:val="bottom"/>
          </w:tcPr>
          <w:p>
            <w:pPr>
              <w:spacing w:after="0"/>
              <w:rPr>
                <w:sz w:val="13"/>
                <w:szCs w:val="13"/>
                <w:color w:val="auto"/>
              </w:rPr>
            </w:pPr>
          </w:p>
        </w:tc>
        <w:tc>
          <w:tcPr>
            <w:tcW w:w="15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5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w:t>
            </w:r>
          </w:p>
        </w:tc>
        <w:tc>
          <w:tcPr>
            <w:tcW w:w="4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security holders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3,487,575</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2,872,307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security holders (1)</w:t>
            </w:r>
          </w:p>
        </w:tc>
        <w:tc>
          <w:tcPr>
            <w:tcW w:w="4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500,000</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72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3,987,575</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2,872,307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342" w:lineRule="auto"/>
        <w:tabs>
          <w:tab w:leader="none" w:pos="5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PHILOSOPHY DISCUSSION</w:t>
      </w:r>
    </w:p>
    <w:p>
      <w:pPr>
        <w:spacing w:after="0" w:line="229"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Philosophy Discussion (“Compensation Discussion”) describes our 2020 executive compensation program and explains the Company’s compensation philosophy, policies, and practices, focusing primarily on the compensation of our named executive officers, or NEOs. This Compensation Discussion is intended to be read in conjunction with the tables that follow, which provide detailed historical compensation information for our following NEOs: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4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5280" w:type="dxa"/>
            <w:vAlign w:val="bottom"/>
            <w:tcBorders>
              <w:bottom w:val="single" w:sz="8" w:color="auto"/>
            </w:tcBorders>
          </w:tcPr>
          <w:p>
            <w:pPr>
              <w:ind w:left="2500"/>
              <w:spacing w:after="0"/>
              <w:rPr>
                <w:sz w:val="20"/>
                <w:szCs w:val="20"/>
                <w:color w:val="auto"/>
              </w:rPr>
            </w:pPr>
            <w:r>
              <w:rPr>
                <w:rFonts w:ascii="Arial" w:cs="Arial" w:eastAsia="Arial" w:hAnsi="Arial"/>
                <w:sz w:val="14"/>
                <w:szCs w:val="14"/>
                <w:b w:val="1"/>
                <w:bCs w:val="1"/>
                <w:color w:val="auto"/>
              </w:rPr>
              <w:t>Title</w:t>
            </w:r>
          </w:p>
        </w:tc>
      </w:tr>
      <w:tr>
        <w:trPr>
          <w:trHeight w:val="189"/>
        </w:trPr>
        <w:tc>
          <w:tcPr>
            <w:tcW w:w="3780" w:type="dxa"/>
            <w:vAlign w:val="bottom"/>
            <w:gridSpan w:val="2"/>
          </w:tcPr>
          <w:p>
            <w:pPr>
              <w:spacing w:after="0" w:line="189" w:lineRule="exact"/>
              <w:rPr>
                <w:sz w:val="20"/>
                <w:szCs w:val="20"/>
                <w:color w:val="auto"/>
              </w:rPr>
            </w:pPr>
            <w:r>
              <w:rPr>
                <w:rFonts w:ascii="Arial" w:cs="Arial" w:eastAsia="Arial" w:hAnsi="Arial"/>
                <w:sz w:val="18"/>
                <w:szCs w:val="18"/>
                <w:color w:val="auto"/>
              </w:rPr>
              <w:t>Harold H. Shlevin, Ph.D.</w:t>
            </w:r>
          </w:p>
        </w:tc>
        <w:tc>
          <w:tcPr>
            <w:tcW w:w="1960" w:type="dxa"/>
            <w:vAlign w:val="bottom"/>
          </w:tcPr>
          <w:p>
            <w:pPr>
              <w:spacing w:after="0"/>
              <w:rPr>
                <w:sz w:val="16"/>
                <w:szCs w:val="16"/>
                <w:color w:val="auto"/>
              </w:rPr>
            </w:pPr>
          </w:p>
        </w:tc>
        <w:tc>
          <w:tcPr>
            <w:tcW w:w="5280" w:type="dxa"/>
            <w:vAlign w:val="bottom"/>
          </w:tcPr>
          <w:p>
            <w:pPr>
              <w:spacing w:after="0" w:line="189" w:lineRule="exact"/>
              <w:rPr>
                <w:sz w:val="20"/>
                <w:szCs w:val="20"/>
                <w:color w:val="auto"/>
              </w:rPr>
            </w:pPr>
            <w:r>
              <w:rPr>
                <w:rFonts w:ascii="Arial" w:cs="Arial" w:eastAsia="Arial" w:hAnsi="Arial"/>
                <w:sz w:val="18"/>
                <w:szCs w:val="18"/>
                <w:color w:val="auto"/>
              </w:rPr>
              <w:t>Chief Executive Officer and President, until September 2, 2020</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Joel Lewis</w:t>
            </w:r>
          </w:p>
        </w:tc>
        <w:tc>
          <w:tcPr>
            <w:tcW w:w="7240" w:type="dxa"/>
            <w:vAlign w:val="bottom"/>
            <w:gridSpan w:val="2"/>
          </w:tcPr>
          <w:p>
            <w:pPr>
              <w:ind w:left="1960"/>
              <w:spacing w:after="0"/>
              <w:rPr>
                <w:sz w:val="20"/>
                <w:szCs w:val="20"/>
                <w:color w:val="auto"/>
              </w:rPr>
            </w:pPr>
            <w:r>
              <w:rPr>
                <w:rFonts w:ascii="Arial" w:cs="Arial" w:eastAsia="Arial" w:hAnsi="Arial"/>
                <w:sz w:val="18"/>
                <w:szCs w:val="18"/>
                <w:color w:val="auto"/>
              </w:rPr>
              <w:t>Chief Executive Officer and President, from September 2, 2020</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7240" w:type="dxa"/>
            <w:vAlign w:val="bottom"/>
            <w:gridSpan w:val="2"/>
          </w:tcPr>
          <w:p>
            <w:pPr>
              <w:ind w:left="1960"/>
              <w:spacing w:after="0"/>
              <w:rPr>
                <w:sz w:val="20"/>
                <w:szCs w:val="20"/>
                <w:color w:val="auto"/>
              </w:rPr>
            </w:pPr>
            <w:r>
              <w:rPr>
                <w:rFonts w:ascii="Arial" w:cs="Arial" w:eastAsia="Arial" w:hAnsi="Arial"/>
                <w:sz w:val="18"/>
                <w:szCs w:val="18"/>
                <w:color w:val="auto"/>
              </w:rPr>
              <w:t>Chief Medical Officer</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7240" w:type="dxa"/>
            <w:vAlign w:val="bottom"/>
            <w:gridSpan w:val="2"/>
          </w:tcPr>
          <w:p>
            <w:pPr>
              <w:ind w:left="1960"/>
              <w:spacing w:after="0"/>
              <w:rPr>
                <w:sz w:val="20"/>
                <w:szCs w:val="20"/>
                <w:color w:val="auto"/>
              </w:rPr>
            </w:pPr>
            <w:r>
              <w:rPr>
                <w:rFonts w:ascii="Arial" w:cs="Arial" w:eastAsia="Arial" w:hAnsi="Arial"/>
                <w:sz w:val="18"/>
                <w:szCs w:val="18"/>
                <w:color w:val="auto"/>
              </w:rPr>
              <w:t>Chief Financial Officer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1540" w:right="740" w:hanging="331"/>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9"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At our last “Say-on-Pay vote” held at our 2019 annual meeting of stockholders approximately 86% of our outstanding common stock voting on the matter voted in favor of the compensation of our NEOs, as disclosed in the proxy materials for the 2019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2022 annual meeting of stockholders.</w:t>
      </w:r>
    </w:p>
    <w:p>
      <w:pPr>
        <w:spacing w:after="0" w:line="161"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4"/>
          <w:szCs w:val="14"/>
          <w:color w:val="auto"/>
        </w:rPr>
        <w:t>th</w:t>
      </w:r>
      <w:r>
        <w:rPr>
          <w:rFonts w:ascii="Arial" w:cs="Arial" w:eastAsia="Arial" w:hAnsi="Arial"/>
          <w:sz w:val="17"/>
          <w:szCs w:val="17"/>
          <w:color w:val="auto"/>
        </w:rPr>
        <w:t xml:space="preserve"> percentile of the total compensation of our competitor companies. These findings continued to inform the Compensation Committee’s decisions on compensation in subsequent years, including 2020.</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440"/>
        <w:spacing w:after="0" w:line="301" w:lineRule="auto"/>
        <w:rPr>
          <w:sz w:val="20"/>
          <w:szCs w:val="20"/>
          <w:color w:val="auto"/>
        </w:rPr>
      </w:pPr>
      <w:r>
        <w:rPr>
          <w:rFonts w:ascii="Arial" w:cs="Arial" w:eastAsia="Arial" w:hAnsi="Arial"/>
          <w:sz w:val="16"/>
          <w:szCs w:val="16"/>
          <w:color w:val="auto"/>
        </w:rPr>
        <w:t>The Compensation Committee may use a compensation consultant in the future and to take into account publicly-available data relating to the compensation practices and policies of other companies within and outside our industry. The Compensation Committee intends to benchmark its executive compensation program to target at least the 50</w:t>
      </w:r>
      <w:r>
        <w:rPr>
          <w:rFonts w:ascii="Arial" w:cs="Arial" w:eastAsia="Arial" w:hAnsi="Arial"/>
          <w:sz w:val="13"/>
          <w:szCs w:val="13"/>
          <w:color w:val="auto"/>
        </w:rPr>
        <w:t>th</w:t>
      </w:r>
      <w:r>
        <w:rPr>
          <w:rFonts w:ascii="Arial" w:cs="Arial" w:eastAsia="Arial" w:hAnsi="Arial"/>
          <w:sz w:val="16"/>
          <w:szCs w:val="16"/>
          <w:color w:val="auto"/>
        </w:rPr>
        <w:t xml:space="preserve"> percentile of the total compensation programs of our competitor companies; however, adjusted as deemed to be in the best interest of the Company to assure retention of key employees during the NAVIGATE trial.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and retention bonuses;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474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2020 Base Salary</w:t>
            </w:r>
          </w:p>
        </w:tc>
        <w:tc>
          <w:tcPr>
            <w:tcW w:w="340" w:type="dxa"/>
            <w:vAlign w:val="bottom"/>
          </w:tcPr>
          <w:p>
            <w:pPr>
              <w:spacing w:after="0"/>
              <w:rPr>
                <w:sz w:val="14"/>
                <w:szCs w:val="14"/>
                <w:color w:val="auto"/>
              </w:rPr>
            </w:pPr>
          </w:p>
        </w:tc>
        <w:tc>
          <w:tcPr>
            <w:tcW w:w="1300" w:type="dxa"/>
            <w:vAlign w:val="bottom"/>
            <w:gridSpan w:val="3"/>
          </w:tcPr>
          <w:p>
            <w:pPr>
              <w:jc w:val="right"/>
              <w:ind w:right="170"/>
              <w:spacing w:after="0"/>
              <w:rPr>
                <w:sz w:val="20"/>
                <w:szCs w:val="20"/>
                <w:color w:val="auto"/>
              </w:rPr>
            </w:pPr>
            <w:r>
              <w:rPr>
                <w:rFonts w:ascii="Arial" w:cs="Arial" w:eastAsia="Arial" w:hAnsi="Arial"/>
                <w:sz w:val="14"/>
                <w:szCs w:val="14"/>
                <w:b w:val="1"/>
                <w:bCs w:val="1"/>
                <w:color w:val="auto"/>
                <w:w w:val="89"/>
              </w:rPr>
              <w:t>2019 Base Salary</w:t>
            </w:r>
          </w:p>
        </w:tc>
        <w:tc>
          <w:tcPr>
            <w:tcW w:w="0" w:type="dxa"/>
            <w:vAlign w:val="bottom"/>
          </w:tcPr>
          <w:p>
            <w:pPr>
              <w:spacing w:after="0"/>
              <w:rPr>
                <w:sz w:val="1"/>
                <w:szCs w:val="1"/>
                <w:color w:val="auto"/>
              </w:rPr>
            </w:pPr>
          </w:p>
        </w:tc>
      </w:tr>
      <w:tr>
        <w:trPr>
          <w:trHeight w:val="20"/>
        </w:trPr>
        <w:tc>
          <w:tcPr>
            <w:tcW w:w="5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Joel Lewis</w:t>
            </w: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1"/>
              </w:rPr>
              <w:t>(1)</w:t>
            </w:r>
          </w:p>
        </w:tc>
        <w:tc>
          <w:tcPr>
            <w:tcW w:w="0" w:type="dxa"/>
            <w:vAlign w:val="bottom"/>
          </w:tcPr>
          <w:p>
            <w:pPr>
              <w:spacing w:after="0" w:line="20" w:lineRule="exact"/>
              <w:rPr>
                <w:sz w:val="1"/>
                <w:szCs w:val="1"/>
                <w:color w:val="auto"/>
              </w:rPr>
            </w:pPr>
          </w:p>
        </w:tc>
      </w:tr>
      <w:tr>
        <w:trPr>
          <w:trHeight w:val="203"/>
        </w:trPr>
        <w:tc>
          <w:tcPr>
            <w:tcW w:w="510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00"/>
              <w:spacing w:after="0" w:line="203" w:lineRule="exact"/>
              <w:rPr>
                <w:sz w:val="20"/>
                <w:szCs w:val="20"/>
                <w:color w:val="auto"/>
              </w:rPr>
            </w:pPr>
            <w:r>
              <w:rPr>
                <w:rFonts w:ascii="Arial" w:cs="Arial" w:eastAsia="Arial" w:hAnsi="Arial"/>
                <w:sz w:val="18"/>
                <w:szCs w:val="18"/>
                <w:color w:val="auto"/>
              </w:rPr>
              <w:t>500,000(3)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tcBorders>
              <w:right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440,500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81"/>
              </w:rPr>
              <w:t>(2)</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302,100</w:t>
            </w:r>
          </w:p>
        </w:tc>
        <w:tc>
          <w:tcPr>
            <w:tcW w:w="62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285,000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Lewis became our President and Chief Executive Officer on September 2,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Dr. Boudes became our Chief Medical Officer on March 3, 2020.</w:t>
      </w:r>
    </w:p>
    <w:p>
      <w:pPr>
        <w:spacing w:after="0" w:line="9" w:lineRule="exact"/>
        <w:rPr>
          <w:rFonts w:ascii="Arial" w:cs="Arial" w:eastAsia="Arial" w:hAnsi="Arial"/>
          <w:sz w:val="18"/>
          <w:szCs w:val="18"/>
          <w:color w:val="auto"/>
        </w:rPr>
      </w:pPr>
    </w:p>
    <w:p>
      <w:pPr>
        <w:ind w:left="540" w:right="340" w:hanging="424"/>
        <w:spacing w:after="0" w:line="323" w:lineRule="auto"/>
        <w:tabs>
          <w:tab w:leader="none" w:pos="5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Pursuant to Mr. Lewis’s Employment Agreement and Deferred Stock Unit Agreement, 20% of Mr. Lewis’ base salary will be paid in cash and 80% will be paid in the form of deferred-stock units in accordance with the terms and subject to the provisions of the DSU Agreement</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70"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2020 performance bonuses were paid in March 2021.</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060" w:type="dxa"/>
            <w:vAlign w:val="bottom"/>
            <w:vMerge w:val="restart"/>
          </w:tcPr>
          <w:p>
            <w:pPr>
              <w:spacing w:after="0"/>
              <w:rPr>
                <w:sz w:val="14"/>
                <w:szCs w:val="14"/>
                <w:color w:val="auto"/>
              </w:rPr>
            </w:pPr>
          </w:p>
        </w:tc>
        <w:tc>
          <w:tcPr>
            <w:tcW w:w="2280" w:type="dxa"/>
            <w:vAlign w:val="bottom"/>
            <w:gridSpan w:val="3"/>
          </w:tcPr>
          <w:p>
            <w:pPr>
              <w:ind w:left="20"/>
              <w:spacing w:after="0"/>
              <w:rPr>
                <w:sz w:val="20"/>
                <w:szCs w:val="20"/>
                <w:color w:val="auto"/>
              </w:rPr>
            </w:pPr>
            <w:r>
              <w:rPr>
                <w:rFonts w:ascii="Arial" w:cs="Arial" w:eastAsia="Arial" w:hAnsi="Arial"/>
                <w:sz w:val="14"/>
                <w:szCs w:val="14"/>
                <w:b w:val="1"/>
                <w:bCs w:val="1"/>
                <w:color w:val="auto"/>
              </w:rPr>
              <w:t>Performance Bonus</w:t>
            </w: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Awarded Amount</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40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40" w:type="dxa"/>
            <w:vAlign w:val="bottom"/>
            <w:gridSpan w:val="2"/>
          </w:tcPr>
          <w:p>
            <w:pPr>
              <w:jc w:val="right"/>
              <w:ind w:right="1400"/>
              <w:spacing w:after="0" w:line="158" w:lineRule="exact"/>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As % of Base Salary</w:t>
            </w:r>
          </w:p>
        </w:tc>
        <w:tc>
          <w:tcPr>
            <w:tcW w:w="0" w:type="dxa"/>
            <w:vAlign w:val="bottom"/>
          </w:tcPr>
          <w:p>
            <w:pPr>
              <w:spacing w:after="0"/>
              <w:rPr>
                <w:sz w:val="1"/>
                <w:szCs w:val="1"/>
                <w:color w:val="auto"/>
              </w:rPr>
            </w:pPr>
          </w:p>
        </w:tc>
      </w:tr>
      <w:tr>
        <w:trPr>
          <w:trHeight w:val="20"/>
        </w:trPr>
        <w:tc>
          <w:tcPr>
            <w:tcW w:w="44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Joel Lewis</w:t>
            </w: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840"/>
              <w:spacing w:after="0" w:line="203" w:lineRule="exact"/>
              <w:rPr>
                <w:sz w:val="20"/>
                <w:szCs w:val="20"/>
                <w:color w:val="auto"/>
              </w:rPr>
            </w:pPr>
            <w:r>
              <w:rPr>
                <w:rFonts w:ascii="Arial" w:cs="Arial" w:eastAsia="Arial" w:hAnsi="Arial"/>
                <w:sz w:val="18"/>
                <w:szCs w:val="18"/>
                <w:color w:val="auto"/>
              </w:rPr>
              <w:t>75,000(3)</w:t>
            </w:r>
          </w:p>
        </w:tc>
        <w:tc>
          <w:tcPr>
            <w:tcW w:w="1660" w:type="dxa"/>
            <w:vAlign w:val="bottom"/>
            <w:gridSpan w:val="2"/>
            <w:shd w:val="clear" w:color="auto" w:fill="CCEEFF"/>
          </w:tcPr>
          <w:p>
            <w:pPr>
              <w:ind w:left="1080"/>
              <w:spacing w:after="0" w:line="203" w:lineRule="exact"/>
              <w:rPr>
                <w:sz w:val="20"/>
                <w:szCs w:val="20"/>
                <w:color w:val="auto"/>
              </w:rPr>
            </w:pPr>
            <w:r>
              <w:rPr>
                <w:rFonts w:ascii="Arial" w:cs="Arial" w:eastAsia="Arial" w:hAnsi="Arial"/>
                <w:sz w:val="18"/>
                <w:szCs w:val="18"/>
                <w:color w:val="auto"/>
                <w:w w:val="96"/>
              </w:rPr>
              <w:t>45%(1)</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1040"/>
              <w:spacing w:after="0"/>
              <w:rPr>
                <w:sz w:val="20"/>
                <w:szCs w:val="20"/>
                <w:color w:val="auto"/>
              </w:rPr>
            </w:pPr>
            <w:r>
              <w:rPr>
                <w:rFonts w:ascii="Arial" w:cs="Arial" w:eastAsia="Arial" w:hAnsi="Arial"/>
                <w:sz w:val="18"/>
                <w:szCs w:val="18"/>
                <w:color w:val="auto"/>
              </w:rPr>
              <w:t>110,000</w:t>
            </w:r>
          </w:p>
        </w:tc>
        <w:tc>
          <w:tcPr>
            <w:tcW w:w="1660" w:type="dxa"/>
            <w:vAlign w:val="bottom"/>
            <w:gridSpan w:val="2"/>
          </w:tcPr>
          <w:p>
            <w:pPr>
              <w:ind w:left="1080"/>
              <w:spacing w:after="0"/>
              <w:rPr>
                <w:sz w:val="20"/>
                <w:szCs w:val="20"/>
                <w:color w:val="auto"/>
              </w:rPr>
            </w:pPr>
            <w:r>
              <w:rPr>
                <w:rFonts w:ascii="Arial" w:cs="Arial" w:eastAsia="Arial" w:hAnsi="Arial"/>
                <w:sz w:val="18"/>
                <w:szCs w:val="18"/>
                <w:color w:val="auto"/>
                <w:w w:val="96"/>
              </w:rPr>
              <w:t>30%(2)</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85,000</w:t>
            </w:r>
          </w:p>
        </w:tc>
        <w:tc>
          <w:tcPr>
            <w:tcW w:w="16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Lewis joined the Company on September 2, 2020 and his bonus was prorated for his employment duration in 2020.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Dr. Boudes the Company on March 2, 2020 and his bonus was prorated for his employment duration in 2020.</w:t>
      </w:r>
    </w:p>
    <w:p>
      <w:pPr>
        <w:spacing w:after="0" w:line="9" w:lineRule="exact"/>
        <w:rPr>
          <w:rFonts w:ascii="Arial" w:cs="Arial" w:eastAsia="Arial" w:hAnsi="Arial"/>
          <w:sz w:val="18"/>
          <w:szCs w:val="18"/>
          <w:color w:val="auto"/>
        </w:rPr>
      </w:pPr>
    </w:p>
    <w:p>
      <w:pPr>
        <w:ind w:left="540" w:hanging="424"/>
        <w:spacing w:after="0" w:line="290" w:lineRule="auto"/>
        <w:tabs>
          <w:tab w:leader="none" w:pos="5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Mr. Lewis’s Employment Agreement and Deferred Stock Unit Agreement, 20% of Mr. Lewis’ bonus will be paid in cash and 80% will be paid in the form of deferred-stock units in accordance with the terms and subject to the provisions of the DSU Agreement</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2018, the Board approved potential cash incentive bonuses (the “Transaction Bonuses”). The potential Transaction Bonuses are payable in connection with a Transaction (as defined below). A “Transaction” is (i) any licensing, development, partnership, or similar arrangements relating to any of the Company’s drug candidates (a “Partnership Transaction”) or (ii) the acquisition of the Company or any of its material assets (an “Acquisition Transaction”). The amounts payable pursuant to the Transaction Bonuses will be equal to 10% of the recipient’s base salary for each $50 million payable to the Company or the Company’s shareholders, as applicable, pursuant to the Transaction to the extent paid in cash or marketable securities, up to a maximum payment of 300% of base salary. If Transaction is a Partnership Transaction and payments to the Company are deferred or otherwise made over time, the amount of the Transaction Bonuses will be based on the Board’s reasonable estimate of the value of the Transaction. To be entitled to receive a Transaction Bonus, if the Transaction is an Acquisition Transaction, an individual must be employed by the Company on the date the Transaction is consummated, or, if the Transaction is a Partnership Transaction, an individual must be employed by the Company on the date that the definitive transaction agreement(s) are executed. No Transaction Bonuses were earned in 2020.</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Additionally in 2018, the Board also approved retention bonuses payable to certain employees of the Company, including Dr. Shlevin and</w:t>
      </w:r>
    </w:p>
    <w:p>
      <w:pPr>
        <w:spacing w:after="0" w:line="23" w:lineRule="exact"/>
        <w:rPr>
          <w:sz w:val="20"/>
          <w:szCs w:val="20"/>
          <w:color w:val="auto"/>
        </w:rPr>
      </w:pPr>
    </w:p>
    <w:p>
      <w:pPr>
        <w:ind w:left="120" w:right="180"/>
        <w:spacing w:after="0" w:line="277" w:lineRule="auto"/>
        <w:rPr>
          <w:sz w:val="20"/>
          <w:szCs w:val="20"/>
          <w:color w:val="auto"/>
        </w:rPr>
      </w:pPr>
      <w:r>
        <w:rPr>
          <w:rFonts w:ascii="Arial" w:cs="Arial" w:eastAsia="Arial" w:hAnsi="Arial"/>
          <w:sz w:val="17"/>
          <w:szCs w:val="17"/>
          <w:color w:val="auto"/>
        </w:rPr>
        <w:t>Mr. Callicutt, equal to 25% of such employee’s base salary (the “Retention Bonuses”) if such employees remained employed by the Company on each of June 30, 2019, December 31, 2019, June 30, 2020 and December 31, 2020 and based upon the annualized salary level in effect on such date. Mr. Lewis and Dr. Boudes joined the Company as employees and officers in 2020 and thus were not part of the retention bonus plan.</w:t>
      </w:r>
    </w:p>
    <w:p>
      <w:pPr>
        <w:spacing w:after="0" w:line="17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80" w:type="dxa"/>
            <w:vAlign w:val="bottom"/>
            <w:vMerge w:val="restart"/>
          </w:tcPr>
          <w:p>
            <w:pPr>
              <w:spacing w:after="0"/>
              <w:rPr>
                <w:sz w:val="14"/>
                <w:szCs w:val="14"/>
                <w:color w:val="auto"/>
              </w:rPr>
            </w:pPr>
          </w:p>
        </w:tc>
        <w:tc>
          <w:tcPr>
            <w:tcW w:w="1540" w:type="dxa"/>
            <w:vAlign w:val="bottom"/>
          </w:tcPr>
          <w:p>
            <w:pPr>
              <w:spacing w:after="0"/>
              <w:rPr>
                <w:sz w:val="14"/>
                <w:szCs w:val="14"/>
                <w:color w:val="auto"/>
              </w:rPr>
            </w:pPr>
          </w:p>
        </w:tc>
        <w:tc>
          <w:tcPr>
            <w:tcW w:w="182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9"/>
              </w:rPr>
              <w:t>Retention Bonus</w:t>
            </w:r>
          </w:p>
        </w:tc>
        <w:tc>
          <w:tcPr>
            <w:tcW w:w="1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Awarded Amount</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98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Amount</w:t>
            </w:r>
          </w:p>
        </w:tc>
        <w:tc>
          <w:tcPr>
            <w:tcW w:w="166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93"/>
              </w:rPr>
              <w:t>As % of Base Salary</w:t>
            </w: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54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vMerge w:val="continue"/>
            <w:shd w:val="clear" w:color="auto" w:fill="CCEEFF"/>
          </w:tcPr>
          <w:p>
            <w:pPr>
              <w:spacing w:after="0"/>
              <w:rPr>
                <w:sz w:val="17"/>
                <w:szCs w:val="17"/>
                <w:color w:val="auto"/>
              </w:rPr>
            </w:pPr>
          </w:p>
        </w:tc>
        <w:tc>
          <w:tcPr>
            <w:tcW w:w="15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800" w:type="dxa"/>
            <w:vAlign w:val="bottom"/>
            <w:vMerge w:val="continue"/>
            <w:shd w:val="clear" w:color="auto" w:fill="CCEEFF"/>
          </w:tcPr>
          <w:p>
            <w:pPr>
              <w:spacing w:after="0"/>
              <w:rPr>
                <w:sz w:val="17"/>
                <w:szCs w:val="17"/>
                <w:color w:val="auto"/>
              </w:rPr>
            </w:pPr>
          </w:p>
        </w:tc>
        <w:tc>
          <w:tcPr>
            <w:tcW w:w="1660" w:type="dxa"/>
            <w:vAlign w:val="bottom"/>
            <w:gridSpan w:val="2"/>
            <w:shd w:val="clear" w:color="auto" w:fill="CCEEFF"/>
          </w:tcPr>
          <w:p>
            <w:pPr>
              <w:ind w:left="1080"/>
              <w:spacing w:after="0" w:line="203" w:lineRule="exact"/>
              <w:rPr>
                <w:sz w:val="20"/>
                <w:szCs w:val="20"/>
                <w:color w:val="auto"/>
              </w:rPr>
            </w:pPr>
            <w:r>
              <w:rPr>
                <w:rFonts w:ascii="Arial" w:cs="Arial" w:eastAsia="Arial" w:hAnsi="Arial"/>
                <w:sz w:val="18"/>
                <w:szCs w:val="18"/>
                <w:color w:val="auto"/>
                <w:w w:val="96"/>
              </w:rPr>
              <w:t>25%(1)</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7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151,050</w:t>
            </w:r>
          </w:p>
        </w:tc>
        <w:tc>
          <w:tcPr>
            <w:tcW w:w="1660" w:type="dxa"/>
            <w:vAlign w:val="bottom"/>
            <w:gridSpan w:val="2"/>
          </w:tcPr>
          <w:p>
            <w:pPr>
              <w:ind w:left="10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40" w:right="680" w:hanging="424"/>
        <w:spacing w:after="0" w:line="27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Shlevin retired as our President and Chief Executive Officer effective September 2, 2020 and thus did not receive a retention bonus at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49"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Under the long-term incentive portion of the Program, the NEOs are granted options based upon achievement of the Company performance and individual performance objectives and rank in the Company. All option grants under the Program through December 2019 were made under the 2009 Incentive Compensation Plan. Grants made after January 1, 2020, were made pursuant to the 2019 Omnibus Equity Incentive Plan.</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January 9, 2020, the NEOs were awarded the options noted below based on 2019 performance. Of the options, 25% vest on each of June 30, 2020, December 31, 2020, June 30, 2021 and December 31, 2021. The exercise price of the options is set at the closing price of our stock as of the grant date.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020" w:type="dxa"/>
            <w:vAlign w:val="bottom"/>
            <w:vMerge w:val="restart"/>
          </w:tcPr>
          <w:p>
            <w:pPr>
              <w:spacing w:after="0"/>
              <w:rPr>
                <w:sz w:val="14"/>
                <w:szCs w:val="14"/>
                <w:color w:val="auto"/>
              </w:rPr>
            </w:pPr>
          </w:p>
        </w:tc>
        <w:tc>
          <w:tcPr>
            <w:tcW w:w="2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Grant Date</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Securities</w:t>
            </w:r>
          </w:p>
        </w:tc>
        <w:tc>
          <w:tcPr>
            <w:tcW w:w="160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13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3"/>
              </w:rPr>
              <w:t>Underlying Options</w:t>
            </w:r>
          </w:p>
        </w:tc>
        <w:tc>
          <w:tcPr>
            <w:tcW w:w="16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Harold H. Shlevin, Ph.D.</w:t>
            </w:r>
          </w:p>
        </w:tc>
        <w:tc>
          <w:tcPr>
            <w:tcW w:w="1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1/9/2020</w:t>
            </w:r>
          </w:p>
        </w:tc>
        <w:tc>
          <w:tcPr>
            <w:tcW w:w="6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70,000</w:t>
            </w:r>
          </w:p>
        </w:tc>
        <w:tc>
          <w:tcPr>
            <w:tcW w:w="6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2.86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1/9/2020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Joel Lewis, Chief Executive Officer (effective September 2, 2020)</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connection with the appointment of Mr. Lewis, the Company and Mr. Lewis entered into an employment agreement, dated August 31, 2020 (the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a Deferred Stock Unit Agreement, dated August 31, 2020 (the “</w:t>
      </w:r>
      <w:r>
        <w:rPr>
          <w:rFonts w:ascii="Arial" w:cs="Arial" w:eastAsia="Arial" w:hAnsi="Arial"/>
          <w:sz w:val="16"/>
          <w:szCs w:val="16"/>
          <w:u w:val="single" w:color="auto"/>
          <w:color w:val="auto"/>
        </w:rPr>
        <w:t>DSU Agreement</w:t>
      </w:r>
      <w:r>
        <w:rPr>
          <w:rFonts w:ascii="Arial" w:cs="Arial" w:eastAsia="Arial" w:hAnsi="Arial"/>
          <w:sz w:val="16"/>
          <w:szCs w:val="16"/>
          <w:color w:val="auto"/>
        </w:rPr>
        <w:t>”). The Employment Agreement has an initial term of two years and automatically renews for additional one-year terms thereafter, unless either Mr. Lewis or the Company elects not to renew. Mr. Lewis will serve as Chief Executive Officer of the Company effective as of September 2, 2020 (the “</w:t>
      </w:r>
      <w:r>
        <w:rPr>
          <w:rFonts w:ascii="Arial" w:cs="Arial" w:eastAsia="Arial" w:hAnsi="Arial"/>
          <w:sz w:val="16"/>
          <w:szCs w:val="16"/>
          <w:u w:val="single" w:color="auto"/>
          <w:color w:val="auto"/>
        </w:rPr>
        <w:t>Start Date</w:t>
      </w:r>
      <w:r>
        <w:rPr>
          <w:rFonts w:ascii="Arial" w:cs="Arial" w:eastAsia="Arial" w:hAnsi="Arial"/>
          <w:sz w:val="16"/>
          <w:szCs w:val="16"/>
          <w:color w:val="auto"/>
        </w:rPr>
        <w:t>”), and will be paid an annual base salary of $500,000. Under the terms of the Employment Agreement, 20% of his base salary will be paid in cash, and 80% will be paid in the form of deferred-stock-units (“</w:t>
      </w:r>
      <w:r>
        <w:rPr>
          <w:rFonts w:ascii="Arial" w:cs="Arial" w:eastAsia="Arial" w:hAnsi="Arial"/>
          <w:sz w:val="16"/>
          <w:szCs w:val="16"/>
          <w:u w:val="single" w:color="auto"/>
          <w:color w:val="auto"/>
        </w:rPr>
        <w:t>DSUs</w:t>
      </w:r>
      <w:r>
        <w:rPr>
          <w:rFonts w:ascii="Arial" w:cs="Arial" w:eastAsia="Arial" w:hAnsi="Arial"/>
          <w:sz w:val="16"/>
          <w:szCs w:val="16"/>
          <w:color w:val="auto"/>
        </w:rPr>
        <w:t>”) in accordance with the terms and subject to the provisions set forth in the DSU Agreement. In addition, Mr. Lewis is entitled to participate in the Company’s performance bonus plan with a potential of up to 50% of his annual base salary, which will also be paid 20% in cash and 80% in DSU’s. Further, Mr. Lewis received on the date of the agreement an initial grant of options to purchase 250,000 shares of the Company’s common stock, par value $0.001 per share, which options shall vest one-twelfth on a quarterly basis for twelve consecutive quarters, such that the options shall be fully vested twelve quarters following the date of grant (the “</w:t>
      </w:r>
      <w:r>
        <w:rPr>
          <w:rFonts w:ascii="Arial" w:cs="Arial" w:eastAsia="Arial" w:hAnsi="Arial"/>
          <w:sz w:val="16"/>
          <w:szCs w:val="16"/>
          <w:u w:val="single" w:color="auto"/>
          <w:color w:val="auto"/>
        </w:rPr>
        <w:t>Award</w:t>
      </w:r>
      <w:r>
        <w:rPr>
          <w:rFonts w:ascii="Arial" w:cs="Arial" w:eastAsia="Arial" w:hAnsi="Arial"/>
          <w:sz w:val="16"/>
          <w:szCs w:val="16"/>
          <w:color w:val="auto"/>
        </w:rPr>
        <w:t>”). The options under the Award shall be issued pursuant to the Company’s 2019 Omnibus Equity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Pursuant to the Employment Agreement, Mr. Lewis is also eligible to receive healthcare benefits as may be provided from time to time by the Company to its employees generally, to participate in the Company’s 401(k) plan and to receive paid time off annually in accordance with the Company’s policies in effect from time to time. Finally, pursuant to the Employment Agreement, the Company will be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 The Employment Agreement includes customary intellectual property, assignment, and other representations by Mr. Lewis.</w:t>
      </w:r>
    </w:p>
    <w:p>
      <w:pPr>
        <w:spacing w:after="0" w:line="1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Pursuant to the DSU Agreement, 80% of Mr. Lewis’ base salary under the Employment Agreement shall be payable in DSUs, which DSUs credited to Mr. Lewis as of any date shall be fully vested and nonforfeitable at all times. The Company shall issue the shares underlying the outstanding whole number of DSUs credited to Mr. Lewis as follows: twenty five percent shall be issued on March 1, 2023, twenty five percent shall be issued on September 1, 2023 and fifty percent shall be issued on March 1, 2024.</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Harold H. Shlevin, Ph.D., Chief Executive Officer (until September 2, 2020)</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Dr. Shlevin retired as Chief Executive Officer effective September 2, 2020. Prior to his retirement his employment was pursuant to an employment agreement dated December 11, 2014 as amended June 8, 2018. Under his employment agreement as amended Dr. Shlevin received a base salary of $500,000 with a target bonus opportunity equal to 50% of his base salary.</w:t>
      </w:r>
    </w:p>
    <w:p>
      <w:pPr>
        <w:spacing w:after="0" w:line="18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In connection with his retirement, Dr. Shlevin entered into a Retirement Agreement with the Company dated August 31, 2020 (the “Retirement Agreement”) and a Consulting Agreement with the Company dated August 31, 2020 (the “Consulting Agreement”). The Retirement Agreement provides that Dr. Shlevin shall receive his base compensation through the separation date of September 2, 2020 plus a cash bonus for 2020 of $210,000 in lieu of any other bonuses. He shall be eligible to receive his portion of the “pharma deal achievement bonus” as established by the Board of Directors of the Company on May 22, 2018 in the event a transaction qualifying under such program were to occur during the term of the Consulting Agreement. In addition, Dr. Shlevin’s previously issued stock option awards under the Plan shall continue to vest so long as Dr. Shlevin provides consulting services to the Company under the Consulting Agreement. The Consulting Agreement has an initial term of one year (and was later extended through December 31, 2021), and for his services Dr. Shlevin shall receive payment of $432 per hour, but not less than $8,640 per month. The Consulting Agreement also includes certain intellectual property, assignment, and non-compete obligations by Dr. Shlevin.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 F. Boudes, M.D., Chief Medical Officer</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On February 19, 2020, the Company entered into an Employment Agreement with Dr. Boudes (the “</w:t>
      </w:r>
      <w:r>
        <w:rPr>
          <w:rFonts w:ascii="Arial" w:cs="Arial" w:eastAsia="Arial" w:hAnsi="Arial"/>
          <w:sz w:val="17"/>
          <w:szCs w:val="17"/>
          <w:u w:val="single" w:color="auto"/>
          <w:color w:val="auto"/>
        </w:rPr>
        <w:t>Agreement</w:t>
      </w:r>
      <w:r>
        <w:rPr>
          <w:rFonts w:ascii="Arial" w:cs="Arial" w:eastAsia="Arial" w:hAnsi="Arial"/>
          <w:sz w:val="17"/>
          <w:szCs w:val="17"/>
          <w:color w:val="auto"/>
        </w:rPr>
        <w:t>”), which governs the terms of Dr. Boudes’ employment in his position as the Company’s Chief Medical Officer. Dr. Boudes will serve as the Chief Medical Officer of the Company during an initial term that commences on March 2, 2020 (the “</w:t>
      </w:r>
      <w:r>
        <w:rPr>
          <w:rFonts w:ascii="Arial" w:cs="Arial" w:eastAsia="Arial" w:hAnsi="Arial"/>
          <w:sz w:val="17"/>
          <w:szCs w:val="17"/>
          <w:u w:val="single" w:color="auto"/>
          <w:color w:val="auto"/>
        </w:rPr>
        <w:t>Commencement Date</w:t>
      </w:r>
      <w:r>
        <w:rPr>
          <w:rFonts w:ascii="Arial" w:cs="Arial" w:eastAsia="Arial" w:hAnsi="Arial"/>
          <w:sz w:val="17"/>
          <w:szCs w:val="17"/>
          <w:color w:val="auto"/>
        </w:rPr>
        <w:t>”) and expires on February 28, 2021 (the “</w:t>
      </w:r>
      <w:r>
        <w:rPr>
          <w:rFonts w:ascii="Arial" w:cs="Arial" w:eastAsia="Arial" w:hAnsi="Arial"/>
          <w:sz w:val="17"/>
          <w:szCs w:val="17"/>
          <w:u w:val="single" w:color="auto"/>
          <w:color w:val="auto"/>
        </w:rPr>
        <w:t>Initial Term</w:t>
      </w:r>
      <w:r>
        <w:rPr>
          <w:rFonts w:ascii="Arial" w:cs="Arial" w:eastAsia="Arial" w:hAnsi="Arial"/>
          <w:sz w:val="17"/>
          <w:szCs w:val="17"/>
          <w:color w:val="auto"/>
        </w:rPr>
        <w:t>”). Following the Initial Term, the term of the Agreement automatically renews for successive twelve (12) month terms unless either party provides the other party with notice of non-renewal at least sixty (60) days prior to the expiration of the then-current term. Under the Agreement, the Company has agreed to pay Dr. Boudes a base salary of $444,500 per year (the “</w:t>
      </w:r>
      <w:r>
        <w:rPr>
          <w:rFonts w:ascii="Arial" w:cs="Arial" w:eastAsia="Arial" w:hAnsi="Arial"/>
          <w:sz w:val="17"/>
          <w:szCs w:val="17"/>
          <w:u w:val="single" w:color="auto"/>
          <w:color w:val="auto"/>
        </w:rPr>
        <w:t>Base Salary</w:t>
      </w:r>
      <w:r>
        <w:rPr>
          <w:rFonts w:ascii="Arial" w:cs="Arial" w:eastAsia="Arial" w:hAnsi="Arial"/>
          <w:sz w:val="17"/>
          <w:szCs w:val="17"/>
          <w:color w:val="auto"/>
        </w:rPr>
        <w:t>”). Provided that certain performance objectives are met, Dr. Boudes will also be entitled to receive an annual performance bonus equal to thirty percent (30%) of the Base Salary (the “</w:t>
      </w:r>
      <w:r>
        <w:rPr>
          <w:rFonts w:ascii="Arial" w:cs="Arial" w:eastAsia="Arial" w:hAnsi="Arial"/>
          <w:sz w:val="17"/>
          <w:szCs w:val="17"/>
          <w:u w:val="single" w:color="auto"/>
          <w:color w:val="auto"/>
        </w:rPr>
        <w:t>Performance Bonus</w:t>
      </w:r>
      <w:r>
        <w:rPr>
          <w:rFonts w:ascii="Arial" w:cs="Arial" w:eastAsia="Arial" w:hAnsi="Arial"/>
          <w:sz w:val="17"/>
          <w:szCs w:val="17"/>
          <w:color w:val="auto"/>
        </w:rPr>
        <w:t>”). Subject to certain restrictions described in the Agreement, Dr. Boudes will receive a $100,000 signing bonus pursuant to the Agreement. Dr. Boudes will also be granted options to purchase 300,000 shares (the “</w:t>
      </w:r>
      <w:r>
        <w:rPr>
          <w:rFonts w:ascii="Arial" w:cs="Arial" w:eastAsia="Arial" w:hAnsi="Arial"/>
          <w:sz w:val="17"/>
          <w:szCs w:val="17"/>
          <w:u w:val="single" w:color="auto"/>
          <w:color w:val="auto"/>
        </w:rPr>
        <w:t>Options</w:t>
      </w:r>
      <w:r>
        <w:rPr>
          <w:rFonts w:ascii="Arial" w:cs="Arial" w:eastAsia="Arial" w:hAnsi="Arial"/>
          <w:sz w:val="17"/>
          <w:szCs w:val="17"/>
          <w:color w:val="auto"/>
        </w:rPr>
        <w:t>”) of the Company’s common stock pursuant to the Company’s 2019 Omnibus Equity Incentive Plan. The Options vest as follows: twenty percent (20%) of the Options shall vest upon one (1) year of employment, twenty percent (20%) of the Options shall vest upon two (2) years of employment, twenty percent (20%) of the Options shall vest upon three (3) years of employment, and the remaining forty percent (40%) of the Options shall vest upon four (4) years of employment.</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120" w:right="260" w:firstLine="440"/>
        <w:spacing w:after="0" w:line="287"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w:t>
      </w:r>
    </w:p>
    <w:p>
      <w:pPr>
        <w:spacing w:after="0" w:line="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78"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2020 and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Bonus</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4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2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14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1760" w:type="dxa"/>
            <w:vAlign w:val="bottom"/>
            <w:tcBorders>
              <w:bottom w:val="single" w:sz="8" w:color="auto"/>
            </w:tcBorders>
            <w:vMerge w:val="continue"/>
          </w:tcPr>
          <w:p>
            <w:pPr>
              <w:spacing w:after="0"/>
              <w:rPr>
                <w:sz w:val="13"/>
                <w:szCs w:val="13"/>
                <w:color w:val="auto"/>
              </w:rPr>
            </w:pPr>
          </w:p>
        </w:tc>
        <w:tc>
          <w:tcPr>
            <w:tcW w:w="32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(1)</w:t>
            </w:r>
          </w:p>
        </w:tc>
        <w:tc>
          <w:tcPr>
            <w:tcW w:w="260" w:type="dxa"/>
            <w:vAlign w:val="bottom"/>
          </w:tcPr>
          <w:p>
            <w:pPr>
              <w:spacing w:after="0"/>
              <w:rPr>
                <w:sz w:val="13"/>
                <w:szCs w:val="13"/>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3"/>
                <w:szCs w:val="13"/>
                <w:color w:val="auto"/>
              </w:rPr>
            </w:pPr>
          </w:p>
        </w:tc>
        <w:tc>
          <w:tcPr>
            <w:tcW w:w="84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2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2020(2)</w:t>
            </w:r>
          </w:p>
        </w:tc>
        <w:tc>
          <w:tcPr>
            <w:tcW w:w="22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375,583</w:t>
            </w:r>
          </w:p>
        </w:tc>
        <w:tc>
          <w:tcPr>
            <w:tcW w:w="26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335,000</w:t>
            </w:r>
          </w:p>
        </w:tc>
        <w:tc>
          <w:tcPr>
            <w:tcW w:w="26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154,266</w:t>
            </w:r>
          </w:p>
        </w:tc>
        <w:tc>
          <w:tcPr>
            <w:tcW w:w="26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54,487(4)</w:t>
            </w: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919,336</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Chief Executive Officer &amp; President</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5"/>
              </w:rPr>
              <w:t>2019 (3)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500,000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465,625</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268,196</w:t>
            </w: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72,686(5)</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1,306,507</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Joel Lewis, Chief Executive Officer &amp; President</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88"/>
              </w:rPr>
              <w:t>2020(10)</w:t>
            </w: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164,773</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486,125</w:t>
            </w: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27,660(11)</w:t>
            </w:r>
          </w:p>
        </w:tc>
        <w:tc>
          <w:tcPr>
            <w:tcW w:w="840" w:type="dxa"/>
            <w:vAlign w:val="bottom"/>
          </w:tcPr>
          <w:p>
            <w:pPr>
              <w:jc w:val="right"/>
              <w:spacing w:after="0"/>
              <w:rPr>
                <w:sz w:val="20"/>
                <w:szCs w:val="20"/>
                <w:color w:val="auto"/>
              </w:rPr>
            </w:pPr>
            <w:r>
              <w:rPr>
                <w:rFonts w:ascii="Arial" w:cs="Arial" w:eastAsia="Arial" w:hAnsi="Arial"/>
                <w:sz w:val="18"/>
                <w:szCs w:val="18"/>
                <w:color w:val="auto"/>
              </w:rPr>
              <w:t>753,558</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 F. Boudes, M.D., Chief Medical Officer</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2020(12)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367,083</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210,000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419,460</w:t>
            </w:r>
          </w:p>
        </w:tc>
        <w:tc>
          <w:tcPr>
            <w:tcW w:w="1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85,938(13)</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1,082,481</w:t>
            </w:r>
          </w:p>
        </w:tc>
        <w:tc>
          <w:tcPr>
            <w:tcW w:w="0" w:type="dxa"/>
            <w:vAlign w:val="bottom"/>
          </w:tcPr>
          <w:p>
            <w:pPr>
              <w:spacing w:after="0"/>
              <w:rPr>
                <w:sz w:val="1"/>
                <w:szCs w:val="1"/>
                <w:color w:val="auto"/>
              </w:rPr>
            </w:pPr>
          </w:p>
        </w:tc>
      </w:tr>
      <w:tr>
        <w:trPr>
          <w:trHeight w:val="202"/>
        </w:trPr>
        <w:tc>
          <w:tcPr>
            <w:tcW w:w="4960" w:type="dxa"/>
            <w:vAlign w:val="bottom"/>
            <w:gridSpan w:val="2"/>
          </w:tcPr>
          <w:p>
            <w:pPr>
              <w:spacing w:after="0" w:line="201" w:lineRule="exact"/>
              <w:rPr>
                <w:sz w:val="20"/>
                <w:szCs w:val="20"/>
                <w:color w:val="auto"/>
              </w:rPr>
            </w:pPr>
            <w:r>
              <w:rPr>
                <w:rFonts w:ascii="Arial" w:cs="Arial" w:eastAsia="Arial" w:hAnsi="Arial"/>
                <w:sz w:val="18"/>
                <w:szCs w:val="18"/>
                <w:color w:val="auto"/>
              </w:rPr>
              <w:t>Jack W. Callicutt,</w:t>
            </w:r>
          </w:p>
        </w:tc>
        <w:tc>
          <w:tcPr>
            <w:tcW w:w="8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5"/>
              </w:rPr>
              <w:t>2020 (6)</w:t>
            </w:r>
          </w:p>
        </w:tc>
        <w:tc>
          <w:tcPr>
            <w:tcW w:w="220" w:type="dxa"/>
            <w:vAlign w:val="bottom"/>
          </w:tcPr>
          <w:p>
            <w:pPr>
              <w:spacing w:after="0"/>
              <w:rPr>
                <w:sz w:val="17"/>
                <w:szCs w:val="17"/>
                <w:color w:val="auto"/>
              </w:rPr>
            </w:pPr>
          </w:p>
        </w:tc>
        <w:tc>
          <w:tcPr>
            <w:tcW w:w="9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5"/>
              </w:rPr>
              <w:t>300,675</w:t>
            </w:r>
          </w:p>
        </w:tc>
        <w:tc>
          <w:tcPr>
            <w:tcW w:w="9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5"/>
              </w:rPr>
              <w:t>236,050</w:t>
            </w:r>
          </w:p>
        </w:tc>
        <w:tc>
          <w:tcPr>
            <w:tcW w:w="9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110,190</w:t>
            </w:r>
          </w:p>
        </w:tc>
        <w:tc>
          <w:tcPr>
            <w:tcW w:w="144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73,457(8)</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720,372</w:t>
            </w:r>
          </w:p>
        </w:tc>
        <w:tc>
          <w:tcPr>
            <w:tcW w:w="0" w:type="dxa"/>
            <w:vAlign w:val="bottom"/>
          </w:tcPr>
          <w:p>
            <w:pPr>
              <w:spacing w:after="0"/>
              <w:rPr>
                <w:sz w:val="1"/>
                <w:szCs w:val="1"/>
                <w:color w:val="auto"/>
              </w:rPr>
            </w:pPr>
          </w:p>
        </w:tc>
      </w:tr>
      <w:tr>
        <w:trPr>
          <w:trHeight w:val="230"/>
        </w:trPr>
        <w:tc>
          <w:tcPr>
            <w:tcW w:w="4960" w:type="dxa"/>
            <w:vAlign w:val="bottom"/>
            <w:gridSpan w:val="2"/>
          </w:tcPr>
          <w:p>
            <w:pPr>
              <w:ind w:left="360"/>
              <w:spacing w:after="0"/>
              <w:rPr>
                <w:sz w:val="20"/>
                <w:szCs w:val="20"/>
                <w:color w:val="auto"/>
              </w:rPr>
            </w:pPr>
            <w:r>
              <w:rPr>
                <w:rFonts w:ascii="Arial" w:cs="Arial" w:eastAsia="Arial" w:hAnsi="Arial"/>
                <w:sz w:val="18"/>
                <w:szCs w:val="18"/>
                <w:color w:val="auto"/>
              </w:rPr>
              <w:t>Chief Financial Officer</w:t>
            </w:r>
          </w:p>
        </w:tc>
        <w:tc>
          <w:tcPr>
            <w:tcW w:w="860" w:type="dxa"/>
            <w:vAlign w:val="bottom"/>
            <w:gridSpan w:val="2"/>
          </w:tcPr>
          <w:p>
            <w:pPr>
              <w:ind w:left="200"/>
              <w:spacing w:after="0"/>
              <w:rPr>
                <w:sz w:val="20"/>
                <w:szCs w:val="20"/>
                <w:color w:val="auto"/>
              </w:rPr>
            </w:pPr>
            <w:r>
              <w:rPr>
                <w:rFonts w:ascii="Arial" w:cs="Arial" w:eastAsia="Arial" w:hAnsi="Arial"/>
                <w:sz w:val="18"/>
                <w:szCs w:val="18"/>
                <w:color w:val="auto"/>
                <w:w w:val="95"/>
              </w:rPr>
              <w:t>2019 (7)</w:t>
            </w:r>
          </w:p>
        </w:tc>
        <w:tc>
          <w:tcPr>
            <w:tcW w:w="22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285,000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233,451</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191,568</w:t>
            </w:r>
          </w:p>
        </w:tc>
        <w:tc>
          <w:tcPr>
            <w:tcW w:w="1440" w:type="dxa"/>
            <w:vAlign w:val="bottom"/>
            <w:gridSpan w:val="2"/>
          </w:tcPr>
          <w:p>
            <w:pPr>
              <w:ind w:left="400"/>
              <w:spacing w:after="0"/>
              <w:rPr>
                <w:sz w:val="20"/>
                <w:szCs w:val="20"/>
                <w:color w:val="auto"/>
              </w:rPr>
            </w:pPr>
            <w:r>
              <w:rPr>
                <w:rFonts w:ascii="Arial" w:cs="Arial" w:eastAsia="Arial" w:hAnsi="Arial"/>
                <w:sz w:val="18"/>
                <w:szCs w:val="18"/>
                <w:color w:val="auto"/>
              </w:rPr>
              <w:t>68,105(9)</w:t>
            </w:r>
          </w:p>
        </w:tc>
        <w:tc>
          <w:tcPr>
            <w:tcW w:w="840" w:type="dxa"/>
            <w:vAlign w:val="bottom"/>
          </w:tcPr>
          <w:p>
            <w:pPr>
              <w:jc w:val="right"/>
              <w:spacing w:after="0"/>
              <w:rPr>
                <w:sz w:val="20"/>
                <w:szCs w:val="20"/>
                <w:color w:val="auto"/>
              </w:rPr>
            </w:pPr>
            <w:r>
              <w:rPr>
                <w:rFonts w:ascii="Arial" w:cs="Arial" w:eastAsia="Arial" w:hAnsi="Arial"/>
                <w:sz w:val="18"/>
                <w:szCs w:val="18"/>
                <w:color w:val="auto"/>
              </w:rPr>
              <w:t>778,124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69"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option awards made during 2020 and 2019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2020 and 2019.</w:t>
      </w:r>
    </w:p>
    <w:p>
      <w:pPr>
        <w:spacing w:after="0" w:line="1" w:lineRule="exact"/>
        <w:rPr>
          <w:rFonts w:ascii="Arial" w:cs="Arial" w:eastAsia="Arial" w:hAnsi="Arial"/>
          <w:sz w:val="17"/>
          <w:szCs w:val="17"/>
          <w:color w:val="auto"/>
        </w:rPr>
      </w:pPr>
    </w:p>
    <w:p>
      <w:pPr>
        <w:ind w:left="540" w:right="26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Shlevin retired from employment as our President and Chief Executive Officer effective September 2, 2020. His salary in 2020 includes the salary earned prior to his retirement. Dr. Shlevin’s bonus amount in 2020 consisted of $125,000 retention bonus in July 2020 and a bonus of $210,000 pursuant to his retirement agreement.</w:t>
      </w:r>
    </w:p>
    <w:p>
      <w:pPr>
        <w:spacing w:after="0" w:line="1" w:lineRule="exact"/>
        <w:rPr>
          <w:rFonts w:ascii="Arial" w:cs="Arial" w:eastAsia="Arial" w:hAnsi="Arial"/>
          <w:sz w:val="18"/>
          <w:szCs w:val="18"/>
          <w:color w:val="auto"/>
        </w:rPr>
      </w:pPr>
    </w:p>
    <w:p>
      <w:pPr>
        <w:ind w:left="540" w:right="48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Shlevin’s bonus amount in 2019 consisted of $125,000 retention bonuses paid in July 2019 and January 2020 and $215,625 performance bonus earned in 2019 which was paid in January 2020.</w:t>
      </w: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$48,635 for health and other insurance and $5,852 for 401(k) plan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$61,486 for health and other insurance and $11,200 for 401(k) plan contributions.</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Callicutt’s bonus amount in 2020 consisted of $75,525 retention bonuses paid in July 2020 and January 2021 and $85,000 performance bonus earned in 2020 which was paid in March 2021.</w:t>
      </w:r>
    </w:p>
    <w:p>
      <w:pPr>
        <w:ind w:left="540" w:right="8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Callicutt’s bonus amount in 2019 consisted of $71,250 retention bonuses paid in July 2019 and January 2020 and $90,951 performance bonus earned in 2019 which was paid in January 2020.</w:t>
      </w: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$62,057 for health and other insurance and $11,400 for 401(k) plan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$56,905 for health and other insurance and $11,200 for 401(k) plan contributions.</w:t>
      </w:r>
    </w:p>
    <w:p>
      <w:pPr>
        <w:spacing w:after="0" w:line="9" w:lineRule="exact"/>
        <w:rPr>
          <w:rFonts w:ascii="Arial" w:cs="Arial" w:eastAsia="Arial" w:hAnsi="Arial"/>
          <w:sz w:val="18"/>
          <w:szCs w:val="18"/>
          <w:color w:val="auto"/>
        </w:rPr>
      </w:pPr>
    </w:p>
    <w:p>
      <w:pPr>
        <w:ind w:left="540" w:right="140" w:hanging="424"/>
        <w:spacing w:after="0" w:line="281"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Lewis became our Chief Executive Officer and President effective September 2, 2020, and his performance bonus was prorated for 2021 and paid in March 2021. Pursuant to his employment agreement, 20% his salary and bonus are paid in cash and 80% are in deferred stock units.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$25,419 for health and other insurance and $2,341 for 401(k) plan contributions.</w:t>
      </w:r>
    </w:p>
    <w:p>
      <w:pPr>
        <w:spacing w:after="0" w:line="9" w:lineRule="exact"/>
        <w:rPr>
          <w:rFonts w:ascii="Arial" w:cs="Arial" w:eastAsia="Arial" w:hAnsi="Arial"/>
          <w:sz w:val="18"/>
          <w:szCs w:val="18"/>
          <w:color w:val="auto"/>
        </w:rPr>
      </w:pPr>
    </w:p>
    <w:p>
      <w:pPr>
        <w:ind w:left="540" w:right="900" w:hanging="424"/>
        <w:spacing w:after="0" w:line="250"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 Boudes became our Chief Medical Officer effective March 2, 2020. He was paid a $100,000 bonus upon joining the Company. His performance bonus of $110,000 was prorated for 2020 and paid in March 2021.</w:t>
      </w: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$74,538 for health and other insurance and $11,400 for 401(k) plan contributions.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 2020</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2020. The exercise price of the options is set at the closing price of our stock at the date prior to or as of the date of grant. Outstanding options have been approved by our Compensation Committee and our Board.</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Stock Awards</w:t>
            </w: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60" w:type="dxa"/>
            <w:vAlign w:val="bottom"/>
          </w:tcPr>
          <w:p>
            <w:pPr>
              <w:spacing w:after="0"/>
              <w:rPr>
                <w:sz w:val="10"/>
                <w:szCs w:val="10"/>
                <w:color w:val="auto"/>
              </w:rPr>
            </w:pPr>
          </w:p>
        </w:tc>
        <w:tc>
          <w:tcPr>
            <w:tcW w:w="660" w:type="dxa"/>
            <w:vAlign w:val="bottom"/>
          </w:tcPr>
          <w:p>
            <w:pPr>
              <w:jc w:val="center"/>
              <w:ind w:right="6"/>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60" w:type="dxa"/>
            <w:vAlign w:val="bottom"/>
          </w:tcPr>
          <w:p>
            <w:pPr>
              <w:spacing w:after="0"/>
              <w:rPr>
                <w:sz w:val="12"/>
                <w:szCs w:val="12"/>
                <w:color w:val="auto"/>
              </w:rPr>
            </w:pPr>
          </w:p>
        </w:tc>
        <w:tc>
          <w:tcPr>
            <w:tcW w:w="6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Incentive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260" w:type="dxa"/>
            <w:vAlign w:val="bottom"/>
          </w:tcPr>
          <w:p>
            <w:pPr>
              <w:spacing w:after="0"/>
              <w:rPr>
                <w:sz w:val="12"/>
                <w:szCs w:val="12"/>
                <w:color w:val="auto"/>
              </w:rPr>
            </w:pPr>
          </w:p>
        </w:tc>
        <w:tc>
          <w:tcPr>
            <w:tcW w:w="6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4"/>
              </w:rPr>
              <w:t>Number</w:t>
            </w:r>
          </w:p>
        </w:tc>
        <w:tc>
          <w:tcPr>
            <w:tcW w:w="840" w:type="dxa"/>
            <w:vAlign w:val="bottom"/>
            <w:gridSpan w:val="2"/>
            <w:vMerge w:val="continue"/>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w:t>
            </w:r>
          </w:p>
        </w:tc>
        <w:tc>
          <w:tcPr>
            <w:tcW w:w="9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restart"/>
          </w:tcPr>
          <w:p>
            <w:pPr>
              <w:jc w:val="center"/>
              <w:ind w:right="448"/>
              <w:spacing w:after="0"/>
              <w:rPr>
                <w:sz w:val="20"/>
                <w:szCs w:val="20"/>
                <w:color w:val="auto"/>
              </w:rPr>
            </w:pPr>
            <w:r>
              <w:rPr>
                <w:rFonts w:ascii="Arial" w:cs="Arial" w:eastAsia="Arial" w:hAnsi="Arial"/>
                <w:sz w:val="14"/>
                <w:szCs w:val="14"/>
                <w:b w:val="1"/>
                <w:bCs w:val="1"/>
                <w:color w:val="auto"/>
                <w:w w:val="94"/>
              </w:rPr>
              <w:t>Number of</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Value of</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260" w:type="dxa"/>
            <w:vAlign w:val="bottom"/>
          </w:tcPr>
          <w:p>
            <w:pPr>
              <w:spacing w:after="0"/>
              <w:rPr>
                <w:sz w:val="12"/>
                <w:szCs w:val="12"/>
                <w:color w:val="auto"/>
              </w:rPr>
            </w:pPr>
          </w:p>
        </w:tc>
        <w:tc>
          <w:tcPr>
            <w:tcW w:w="6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Shares</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2"/>
                <w:szCs w:val="12"/>
                <w:color w:val="auto"/>
              </w:rPr>
            </w:pPr>
          </w:p>
        </w:tc>
        <w:tc>
          <w:tcPr>
            <w:tcW w:w="6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28"/>
              <w:spacing w:after="0" w:line="149" w:lineRule="exact"/>
              <w:rPr>
                <w:sz w:val="20"/>
                <w:szCs w:val="20"/>
                <w:color w:val="auto"/>
              </w:rPr>
            </w:pPr>
            <w:r>
              <w:rPr>
                <w:rFonts w:ascii="Arial" w:cs="Arial" w:eastAsia="Arial" w:hAnsi="Arial"/>
                <w:sz w:val="14"/>
                <w:szCs w:val="14"/>
                <w:b w:val="1"/>
                <w:bCs w:val="1"/>
                <w:color w:val="auto"/>
                <w:w w:val="89"/>
              </w:rPr>
              <w:t>Securities</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4"/>
              </w:rPr>
              <w:t>or Units</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 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right"/>
              <w:ind w:right="528"/>
              <w:spacing w:after="0" w:line="149" w:lineRule="exact"/>
              <w:rPr>
                <w:sz w:val="20"/>
                <w:szCs w:val="20"/>
                <w:color w:val="auto"/>
              </w:rPr>
            </w:pPr>
            <w:r>
              <w:rPr>
                <w:rFonts w:ascii="Arial" w:cs="Arial" w:eastAsia="Arial" w:hAnsi="Arial"/>
                <w:sz w:val="14"/>
                <w:szCs w:val="14"/>
                <w:b w:val="1"/>
                <w:bCs w:val="1"/>
                <w:color w:val="auto"/>
              </w:rPr>
              <w:t>Underlying</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4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80" w:type="dxa"/>
            <w:vAlign w:val="bottom"/>
            <w:gridSpan w:val="2"/>
            <w:vMerge w:val="continue"/>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That</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Have</w:t>
            </w:r>
          </w:p>
        </w:tc>
        <w:tc>
          <w:tcPr>
            <w:tcW w:w="260" w:type="dxa"/>
            <w:vAlign w:val="bottom"/>
          </w:tcPr>
          <w:p>
            <w:pPr>
              <w:spacing w:after="0"/>
              <w:rPr>
                <w:sz w:val="12"/>
                <w:szCs w:val="12"/>
                <w:color w:val="auto"/>
              </w:rPr>
            </w:pPr>
          </w:p>
        </w:tc>
        <w:tc>
          <w:tcPr>
            <w:tcW w:w="6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28"/>
              <w:spacing w:after="0" w:line="149" w:lineRule="exact"/>
              <w:rPr>
                <w:sz w:val="20"/>
                <w:szCs w:val="20"/>
                <w:color w:val="auto"/>
              </w:rPr>
            </w:pPr>
            <w:r>
              <w:rPr>
                <w:rFonts w:ascii="Arial" w:cs="Arial" w:eastAsia="Arial" w:hAnsi="Arial"/>
                <w:sz w:val="14"/>
                <w:szCs w:val="14"/>
                <w:b w:val="1"/>
                <w:bCs w:val="1"/>
                <w:color w:val="auto"/>
                <w:w w:val="90"/>
              </w:rPr>
              <w:t>Options</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vMerge w:val="continue"/>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60" w:type="dxa"/>
            <w:vAlign w:val="bottom"/>
          </w:tcPr>
          <w:p>
            <w:pPr>
              <w:spacing w:after="0"/>
              <w:rPr>
                <w:sz w:val="12"/>
                <w:szCs w:val="12"/>
                <w:color w:val="auto"/>
              </w:rPr>
            </w:pPr>
          </w:p>
        </w:tc>
        <w:tc>
          <w:tcPr>
            <w:tcW w:w="660" w:type="dxa"/>
            <w:vAlign w:val="bottom"/>
          </w:tcPr>
          <w:p>
            <w:pPr>
              <w:jc w:val="center"/>
              <w:ind w:right="6"/>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440" w:type="dxa"/>
            <w:vAlign w:val="bottom"/>
            <w:vMerge w:val="restart"/>
          </w:tcPr>
          <w:p>
            <w:pPr>
              <w:spacing w:after="0"/>
              <w:rPr>
                <w:sz w:val="12"/>
                <w:szCs w:val="12"/>
                <w:color w:val="auto"/>
              </w:rPr>
            </w:pPr>
          </w:p>
        </w:tc>
        <w:tc>
          <w:tcPr>
            <w:tcW w:w="940" w:type="dxa"/>
            <w:vAlign w:val="bottom"/>
            <w:gridSpan w:val="2"/>
          </w:tcPr>
          <w:p>
            <w:pPr>
              <w:jc w:val="center"/>
              <w:ind w:left="119"/>
              <w:spacing w:after="0" w:line="149"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2"/>
                <w:szCs w:val="12"/>
                <w:color w:val="auto"/>
              </w:rPr>
            </w:pPr>
          </w:p>
        </w:tc>
        <w:tc>
          <w:tcPr>
            <w:tcW w:w="1020" w:type="dxa"/>
            <w:vAlign w:val="bottom"/>
            <w:gridSpan w:val="2"/>
          </w:tcPr>
          <w:p>
            <w:pPr>
              <w:jc w:val="center"/>
              <w:ind w:left="95"/>
              <w:spacing w:after="0" w:line="149"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Options</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Vested</w:t>
            </w: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Vested</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Exercisable</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jc w:val="center"/>
              <w:ind w:right="448"/>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8"/>
              </w:rPr>
              <w:t>Date</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1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Joel Lewis</w:t>
            </w:r>
          </w:p>
        </w:tc>
        <w:tc>
          <w:tcPr>
            <w:tcW w:w="2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(1)</w:t>
            </w:r>
          </w:p>
        </w:tc>
        <w:tc>
          <w:tcPr>
            <w:tcW w:w="16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00" w:type="dxa"/>
            <w:vAlign w:val="bottom"/>
            <w:gridSpan w:val="2"/>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54,250</w:t>
            </w:r>
          </w:p>
        </w:tc>
        <w:tc>
          <w:tcPr>
            <w:tcW w:w="36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2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2.39</w:t>
            </w:r>
          </w:p>
        </w:tc>
        <w:tc>
          <w:tcPr>
            <w:tcW w:w="24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12/14/2027</w:t>
            </w:r>
          </w:p>
        </w:tc>
        <w:tc>
          <w:tcPr>
            <w:tcW w:w="24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w w:val="98"/>
              </w:rPr>
              <w:t>20,455(12)</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45,819</w:t>
            </w:r>
          </w:p>
        </w:tc>
        <w:tc>
          <w:tcPr>
            <w:tcW w:w="26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01/16/2029</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01/09/2030</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20,833</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154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229,167 (4)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08/31/2030</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2"/>
          </w:tcPr>
          <w:p>
            <w:pPr>
              <w:spacing w:after="0"/>
              <w:rPr>
                <w:sz w:val="20"/>
                <w:szCs w:val="20"/>
                <w:color w:val="auto"/>
              </w:rPr>
            </w:pPr>
            <w:r>
              <w:rPr>
                <w:rFonts w:ascii="Arial" w:cs="Arial" w:eastAsia="Arial" w:hAnsi="Arial"/>
                <w:sz w:val="18"/>
                <w:szCs w:val="18"/>
                <w:color w:val="auto"/>
              </w:rPr>
              <w:t>Pol F. Boudes, M.D.</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ind w:left="20"/>
              <w:spacing w:after="0"/>
              <w:rPr>
                <w:sz w:val="20"/>
                <w:szCs w:val="20"/>
                <w:color w:val="auto"/>
              </w:rPr>
            </w:pPr>
            <w:r>
              <w:rPr>
                <w:rFonts w:ascii="Arial" w:cs="Arial" w:eastAsia="Arial" w:hAnsi="Arial"/>
                <w:sz w:val="18"/>
                <w:szCs w:val="18"/>
                <w:color w:val="auto"/>
              </w:rPr>
              <w:t>(5)</w:t>
            </w:r>
          </w:p>
        </w:tc>
        <w:tc>
          <w:tcPr>
            <w:tcW w:w="1540" w:type="dxa"/>
            <w:vAlign w:val="bottom"/>
            <w:gridSpan w:val="3"/>
          </w:tcPr>
          <w:p>
            <w:pPr>
              <w:jc w:val="right"/>
              <w:ind w:right="228"/>
              <w:spacing w:after="0"/>
              <w:rPr>
                <w:sz w:val="20"/>
                <w:szCs w:val="20"/>
                <w:color w:val="auto"/>
              </w:rPr>
            </w:pPr>
            <w:r>
              <w:rPr>
                <w:rFonts w:ascii="Arial" w:cs="Arial" w:eastAsia="Arial" w:hAnsi="Arial"/>
                <w:sz w:val="18"/>
                <w:szCs w:val="18"/>
                <w:color w:val="auto"/>
              </w:rPr>
              <w:t>300,000 (5)</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03/12/2030</w:t>
            </w: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13.38</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01/21/2024</w:t>
            </w:r>
          </w:p>
        </w:tc>
        <w:tc>
          <w:tcPr>
            <w:tcW w:w="10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8,706</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01/20/2026</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5.87</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01/15/2028</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05/22/2028</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(10)</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4.72</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01/16/2029</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(11)</w:t>
            </w:r>
          </w:p>
        </w:tc>
        <w:tc>
          <w:tcPr>
            <w:tcW w:w="15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25,000 (11)</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01/09/2030</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of the options vested in full on December 14, 2018.</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of the options vested in full on January 16,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 of the options vested in full on December 31,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One-twelfth of the total options vest quarterly from August 31, 2020, which was the grant date.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 of the options vest on each of March 2, 2021, March 2, 2022, and March 2023 and 40% of the options vest on March 2, 2024.</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25% of the options vested on January 21, 2014, the grant date with the remainder vested ratably on a monthly basis over a three-year period.</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25% of the options vested on January 29, 2015, the grant date with the remainder vested ratably on a monthly basis over a three-year period.</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 of the options vested on January 15, 2018 (grant date), 25% vested on June 30, 2018, and 50% vested on December 31,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 of the options vested on June 30, 2018, 25% vested on September 30, 2018, and 50% vested on December 31, 2018.</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25% of the options vested on June 30, 2019, 25% vested on December 31, 2019, 25% vested on June 30, 2020, and 25% vested on December 31, 2020.</w:t>
      </w:r>
    </w:p>
    <w:p>
      <w:pPr>
        <w:ind w:left="540" w:hanging="424"/>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25% of the options vested on June 30, 2020, 25% vested on December 31, 2020, 25% vest on June 30, 2021, and 25% vest on December 31, 2021.</w:t>
      </w:r>
    </w:p>
    <w:p>
      <w:pPr>
        <w:spacing w:after="0" w:line="32" w:lineRule="exact"/>
        <w:rPr>
          <w:rFonts w:ascii="Arial" w:cs="Arial" w:eastAsia="Arial" w:hAnsi="Arial"/>
          <w:sz w:val="16"/>
          <w:szCs w:val="16"/>
          <w:color w:val="auto"/>
        </w:rPr>
      </w:pPr>
    </w:p>
    <w:p>
      <w:pPr>
        <w:ind w:left="540" w:right="62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Lewis’ stock awards in the table are from board compensation taken in restricted stock in lieu of cash compensation prior to becoming president and CEO in September 2020.</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117" w:lineRule="exact"/>
        <w:rPr>
          <w:sz w:val="20"/>
          <w:szCs w:val="20"/>
          <w:color w:val="auto"/>
        </w:rPr>
      </w:pPr>
    </w:p>
    <w:p>
      <w:pPr>
        <w:ind w:left="120" w:right="140" w:firstLine="440"/>
        <w:spacing w:after="0" w:line="258" w:lineRule="auto"/>
        <w:rPr>
          <w:sz w:val="20"/>
          <w:szCs w:val="20"/>
          <w:color w:val="auto"/>
        </w:rPr>
      </w:pPr>
      <w:r>
        <w:rPr>
          <w:rFonts w:ascii="Arial" w:cs="Arial" w:eastAsia="Arial" w:hAnsi="Arial"/>
          <w:sz w:val="18"/>
          <w:szCs w:val="18"/>
          <w:color w:val="auto"/>
        </w:rPr>
        <w:t>The options granted under our 2009 Incentive Compensation Plan, the options will become immediately vested and exercisable upon a change of control. Upon termination of employment for cause, all outstanding options immediately terminate. Options remain</w:t>
      </w:r>
    </w:p>
    <w:p>
      <w:pPr>
        <w:spacing w:after="0" w:line="1"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color w:val="auto"/>
        </w:rPr>
        <w:t>exercisable for one year following termination due to the executive’s death or disability or retirement, or for twelve months after termination for any other reason other than for cause.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ind w:left="1080" w:right="360" w:hanging="532"/>
        <w:spacing w:after="0" w:line="286"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0" w:lineRule="exact"/>
        <w:rPr>
          <w:rFonts w:ascii="Arial" w:cs="Arial" w:eastAsia="Arial" w:hAnsi="Arial"/>
          <w:sz w:val="17"/>
          <w:szCs w:val="17"/>
          <w:color w:val="auto"/>
        </w:rPr>
      </w:pPr>
    </w:p>
    <w:p>
      <w:pPr>
        <w:ind w:left="1080" w:right="4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1080" w:right="100" w:hanging="532"/>
        <w:spacing w:after="0" w:line="29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w:t>
      </w:r>
    </w:p>
    <w:p>
      <w:pPr>
        <w:jc w:val="both"/>
        <w:ind w:left="1080" w:right="40" w:firstLine="8"/>
        <w:spacing w:after="0" w:line="281" w:lineRule="auto"/>
        <w:tabs>
          <w:tab w:leader="none" w:pos="1295" w:val="left"/>
        </w:tabs>
        <w:numPr>
          <w:ilvl w:val="1"/>
          <w:numId w:val="27"/>
        </w:numPr>
        <w:rPr>
          <w:rFonts w:ascii="Arial" w:cs="Arial" w:eastAsia="Arial" w:hAnsi="Arial"/>
          <w:sz w:val="16"/>
          <w:szCs w:val="16"/>
          <w:color w:val="auto"/>
        </w:rPr>
      </w:pPr>
      <w:r>
        <w:rPr>
          <w:rFonts w:ascii="Arial" w:cs="Arial" w:eastAsia="Arial" w:hAnsi="Arial"/>
          <w:sz w:val="16"/>
          <w:szCs w:val="16"/>
          <w:color w:val="auto"/>
        </w:rPr>
        <w:t>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w:t>
      </w:r>
    </w:p>
    <w:p>
      <w:pPr>
        <w:spacing w:after="0" w:line="1" w:lineRule="exact"/>
        <w:rPr>
          <w:rFonts w:ascii="Arial" w:cs="Arial" w:eastAsia="Arial" w:hAnsi="Arial"/>
          <w:sz w:val="16"/>
          <w:szCs w:val="16"/>
          <w:color w:val="auto"/>
        </w:rPr>
      </w:pPr>
    </w:p>
    <w:p>
      <w:pPr>
        <w:jc w:val="both"/>
        <w:ind w:left="1080" w:right="120" w:firstLine="8"/>
        <w:spacing w:after="0" w:line="253" w:lineRule="auto"/>
        <w:tabs>
          <w:tab w:leader="none" w:pos="1345"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9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Omnibus Equity Incentive Plan</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Under the 2019 Omnibus Equity Incentive Plan, if there is a merger or consolidation of the Company with or into another corporation or a sale of substantially all of the Company’s stock (a “Corporate Transaction”), and the outstanding awards are not assumed by surviving company (or its parent company) or replaced with economically equivalent awards granted by the surviving company (or its parent company), the Company will cancel any outstanding awards that are not vested and nonforfeitable as of the consummation of such Corporate Transaction (unless the Company accelerates the vesting of any such awards) and with respect to any vested and nonforfeitable awards, the Company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Joel Lewis: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Under Mr. Lewis’ Employment Agreement, the Company is required to furnish a lump sum cash payment to Mr. Lewis upon a termination of Mr. Lewis without “Cause” or upon Mr. Lewis’ resignation for “Good Reason” as such terms are defined in the Employment Agreement or in the event the Company gives notice of non-renewal on or before September 30, 2023.</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Deferred Stock Unit Agreement, if a Change in Control of the Company occurs prior to the date on which Mr. Lewis is scheduled to receive shares and cash in an installment payment or in a lump sum (a “Settlement Date”), Mr. Lewis’ account will be credited with the consideration payable in such Change in Control with respect to the shares subject to the DSUs then credited to Mr. Lewis’ Account immediately prior to such Change in Control. If Mr. Lewis’ employment with the Company continues after 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Change in Control, Mr. Lewis’ account will be credited with the cash value of the portion of his base salary and annual performance bonus that would have been credited in the form of DSUs but for the Change in Control. The portion of Mr. Lewis’ Account denominated in cash pursuant to the preceding sentence (i.e., the amount attributable to base salary and annual performance bonuses credited to Mr. Lewis’ Account after the Change in Control) shall be credited with interest at three (3%) percent compounded annually. For avoidance of doubt, a Change in Control shall not result in acceleration of the settlement of Mr. Lewis’ Account and the payment of all amounts or other property credited to Mr. Lewis’ Account in connection with the Change in Control shall be paid or delivered to Mr. Lewis on as soon as reasonably practicable after the Settlement Date.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Pol Boudes:</w:t>
      </w:r>
    </w:p>
    <w:p>
      <w:pPr>
        <w:spacing w:after="0" w:line="11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Under the Employment Agreement with Dr. Boudes, if (i) Dr. Boudes terminates the Agreement for Good Reason (as defined in the Agreement) or (ii) the Company terminates the Agreement without Cause (as defined in the Agreement), then the Company shall pay to Dr. Boudes: (1) the Base Salary accrued through the date of termination, (2)(A) if termination occurs within twelve (12) months of the Commencement Date, an amount equal to three (3) months of the Base Salary, or (B) if such termination occurs after the twelve-month anniversary of the Commencement Date, but prior to the eighteen-month anniversary of the Commencement Date, an amount equal to six (6) months of the Base Salary or (C) if termination occurs after the eighteen-month anniversary of the Commencement Date, but prior to the twenty four-month anniversary of the Commencement Date, an amount equal to nine (9) months of Base Salary or (D) if termination occurs after the twenty four-month anniversary of the Commencement Date, an amount equal to twelve (12) months of the Base Salary, (3) reimbursement of unreimbursed expenses and (4) payment of a portion of the Performance Bonus.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within the period ending twelve (12) months after the date of a Change of Control, Dr. Boudes’ employment with the Company is</w:t>
      </w:r>
    </w:p>
    <w:p>
      <w:pPr>
        <w:spacing w:after="0" w:line="23" w:lineRule="exact"/>
        <w:rPr>
          <w:sz w:val="20"/>
          <w:szCs w:val="20"/>
          <w:color w:val="auto"/>
        </w:rPr>
      </w:pPr>
    </w:p>
    <w:p>
      <w:pPr>
        <w:ind w:left="120" w:right="40" w:hanging="4"/>
        <w:spacing w:after="0" w:line="292" w:lineRule="auto"/>
        <w:tabs>
          <w:tab w:leader="none" w:pos="33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terminated without Cause or (ii) terminated for Good Reason by Dr. Boudes, the Company shall pay to Dr. Boudes (A) the Base Salary accrued through the date of termination, to the extent not theretofore paid, (B) reimbursement of any unreimbursed expenses, (C) a pro-rated amount of the Performance Bonus assuming payout at maximum performance and (D) an amount equal to twelve (12) months of Base Salary, payable in a lump sum no later than thirty (30) days following such termination. Upon any such Change of Control, Dr. Boudes’ unvested Options shall be one hundred percent (100%) vested, but shall otherwise continue to be governed by the terms and conditions of the Plan and the applicable stock option agreement.</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Jack Callicutt: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Mr. Callicutt’s Employment Agreement provides that if, within the period ending twelve (12) months after the date of a Change of Control, Mr. Callicutt’s employment with the Company is (i) without Cause by the Company (or by the acquiring or successor business entity following a Change of Control), or (ii) terminated for Good Reason by Mr. Callicutt, the Company shall pay to Mr. Callicutt (A) the Base Salary accrued through the date of termination, to the extent not theretofore paid, (B) reimbursement of any unreimbursed expenses, (C) a portion of the amount of the Performance Bonus (as defined in the Employment Agreement) equal to the maximum amount of the Performance Bonus multiplied by a fraction, (X) the numerator of which shall be the number of days elapsed from the beginning of the calendar year in which such termination occurs and (Y) the denominator of which shall be the total number of days in the calendar year in which such termination occurs (being 365 in a full year and 184 in 2013) and (D) an amount equal to twelve (12) months of Mr. Callicutt’s Base Salary, payable in a lump sum no later than thirty (30) days following such termination. Upon any such Change of Control, Mr. Callicutt’s unvested options to purchase shares of the Company’s common stock shall be one hundred percent (100%) vested but shall otherwise continue to be governed by the terms and conditions of the Stock Option Agreement. However, if, in connection with a transaction that technically meets, or may meet, the definition of Change of Control (as defined in the Employment Agreement), Mr. Callicutt’s employment by the Company or a successor to the Company is terminated, but Mr. Callicutt is immediately re-hired as an employee of a successor to the Company or surviving company in such a transaction in a comparable position, with the same or greater total annual cash compensation, including bonus potential, and with an employment agreement containing substantially equivalent provisions as this Agreement with respect to termination of the Mr. Callicutt and severance, no benefits shall be payable under the Change of Control provision of the Employment Agreement.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1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2021. We expect that a representative from Cherry Bekaert LLP will be present at the 2021 Annual Meeting, and accordingly, the representative will be given the opportunity to make a statement and respond to any questions.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278" w:lineRule="exact"/>
        <w:rPr>
          <w:sz w:val="20"/>
          <w:szCs w:val="20"/>
          <w:color w:val="auto"/>
        </w:rPr>
      </w:pPr>
    </w:p>
    <w:p>
      <w:pPr>
        <w:ind w:left="120" w:right="700" w:firstLine="440"/>
        <w:spacing w:after="0" w:line="263"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2021.</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Fiscal Year</w:t>
            </w:r>
          </w:p>
        </w:tc>
        <w:tc>
          <w:tcPr>
            <w:tcW w:w="1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Fiscal Year</w:t>
            </w:r>
          </w:p>
        </w:tc>
      </w:tr>
      <w:tr>
        <w:trPr>
          <w:trHeight w:val="171"/>
        </w:trPr>
        <w:tc>
          <w:tcPr>
            <w:tcW w:w="65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4"/>
                <w:szCs w:val="14"/>
                <w:color w:val="auto"/>
              </w:rPr>
            </w:pPr>
          </w:p>
        </w:tc>
        <w:tc>
          <w:tcPr>
            <w:tcW w:w="8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09"/>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$135,000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$161,000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Audit-Related Fees (2)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14,323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22,000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17,000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16,400</w:t>
            </w: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All Other Fees</w:t>
            </w: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Fees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166,323</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199,400</w:t>
            </w:r>
          </w:p>
        </w:tc>
      </w:tr>
      <w:tr>
        <w:trPr>
          <w:trHeight w:val="20"/>
        </w:trPr>
        <w:tc>
          <w:tcPr>
            <w:tcW w:w="6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91" w:lineRule="auto"/>
        <w:tabs>
          <w:tab w:leader="none" w:pos="54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These are fees for professional services for the audit of our annual financial statements dated December 31, 2020 and 2019 and the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effectiveness of internal control over financial reporting for the Company as of December 31, 2019 included in our Annual Reports on Form</w:t>
      </w:r>
    </w:p>
    <w:p>
      <w:pPr>
        <w:ind w:left="540" w:right="20"/>
        <w:spacing w:after="0" w:line="250" w:lineRule="auto"/>
        <w:rPr>
          <w:rFonts w:ascii="Arial" w:cs="Arial" w:eastAsia="Arial" w:hAnsi="Arial"/>
          <w:sz w:val="16"/>
          <w:szCs w:val="16"/>
          <w:color w:val="auto"/>
        </w:rPr>
      </w:pPr>
      <w:r>
        <w:rPr>
          <w:rFonts w:ascii="Arial" w:cs="Arial" w:eastAsia="Arial" w:hAnsi="Arial"/>
          <w:sz w:val="18"/>
          <w:szCs w:val="18"/>
          <w:color w:val="auto"/>
        </w:rPr>
        <w:t>10-K for fiscal years then ended, and review of financial statements included in our Quarterly Reports on Form 10-Q for each fiscal quarter during the 2020 and 2019 fiscal years.</w:t>
      </w:r>
    </w:p>
    <w:p>
      <w:pPr>
        <w:ind w:left="540" w:right="100" w:hanging="424"/>
        <w:spacing w:after="0" w:line="253"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These are fees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93"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92"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ADOPT AND APPROVE AN AMENDMENT TO OUR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 ARTICLES OF INCORPORATION INCREASING THE NUMBER OF COMMON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FROM 100,000,000 TO 150,000,000 SHARES</w:t>
      </w:r>
    </w:p>
    <w:p>
      <w:pPr>
        <w:spacing w:after="0" w:line="21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Our Board has approved and has recommended that our stockholders adopt and approve, an amendment to our restated articles of incorporation filed with the Nevada Secretary of State on May 29, 2012, as amended (the “Restated Articles of Incorporation), providing for an increase in the number of our common voting shares, having a par value of $0.001 per share (“common stock”), from 100,000,000 to 150,000,000. A form of Certificate of Amendment reflecting this proposed amendment is included in </w:t>
      </w:r>
      <w:r>
        <w:rPr>
          <w:rFonts w:ascii="Arial" w:cs="Arial" w:eastAsia="Arial" w:hAnsi="Arial"/>
          <w:sz w:val="16"/>
          <w:szCs w:val="16"/>
          <w:b w:val="1"/>
          <w:bCs w:val="1"/>
          <w:color w:val="auto"/>
        </w:rPr>
        <w:t>Appendix A</w:t>
      </w:r>
      <w:r>
        <w:rPr>
          <w:rFonts w:ascii="Arial" w:cs="Arial" w:eastAsia="Arial" w:hAnsi="Arial"/>
          <w:sz w:val="16"/>
          <w:szCs w:val="16"/>
          <w:color w:val="auto"/>
        </w:rPr>
        <w:t xml:space="preserve"> to this proxy statement (“Certificate of Amendment”). If adopted and approved by the stockholders, the proposed amendment to our Restated Articles of Incorporation will become effective upon the filing of the Certificate of Amendment with the Secretary of State of the State of Nevada. If the amendment to increase our authorized shares of common stock is approved by stockholders at the 2021 Annual Meeting, we intend to file the Certificate of Amendment as soon as practicable following the 2021 Annual Meeting.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Purposes of the Proposed Amendment</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As of the date of this proxy and assuming proposals 4 and 5 included are approved, the Company would only have approximately 13 million shares remaining for issuance of the currently authorized shares. While we believe our current cash resources to be sufficient to fund our operations for at least the next twelve months, we believe that we will need the ability to raise cash in one or more equity financings, including potentially issuing shares to any potential strategic partners, to fund our operations thereafter. This proposal to increase the number of shares of common stock available for issuance will give the Company greater flexibility to conduct such a financing. We do not have any present plan, arrangement or understanding to designate and issue any of the shares of common stock that will become available as a result of this proposed amendment to our Restated Articles of Incorporation. Although, at present, our Board has no immediate plans to issue the additional shares of common stock, it desires to have the shares available to provide additional flexibility to use our common stock for business and financial purposes in the future. The additional 50,000,000 authorized shares of common stock would be available for issuance for various purposes, as our Board may deem advisable, such as for future financings, to satisfy the issuance of shares of common stock on the conversion or exercise of our options, warrants or other convertible securities, to provide equity incentive to employees, officers, consultants and directors, to make stock-based acquisitions and for other general corporate purposes.</w:t>
      </w:r>
    </w:p>
    <w:p>
      <w:pPr>
        <w:spacing w:after="0" w:line="17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newly authorized common stock would be available for issuance without further action by stockholders except as required by law, our Restated Articles of Incorporation or applicable stock exchange requirements. Any such issuance could have the effect of diluting existing stockholders. Our Restated Articles of Incorporation do not include any preemptive or other rights of stockholders to subscribe for any shares of common stock which may in the future be issued by the Company, which means that current stockholders do not have a prior right to purchase any new issue of common stock in order to maintain their proportionate ownership of common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Additional Authorized Shares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additional common stock to be authorized by stockholder approval of this Proposal No. 3 would have rights identical to the currently outstanding shares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Possible Anti-Takeover Effects of the Proposed Amendment</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addition to the corporate purposes mentioned above, an increase in the number of authorized shares of our common stock may make it more difficult to, or discourage an attempt to, obtain control of the Company by means of a takeover bid that the Board determines is not in the best interest of the Company and its stockholders. The amendment to our Restated Articles of Incorporation to increase the number of authorized shares of common stock is not being proposed in response to any known effort or threat to acquire control of the Company and is not part of a plan by management to thwart such efforts.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Approval of the proposed amendment to our Restated Articles of Incorporation requires a majority of all votes entitled to be cast on the matter.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abstentions and broker non-votes will have the same effect as a vote “against”.</w:t>
      </w:r>
    </w:p>
    <w:p>
      <w:pPr>
        <w:spacing w:after="0" w:line="200" w:lineRule="exact"/>
        <w:rPr>
          <w:sz w:val="20"/>
          <w:szCs w:val="20"/>
          <w:color w:val="auto"/>
        </w:rPr>
      </w:pPr>
    </w:p>
    <w:p>
      <w:pPr>
        <w:spacing w:after="0" w:line="223" w:lineRule="exact"/>
        <w:rPr>
          <w:sz w:val="20"/>
          <w:szCs w:val="20"/>
          <w:color w:val="auto"/>
        </w:rPr>
      </w:pPr>
    </w:p>
    <w:p>
      <w:pPr>
        <w:jc w:val="center"/>
        <w:ind w:left="460" w:right="20"/>
        <w:spacing w:after="0" w:line="266" w:lineRule="auto"/>
        <w:rPr>
          <w:sz w:val="20"/>
          <w:szCs w:val="20"/>
          <w:color w:val="auto"/>
        </w:rPr>
      </w:pPr>
      <w:r>
        <w:rPr>
          <w:rFonts w:ascii="Arial" w:cs="Arial" w:eastAsia="Arial" w:hAnsi="Arial"/>
          <w:sz w:val="18"/>
          <w:szCs w:val="18"/>
          <w:b w:val="1"/>
          <w:bCs w:val="1"/>
          <w:i w:val="1"/>
          <w:iCs w:val="1"/>
          <w:color w:val="auto"/>
        </w:rPr>
        <w:t xml:space="preserve">OUR BOARD OF DIRECTORS RECOMMENDS A VOTE “FOR” </w:t>
      </w:r>
      <w:r>
        <w:rPr>
          <w:rFonts w:ascii="Arial" w:cs="Arial" w:eastAsia="Arial" w:hAnsi="Arial"/>
          <w:sz w:val="18"/>
          <w:szCs w:val="18"/>
          <w:b w:val="1"/>
          <w:bCs w:val="1"/>
          <w:color w:val="auto"/>
        </w:rPr>
        <w:t>THE ADOPTION AND APPROVAL OF AN AMENDMENT TO OUR</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RESTATED ARTICLES OF INCORPORATION INCREASING THE NUMBER OF COMMON STOCK FROM 100,000,000 TO 150,000,000 SHARES.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APPROVE AN AMENDMENT TO OUR 2019 OMNIBUS EQUITY INCENTIVE PLAN TO RESERVE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 ADDITIONAL 3,000,000 SHARES FOR ISSUANCE UNDER THE PLAN</w:t>
      </w:r>
    </w:p>
    <w:p>
      <w:pPr>
        <w:spacing w:after="0" w:line="21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On September 17, 2021, upon agreement by the Compensation Committee, the Board approved, subject to stockholder approval, an amendment to our 2019 Omnibus Equity Incentive Plan (the “Plan”) to reserve 3,000,000 additional shares for issuance under the Plan.</w:t>
      </w:r>
    </w:p>
    <w:p>
      <w:pPr>
        <w:spacing w:after="0" w:line="142" w:lineRule="exact"/>
        <w:rPr>
          <w:sz w:val="20"/>
          <w:szCs w:val="20"/>
          <w:color w:val="auto"/>
        </w:rPr>
      </w:pPr>
    </w:p>
    <w:p>
      <w:pPr>
        <w:ind w:left="120" w:right="560" w:firstLine="440"/>
        <w:spacing w:after="0" w:line="282" w:lineRule="auto"/>
        <w:rPr>
          <w:sz w:val="20"/>
          <w:szCs w:val="20"/>
          <w:color w:val="auto"/>
        </w:rPr>
      </w:pPr>
      <w:r>
        <w:rPr>
          <w:rFonts w:ascii="Arial" w:cs="Arial" w:eastAsia="Arial" w:hAnsi="Arial"/>
          <w:sz w:val="18"/>
          <w:szCs w:val="18"/>
          <w:color w:val="auto"/>
        </w:rPr>
        <w:t xml:space="preserve">The Plan, as amended to reflect the additional 3,000,000 shares for issuance under the plan, is attached hereto as </w:t>
      </w:r>
      <w:r>
        <w:rPr>
          <w:rFonts w:ascii="Arial" w:cs="Arial" w:eastAsia="Arial" w:hAnsi="Arial"/>
          <w:sz w:val="18"/>
          <w:szCs w:val="18"/>
          <w:b w:val="1"/>
          <w:bCs w:val="1"/>
          <w:color w:val="auto"/>
        </w:rPr>
        <w:t>Appendix B</w:t>
      </w:r>
      <w:r>
        <w:rPr>
          <w:rFonts w:ascii="Arial" w:cs="Arial" w:eastAsia="Arial" w:hAnsi="Arial"/>
          <w:sz w:val="18"/>
          <w:szCs w:val="18"/>
          <w:color w:val="auto"/>
        </w:rPr>
        <w:t>, and we urge stockholders to review the Plan carefully.</w:t>
      </w:r>
    </w:p>
    <w:p>
      <w:pPr>
        <w:spacing w:after="0" w:line="16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Under applicable NASDAQ rules, the Company is required to obtain stockholder approval of amendment to the Plan. Stockholder approval of the Plan is also required to comply with the incentive stock options rules under Section 422 of the Code. On September 20, 2021, the closing price of our Common Stock as reported by NASDAQ was $3.66.</w:t>
      </w:r>
    </w:p>
    <w:p>
      <w:pPr>
        <w:spacing w:after="0" w:line="184"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If approved by the Company’s stockholders, the Plan increase would authorize 3,000,000 additional shares for issuance under the Plan. The number of shares under the Plan would increase from 4,000,000 shares to 7,000,000 shares. The material terms of the Plan are as follows: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Objectives of the Plan</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 xml:space="preserve">The following is a summary of certain principal features of the Plan, as proposed to be adopted. This summary is qualified in its entirety by reference to the complete text of the Plan. Stockholders are urged to read the actual text of the Plan, as proposed to be amended and restated, in its entirety which is set forth as </w:t>
      </w:r>
      <w:r>
        <w:rPr>
          <w:rFonts w:ascii="Arial" w:cs="Arial" w:eastAsia="Arial" w:hAnsi="Arial"/>
          <w:sz w:val="18"/>
          <w:szCs w:val="18"/>
          <w:b w:val="1"/>
          <w:bCs w:val="1"/>
          <w:color w:val="auto"/>
        </w:rPr>
        <w:t>Appendix B</w:t>
      </w:r>
      <w:r>
        <w:rPr>
          <w:rFonts w:ascii="Arial" w:cs="Arial" w:eastAsia="Arial" w:hAnsi="Arial"/>
          <w:sz w:val="18"/>
          <w:szCs w:val="18"/>
          <w:color w:val="auto"/>
        </w:rPr>
        <w:t xml:space="preserve"> to this proxy statement.</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Plan will be administered by a committee (the “Incentive Plan Committee” or the “Committee”), which will consist of directors of the Company. However, the Board or the Compensation Committee, as applicable, may reserve administrative powers to itself as the Committee or exercise any of the administrative powers of the Committee. Further, the Board of Directors or the Compensation Committee may delegate any or all of its administrative authority to our Chief Executive Officer or to a management committee, except with respect to awards to executive officers who are subject to Section 16 of the Exchange Act.</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stock delivered to settle awards made under the Plan may be authorized and unissued shares or treasury shares, including shares repurchased by us for purposes of the Plan. If any shares subject to any award granted under the Plan (other than a substitute award) are forfeited or otherwise terminated without delivery of such shares (or if such shares are returned to us due to a forfeiture restriction under such award), the shares subject to such awards will again be available for issuance under the Plan. If any option or other award granted under the Plan is exercised through the tendering of shares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us or repurchase or exchange of our shares or other securities, or other rights to purchase shares of our securities or other similar transaction or event affects our Common Stock such that the Committee determines that an adjustment is appropriate in order to prevent dilution or enlargement of the benefits (or potential benefits) provided to grantees under the Plan, the committee will make an equitable change or adjustment as it deems appropriate in the number and kind of securities subject to awards and the related exercise price relating to an award.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Plan permits the granting of any or all of the following types of awards to all grantees:</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options, including incentive stock options, or ISO;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stock appreciation rights, or SARs;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deferred stock and restricted stock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performance units and performance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bonus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stock-based awards.</w:t>
      </w:r>
    </w:p>
    <w:p>
      <w:pPr>
        <w:spacing w:after="0" w:line="225"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Awards under the Plan may be granted for no consideration other than prior and future services. 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The material terms of each award will be set forth in a written award agreement between the grantee and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 and SARs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Committee is authorized to grant SARs and stock options (including ISOs except that an ISO may only be granted to an employee of ours or one of our subsidiary corporations). A stock option allows a grantee to purchase a specified number of shares of our Common Stock at a predetermined price per share (the “exercise price”) during a fixed period measured from the date of grant. An SAR entitles the grantee to receive the excess of the fair market value of a specified number of shares on the date of exercise over a predetermined exercise price per share. The exercise price of an option or an SAR will be determined by the Committee and will be set forth in the award agreement, but the exercise price may not be less than the fair market value of a share of Common Stock on the grant date. The term of each option or SAR is determined by the Committee and set forth in the award agreement, except that the term may not exceed 10 years. Options may be exercised by payment of the purchase price through one or more of the following means: payment in cash (including personal check or wire transfer), by delivering shares of our Common Stock previously owned by the grantee, or with the approval of the Committee, by delivery of shares of our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to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Committee may award restricted shares consisting of shares of our Common Stock that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award agreement. Upon termination of the grantee’s affiliation with us during the restriction period (or, if applicable, upon the failure to satisfy the specified performance objectives during the restriction period), the restricted shares will be forfeited as provided in the award agreement.</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Units and Deferred Stock</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Committee may also grant restricted stock unit awards and/or deferred stock awards. A deferred stock award is the grant of a right to receive a specified number of shares of our Common Stock at the end of specified deferral periods or upon the occurrence of a specified event, which satisfies the requirements of Section 409A of the Code. A restricted stock unit award is the grant of a right to receive a specified number of shares of our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be lapse without the issuance of the shares underlying such award.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Restricted stock units and deferred stock awards carry no voting or other rights associated with stock ownership. The award agreement will provide whether grantees may receive dividend equivalents with respect to restricted stock units or deferred stock, and if so, whether such dividend equivalents are distributed when credited or deemed to be reinvested in additional shares of restricted stock units or deferred stock.</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Committee may grant performance units, which entitle a grantee to cash or shares conditioned upon the fulfillment of certain performance conditions and other restrictions as specified by the Committee and reflected in the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award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Committee may grant performance shares, which entitle a grantee to a certain number of shares of common stock, conditioned upon the fulfillment of certain performance conditions and other restrictions as specified by the Committee and reflected in the award agreement. The Committee will determine the terms and conditions of such awards, including performance and other restrictions placed on these awards, which will be reflected in the award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Bonus Shares</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Committee may grant fully vested shares of our Common Stock as bonus shares on such terms and conditions as specified in the award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Committee is authorized to grant dividend equivalents which provide a grantee the right to receive payment equal to the dividends paid on a specified number of shares of our common stock. Dividend equivalents may be paid directly to grantees or may be deferred for later delivery under the Plan. If deferred such dividend equivalents may be credited with interest or may be deemed to be invested in shares of our Common Stock or in other property. Dividend equivalents may be granted in conjunction with other awards.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order to enable us to respond to material developments in the area of taxes and other legislation and regulations and interpretations thereof, and to trends in executive compensation practices, the Plan authorizes the Committee to grant awards that are valued in whole or in part by reference to or otherwise based on our securities. The Committee determines the terms and conditions of such awards, including consideration paid for awards granted as share purchase rights and whether awards are paid in shares or cash.</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Committee may require satisfaction of pre-established performance goals, consisting of one or more business criteria and a targeted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performance level with respect to such criteria, as a condition of awards being granted or becoming exercisable or payable under the Plan, or as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condition to accelerating the timing of such events. The Committee has the discretion to adjust the determinations of the degree of attainment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pre-established performance goals. The Committee retains the discretion in all events to adjust such awards downward. Awards may be settled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stock, other awards or other property, in the discretion of the Committee.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there is a merger or consolidation of us with or into another corporation or a sale of substantially all of our stock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Amendment to and Termination of the Plan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addition, subject to the terms of the Plan, no amendment or termination of the Plan may materially and adversely affect the right of a grantee under any award granted under the Plan, without the written consent of the grantee of such award.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Interests of Directors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considering the recommendation of the Board with respect to the Plan, stockholders of the Company should be aware that members of the Board may from time to time have interests that present them with conflicts of interest in connection with the proposal to approve the Plan. The Board believes that approval of the Plan will advance the interests of the Company and its stockholders by encouraging employees and directors to make significant contributions to the long-term success of the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 of the Company</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Information about the securities issued, or authorized for future issuance, under our equity compensation plans is set forth in the table under the heading “Equity Compensation Plan Information”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OUR BOARD OF DIRECTORS RECOMMENDS A VOTE “FOR” THE APPROVAL OF AN AMENDMENT TO THE 2019 OMNIBUS EQUITY INCENTIVE PLAN TO RESERVE AN ADDITIONAL 3,000,000 SHARES FOR ISSUANCE UNDER THE PLAN.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320" w:top="459" w:right="5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5</w:t>
      </w:r>
    </w:p>
    <w:p>
      <w:pPr>
        <w:spacing w:after="0" w:line="225" w:lineRule="exact"/>
        <w:rPr>
          <w:sz w:val="20"/>
          <w:szCs w:val="20"/>
          <w:color w:val="auto"/>
        </w:rPr>
      </w:pPr>
    </w:p>
    <w:p>
      <w:pPr>
        <w:jc w:val="center"/>
        <w:ind w:left="440" w:right="20"/>
        <w:spacing w:after="0" w:line="261" w:lineRule="auto"/>
        <w:rPr>
          <w:sz w:val="20"/>
          <w:szCs w:val="20"/>
          <w:color w:val="auto"/>
        </w:rPr>
      </w:pPr>
      <w:r>
        <w:rPr>
          <w:rFonts w:ascii="Arial" w:cs="Arial" w:eastAsia="Arial" w:hAnsi="Arial"/>
          <w:sz w:val="18"/>
          <w:szCs w:val="18"/>
          <w:b w:val="1"/>
          <w:bCs w:val="1"/>
          <w:color w:val="auto"/>
        </w:rPr>
        <w:t>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Background and Description of Proposal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On April 16, 2021, the Company and Richard E. Uihlein entered into a debt financing arrangement whereby Mr. Uihlein loaned ten million dollars to Company. In consideration for the loan, the Company issued a convertible promissory note (the “April 2021 Note”) in the principal amount of ten million dollars. The April 2021 Note has maturity date of April 16, 2025 and is convertible into the Company’s common stock at a conversion price equal to $5.00 per share at the option of the noteholder, which was 228% of the closing price of our stock on April 16, 2021. The April 2021 Note bears interest on at the rate of two percent (2%) per annum, compounded annually, and accrues additional interest at a rate of two and one-half percent (2.5%) per quarter (the “Additional Interest”) beginning on the date of issuance of the April 2021 Note and ending on the maturity date, provided however, that such Additional Interest is payable if and only if the noteholder elects to convert the entire balance of the April 2021 Note into the Company’s common stock. Upon maturity of the April 2021 Note, the Company would issue 2,964,864 shares of common stock for conversion of principal and interest, if elected.</w:t>
      </w:r>
    </w:p>
    <w:p>
      <w:pPr>
        <w:spacing w:after="0" w:line="19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On September 17, 2021, the Company and Richard E. Uihlein entered into an additional debt financing arrangement for $20 million whereby Mr. Uihlein loaned ten million dollars to Company upon signing the agreement with an additional ten million dollar loan to close in December 2021. In consideration for the initial loan, the Company issued a convertible promissory note (the “September 2021 Note”) in the principal amount of ten million dollars. The September 2021 Note has maturity date of September 17, 2025 and is convertible into the Company’s common stock at a conversion price equal to $8.64 per share at the option of the noteholder, which is 228% of the closing price of our stock on September 16, 2021. The September 2021 Note bears interest on at the rate of two percent (2%) per annum, compounded annually, and accrues additional interest at a rate of two and one-half percent (2.5%) per quarter (the “Additional Interest”) beginning on the date of issuance of the September 2021 Note and ending on the maturity date, provided however, that such Additional Interest is payable if and only if the noteholder elects to convert the entire balance of the September 2021 Note into the Company’s common stock. Upon maturity of the September 17, 2021 Note, the Company would issue 1,715,540 shares of common stock for conversion of principal and interest, if elected.</w:t>
      </w:r>
    </w:p>
    <w:p>
      <w:pPr>
        <w:spacing w:after="0" w:line="18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second additional note for $10 million is expected to close on December 17, 2021. The terms of the second additional note will be the same as for the September 2021 Note, and the conversion price will be the greater of 228% of the closing price of our common stock the day prior to closing or $5.00, whichever is greater. If the conversion price for the December 17, 2021 note is $5.00, then 2,964,864 shares of common stock would be issued at maturity for principal and accrued interest, if conversion is elected. If the conversion price of the December 17, 2021 is higher than $5.00, then fewer shares would be required to be issued for the principal and accrued interest at maturity, if conversion is elected.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and Background for Shareholder Approval</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Common Stock is listed on the Nasdaq Stock Market and, as such, we are subject to the Nasdaq Stock Market Rules. Nasdaq Listing Rule 5635(b) requires shareholder approval prior to the issuance of common stock when the issuance or potential issuance will result in a change of control of the Company. Subject to certain exceptions, Nasdaq would generally view an issuance as resulting in a change of control if it would result in a shareholder becoming a 20% or greater shareholder.</w:t>
      </w:r>
    </w:p>
    <w:p>
      <w:pPr>
        <w:spacing w:after="0" w:line="18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each of the Notes are held until maturity and principal and accrued interest are converted into shares of common stock, the maximum number of shares of common stock of the resulting issuance would be 7,645,268. As of the date of this proxy, there are an aggregate of 59,289,952 of shares of common stock outstanding. On a pro forma basis, based on beneficial ownership information as October 1, 2021, the issuance of such number of shares of common stock would result in Mr. Uihlein being the beneficial owner of 26.8% of the Company’s common stock, calculated in accordance with Section 13(d) of the Exchange Act.</w:t>
      </w:r>
    </w:p>
    <w:p>
      <w:pPr>
        <w:spacing w:after="0" w:line="188"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Consequently, in order to comply with Nasdaq Listing Rule 5635(b), we are seeking shareholder approval of the issuance of shares of our common stock upon conversion, exchange or otherwise to Richard E. Uihlein, our Chairman of the Board of Directors, pursuant to the terms of the Notes.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of the Company’s Directors, Officers and Employees in the Proposal</w:t>
      </w:r>
    </w:p>
    <w:p>
      <w:pPr>
        <w:spacing w:after="0" w:line="12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Richard E. Uihlein is our Chairman of the Board of Directors and has been the Company’s largest individual investor. As an investor, Mr. Uihlein may benefit in that his existing convertible notes in the principal amount of $30,000,000, plus accrued interest, are convertible into shares of common stock at a premium of 228% of the price of the Company’s common stock on the day before closing each note. This conversion price is currently above the market price of common stock but may be “in-the-money” during the term of the Notes.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Effects of Approving this Proposal</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If this Proposal is approved, shareholders may be subject to significant dilution. As disclosed above, on a pro forma basis, based on beneficial ownership information as of October 1, 2021, the issuance of such number of shares of common stock would result in Mr. Uihlein being the beneficial owner of 26.8% of the Company’s common stock, calculated in accordance with Section 13(d) of the Exchange Act.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of Not Approving this Proposal</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believe that the Note financing transactions with Mr. Uihlein are the best and least costly financing source available to us at this time. Generally, unsecured notes are not available to the Company from other lenders, and lenders would seek to obtain rights to convert a note at a discount to the market price, rather than a premium, to the market price. We believe that the terms are more favorable to the Company than terms that the Company could obtain from other parties. We believe that the benefits of the Note financing transactions exceed the potential dilutive effects. If our shareholders do not approve this Proposal, we will be required under the terms of the Notes to return the aggregate principal and accrued interest (with no penalty) to Mr. Uihlein. If we are forced to do so, we may be limited in our ability to raise sufficient funds on acceptable terms to fund our operations and our clinical trials.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382" w:lineRule="exact"/>
        <w:rPr>
          <w:sz w:val="20"/>
          <w:szCs w:val="20"/>
          <w:color w:val="auto"/>
        </w:rPr>
      </w:pPr>
    </w:p>
    <w:p>
      <w:pPr>
        <w:jc w:val="center"/>
        <w:ind w:left="460" w:right="60"/>
        <w:spacing w:after="0" w:line="258" w:lineRule="auto"/>
        <w:rPr>
          <w:sz w:val="20"/>
          <w:szCs w:val="20"/>
          <w:color w:val="auto"/>
        </w:rPr>
      </w:pPr>
      <w:r>
        <w:rPr>
          <w:rFonts w:ascii="Arial" w:cs="Arial" w:eastAsia="Arial" w:hAnsi="Arial"/>
          <w:sz w:val="18"/>
          <w:szCs w:val="18"/>
          <w:b w:val="1"/>
          <w:bCs w:val="1"/>
          <w:color w:val="auto"/>
        </w:rPr>
        <w:t>THE BOARD OF DIRECTORS RECOMMENDS A VOTE 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NO. 6</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ADJOURNMENT OF THE 2021 ANNUAL MEETING</w:t>
      </w:r>
    </w:p>
    <w:p>
      <w:pPr>
        <w:spacing w:after="0" w:line="21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the event there are not sufficient votes at the time of the 2021 Annual Meeting to adopt Proposal 3 (the amendment to the Company’s Restated Articles of Incorporation), the Board of Directors may propose to adjourn the 2021 Annual Meeting to a later date or dates in order to permit the solicitation of additional proxies.</w:t>
      </w:r>
    </w:p>
    <w:p>
      <w:pPr>
        <w:spacing w:after="0" w:line="184"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In order to permit proxies that have been received by the Company at the time of the 2021 Annual Meeting to be voted for an adjournment, if necessary, the Company has submitted the proposal to adjourn the 2021 Annual Meeting to you as a separate matter for your consideration.</w:t>
      </w:r>
    </w:p>
    <w:p>
      <w:pPr>
        <w:spacing w:after="0" w:line="12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this proposal, the Corporation is asking you to authorize the holder of any proxy solicited by its Board of Directors to vote in favor of adjourning the 2021 Annual Meeting and any later adjournments. If the Corporation’s shareholders approve the proposal to adjourn the 2021 Annual Meeting, the Company could adjourn the 2021 Annual Meeting, and any adjourned session of the 2021 Annual Meeting, to use the additional time to solicit additional proxies in favor of the proposal to amend the Company’s Restated Articles of Incorporation to increase the number of authorized shares of common stock from 100,000,000 to 150,000,000 shares. As a result, even if proxies representing a sufficient number of votes against the proposal have been received, the Company could adjourn the 2021 Annual Meeting without a vote on the proposal and seek to convince shareholders to change their votes to votes in favor of the adoption of the proposed amendment to the Corporation’s Restated Articles of Incorporation.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Approval of this Proposal requires a majority of the votes cast of this Proposal. Accordingly, abstentions and broker non-votes will have no effect on the outcome of this Proposal.</w:t>
      </w:r>
    </w:p>
    <w:p>
      <w:pPr>
        <w:spacing w:after="0" w:line="382" w:lineRule="exact"/>
        <w:rPr>
          <w:sz w:val="20"/>
          <w:szCs w:val="20"/>
          <w:color w:val="auto"/>
        </w:rPr>
      </w:pPr>
    </w:p>
    <w:p>
      <w:pPr>
        <w:jc w:val="center"/>
        <w:ind w:left="460"/>
        <w:spacing w:after="0" w:line="261" w:lineRule="auto"/>
        <w:rPr>
          <w:sz w:val="20"/>
          <w:szCs w:val="20"/>
          <w:color w:val="auto"/>
        </w:rPr>
      </w:pPr>
      <w:r>
        <w:rPr>
          <w:rFonts w:ascii="Arial" w:cs="Arial" w:eastAsia="Arial" w:hAnsi="Arial"/>
          <w:sz w:val="18"/>
          <w:szCs w:val="18"/>
          <w:b w:val="1"/>
          <w:bCs w:val="1"/>
          <w:color w:val="auto"/>
        </w:rPr>
        <w:t>THE BOARD OF DIRECTORS RECOMMENDS A VOTE TO AUTHORIZE THE APPROVAL OF THE ADJOURNMENT OF THE SPECIAL MEETING, IF NECESSARY, TO SOLICIT ADDITIONAL PROXIES, IN THE EVENT THERE ARE NOT SUFFICIENT VOTES AT THE TIME OF THE 2021 ANNUAL MEETING TO ADOPT THE PROPOSED AMENDMENT TO THE COMPANY’S RESTATED ARTICLES OF INCORPORATION.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PROPOSALS OF STOCKHOLDERS</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14, 2022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4, 2022 nor earlier than August 5, 2022, in order to be considered timely.</w:t>
      </w:r>
    </w:p>
    <w:p>
      <w:pPr>
        <w:spacing w:after="0" w:line="19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Notwithstanding the foregoing, if the date of the 2021 annual meeting of stockholders is scheduled to take place on a date that is more than 30 calendar days from the one year anniversary of the 2020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Annual Report on Form 10-K, filed with the SEC for the fiscal year ended December 31, 2020,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1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303020" cy="411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Corporate Secretary</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HOW TO ATTEND THE 2021 ANNUAL MEETING</w:t>
      </w:r>
    </w:p>
    <w:p>
      <w:pPr>
        <w:spacing w:after="0" w:line="22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This year our annual meeting will be a virtual online-only meeting. There will be no physical meeting location. The meeting will only be conducted via live webcast. To participate in the 2021 Annual Meeting, visit </w:t>
      </w:r>
      <w:r>
        <w:rPr>
          <w:rFonts w:ascii="Arial" w:cs="Arial" w:eastAsia="Arial" w:hAnsi="Arial"/>
          <w:sz w:val="18"/>
          <w:szCs w:val="18"/>
          <w:u w:val="single" w:color="auto"/>
          <w:color w:val="auto"/>
        </w:rPr>
        <w:t>www.virtualshareholdermeeting.com/GALT2021</w:t>
      </w:r>
      <w:r>
        <w:rPr>
          <w:rFonts w:ascii="Arial" w:cs="Arial" w:eastAsia="Arial" w:hAnsi="Arial"/>
          <w:sz w:val="18"/>
          <w:szCs w:val="18"/>
          <w:color w:val="auto"/>
        </w:rPr>
        <w:t xml:space="preserve"> and enter the 16-digit control number included on your notice of Internet availability of the proxy materials, on your proxy card, or on the instructions that accompanied your proxy materials. You may begin to log into the meeting platform beginning at 10:45 a.m. Eastern Standard Time on December 3, 2021. The meeting will begin promptly at 11:00 a.m. Eastern Standard Time on December 3, 2021.</w:t>
      </w:r>
    </w:p>
    <w:p>
      <w:pPr>
        <w:spacing w:after="0" w:line="18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WiFi connection wherever they intend to participate in the meeting. Participants should also give themselves plenty of time to log in and ensure that they can hear streaming audio prior to the start of the meeting.</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If you want to submit question during the meeting, log into the virtual meeting platform at </w:t>
      </w:r>
      <w:r>
        <w:rPr>
          <w:rFonts w:ascii="Arial" w:cs="Arial" w:eastAsia="Arial" w:hAnsi="Arial"/>
          <w:sz w:val="17"/>
          <w:szCs w:val="17"/>
          <w:u w:val="single" w:color="auto"/>
          <w:color w:val="auto"/>
        </w:rPr>
        <w:t>www.virtualshareholdermeeting.com/GALT2021</w:t>
      </w:r>
      <w:r>
        <w:rPr>
          <w:rFonts w:ascii="Arial" w:cs="Arial" w:eastAsia="Arial" w:hAnsi="Arial"/>
          <w:sz w:val="17"/>
          <w:szCs w:val="17"/>
          <w:color w:val="auto"/>
        </w:rPr>
        <w:t xml:space="preserve">, type your question into the “Ask a Question” field, and click “Submit.” Questions pertinent to meeting matters will be answered during the meeting, subject to time constraints. Questions regarding personal matters, including those related to employment, product or service issues, or suggestions for product innovations, are not pertinent to meeting matters and therefore will not be answered. The 2021 Annual Meeting has been designed to provide the same rights to participate as you would have at an in-person meeting. If you encounter any difficulties accessing the 2021 Annual Meeting during the check-in or meeting time, please call the technical support number that will be posted on the Virtual Shareholder Meeting log in page at </w:t>
      </w:r>
      <w:r>
        <w:rPr>
          <w:rFonts w:ascii="Arial" w:cs="Arial" w:eastAsia="Arial" w:hAnsi="Arial"/>
          <w:sz w:val="17"/>
          <w:szCs w:val="17"/>
          <w:u w:val="single" w:color="auto"/>
          <w:color w:val="auto"/>
        </w:rPr>
        <w:t>www.virtualshareholdermeeting.com/GALT2021</w:t>
      </w:r>
      <w:r>
        <w:rPr>
          <w:rFonts w:ascii="Arial" w:cs="Arial" w:eastAsia="Arial" w:hAnsi="Arial"/>
          <w:sz w:val="17"/>
          <w:szCs w:val="17"/>
          <w:color w:val="auto"/>
        </w:rPr>
        <w: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56"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BARBARA K. CEGAVSKE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-121920</wp:posOffset>
            </wp:positionV>
            <wp:extent cx="1414145" cy="1968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14145" cy="196850"/>
                    </a:xfrm>
                    <a:prstGeom prst="rect">
                      <a:avLst/>
                    </a:prstGeom>
                    <a:noFill/>
                  </pic:spPr>
                </pic:pic>
              </a:graphicData>
            </a:graphic>
          </wp:anchor>
        </w:drawing>
      </w:r>
    </w:p>
    <w:p>
      <w:pPr>
        <w:spacing w:after="0" w:line="3"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Secretary of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-113665</wp:posOffset>
            </wp:positionV>
            <wp:extent cx="651510" cy="6686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1510" cy="66865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8"/>
          <w:szCs w:val="18"/>
          <w:color w:val="auto"/>
        </w:rPr>
        <w:t>202 North Carson Street</w:t>
      </w:r>
    </w:p>
    <w:p>
      <w:pPr>
        <w:spacing w:after="0" w:line="9"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Carson City, Nevada 89701-4201</w:t>
      </w:r>
    </w:p>
    <w:p>
      <w:pPr>
        <w:spacing w:after="0" w:line="9" w:lineRule="exact"/>
        <w:rPr>
          <w:sz w:val="20"/>
          <w:szCs w:val="20"/>
          <w:color w:val="auto"/>
        </w:rPr>
      </w:pPr>
    </w:p>
    <w:p>
      <w:pPr>
        <w:ind w:left="3000" w:right="6340" w:hanging="9"/>
        <w:spacing w:after="0" w:line="323" w:lineRule="auto"/>
        <w:tabs>
          <w:tab w:leader="none" w:pos="3435" w:val="left"/>
        </w:tabs>
        <w:numPr>
          <w:ilvl w:val="0"/>
          <w:numId w:val="31"/>
        </w:numPr>
        <w:rPr>
          <w:rFonts w:ascii="Arial" w:cs="Arial" w:eastAsia="Arial" w:hAnsi="Arial"/>
          <w:sz w:val="16"/>
          <w:szCs w:val="16"/>
          <w:color w:val="auto"/>
        </w:rPr>
      </w:pPr>
      <w:r>
        <w:rPr>
          <w:rFonts w:ascii="Arial" w:cs="Arial" w:eastAsia="Arial" w:hAnsi="Arial"/>
          <w:sz w:val="16"/>
          <w:szCs w:val="16"/>
          <w:color w:val="auto"/>
        </w:rPr>
        <w:t>684-5708 Website: www.nvsos.gov</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Amendment</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(PURSUANT TO NRS 78.385 AND 78.390)</w:t>
      </w:r>
    </w:p>
    <w:p>
      <w:pPr>
        <w:spacing w:after="0" w:line="215" w:lineRule="exact"/>
        <w:rPr>
          <w:sz w:val="20"/>
          <w:szCs w:val="20"/>
          <w:color w:val="auto"/>
        </w:rPr>
      </w:pPr>
    </w:p>
    <w:p>
      <w:pPr>
        <w:ind w:left="120"/>
        <w:spacing w:after="0"/>
        <w:tabs>
          <w:tab w:leader="none" w:pos="8260" w:val="left"/>
        </w:tabs>
        <w:rPr>
          <w:sz w:val="20"/>
          <w:szCs w:val="20"/>
          <w:color w:val="auto"/>
        </w:rPr>
      </w:pPr>
      <w:r>
        <w:rPr>
          <w:rFonts w:ascii="Arial" w:cs="Arial" w:eastAsia="Arial" w:hAnsi="Arial"/>
          <w:sz w:val="14"/>
          <w:szCs w:val="14"/>
          <w:b w:val="1"/>
          <w:bCs w:val="1"/>
          <w:color w:val="auto"/>
        </w:rPr>
        <w:t>USE BLACK INK ONLY • DO NOT HIGHLIGHT</w:t>
      </w:r>
      <w:r>
        <w:rPr>
          <w:sz w:val="20"/>
          <w:szCs w:val="20"/>
          <w:color w:val="auto"/>
        </w:rPr>
        <w:tab/>
      </w:r>
      <w:r>
        <w:rPr>
          <w:rFonts w:ascii="Arial" w:cs="Arial" w:eastAsia="Arial" w:hAnsi="Arial"/>
          <w:sz w:val="14"/>
          <w:szCs w:val="14"/>
          <w:b w:val="1"/>
          <w:bCs w:val="1"/>
          <w:color w:val="auto"/>
        </w:rPr>
        <w:t>ABOVE SPACE IS FOR OFFICE USE ONLY</w:t>
      </w: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Certificate of Amendment to Articles of Incorporation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NRS 78.385 and 78.390 - After Issuance of Stock)</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Name of corporation:</w:t>
      </w:r>
    </w:p>
    <w:p>
      <w:pPr>
        <w:spacing w:after="0" w:line="25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Galectin Therapeutics, Inc.</w:t>
      </w:r>
    </w:p>
    <w:p>
      <w:pPr>
        <w:spacing w:after="0" w:line="200" w:lineRule="exact"/>
        <w:rPr>
          <w:sz w:val="20"/>
          <w:szCs w:val="20"/>
          <w:color w:val="auto"/>
        </w:rPr>
      </w:pP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The articles have been amended as follows: (provide article numbers, if available)</w:t>
      </w:r>
    </w:p>
    <w:p>
      <w:pPr>
        <w:spacing w:after="0" w:line="22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This Certificate of Amendment amends the Restated Articles of Incorporation by deleting the first sentence of Article III of the Restated Articles of Incorporation and replacing such sentence in its entirety with the following: “The corporation shall have authority to issue an aggregate of 150,000,000 shares, which shall be common voting shares having a par value of $0.001 per share, and 20,000,000 undesignated shares having a par value of $0.01 per share.”</w:t>
      </w:r>
    </w:p>
    <w:p>
      <w:pPr>
        <w:spacing w:after="0" w:line="187" w:lineRule="exact"/>
        <w:rPr>
          <w:sz w:val="20"/>
          <w:szCs w:val="20"/>
          <w:color w:val="auto"/>
        </w:rPr>
      </w:pPr>
    </w:p>
    <w:p>
      <w:pPr>
        <w:ind w:left="120" w:right="60" w:hanging="4"/>
        <w:spacing w:after="0" w:line="263" w:lineRule="auto"/>
        <w:tabs>
          <w:tab w:leader="none" w:pos="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amendments is:</w:t>
      </w:r>
    </w:p>
    <w:p>
      <w:pPr>
        <w:spacing w:after="0" w:line="211" w:lineRule="exact"/>
        <w:rPr>
          <w:sz w:val="20"/>
          <w:szCs w:val="20"/>
          <w:color w:val="auto"/>
        </w:rPr>
      </w:pPr>
    </w:p>
    <w:p>
      <w:pPr>
        <w:ind w:left="120"/>
        <w:spacing w:after="0"/>
        <w:tabs>
          <w:tab w:leader="none" w:pos="6300" w:val="left"/>
          <w:tab w:leader="none" w:pos="8780" w:val="left"/>
        </w:tabs>
        <w:rPr>
          <w:sz w:val="20"/>
          <w:szCs w:val="20"/>
          <w:color w:val="auto"/>
        </w:rPr>
      </w:pPr>
      <w:r>
        <w:rPr>
          <w:rFonts w:ascii="Arial" w:cs="Arial" w:eastAsia="Arial" w:hAnsi="Arial"/>
          <w:sz w:val="18"/>
          <w:szCs w:val="18"/>
          <w:color w:val="auto"/>
        </w:rPr>
        <w:t>4. Effective date and time of filing: (optional)</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Time:</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(must not be later than 90 days after the certificate is filed)</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 Signature: (required)</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27946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of Officer</w:t>
      </w:r>
    </w:p>
    <w:p>
      <w:pPr>
        <w:spacing w:after="0" w:line="130" w:lineRule="exact"/>
        <w:rPr>
          <w:sz w:val="20"/>
          <w:szCs w:val="20"/>
          <w:color w:val="auto"/>
        </w:rPr>
      </w:pPr>
    </w:p>
    <w:p>
      <w:pPr>
        <w:ind w:left="340" w:right="40" w:hanging="224"/>
        <w:spacing w:after="0" w:line="311"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any proposed amendment would alter or change any preference or any relative or other right given to any class or series of outstanding shares, then the amendment must be approved by the vote, in addition to the alternative vote otherwise required, of the holders of shares representing a majority of the voting power of each class or series affected by the amendment regardless to limitations or restrictions on the voting power threof.</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pacing w:after="0" w:line="21" w:lineRule="exact"/>
        <w:rPr>
          <w:sz w:val="20"/>
          <w:szCs w:val="20"/>
          <w:color w:val="auto"/>
        </w:rPr>
      </w:pPr>
    </w:p>
    <w:p>
      <w:pPr>
        <w:jc w:val="right"/>
        <w:ind w:left="120"/>
        <w:spacing w:after="0"/>
        <w:rPr>
          <w:sz w:val="20"/>
          <w:szCs w:val="20"/>
          <w:color w:val="auto"/>
        </w:rPr>
      </w:pPr>
      <w:r>
        <w:rPr>
          <w:rFonts w:ascii="Arial" w:cs="Arial" w:eastAsia="Arial" w:hAnsi="Arial"/>
          <w:sz w:val="17"/>
          <w:szCs w:val="17"/>
          <w:i w:val="1"/>
          <w:iCs w:val="1"/>
          <w:color w:val="auto"/>
        </w:rPr>
        <w:t xml:space="preserve">This form must be accompanied by appropriate fees.                                                   </w:t>
      </w:r>
      <w:r>
        <w:rPr>
          <w:rFonts w:ascii="Arial" w:cs="Arial" w:eastAsia="Arial" w:hAnsi="Arial"/>
          <w:sz w:val="27"/>
          <w:szCs w:val="27"/>
          <w:color w:val="auto"/>
          <w:vertAlign w:val="superscript"/>
        </w:rPr>
        <w:t>Nevada Secretary of State Amend Profit-After</w:t>
      </w:r>
      <w:r>
        <w:rPr>
          <w:rFonts w:ascii="Arial" w:cs="Arial" w:eastAsia="Arial" w:hAnsi="Arial"/>
          <w:sz w:val="17"/>
          <w:szCs w:val="17"/>
          <w:i w:val="1"/>
          <w:iCs w:val="1"/>
          <w:color w:val="auto"/>
        </w:rPr>
        <w:t xml:space="preserve"> </w:t>
      </w:r>
      <w:r>
        <w:rPr>
          <w:rFonts w:ascii="Arial" w:cs="Arial" w:eastAsia="Arial" w:hAnsi="Arial"/>
          <w:sz w:val="14"/>
          <w:szCs w:val="14"/>
          <w:color w:val="auto"/>
        </w:rPr>
        <w:t>Revised:1-5-15</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117"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2019 OMNIBUS EQUITY INCENTIVE PLAN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21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Effective Date of the Plan</w:t>
      </w:r>
      <w:r>
        <w:rPr>
          <w:rFonts w:ascii="Arial" w:cs="Arial" w:eastAsia="Arial" w:hAnsi="Arial"/>
          <w:sz w:val="18"/>
          <w:szCs w:val="18"/>
          <w:color w:val="auto"/>
        </w:rPr>
        <w:t>. The Board of Directors of Galectin Therapeutics Inc., a Nevada corporation (the “Company”), adopted the 2019 Omnibus Equity Incentive Plan (the “Plan”) effective as of September 25, 2019 (the “Effective Date”), subject to approval by the Company’s stockholders.</w:t>
      </w:r>
    </w:p>
    <w:p>
      <w:pPr>
        <w:spacing w:after="0" w:line="184"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Objectives of the Plan</w:t>
      </w:r>
      <w:r>
        <w:rPr>
          <w:rFonts w:ascii="Arial" w:cs="Arial" w:eastAsia="Arial" w:hAnsi="Arial"/>
          <w:sz w:val="16"/>
          <w:szCs w:val="16"/>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growth of the Company and its Affiliates through incentives which are consistent with the Company’s goals, (c) to provide Grantees with an incentive for excellence in individual performance, (d) to promote teamwork among employees, consultants</w:t>
      </w:r>
    </w:p>
    <w:p>
      <w:pPr>
        <w:spacing w:after="0" w:line="2" w:lineRule="exact"/>
        <w:rPr>
          <w:sz w:val="20"/>
          <w:szCs w:val="20"/>
          <w:color w:val="auto"/>
        </w:rPr>
      </w:pPr>
    </w:p>
    <w:p>
      <w:pPr>
        <w:jc w:val="both"/>
        <w:ind w:left="120" w:right="200"/>
        <w:spacing w:after="0" w:line="255" w:lineRule="auto"/>
        <w:rPr>
          <w:sz w:val="20"/>
          <w:szCs w:val="20"/>
          <w:color w:val="auto"/>
        </w:rPr>
      </w:pPr>
      <w:r>
        <w:rPr>
          <w:rFonts w:ascii="Arial" w:cs="Arial" w:eastAsia="Arial" w:hAnsi="Arial"/>
          <w:sz w:val="18"/>
          <w:szCs w:val="18"/>
          <w:color w:val="auto"/>
        </w:rPr>
        <w:t>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190"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w:t>
      </w:r>
    </w:p>
    <w:p>
      <w:pPr>
        <w:spacing w:after="0" w:line="39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7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Bonus Shares</w:t>
      </w:r>
      <w:r>
        <w:rPr>
          <w:rFonts w:ascii="Arial" w:cs="Arial" w:eastAsia="Arial" w:hAnsi="Arial"/>
          <w:sz w:val="17"/>
          <w:szCs w:val="17"/>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otherwise defined in an Award Agreement:</w:t>
      </w:r>
    </w:p>
    <w:p>
      <w:pPr>
        <w:spacing w:after="0" w:line="117" w:lineRule="exact"/>
        <w:rPr>
          <w:sz w:val="20"/>
          <w:szCs w:val="20"/>
          <w:color w:val="auto"/>
        </w:rPr>
      </w:pPr>
    </w:p>
    <w:p>
      <w:pPr>
        <w:ind w:left="1220" w:hanging="241"/>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failure by the Grantee to perform, in a reasonable manner, his or her duties as assigned by the Company or an Affiliate,</w:t>
      </w:r>
    </w:p>
    <w:p>
      <w:pPr>
        <w:spacing w:after="0" w:line="117" w:lineRule="exact"/>
        <w:rPr>
          <w:rFonts w:ascii="Arial" w:cs="Arial" w:eastAsia="Arial" w:hAnsi="Arial"/>
          <w:sz w:val="18"/>
          <w:szCs w:val="18"/>
          <w:color w:val="auto"/>
        </w:rPr>
      </w:pPr>
    </w:p>
    <w:p>
      <w:pPr>
        <w:ind w:left="560" w:right="680" w:firstLine="419"/>
        <w:spacing w:after="0" w:line="277" w:lineRule="auto"/>
        <w:tabs>
          <w:tab w:leader="none" w:pos="12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violation or breach by the Grantee of his or her employment, consulting or other similar agreement with the Company or an Affiliate, if any,</w:t>
      </w:r>
    </w:p>
    <w:p>
      <w:pPr>
        <w:spacing w:after="0" w:line="62" w:lineRule="exact"/>
        <w:rPr>
          <w:rFonts w:ascii="Arial" w:cs="Arial" w:eastAsia="Arial" w:hAnsi="Arial"/>
          <w:sz w:val="18"/>
          <w:szCs w:val="18"/>
          <w:color w:val="auto"/>
        </w:rPr>
      </w:pPr>
    </w:p>
    <w:p>
      <w:pPr>
        <w:ind w:left="560" w:right="140" w:firstLine="419"/>
        <w:spacing w:after="0" w:line="277" w:lineRule="auto"/>
        <w:tabs>
          <w:tab w:leader="none" w:pos="12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violation or breach by the Grantee of any non-competition, non-solicitation, non-disclosure and/or other similar agreement with the Company or an Affiliate,</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act by the Grantee of dishonesty or bad faith with respect to the Company or an Affiliate</w:t>
      </w:r>
    </w:p>
    <w:p>
      <w:pPr>
        <w:spacing w:after="0" w:line="117" w:lineRule="exact"/>
        <w:rPr>
          <w:rFonts w:ascii="Arial" w:cs="Arial" w:eastAsia="Arial" w:hAnsi="Arial"/>
          <w:sz w:val="18"/>
          <w:szCs w:val="18"/>
          <w:color w:val="auto"/>
        </w:rPr>
      </w:pPr>
    </w:p>
    <w:p>
      <w:pPr>
        <w:ind w:left="1220" w:hanging="241"/>
        <w:spacing w:after="0"/>
        <w:tabs>
          <w:tab w:leader="none" w:pos="1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 of alcohol, drugs or other similar substances in a manner that adversely affects the Grantee’s work performance, or</w:t>
      </w:r>
    </w:p>
    <w:p>
      <w:pPr>
        <w:spacing w:after="0" w:line="117" w:lineRule="exact"/>
        <w:rPr>
          <w:rFonts w:ascii="Arial" w:cs="Arial" w:eastAsia="Arial" w:hAnsi="Arial"/>
          <w:sz w:val="18"/>
          <w:szCs w:val="18"/>
          <w:color w:val="auto"/>
        </w:rPr>
      </w:pPr>
    </w:p>
    <w:p>
      <w:pPr>
        <w:ind w:left="560" w:right="540" w:firstLine="419"/>
        <w:spacing w:after="0" w:line="277" w:lineRule="auto"/>
        <w:tabs>
          <w:tab w:leader="none" w:pos="120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commission by the Grantee of any act, misdemeanor, or crime reflecting unfavorably upon the Grantee or the Company or any Affiliate; or</w:t>
      </w:r>
    </w:p>
    <w:p>
      <w:pPr>
        <w:spacing w:after="0" w:line="62" w:lineRule="exact"/>
        <w:rPr>
          <w:rFonts w:ascii="Arial" w:cs="Arial" w:eastAsia="Arial" w:hAnsi="Arial"/>
          <w:sz w:val="18"/>
          <w:szCs w:val="18"/>
          <w:color w:val="auto"/>
        </w:rPr>
      </w:pPr>
    </w:p>
    <w:p>
      <w:pPr>
        <w:ind w:left="560" w:right="760" w:firstLine="419"/>
        <w:spacing w:after="0" w:line="277" w:lineRule="auto"/>
        <w:tabs>
          <w:tab w:leader="none" w:pos="12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regarding ethical standards, conduct in workplace or safety;</w:t>
      </w:r>
    </w:p>
    <w:p>
      <w:pPr>
        <w:spacing w:after="0" w:line="170"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if the Grantee has a written employment or consulting agreement with the Company or any of its Affiliates or participates in any</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plan established by the Company that includes a definition of “cause,” Cause shall have the meaning set forth in such employment or consulting agreement or severance plan. The good faith determination by the Committee of whether a Grantee’s actions or omissions constitute grounds to terminate his or her service with the Company or an Affiliate for “Cause” shall be final and binding for all purposes hereunder.</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CEO</w:t>
      </w:r>
      <w:r>
        <w:rPr>
          <w:rFonts w:ascii="Arial" w:cs="Arial" w:eastAsia="Arial" w:hAnsi="Arial"/>
          <w:sz w:val="18"/>
          <w:szCs w:val="18"/>
          <w:color w:val="auto"/>
        </w:rPr>
        <w:t>” means the Chief Executive Officer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have the meaning set forth in Section 16.4(e).</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or “</w:t>
      </w:r>
      <w:r>
        <w:rPr>
          <w:rFonts w:ascii="Arial" w:cs="Arial" w:eastAsia="Arial" w:hAnsi="Arial"/>
          <w:sz w:val="18"/>
          <w:szCs w:val="18"/>
          <w:u w:val="single" w:color="auto"/>
          <w:color w:val="auto"/>
        </w:rPr>
        <w:t>Incentive Plan Committee</w:t>
      </w:r>
      <w:r>
        <w:rPr>
          <w:rFonts w:ascii="Arial" w:cs="Arial" w:eastAsia="Arial" w:hAnsi="Arial"/>
          <w:sz w:val="18"/>
          <w:szCs w:val="18"/>
          <w:color w:val="auto"/>
        </w:rPr>
        <w:t>” has the meaning set forth in Section 3.1(a).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means the compensation committee of the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$0.001 par value, of the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Corporate Transaction</w:t>
      </w:r>
      <w:r>
        <w:rPr>
          <w:rFonts w:ascii="Arial" w:cs="Arial" w:eastAsia="Arial" w:hAnsi="Arial"/>
          <w:sz w:val="18"/>
          <w:szCs w:val="18"/>
          <w:color w:val="auto"/>
        </w:rPr>
        <w:t>” shall have the meaning set forth in Section 4.2(b).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Deferred Stock</w:t>
      </w:r>
      <w:r>
        <w:rPr>
          <w:rFonts w:ascii="Arial" w:cs="Arial" w:eastAsia="Arial" w:hAnsi="Arial"/>
          <w:sz w:val="18"/>
          <w:szCs w:val="18"/>
          <w:color w:val="auto"/>
        </w:rPr>
        <w:t>” means a right, granted under Article 10, to receive Shares at the end of a specified deferral period.</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defined in an Award Agreement, or as otherwise determined under procedures established by the Committee for purposes of the Plan:</w:t>
      </w:r>
    </w:p>
    <w:p>
      <w:pPr>
        <w:spacing w:after="0" w:line="62" w:lineRule="exact"/>
        <w:rPr>
          <w:sz w:val="20"/>
          <w:szCs w:val="20"/>
          <w:color w:val="auto"/>
        </w:rPr>
      </w:pPr>
    </w:p>
    <w:p>
      <w:pPr>
        <w:ind w:left="1220" w:hanging="241"/>
        <w:spacing w:after="0"/>
        <w:tabs>
          <w:tab w:leader="none" w:pos="1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w:t>
      </w:r>
    </w:p>
    <w:p>
      <w:pPr>
        <w:spacing w:after="0" w:line="117" w:lineRule="exact"/>
        <w:rPr>
          <w:rFonts w:ascii="Arial" w:cs="Arial" w:eastAsia="Arial" w:hAnsi="Arial"/>
          <w:sz w:val="18"/>
          <w:szCs w:val="18"/>
          <w:color w:val="auto"/>
        </w:rPr>
      </w:pPr>
    </w:p>
    <w:p>
      <w:pPr>
        <w:ind w:left="560" w:right="80" w:firstLine="419"/>
        <w:spacing w:after="0" w:line="308" w:lineRule="auto"/>
        <w:tabs>
          <w:tab w:leader="none" w:pos="12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38" w:lineRule="exact"/>
        <w:rPr>
          <w:rFonts w:ascii="Arial" w:cs="Arial" w:eastAsia="Arial" w:hAnsi="Arial"/>
          <w:sz w:val="17"/>
          <w:szCs w:val="17"/>
          <w:color w:val="auto"/>
        </w:rPr>
      </w:pPr>
    </w:p>
    <w:p>
      <w:pPr>
        <w:ind w:left="1100" w:right="40" w:firstLine="408"/>
        <w:spacing w:after="0" w:line="263" w:lineRule="auto"/>
        <w:tabs>
          <w:tab w:leader="none" w:pos="1716"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75" w:lineRule="exact"/>
        <w:rPr>
          <w:rFonts w:ascii="Arial" w:cs="Arial" w:eastAsia="Arial" w:hAnsi="Arial"/>
          <w:sz w:val="18"/>
          <w:szCs w:val="18"/>
          <w:color w:val="auto"/>
        </w:rPr>
      </w:pPr>
    </w:p>
    <w:p>
      <w:pPr>
        <w:jc w:val="both"/>
        <w:ind w:left="1100" w:right="120" w:firstLine="408"/>
        <w:spacing w:after="0" w:line="286" w:lineRule="auto"/>
        <w:tabs>
          <w:tab w:leader="none" w:pos="1766"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6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set forth in Section 1.1.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Eligible Person</w:t>
      </w:r>
      <w:r>
        <w:rPr>
          <w:rFonts w:ascii="Arial" w:cs="Arial" w:eastAsia="Arial" w:hAnsi="Arial"/>
          <w:sz w:val="18"/>
          <w:szCs w:val="18"/>
          <w:color w:val="auto"/>
        </w:rPr>
        <w:t>” means any individual who is an employee (including any officer) of, a non-employee consultant to, or</w:t>
      </w:r>
    </w:p>
    <w:p>
      <w:pPr>
        <w:spacing w:after="0" w:line="23"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83"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2.20 “</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(a) with respect to an Option, the price at which a Share may be purchased by a Grantee pursuant to such Option or</w:t>
      </w:r>
    </w:p>
    <w:p>
      <w:pPr>
        <w:spacing w:after="0" w:line="46" w:lineRule="exact"/>
        <w:rPr>
          <w:sz w:val="20"/>
          <w:szCs w:val="20"/>
          <w:color w:val="auto"/>
        </w:rPr>
      </w:pPr>
    </w:p>
    <w:p>
      <w:pPr>
        <w:ind w:left="120" w:right="220" w:hanging="4"/>
        <w:spacing w:after="0" w:line="260" w:lineRule="auto"/>
        <w:tabs>
          <w:tab w:leader="none" w:pos="3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an Award is granted or such later date as specified in advance by the Committee.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Grantee</w:t>
      </w:r>
      <w:r>
        <w:rPr>
          <w:rFonts w:ascii="Arial" w:cs="Arial" w:eastAsia="Arial" w:hAnsi="Arial"/>
          <w:sz w:val="18"/>
          <w:szCs w:val="18"/>
          <w:color w:val="auto"/>
        </w:rPr>
        <w:t>” means a person who has been granted an Award.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is intended to meet the requirements of Section 422 of the Code.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Including</w:t>
      </w:r>
      <w:r>
        <w:rPr>
          <w:rFonts w:ascii="Arial" w:cs="Arial" w:eastAsia="Arial" w:hAnsi="Arial"/>
          <w:sz w:val="18"/>
          <w:szCs w:val="18"/>
          <w:color w:val="auto"/>
        </w:rPr>
        <w:t>” or “</w:t>
      </w:r>
      <w:r>
        <w:rPr>
          <w:rFonts w:ascii="Arial" w:cs="Arial" w:eastAsia="Arial" w:hAnsi="Arial"/>
          <w:sz w:val="18"/>
          <w:szCs w:val="18"/>
          <w:u w:val="single" w:color="auto"/>
          <w:color w:val="auto"/>
        </w:rPr>
        <w:t>includes</w:t>
      </w:r>
      <w:r>
        <w:rPr>
          <w:rFonts w:ascii="Arial" w:cs="Arial" w:eastAsia="Arial" w:hAnsi="Arial"/>
          <w:sz w:val="18"/>
          <w:szCs w:val="18"/>
          <w:color w:val="auto"/>
        </w:rPr>
        <w:t>” means “including, without limitation,” or “includes, without limitation,”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Management Committee</w:t>
      </w:r>
      <w:r>
        <w:rPr>
          <w:rFonts w:ascii="Arial" w:cs="Arial" w:eastAsia="Arial" w:hAnsi="Arial"/>
          <w:sz w:val="18"/>
          <w:szCs w:val="18"/>
          <w:color w:val="auto"/>
        </w:rPr>
        <w:t>” has the meaning set forth in Section 3.1(b).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 member of the Board who is not an employee of the Company or any Affiliate.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granted under Article 6 of the Plan.</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with respect to an Award of Performance Shares or Performance Units, the period of time during which the performance vesting conditions applicable to such Award must be satisfied.</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any grant pursuant to Article 9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any grant pursuant to Article 9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170"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if the Grantee satisfies the conditions specified in the Award Agreement applicable to such rights.</w:t>
      </w:r>
    </w:p>
    <w:p>
      <w:pPr>
        <w:spacing w:after="0" w:line="170"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by the SEC under the Exchange Act, as amended from time to time, together with any successor rule.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2.38 “</w:t>
      </w:r>
      <w:r>
        <w:rPr>
          <w:rFonts w:ascii="Arial" w:cs="Arial" w:eastAsia="Arial" w:hAnsi="Arial"/>
          <w:sz w:val="18"/>
          <w:szCs w:val="18"/>
          <w:u w:val="single" w:color="auto"/>
          <w:color w:val="auto"/>
        </w:rPr>
        <w:t>SEC</w:t>
      </w:r>
      <w:r>
        <w:rPr>
          <w:rFonts w:ascii="Arial" w:cs="Arial" w:eastAsia="Arial" w:hAnsi="Arial"/>
          <w:sz w:val="18"/>
          <w:szCs w:val="18"/>
          <w:color w:val="auto"/>
        </w:rPr>
        <w:t>” means the United States Securities and Exchange Commission, or any successor thereto.</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means a member of the Board who satisfies the requirements to qualify as a “non-employee director” under Rule 16b-3.</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2.41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82"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or “</w:t>
      </w:r>
      <w:r>
        <w:rPr>
          <w:rFonts w:ascii="Arial" w:cs="Arial" w:eastAsia="Arial" w:hAnsi="Arial"/>
          <w:sz w:val="18"/>
          <w:szCs w:val="18"/>
          <w:u w:val="single" w:color="auto"/>
          <w:color w:val="auto"/>
        </w:rPr>
        <w:t>SAR</w:t>
      </w:r>
      <w:r>
        <w:rPr>
          <w:rFonts w:ascii="Arial" w:cs="Arial" w:eastAsia="Arial" w:hAnsi="Arial"/>
          <w:sz w:val="18"/>
          <w:szCs w:val="18"/>
          <w:color w:val="auto"/>
        </w:rPr>
        <w:t>” means an Award granted under Article 7 of the Plan.</w:t>
      </w:r>
    </w:p>
    <w:p>
      <w:pPr>
        <w:spacing w:after="0" w:line="225"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84"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Surviving Company</w:t>
      </w:r>
      <w:r>
        <w:rPr>
          <w:rFonts w:ascii="Arial" w:cs="Arial" w:eastAsia="Arial" w:hAnsi="Arial"/>
          <w:sz w:val="16"/>
          <w:szCs w:val="16"/>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49"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Term</w:t>
      </w:r>
      <w:r>
        <w:rPr>
          <w:rFonts w:ascii="Arial" w:cs="Arial" w:eastAsia="Arial" w:hAnsi="Arial"/>
          <w:sz w:val="17"/>
          <w:szCs w:val="17"/>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4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Termination of Affiliation</w:t>
      </w:r>
      <w:r>
        <w:rPr>
          <w:rFonts w:ascii="Arial" w:cs="Arial" w:eastAsia="Arial" w:hAnsi="Arial"/>
          <w:sz w:val="18"/>
          <w:szCs w:val="18"/>
          <w:color w:val="auto"/>
        </w:rPr>
        <w:t>” occurs on the first day on which an individual is for any reason no longer performing services for the Company or any Affiliate in the capacity of an employee of, a non-employee consultant to, or a Non-Employee Director of, the Company or any Affiliate (other than an Eligible Person who is on a bona fide leave of absence) or with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17" w:lineRule="exact"/>
        <w:rPr>
          <w:sz w:val="20"/>
          <w:szCs w:val="20"/>
          <w:color w:val="auto"/>
        </w:rPr>
      </w:pPr>
    </w:p>
    <w:p>
      <w:pPr>
        <w:ind w:left="560" w:right="20" w:firstLine="419"/>
        <w:spacing w:after="0" w:line="293" w:lineRule="auto"/>
        <w:tabs>
          <w:tab w:leader="none" w:pos="12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56" w:lineRule="exact"/>
        <w:rPr>
          <w:rFonts w:ascii="Arial" w:cs="Arial" w:eastAsia="Arial" w:hAnsi="Arial"/>
          <w:sz w:val="16"/>
          <w:szCs w:val="16"/>
          <w:color w:val="auto"/>
        </w:rPr>
      </w:pPr>
    </w:p>
    <w:p>
      <w:pPr>
        <w:jc w:val="both"/>
        <w:ind w:left="560" w:right="20" w:firstLine="419"/>
        <w:spacing w:after="0" w:line="286" w:lineRule="auto"/>
        <w:tabs>
          <w:tab w:leader="none" w:pos="1238"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57" w:lineRule="exact"/>
        <w:rPr>
          <w:rFonts w:ascii="Arial" w:cs="Arial" w:eastAsia="Arial" w:hAnsi="Arial"/>
          <w:sz w:val="17"/>
          <w:szCs w:val="17"/>
          <w:color w:val="auto"/>
        </w:rPr>
      </w:pPr>
    </w:p>
    <w:p>
      <w:pPr>
        <w:jc w:val="both"/>
        <w:ind w:left="560" w:right="120" w:firstLine="419"/>
        <w:spacing w:after="0" w:line="286" w:lineRule="auto"/>
        <w:tabs>
          <w:tab w:leader="none" w:pos="1228"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w:t>
      </w:r>
    </w:p>
    <w:p>
      <w:pPr>
        <w:spacing w:after="0" w:line="1" w:lineRule="exact"/>
        <w:rPr>
          <w:rFonts w:ascii="Arial" w:cs="Arial" w:eastAsia="Arial" w:hAnsi="Arial"/>
          <w:sz w:val="16"/>
          <w:szCs w:val="16"/>
          <w:color w:val="auto"/>
        </w:rPr>
      </w:pPr>
    </w:p>
    <w:p>
      <w:pPr>
        <w:ind w:left="560" w:right="1020"/>
        <w:spacing w:after="0" w:line="290" w:lineRule="auto"/>
        <w:rPr>
          <w:rFonts w:ascii="Arial" w:cs="Arial" w:eastAsia="Arial" w:hAnsi="Arial"/>
          <w:sz w:val="16"/>
          <w:szCs w:val="16"/>
          <w:color w:val="auto"/>
        </w:rPr>
      </w:pPr>
      <w:r>
        <w:rPr>
          <w:rFonts w:ascii="Arial" w:cs="Arial" w:eastAsia="Arial" w:hAnsi="Arial"/>
          <w:sz w:val="17"/>
          <w:szCs w:val="17"/>
          <w:color w:val="auto"/>
        </w:rPr>
        <w:t>to Non-Employee Directors, “Committee” shall include only the full Board, and (ii) for purposes of Awards intended to comply with Rule 16b-3, the “Committee” shall include only the Incentive Plan Committee or the Compensation Committee.</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79" w:lineRule="exact"/>
        <w:rPr>
          <w:sz w:val="20"/>
          <w:szCs w:val="20"/>
          <w:color w:val="auto"/>
        </w:rPr>
      </w:pPr>
    </w:p>
    <w:p>
      <w:pPr>
        <w:ind w:left="1220" w:hanging="241"/>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117" w:lineRule="exact"/>
        <w:rPr>
          <w:rFonts w:ascii="Arial" w:cs="Arial" w:eastAsia="Arial" w:hAnsi="Arial"/>
          <w:sz w:val="18"/>
          <w:szCs w:val="18"/>
          <w:color w:val="auto"/>
        </w:rPr>
      </w:pPr>
    </w:p>
    <w:p>
      <w:pPr>
        <w:ind w:left="560" w:right="260" w:firstLine="419"/>
        <w:spacing w:after="0" w:line="255" w:lineRule="auto"/>
        <w:tabs>
          <w:tab w:leader="none" w:pos="12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84" w:lineRule="exact"/>
        <w:rPr>
          <w:rFonts w:ascii="Arial" w:cs="Arial" w:eastAsia="Arial" w:hAnsi="Arial"/>
          <w:sz w:val="18"/>
          <w:szCs w:val="18"/>
          <w:color w:val="auto"/>
        </w:rPr>
      </w:pPr>
    </w:p>
    <w:p>
      <w:pPr>
        <w:ind w:left="560" w:right="280" w:firstLine="419"/>
        <w:spacing w:after="0" w:line="277" w:lineRule="auto"/>
        <w:tabs>
          <w:tab w:leader="none" w:pos="12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62" w:lineRule="exact"/>
        <w:rPr>
          <w:rFonts w:ascii="Arial" w:cs="Arial" w:eastAsia="Arial" w:hAnsi="Arial"/>
          <w:sz w:val="18"/>
          <w:szCs w:val="18"/>
          <w:color w:val="auto"/>
        </w:rPr>
      </w:pPr>
    </w:p>
    <w:p>
      <w:pPr>
        <w:ind w:left="560" w:right="60" w:firstLine="419"/>
        <w:spacing w:after="0" w:line="342" w:lineRule="auto"/>
        <w:tabs>
          <w:tab w:leader="none" w:pos="123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5" w:lineRule="exact"/>
        <w:rPr>
          <w:rFonts w:ascii="Arial" w:cs="Arial" w:eastAsia="Arial" w:hAnsi="Arial"/>
          <w:sz w:val="16"/>
          <w:szCs w:val="16"/>
          <w:color w:val="auto"/>
        </w:rPr>
      </w:pPr>
    </w:p>
    <w:p>
      <w:pPr>
        <w:ind w:left="1220" w:hanging="241"/>
        <w:spacing w:after="0"/>
        <w:tabs>
          <w:tab w:leader="none" w:pos="1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117" w:lineRule="exact"/>
        <w:rPr>
          <w:rFonts w:ascii="Arial" w:cs="Arial" w:eastAsia="Arial" w:hAnsi="Arial"/>
          <w:sz w:val="18"/>
          <w:szCs w:val="18"/>
          <w:color w:val="auto"/>
        </w:rPr>
      </w:pPr>
    </w:p>
    <w:p>
      <w:pPr>
        <w:ind w:left="560" w:right="120" w:firstLine="419"/>
        <w:spacing w:after="0" w:line="263" w:lineRule="auto"/>
        <w:tabs>
          <w:tab w:leader="none" w:pos="12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 Restricted Shares (including Restricted Shares acquired upon the exercise of an Option) shall be forfeited and whether such shares shall be held in escrow;</w:t>
      </w:r>
    </w:p>
    <w:p>
      <w:pPr>
        <w:spacing w:after="0" w:line="75" w:lineRule="exact"/>
        <w:rPr>
          <w:rFonts w:ascii="Arial" w:cs="Arial" w:eastAsia="Arial" w:hAnsi="Arial"/>
          <w:sz w:val="18"/>
          <w:szCs w:val="18"/>
          <w:color w:val="auto"/>
        </w:rPr>
      </w:pPr>
    </w:p>
    <w:p>
      <w:pPr>
        <w:ind w:left="560" w:firstLine="419"/>
        <w:spacing w:after="0" w:line="259" w:lineRule="auto"/>
        <w:tabs>
          <w:tab w:leader="none" w:pos="123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80" w:firstLine="419"/>
        <w:spacing w:after="0" w:line="263" w:lineRule="auto"/>
        <w:tabs>
          <w:tab w:leader="none" w:pos="12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75" w:lineRule="exact"/>
        <w:rPr>
          <w:rFonts w:ascii="Arial" w:cs="Arial" w:eastAsia="Arial" w:hAnsi="Arial"/>
          <w:sz w:val="18"/>
          <w:szCs w:val="18"/>
          <w:color w:val="auto"/>
        </w:rPr>
      </w:pPr>
    </w:p>
    <w:p>
      <w:pPr>
        <w:ind w:left="1200" w:hanging="22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offer to exchange or buy out any previously granted Award for a payment in cash, Shares or other Award;</w:t>
      </w:r>
    </w:p>
    <w:p>
      <w:pPr>
        <w:spacing w:after="0" w:line="117" w:lineRule="exact"/>
        <w:rPr>
          <w:rFonts w:ascii="Arial" w:cs="Arial" w:eastAsia="Arial" w:hAnsi="Arial"/>
          <w:sz w:val="18"/>
          <w:szCs w:val="18"/>
          <w:color w:val="auto"/>
        </w:rPr>
      </w:pPr>
    </w:p>
    <w:p>
      <w:pPr>
        <w:ind w:left="560" w:right="640" w:firstLine="419"/>
        <w:spacing w:after="0" w:line="277" w:lineRule="auto"/>
        <w:tabs>
          <w:tab w:leader="none" w:pos="119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62" w:lineRule="exact"/>
        <w:rPr>
          <w:rFonts w:ascii="Arial" w:cs="Arial" w:eastAsia="Arial" w:hAnsi="Arial"/>
          <w:sz w:val="18"/>
          <w:szCs w:val="18"/>
          <w:color w:val="auto"/>
        </w:rPr>
      </w:pPr>
    </w:p>
    <w:p>
      <w:pPr>
        <w:ind w:left="1240" w:hanging="26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117" w:lineRule="exact"/>
        <w:rPr>
          <w:rFonts w:ascii="Arial" w:cs="Arial" w:eastAsia="Arial" w:hAnsi="Arial"/>
          <w:sz w:val="18"/>
          <w:szCs w:val="18"/>
          <w:color w:val="auto"/>
        </w:rPr>
      </w:pPr>
    </w:p>
    <w:p>
      <w:pPr>
        <w:ind w:left="1200" w:hanging="22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117" w:lineRule="exact"/>
        <w:rPr>
          <w:rFonts w:ascii="Arial" w:cs="Arial" w:eastAsia="Arial" w:hAnsi="Arial"/>
          <w:sz w:val="18"/>
          <w:szCs w:val="18"/>
          <w:color w:val="auto"/>
        </w:rPr>
      </w:pPr>
    </w:p>
    <w:p>
      <w:pPr>
        <w:ind w:left="560" w:right="60" w:firstLine="419"/>
        <w:spacing w:after="0" w:line="255" w:lineRule="auto"/>
        <w:tabs>
          <w:tab w:leader="none" w:pos="128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84" w:lineRule="exact"/>
        <w:rPr>
          <w:rFonts w:ascii="Arial" w:cs="Arial" w:eastAsia="Arial" w:hAnsi="Arial"/>
          <w:sz w:val="18"/>
          <w:szCs w:val="18"/>
          <w:color w:val="auto"/>
        </w:rPr>
      </w:pPr>
    </w:p>
    <w:p>
      <w:pPr>
        <w:ind w:left="1240" w:hanging="261"/>
        <w:spacing w:after="0"/>
        <w:tabs>
          <w:tab w:leader="none" w:pos="1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impose such additional terms and conditions upon the grant, exercise or retention of Awards as the Committee may, before or</w:t>
      </w:r>
    </w:p>
    <w:p>
      <w:pPr>
        <w:spacing w:after="0" w:line="34" w:lineRule="exact"/>
        <w:rPr>
          <w:rFonts w:ascii="Arial" w:cs="Arial" w:eastAsia="Arial" w:hAnsi="Arial"/>
          <w:sz w:val="17"/>
          <w:szCs w:val="17"/>
          <w:color w:val="auto"/>
        </w:rPr>
      </w:pPr>
    </w:p>
    <w:p>
      <w:pPr>
        <w:ind w:left="560" w:right="20"/>
        <w:spacing w:after="0" w:line="260" w:lineRule="auto"/>
        <w:rPr>
          <w:rFonts w:ascii="Arial" w:cs="Arial" w:eastAsia="Arial" w:hAnsi="Arial"/>
          <w:sz w:val="17"/>
          <w:szCs w:val="17"/>
          <w:color w:val="auto"/>
        </w:rPr>
      </w:pPr>
      <w:r>
        <w:rPr>
          <w:rFonts w:ascii="Arial" w:cs="Arial" w:eastAsia="Arial" w:hAnsi="Arial"/>
          <w:sz w:val="18"/>
          <w:szCs w:val="18"/>
          <w:color w:val="auto"/>
        </w:rPr>
        <w:t>concurrently with the grant thereof, deem appropriate, including limiting the percentage of Awards which may from time to time be exercised by a Grantee;</w:t>
      </w:r>
    </w:p>
    <w:p>
      <w:pPr>
        <w:spacing w:after="0" w:line="77" w:lineRule="exact"/>
        <w:rPr>
          <w:rFonts w:ascii="Arial" w:cs="Arial" w:eastAsia="Arial" w:hAnsi="Arial"/>
          <w:sz w:val="17"/>
          <w:szCs w:val="17"/>
          <w:color w:val="auto"/>
        </w:rPr>
      </w:pPr>
    </w:p>
    <w:p>
      <w:pPr>
        <w:ind w:left="560" w:right="100" w:firstLine="419"/>
        <w:spacing w:after="0" w:line="263" w:lineRule="auto"/>
        <w:tabs>
          <w:tab w:leader="none" w:pos="12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75" w:lineRule="exact"/>
        <w:rPr>
          <w:rFonts w:ascii="Arial" w:cs="Arial" w:eastAsia="Arial" w:hAnsi="Arial"/>
          <w:sz w:val="18"/>
          <w:szCs w:val="18"/>
          <w:color w:val="auto"/>
        </w:rPr>
      </w:pPr>
    </w:p>
    <w:p>
      <w:pPr>
        <w:ind w:left="560" w:right="680" w:firstLine="419"/>
        <w:spacing w:after="0" w:line="308" w:lineRule="auto"/>
        <w:tabs>
          <w:tab w:leader="none" w:pos="123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38" w:lineRule="exact"/>
        <w:rPr>
          <w:rFonts w:ascii="Arial" w:cs="Arial" w:eastAsia="Arial" w:hAnsi="Arial"/>
          <w:sz w:val="17"/>
          <w:szCs w:val="17"/>
          <w:color w:val="auto"/>
        </w:rPr>
      </w:pPr>
    </w:p>
    <w:p>
      <w:pPr>
        <w:ind w:left="560" w:right="80" w:firstLine="419"/>
        <w:spacing w:after="0" w:line="263" w:lineRule="auto"/>
        <w:tabs>
          <w:tab w:leader="none" w:pos="12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8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Repricings</w:t>
      </w:r>
      <w:r>
        <w:rPr>
          <w:rFonts w:ascii="Arial" w:cs="Arial" w:eastAsia="Arial" w:hAnsi="Arial"/>
          <w:sz w:val="18"/>
          <w:szCs w:val="18"/>
          <w:color w:val="auto"/>
        </w:rPr>
        <w:t>.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 Available for Grants</w:t>
      </w:r>
      <w:r>
        <w:rPr>
          <w:rFonts w:ascii="Arial" w:cs="Arial" w:eastAsia="Arial" w:hAnsi="Arial"/>
          <w:sz w:val="18"/>
          <w:szCs w:val="18"/>
          <w:color w:val="auto"/>
        </w:rPr>
        <w:t>. Subject to adjustment as provided in Section 4.2 and except as provided in Section 5.6(b), the maximum number of Shares hereby reserved for delivery under the Plan shall be 7,000,000 Shares. Up to a maximum of 7,000,000 Shares may be delivered pursuant to the exercise of Incentive Stock Options granted hereunder.</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If any Shares subject to an Award granted hereunder (other than a Substitute Award granted pursuant to Section 5.6(b)) are forfeited or such Award otherwise terminates without payment or delivery of such Shares or if such Award is settled in cash, the Shares subject to such Award, to the extent of any such forfeiture, termination or cash settlement, shall again be available for grant under the Plan. 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7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number of Shares available for issuance under the Plan may not be increased through the Company’s purchase of Shares on the open market with the proceeds obtained from the exercise of any Options granted hereunder.</w:t>
      </w:r>
    </w:p>
    <w:p>
      <w:pPr>
        <w:spacing w:after="0" w:line="170"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Adjustments in Authorized Shares and Awards; Corporate Transaction, Liquidation or Dissolution</w:t>
      </w:r>
      <w:r>
        <w:rPr>
          <w:rFonts w:ascii="Arial" w:cs="Arial" w:eastAsia="Arial" w:hAnsi="Arial"/>
          <w:sz w:val="18"/>
          <w:szCs w:val="18"/>
          <w:color w:val="auto"/>
        </w:rPr>
        <w:t>.</w:t>
      </w:r>
    </w:p>
    <w:p>
      <w:pPr>
        <w:spacing w:after="0" w:line="117" w:lineRule="exact"/>
        <w:rPr>
          <w:sz w:val="20"/>
          <w:szCs w:val="20"/>
          <w:color w:val="auto"/>
        </w:rPr>
      </w:pPr>
    </w:p>
    <w:p>
      <w:pPr>
        <w:ind w:left="560" w:right="100" w:firstLine="419"/>
        <w:spacing w:after="0" w:line="283" w:lineRule="auto"/>
        <w:tabs>
          <w:tab w:leader="none" w:pos="1227"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 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w:t>
      </w:r>
    </w:p>
    <w:p>
      <w:pPr>
        <w:spacing w:after="0" w:line="5" w:lineRule="exact"/>
        <w:rPr>
          <w:rFonts w:ascii="Arial" w:cs="Arial" w:eastAsia="Arial" w:hAnsi="Arial"/>
          <w:sz w:val="16"/>
          <w:szCs w:val="16"/>
          <w:color w:val="auto"/>
        </w:rPr>
      </w:pPr>
    </w:p>
    <w:p>
      <w:pPr>
        <w:ind w:left="560" w:right="80" w:hanging="4"/>
        <w:spacing w:after="0" w:line="273" w:lineRule="auto"/>
        <w:tabs>
          <w:tab w:leader="none" w:pos="8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the number of Shares subject to any Award denominated in Shares shall always be a whole number.</w:t>
      </w:r>
    </w:p>
    <w:p>
      <w:pPr>
        <w:spacing w:after="0" w:line="68" w:lineRule="exact"/>
        <w:rPr>
          <w:rFonts w:ascii="Arial" w:cs="Arial" w:eastAsia="Arial" w:hAnsi="Arial"/>
          <w:sz w:val="17"/>
          <w:szCs w:val="17"/>
          <w:color w:val="auto"/>
        </w:rPr>
      </w:pPr>
    </w:p>
    <w:p>
      <w:pPr>
        <w:ind w:left="560" w:firstLine="419"/>
        <w:spacing w:after="0" w:line="286" w:lineRule="auto"/>
        <w:tabs>
          <w:tab w:leader="none" w:pos="1238"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Merger, Consolidation or Similar Corporate Transaction</w:t>
      </w:r>
      <w:r>
        <w:rPr>
          <w:rFonts w:ascii="Arial" w:cs="Arial" w:eastAsia="Arial" w:hAnsi="Arial"/>
          <w:sz w:val="16"/>
          <w:szCs w:val="16"/>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65" w:lineRule="exact"/>
        <w:rPr>
          <w:rFonts w:ascii="Arial" w:cs="Arial" w:eastAsia="Arial" w:hAnsi="Arial"/>
          <w:sz w:val="16"/>
          <w:szCs w:val="16"/>
          <w:color w:val="auto"/>
        </w:rPr>
      </w:pPr>
    </w:p>
    <w:p>
      <w:pPr>
        <w:ind w:left="560" w:right="120" w:firstLine="419"/>
        <w:spacing w:after="0" w:line="273" w:lineRule="auto"/>
        <w:tabs>
          <w:tab w:leader="none" w:pos="1227"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Liquidation or Dissolution of the Company</w:t>
      </w:r>
      <w:r>
        <w:rPr>
          <w:rFonts w:ascii="Arial" w:cs="Arial" w:eastAsia="Arial" w:hAnsi="Arial"/>
          <w:sz w:val="17"/>
          <w:szCs w:val="17"/>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340" w:firstLine="419"/>
        <w:spacing w:after="0" w:line="311" w:lineRule="auto"/>
        <w:tabs>
          <w:tab w:leader="none" w:pos="1238"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Deferred Compensation</w:t>
      </w:r>
      <w:r>
        <w:rPr>
          <w:rFonts w:ascii="Arial" w:cs="Arial" w:eastAsia="Arial" w:hAnsi="Arial"/>
          <w:sz w:val="16"/>
          <w:szCs w:val="16"/>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211"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Eligibility</w:t>
      </w:r>
      <w:r>
        <w:rPr>
          <w:rFonts w:ascii="Arial" w:cs="Arial" w:eastAsia="Arial" w:hAnsi="Arial"/>
          <w:sz w:val="16"/>
          <w:szCs w:val="16"/>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Award Agreement</w:t>
      </w:r>
      <w:r>
        <w:rPr>
          <w:rFonts w:ascii="Arial" w:cs="Arial" w:eastAsia="Arial" w:hAnsi="Arial"/>
          <w:sz w:val="16"/>
          <w:szCs w:val="16"/>
          <w:color w:val="auto"/>
        </w:rPr>
        <w:t>. To the extent not set forth in the Plan, the terms and conditions of each Award shall be set forth in an Award Agreement.</w:t>
      </w:r>
    </w:p>
    <w:p>
      <w:pPr>
        <w:spacing w:after="0" w:line="24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General Terms and Termination of Affiliation</w:t>
      </w:r>
      <w:r>
        <w:rPr>
          <w:rFonts w:ascii="Arial" w:cs="Arial" w:eastAsia="Arial" w:hAnsi="Arial"/>
          <w:sz w:val="17"/>
          <w:szCs w:val="17"/>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unless the Committee accelerates vesting of such Awards within thirty (30) days after such Grantee’s Termination of Affiliation and (b) all outstanding Options and SARs not previously exercised shall expire three months after the Grantee’s Termination of Affiliation.</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Nontransferability of Awards</w:t>
      </w:r>
      <w:r>
        <w:rPr>
          <w:rFonts w:ascii="Arial" w:cs="Arial" w:eastAsia="Arial" w:hAnsi="Arial"/>
          <w:sz w:val="18"/>
          <w:szCs w:val="18"/>
          <w:color w:val="auto"/>
        </w:rPr>
        <w:t>.</w:t>
      </w:r>
    </w:p>
    <w:p>
      <w:pPr>
        <w:spacing w:after="0" w:line="117" w:lineRule="exact"/>
        <w:rPr>
          <w:sz w:val="20"/>
          <w:szCs w:val="20"/>
          <w:color w:val="auto"/>
        </w:rPr>
      </w:pPr>
    </w:p>
    <w:p>
      <w:pPr>
        <w:ind w:left="560" w:right="180" w:firstLine="419"/>
        <w:spacing w:after="0" w:line="259" w:lineRule="auto"/>
        <w:tabs>
          <w:tab w:leader="none" w:pos="1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78" w:lineRule="exact"/>
        <w:rPr>
          <w:rFonts w:ascii="Arial" w:cs="Arial" w:eastAsia="Arial" w:hAnsi="Arial"/>
          <w:sz w:val="18"/>
          <w:szCs w:val="18"/>
          <w:color w:val="auto"/>
        </w:rPr>
      </w:pPr>
    </w:p>
    <w:p>
      <w:pPr>
        <w:ind w:left="560" w:right="140" w:firstLine="419"/>
        <w:spacing w:after="0" w:line="255" w:lineRule="auto"/>
        <w:tabs>
          <w:tab w:leader="none" w:pos="12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84" w:lineRule="exact"/>
        <w:rPr>
          <w:rFonts w:ascii="Arial" w:cs="Arial" w:eastAsia="Arial" w:hAnsi="Arial"/>
          <w:sz w:val="18"/>
          <w:szCs w:val="18"/>
          <w:color w:val="auto"/>
        </w:rPr>
      </w:pPr>
    </w:p>
    <w:p>
      <w:pPr>
        <w:ind w:left="560" w:firstLine="419"/>
        <w:spacing w:after="0" w:line="287" w:lineRule="auto"/>
        <w:tabs>
          <w:tab w:leader="none" w:pos="12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59" w:lineRule="exact"/>
        <w:rPr>
          <w:rFonts w:ascii="Arial" w:cs="Arial" w:eastAsia="Arial" w:hAnsi="Arial"/>
          <w:sz w:val="16"/>
          <w:szCs w:val="16"/>
          <w:color w:val="auto"/>
        </w:rPr>
      </w:pPr>
    </w:p>
    <w:p>
      <w:pPr>
        <w:ind w:left="1240" w:hanging="261"/>
        <w:spacing w:after="0"/>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Nothing herein shall be construed as requiring the Committee to honor a QDRO except to the extent required under applicable law.</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Stand-Alone, Tandem and Substitute Awards</w:t>
      </w:r>
      <w:r>
        <w:rPr>
          <w:rFonts w:ascii="Arial" w:cs="Arial" w:eastAsia="Arial" w:hAnsi="Arial"/>
          <w:sz w:val="18"/>
          <w:szCs w:val="18"/>
          <w:color w:val="auto"/>
        </w:rPr>
        <w:t>.</w:t>
      </w:r>
    </w:p>
    <w:p>
      <w:pPr>
        <w:spacing w:after="0" w:line="117" w:lineRule="exact"/>
        <w:rPr>
          <w:sz w:val="20"/>
          <w:szCs w:val="20"/>
          <w:color w:val="auto"/>
        </w:rPr>
      </w:pPr>
    </w:p>
    <w:p>
      <w:pPr>
        <w:ind w:left="560" w:right="160" w:firstLine="419"/>
        <w:spacing w:after="0" w:line="271" w:lineRule="auto"/>
        <w:tabs>
          <w:tab w:leader="none" w:pos="1228" w:val="left"/>
        </w:tabs>
        <w:numPr>
          <w:ilvl w:val="0"/>
          <w:numId w:val="44"/>
        </w:numPr>
        <w:rPr>
          <w:rFonts w:ascii="Arial" w:cs="Arial" w:eastAsia="Arial" w:hAnsi="Arial"/>
          <w:sz w:val="17"/>
          <w:szCs w:val="17"/>
          <w:color w:val="auto"/>
        </w:rPr>
      </w:pPr>
      <w:r>
        <w:rPr>
          <w:rFonts w:ascii="Arial" w:cs="Arial" w:eastAsia="Arial" w:hAnsi="Arial"/>
          <w:sz w:val="17"/>
          <w:szCs w:val="17"/>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70" w:lineRule="exact"/>
        <w:rPr>
          <w:rFonts w:ascii="Arial" w:cs="Arial" w:eastAsia="Arial" w:hAnsi="Arial"/>
          <w:sz w:val="17"/>
          <w:szCs w:val="17"/>
          <w:color w:val="auto"/>
        </w:rPr>
      </w:pPr>
    </w:p>
    <w:p>
      <w:pPr>
        <w:ind w:left="560" w:firstLine="419"/>
        <w:spacing w:after="0" w:line="271" w:lineRule="auto"/>
        <w:tabs>
          <w:tab w:leader="none" w:pos="1238"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Compliance with Rule 16b-3</w:t>
      </w:r>
      <w:r>
        <w:rPr>
          <w:rFonts w:ascii="Arial" w:cs="Arial" w:eastAsia="Arial" w:hAnsi="Arial"/>
          <w:sz w:val="18"/>
          <w:szCs w:val="18"/>
          <w:color w:val="auto"/>
        </w:rPr>
        <w:t>.</w:t>
      </w:r>
    </w:p>
    <w:p>
      <w:pPr>
        <w:spacing w:after="0" w:line="117" w:lineRule="exact"/>
        <w:rPr>
          <w:sz w:val="20"/>
          <w:szCs w:val="20"/>
          <w:color w:val="auto"/>
        </w:rPr>
      </w:pPr>
    </w:p>
    <w:p>
      <w:pPr>
        <w:ind w:left="560" w:right="200" w:firstLine="419"/>
        <w:spacing w:after="0" w:line="273" w:lineRule="auto"/>
        <w:tabs>
          <w:tab w:leader="none" w:pos="1227"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Six-Month Holding Period Advice</w:t>
      </w:r>
      <w:r>
        <w:rPr>
          <w:rFonts w:ascii="Arial" w:cs="Arial" w:eastAsia="Arial" w:hAnsi="Arial"/>
          <w:sz w:val="17"/>
          <w:szCs w:val="17"/>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69" w:lineRule="exact"/>
        <w:rPr>
          <w:rFonts w:ascii="Arial" w:cs="Arial" w:eastAsia="Arial" w:hAnsi="Arial"/>
          <w:sz w:val="17"/>
          <w:szCs w:val="17"/>
          <w:color w:val="auto"/>
        </w:rPr>
      </w:pPr>
    </w:p>
    <w:p>
      <w:pPr>
        <w:ind w:left="560" w:right="160" w:firstLine="419"/>
        <w:spacing w:after="0" w:line="255" w:lineRule="auto"/>
        <w:tabs>
          <w:tab w:leader="none" w:pos="123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Reformation to Comply with Exchange Act Rules</w:t>
      </w:r>
      <w:r>
        <w:rPr>
          <w:rFonts w:ascii="Arial" w:cs="Arial" w:eastAsia="Arial" w:hAnsi="Arial"/>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84" w:lineRule="exact"/>
        <w:rPr>
          <w:rFonts w:ascii="Arial" w:cs="Arial" w:eastAsia="Arial" w:hAnsi="Arial"/>
          <w:sz w:val="18"/>
          <w:szCs w:val="18"/>
          <w:color w:val="auto"/>
        </w:rPr>
      </w:pPr>
    </w:p>
    <w:p>
      <w:pPr>
        <w:ind w:left="560" w:right="60" w:firstLine="419"/>
        <w:spacing w:after="0" w:line="255" w:lineRule="auto"/>
        <w:tabs>
          <w:tab w:leader="none" w:pos="1227"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Rule 16b-3 Administration</w:t>
      </w:r>
      <w:r>
        <w:rPr>
          <w:rFonts w:ascii="Arial" w:cs="Arial" w:eastAsia="Arial" w:hAnsi="Arial"/>
          <w:sz w:val="18"/>
          <w:szCs w:val="18"/>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of an Option under this Plan shall be determined in the sole discretion of the Committee but may not be less than 100% of the Fair Market Value of a Share on the Grant Date.</w:t>
      </w:r>
    </w:p>
    <w:p>
      <w:pPr>
        <w:spacing w:after="0" w:line="170"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Grant of Incentive Stock Options</w:t>
      </w:r>
      <w:r>
        <w:rPr>
          <w:rFonts w:ascii="Arial" w:cs="Arial" w:eastAsia="Arial" w:hAnsi="Arial"/>
          <w:sz w:val="16"/>
          <w:szCs w:val="16"/>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 w:lineRule="exact"/>
        <w:rPr>
          <w:sz w:val="20"/>
          <w:szCs w:val="20"/>
          <w:color w:val="auto"/>
        </w:rPr>
      </w:pPr>
    </w:p>
    <w:p>
      <w:pPr>
        <w:ind w:left="1220" w:hanging="241"/>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117" w:lineRule="exact"/>
        <w:rPr>
          <w:rFonts w:ascii="Arial" w:cs="Arial" w:eastAsia="Arial" w:hAnsi="Arial"/>
          <w:sz w:val="18"/>
          <w:szCs w:val="18"/>
          <w:color w:val="auto"/>
        </w:rPr>
      </w:pPr>
    </w:p>
    <w:p>
      <w:pPr>
        <w:ind w:left="560" w:right="20" w:firstLine="419"/>
        <w:spacing w:after="0" w:line="259" w:lineRule="auto"/>
        <w:tabs>
          <w:tab w:leader="none" w:pos="12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78" w:lineRule="exact"/>
        <w:rPr>
          <w:rFonts w:ascii="Arial" w:cs="Arial" w:eastAsia="Arial" w:hAnsi="Arial"/>
          <w:sz w:val="18"/>
          <w:szCs w:val="18"/>
          <w:color w:val="auto"/>
        </w:rPr>
      </w:pPr>
    </w:p>
    <w:p>
      <w:pPr>
        <w:ind w:left="560" w:right="220" w:firstLine="419"/>
        <w:spacing w:after="0" w:line="277"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62" w:lineRule="exact"/>
        <w:rPr>
          <w:rFonts w:ascii="Arial" w:cs="Arial" w:eastAsia="Arial" w:hAnsi="Arial"/>
          <w:sz w:val="18"/>
          <w:szCs w:val="18"/>
          <w:color w:val="auto"/>
        </w:rPr>
      </w:pPr>
    </w:p>
    <w:p>
      <w:pPr>
        <w:ind w:left="560" w:firstLine="419"/>
        <w:spacing w:after="0" w:line="259" w:lineRule="auto"/>
        <w:tabs>
          <w:tab w:leader="none" w:pos="12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78" w:lineRule="exact"/>
        <w:rPr>
          <w:rFonts w:ascii="Arial" w:cs="Arial" w:eastAsia="Arial" w:hAnsi="Arial"/>
          <w:sz w:val="18"/>
          <w:szCs w:val="18"/>
          <w:color w:val="auto"/>
        </w:rPr>
      </w:pPr>
    </w:p>
    <w:p>
      <w:pPr>
        <w:ind w:left="560" w:right="40" w:firstLine="419"/>
        <w:spacing w:after="0" w:line="259"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78" w:lineRule="exact"/>
        <w:rPr>
          <w:rFonts w:ascii="Arial" w:cs="Arial" w:eastAsia="Arial" w:hAnsi="Arial"/>
          <w:sz w:val="18"/>
          <w:szCs w:val="18"/>
          <w:color w:val="auto"/>
        </w:rPr>
      </w:pPr>
    </w:p>
    <w:p>
      <w:pPr>
        <w:ind w:left="560" w:right="100" w:firstLine="419"/>
        <w:spacing w:after="0" w:line="263" w:lineRule="auto"/>
        <w:tabs>
          <w:tab w:leader="none" w:pos="120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75" w:lineRule="exact"/>
        <w:rPr>
          <w:rFonts w:ascii="Arial" w:cs="Arial" w:eastAsia="Arial" w:hAnsi="Arial"/>
          <w:sz w:val="18"/>
          <w:szCs w:val="18"/>
          <w:color w:val="auto"/>
        </w:rPr>
      </w:pPr>
    </w:p>
    <w:p>
      <w:pPr>
        <w:jc w:val="both"/>
        <w:ind w:left="560" w:firstLine="419"/>
        <w:spacing w:after="0" w:line="311" w:lineRule="auto"/>
        <w:tabs>
          <w:tab w:leader="none" w:pos="1238"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40" w:lineRule="exact"/>
        <w:rPr>
          <w:rFonts w:ascii="Arial" w:cs="Arial" w:eastAsia="Arial" w:hAnsi="Arial"/>
          <w:sz w:val="16"/>
          <w:szCs w:val="16"/>
          <w:color w:val="auto"/>
        </w:rPr>
      </w:pPr>
    </w:p>
    <w:p>
      <w:pPr>
        <w:jc w:val="both"/>
        <w:ind w:left="560" w:right="100" w:firstLine="419"/>
        <w:spacing w:after="0" w:line="263" w:lineRule="auto"/>
        <w:tabs>
          <w:tab w:leader="none" w:pos="12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2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76" w:lineRule="exact"/>
        <w:rPr>
          <w:sz w:val="20"/>
          <w:szCs w:val="20"/>
          <w:color w:val="auto"/>
        </w:rPr>
      </w:pPr>
    </w:p>
    <w:p>
      <w:pPr>
        <w:ind w:left="1220" w:hanging="241"/>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117" w:lineRule="exact"/>
        <w:rPr>
          <w:rFonts w:ascii="Arial" w:cs="Arial" w:eastAsia="Arial" w:hAnsi="Arial"/>
          <w:sz w:val="18"/>
          <w:szCs w:val="18"/>
          <w:color w:val="auto"/>
        </w:rPr>
      </w:pPr>
    </w:p>
    <w:p>
      <w:pPr>
        <w:ind w:left="560" w:right="120" w:firstLine="419"/>
        <w:spacing w:after="0" w:line="277" w:lineRule="auto"/>
        <w:tabs>
          <w:tab w:leader="none" w:pos="1238"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firstLine="419"/>
        <w:spacing w:after="0" w:line="277" w:lineRule="auto"/>
        <w:tabs>
          <w:tab w:leader="none" w:pos="12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the approval of the Committee, Shares acquired upon the exercise of such Option, such Shares valued at Fair Market Value on the date of exercise;</w:t>
      </w:r>
    </w:p>
    <w:p>
      <w:pPr>
        <w:spacing w:after="0" w:line="62" w:lineRule="exact"/>
        <w:rPr>
          <w:rFonts w:ascii="Arial" w:cs="Arial" w:eastAsia="Arial" w:hAnsi="Arial"/>
          <w:sz w:val="18"/>
          <w:szCs w:val="18"/>
          <w:color w:val="auto"/>
        </w:rPr>
      </w:pPr>
    </w:p>
    <w:p>
      <w:pPr>
        <w:ind w:left="560" w:right="400" w:firstLine="419"/>
        <w:spacing w:after="0" w:line="277" w:lineRule="auto"/>
        <w:tabs>
          <w:tab w:leader="none" w:pos="1238" w:val="left"/>
        </w:tabs>
        <w:numPr>
          <w:ilvl w:val="0"/>
          <w:numId w:val="48"/>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62" w:lineRule="exact"/>
        <w:rPr>
          <w:rFonts w:ascii="Arial" w:cs="Arial" w:eastAsia="Arial" w:hAnsi="Arial"/>
          <w:sz w:val="18"/>
          <w:szCs w:val="18"/>
          <w:color w:val="auto"/>
        </w:rPr>
      </w:pPr>
    </w:p>
    <w:p>
      <w:pPr>
        <w:ind w:left="560" w:firstLine="419"/>
        <w:spacing w:after="0" w:line="301" w:lineRule="auto"/>
        <w:tabs>
          <w:tab w:leader="none" w:pos="1228"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Committee may in its discretion specify that, if any Restricted Shares (“Tendered Restricted Shares”) are used to pay the Exercise Price,</w:t>
      </w:r>
    </w:p>
    <w:p>
      <w:pPr>
        <w:spacing w:after="0" w:line="46" w:lineRule="exact"/>
        <w:rPr>
          <w:sz w:val="20"/>
          <w:szCs w:val="20"/>
          <w:color w:val="auto"/>
        </w:rPr>
      </w:pPr>
    </w:p>
    <w:p>
      <w:pPr>
        <w:ind w:left="120" w:right="20" w:hanging="4"/>
        <w:spacing w:after="0" w:line="277" w:lineRule="auto"/>
        <w:tabs>
          <w:tab w:leader="none" w:pos="37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Issuance</w:t>
      </w:r>
      <w:r>
        <w:rPr>
          <w:rFonts w:ascii="Arial" w:cs="Arial" w:eastAsia="Arial" w:hAnsi="Arial"/>
          <w:sz w:val="18"/>
          <w:szCs w:val="18"/>
          <w:color w:val="auto"/>
        </w:rPr>
        <w:t>. Subject to and consistent with the provisions of the Plan, the Committee, at any time and from time to time, may grant SARs to any Eligible Person either alone or in addition to other Awards granted under the Plan. Such SARs may, but need not, be granted in connection with a specific Option granted under Article 6. The Committee may impose such conditions or restrictions on the exercise of any SAR as it shall deem appropriate.</w:t>
      </w:r>
    </w:p>
    <w:p>
      <w:pPr>
        <w:spacing w:after="0" w:line="187"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Award Agreements</w:t>
      </w:r>
      <w:r>
        <w:rPr>
          <w:rFonts w:ascii="Arial" w:cs="Arial" w:eastAsia="Arial" w:hAnsi="Arial"/>
          <w:sz w:val="16"/>
          <w:szCs w:val="16"/>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SAR Exercise Price</w:t>
      </w:r>
      <w:r>
        <w:rPr>
          <w:rFonts w:ascii="Arial" w:cs="Arial" w:eastAsia="Arial" w:hAnsi="Arial"/>
          <w:sz w:val="18"/>
          <w:szCs w:val="18"/>
          <w:color w:val="auto"/>
        </w:rPr>
        <w:t>. The Exercise Price of a SAR shall be determined by the Committee in its sole discretion; provided that the Exercise Price shall not be less than 100% of the Fair Market Value of a Share on the date of the grant of the SAR.</w:t>
      </w:r>
    </w:p>
    <w:p>
      <w:pPr>
        <w:spacing w:after="0" w:line="170"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62" w:lineRule="exact"/>
        <w:rPr>
          <w:sz w:val="20"/>
          <w:szCs w:val="20"/>
          <w:color w:val="auto"/>
        </w:rPr>
      </w:pPr>
    </w:p>
    <w:p>
      <w:pPr>
        <w:ind w:left="1220" w:hanging="241"/>
        <w:spacing w:after="0"/>
        <w:tabs>
          <w:tab w:leader="none" w:pos="12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Restricted Shares</w:t>
      </w:r>
    </w:p>
    <w:p>
      <w:pPr>
        <w:spacing w:after="0" w:line="21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Award Agreement</w:t>
      </w:r>
      <w:r>
        <w:rPr>
          <w:rFonts w:ascii="Arial" w:cs="Arial" w:eastAsia="Arial" w:hAnsi="Arial"/>
          <w:sz w:val="16"/>
          <w:szCs w:val="16"/>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Consideration for Restricted Shares</w:t>
      </w:r>
      <w:r>
        <w:rPr>
          <w:rFonts w:ascii="Arial" w:cs="Arial" w:eastAsia="Arial" w:hAnsi="Arial"/>
          <w:sz w:val="17"/>
          <w:szCs w:val="17"/>
          <w:color w:val="auto"/>
        </w:rPr>
        <w:t>. The Committee shall determine the amount, if any, that a Grantee shall pay for Restricted Shares.</w:t>
      </w:r>
    </w:p>
    <w:p>
      <w:pPr>
        <w:spacing w:after="0" w:line="23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7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ind w:left="120" w:right="20" w:hanging="4"/>
        <w:spacing w:after="0" w:line="260" w:lineRule="auto"/>
        <w:tabs>
          <w:tab w:leader="none" w:pos="375"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3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21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Units and Performance Shares</w:t>
      </w:r>
      <w:r>
        <w:rPr>
          <w:rFonts w:ascii="Arial" w:cs="Arial" w:eastAsia="Arial" w:hAnsi="Arial"/>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62" w:lineRule="exact"/>
        <w:rPr>
          <w:sz w:val="20"/>
          <w:szCs w:val="20"/>
          <w:color w:val="auto"/>
        </w:rPr>
      </w:pPr>
    </w:p>
    <w:p>
      <w:pPr>
        <w:ind w:left="1220" w:hanging="241"/>
        <w:spacing w:after="0"/>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Performance Unit</w:t>
      </w:r>
      <w:r>
        <w:rPr>
          <w:rFonts w:ascii="Arial" w:cs="Arial" w:eastAsia="Arial" w:hAnsi="Arial"/>
          <w:sz w:val="17"/>
          <w:szCs w:val="17"/>
          <w:color w:val="auto"/>
        </w:rPr>
        <w:t>. Each Performance Unit shall have an initial value that is established by the Committee at the time of grant.</w:t>
      </w:r>
    </w:p>
    <w:p>
      <w:pPr>
        <w:spacing w:after="0" w:line="128" w:lineRule="exact"/>
        <w:rPr>
          <w:rFonts w:ascii="Arial" w:cs="Arial" w:eastAsia="Arial" w:hAnsi="Arial"/>
          <w:sz w:val="17"/>
          <w:szCs w:val="17"/>
          <w:color w:val="auto"/>
        </w:rPr>
      </w:pPr>
    </w:p>
    <w:p>
      <w:pPr>
        <w:ind w:left="1240" w:hanging="261"/>
        <w:spacing w:after="0"/>
        <w:tabs>
          <w:tab w:leader="none" w:pos="1240"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Each Performance Share shall have an initial value equal to the Fair Market Value of a Share on the date of grant.</w:t>
      </w:r>
    </w:p>
    <w:p>
      <w:pPr>
        <w:spacing w:after="0" w:line="248"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Earning of Performance Units and Performance Shares</w:t>
      </w:r>
      <w:r>
        <w:rPr>
          <w:rFonts w:ascii="Arial" w:cs="Arial" w:eastAsia="Arial" w:hAnsi="Arial"/>
          <w:sz w:val="16"/>
          <w:szCs w:val="16"/>
          <w:color w:val="auto"/>
        </w:rPr>
        <w:t>. After the applicable Performance Period has ended, the holder of Performance Units or Performance Shares shall be entitled to payment based on the level of achievement of performance goals set by the Committee.</w:t>
      </w:r>
    </w:p>
    <w:p>
      <w:pPr>
        <w:spacing w:after="0" w:line="12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At the discretion of the Committee, the settlement of Performance Units or Performance Shares may be in cash, Shares of equivalent value, or in some combination thereof, as set forth in the Award Agreement.</w:t>
      </w:r>
    </w:p>
    <w:p>
      <w:pPr>
        <w:spacing w:after="0" w:line="170"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060"/>
          </w:cols>
          <w:pgMar w:left="32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Deferred Stock and Restricted Stock Units</w:t>
      </w:r>
      <w:r>
        <w:rPr>
          <w:rFonts w:ascii="Arial" w:cs="Arial" w:eastAsia="Arial" w:hAnsi="Arial"/>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Vesting and Delivery</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1" w:lineRule="auto"/>
        <w:tabs>
          <w:tab w:leader="none" w:pos="122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70" w:lineRule="exact"/>
        <w:rPr>
          <w:rFonts w:ascii="Arial" w:cs="Arial" w:eastAsia="Arial" w:hAnsi="Arial"/>
          <w:sz w:val="17"/>
          <w:szCs w:val="17"/>
          <w:color w:val="auto"/>
        </w:rPr>
      </w:pPr>
    </w:p>
    <w:p>
      <w:pPr>
        <w:ind w:left="560" w:firstLine="419"/>
        <w:spacing w:after="0" w:line="254" w:lineRule="auto"/>
        <w:tabs>
          <w:tab w:leader="none" w:pos="1238"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Delivery with Respect to Restricted Stock Units</w:t>
      </w:r>
      <w:r>
        <w:rPr>
          <w:rFonts w:ascii="Arial" w:cs="Arial" w:eastAsia="Arial" w:hAnsi="Arial"/>
          <w:sz w:val="18"/>
          <w:szCs w:val="18"/>
          <w:color w:val="auto"/>
        </w:rPr>
        <w:t>. Delivery of Shares subject to a grant of Restricted Stock Units shall occur no later than the 15</w:t>
      </w:r>
      <w:r>
        <w:rPr>
          <w:rFonts w:ascii="Arial" w:cs="Arial" w:eastAsia="Arial" w:hAnsi="Arial"/>
          <w:sz w:val="15"/>
          <w:szCs w:val="15"/>
          <w:color w:val="auto"/>
        </w:rPr>
        <w:t>th</w:t>
      </w:r>
      <w:r>
        <w:rPr>
          <w:rFonts w:ascii="Arial" w:cs="Arial" w:eastAsia="Arial" w:hAnsi="Arial"/>
          <w:sz w:val="18"/>
          <w:szCs w:val="18"/>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95"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Voting and Dividend Equivalent Rights Attributable to Deferred Stock and Restricted Stock Units</w:t>
      </w:r>
      <w:r>
        <w:rPr>
          <w:rFonts w:ascii="Arial" w:cs="Arial" w:eastAsia="Arial" w:hAnsi="Arial"/>
          <w:sz w:val="17"/>
          <w:szCs w:val="17"/>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Non-Employee Director Awards</w:t>
      </w:r>
    </w:p>
    <w:p>
      <w:pPr>
        <w:spacing w:after="0" w:line="211"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w:t>
      </w:r>
    </w:p>
    <w:p>
      <w:pPr>
        <w:ind w:left="120"/>
        <w:spacing w:after="0" w:line="260" w:lineRule="auto"/>
        <w:rPr>
          <w:sz w:val="20"/>
          <w:szCs w:val="20"/>
          <w:color w:val="auto"/>
        </w:rPr>
      </w:pPr>
      <w:r>
        <w:rPr>
          <w:rFonts w:ascii="Arial" w:cs="Arial" w:eastAsia="Arial" w:hAnsi="Arial"/>
          <w:sz w:val="18"/>
          <w:szCs w:val="18"/>
          <w:color w:val="auto"/>
        </w:rPr>
        <w:t>a Non-Employee Director may not be granted Awards with respect to Shares that have a Fair Market Value (determined as of the date of grant) in excess of $250,000 in a single calendar year.</w:t>
      </w:r>
    </w:p>
    <w:p>
      <w:pPr>
        <w:spacing w:after="0" w:line="39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Compliance with Code Section 409A</w:t>
      </w:r>
    </w:p>
    <w:p>
      <w:pPr>
        <w:spacing w:after="0" w:line="21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Deferral and/or Distribution Elections</w:t>
      </w:r>
      <w:r>
        <w:rPr>
          <w:rFonts w:ascii="Arial" w:cs="Arial" w:eastAsia="Arial" w:hAnsi="Arial"/>
          <w:sz w:val="18"/>
          <w:szCs w:val="18"/>
          <w:color w:val="auto"/>
        </w:rPr>
        <w:t>. Except as otherwise permitted or required by Code Section 409A, the following rules shall apply to any deferral and/or elections as to the form or timing of distributions (each, an “Election”) that may be permitted or required by the Committee with respect to a 409A Award:</w:t>
      </w:r>
    </w:p>
    <w:p>
      <w:pPr>
        <w:spacing w:after="0" w:line="76" w:lineRule="exact"/>
        <w:rPr>
          <w:sz w:val="20"/>
          <w:szCs w:val="20"/>
          <w:color w:val="auto"/>
        </w:rPr>
      </w:pPr>
    </w:p>
    <w:p>
      <w:pPr>
        <w:ind w:left="560" w:right="300" w:firstLine="419"/>
        <w:spacing w:after="0" w:line="342" w:lineRule="auto"/>
        <w:tabs>
          <w:tab w:leader="none" w:pos="1228"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5" w:lineRule="exact"/>
        <w:rPr>
          <w:rFonts w:ascii="Arial" w:cs="Arial" w:eastAsia="Arial" w:hAnsi="Arial"/>
          <w:sz w:val="16"/>
          <w:szCs w:val="16"/>
          <w:color w:val="auto"/>
        </w:rPr>
      </w:pPr>
    </w:p>
    <w:p>
      <w:pPr>
        <w:jc w:val="both"/>
        <w:ind w:left="560" w:right="80" w:firstLine="419"/>
        <w:spacing w:after="0" w:line="279" w:lineRule="auto"/>
        <w:tabs>
          <w:tab w:leader="none" w:pos="1238"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40" w:firstLine="419"/>
        <w:spacing w:after="0" w:line="277" w:lineRule="auto"/>
        <w:tabs>
          <w:tab w:leader="none" w:pos="1228"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16.3 </w:t>
      </w:r>
      <w:r>
        <w:rPr>
          <w:rFonts w:ascii="Arial" w:cs="Arial" w:eastAsia="Arial" w:hAnsi="Arial"/>
          <w:sz w:val="17"/>
          <w:szCs w:val="17"/>
          <w:u w:val="single" w:color="auto"/>
          <w:color w:val="auto"/>
        </w:rPr>
        <w:t>Subsequent Elections</w:t>
      </w:r>
      <w:r>
        <w:rPr>
          <w:rFonts w:ascii="Arial" w:cs="Arial" w:eastAsia="Arial" w:hAnsi="Arial"/>
          <w:sz w:val="17"/>
          <w:szCs w:val="17"/>
          <w:color w:val="auto"/>
        </w:rPr>
        <w:t>. Except as otherwise permitted or required by Code Section 409A, any 409A Award which permits a subsequent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Election to further defer the distribution or change the form of distribution shall comply with the following requirements:</w:t>
      </w:r>
    </w:p>
    <w:p>
      <w:pPr>
        <w:spacing w:after="0" w:line="103" w:lineRule="exact"/>
        <w:rPr>
          <w:sz w:val="20"/>
          <w:szCs w:val="20"/>
          <w:color w:val="auto"/>
        </w:rPr>
      </w:pPr>
    </w:p>
    <w:p>
      <w:pPr>
        <w:ind w:left="1220" w:hanging="241"/>
        <w:spacing w:after="0"/>
        <w:tabs>
          <w:tab w:leader="none" w:pos="12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 Election is made;</w:t>
      </w:r>
    </w:p>
    <w:p>
      <w:pPr>
        <w:spacing w:after="0" w:line="128" w:lineRule="exact"/>
        <w:rPr>
          <w:rFonts w:ascii="Arial" w:cs="Arial" w:eastAsia="Arial" w:hAnsi="Arial"/>
          <w:sz w:val="17"/>
          <w:szCs w:val="17"/>
          <w:color w:val="auto"/>
        </w:rPr>
      </w:pPr>
    </w:p>
    <w:p>
      <w:pPr>
        <w:ind w:left="560" w:right="60" w:firstLine="419"/>
        <w:spacing w:after="0" w:line="342" w:lineRule="auto"/>
        <w:tabs>
          <w:tab w:leader="none" w:pos="1238"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5" w:lineRule="exact"/>
        <w:rPr>
          <w:rFonts w:ascii="Arial" w:cs="Arial" w:eastAsia="Arial" w:hAnsi="Arial"/>
          <w:sz w:val="16"/>
          <w:szCs w:val="16"/>
          <w:color w:val="auto"/>
        </w:rPr>
      </w:pPr>
    </w:p>
    <w:p>
      <w:pPr>
        <w:ind w:left="560" w:right="320" w:firstLine="419"/>
        <w:spacing w:after="0" w:line="277" w:lineRule="auto"/>
        <w:tabs>
          <w:tab w:leader="none" w:pos="12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Distributions Pursuant to Deferral Elections</w:t>
      </w:r>
      <w:r>
        <w:rPr>
          <w:rFonts w:ascii="Arial" w:cs="Arial" w:eastAsia="Arial" w:hAnsi="Arial"/>
          <w:sz w:val="18"/>
          <w:szCs w:val="18"/>
          <w:color w:val="auto"/>
        </w:rPr>
        <w:t>. Except as otherwise permitted or required by Code Section 409A, no distribution in settlement of a 409A Award may commence earlier than:</w:t>
      </w:r>
    </w:p>
    <w:p>
      <w:pPr>
        <w:spacing w:after="0" w:line="62" w:lineRule="exact"/>
        <w:rPr>
          <w:sz w:val="20"/>
          <w:szCs w:val="20"/>
          <w:color w:val="auto"/>
        </w:rPr>
      </w:pPr>
    </w:p>
    <w:p>
      <w:pPr>
        <w:ind w:left="1220" w:hanging="241"/>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117" w:lineRule="exact"/>
        <w:rPr>
          <w:rFonts w:ascii="Arial" w:cs="Arial" w:eastAsia="Arial" w:hAnsi="Arial"/>
          <w:sz w:val="18"/>
          <w:szCs w:val="18"/>
          <w:color w:val="auto"/>
        </w:rPr>
      </w:pPr>
    </w:p>
    <w:p>
      <w:pPr>
        <w:ind w:left="1220" w:hanging="241"/>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rFonts w:ascii="Arial" w:cs="Arial" w:eastAsia="Arial" w:hAnsi="Arial"/>
          <w:sz w:val="18"/>
          <w:szCs w:val="18"/>
          <w:color w:val="auto"/>
        </w:rPr>
      </w:pPr>
    </w:p>
    <w:p>
      <w:pPr>
        <w:ind w:left="560" w:right="140" w:firstLine="419"/>
        <w:spacing w:after="0" w:line="263" w:lineRule="auto"/>
        <w:tabs>
          <w:tab w:leader="none" w:pos="123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75" w:lineRule="exact"/>
        <w:rPr>
          <w:rFonts w:ascii="Arial" w:cs="Arial" w:eastAsia="Arial" w:hAnsi="Arial"/>
          <w:sz w:val="18"/>
          <w:szCs w:val="18"/>
          <w:color w:val="auto"/>
        </w:rPr>
      </w:pPr>
    </w:p>
    <w:p>
      <w:pPr>
        <w:ind w:left="1220" w:hanging="241"/>
        <w:spacing w:after="0"/>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change in ownership of the Company or a substantial portion of its assets within the meaning of Treasury</w:t>
      </w:r>
    </w:p>
    <w:p>
      <w:pPr>
        <w:spacing w:after="0" w:line="23" w:lineRule="exact"/>
        <w:rPr>
          <w:sz w:val="20"/>
          <w:szCs w:val="20"/>
          <w:color w:val="auto"/>
        </w:rPr>
      </w:pPr>
    </w:p>
    <w:p>
      <w:pPr>
        <w:ind w:left="560" w:right="1520"/>
        <w:spacing w:after="0" w:line="260" w:lineRule="auto"/>
        <w:rPr>
          <w:sz w:val="20"/>
          <w:szCs w:val="20"/>
          <w:color w:val="auto"/>
        </w:rPr>
      </w:pPr>
      <w:r>
        <w:rPr>
          <w:rFonts w:ascii="Arial" w:cs="Arial" w:eastAsia="Arial" w:hAnsi="Arial"/>
          <w:sz w:val="18"/>
          <w:szCs w:val="18"/>
          <w:color w:val="auto"/>
        </w:rPr>
        <w:t>Regulation Section 1.409A-3(i)(5)(v) or (vii) or a change in effective control of the Company within the meaning of Treasury Regulation Section 1.409A-3(i)(5)(vi) (a “Change in Control”).</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16.5 </w:t>
      </w:r>
      <w:r>
        <w:rPr>
          <w:rFonts w:ascii="Arial" w:cs="Arial" w:eastAsia="Arial" w:hAnsi="Arial"/>
          <w:sz w:val="16"/>
          <w:szCs w:val="16"/>
          <w:u w:val="single" w:color="auto"/>
          <w:color w:val="auto"/>
        </w:rPr>
        <w:t>Six Month Delay</w:t>
      </w:r>
      <w:r>
        <w:rPr>
          <w:rFonts w:ascii="Arial" w:cs="Arial" w:eastAsia="Arial" w:hAnsi="Arial"/>
          <w:sz w:val="16"/>
          <w:szCs w:val="16"/>
          <w:color w:val="auto"/>
        </w:rPr>
        <w:t>. Notwithstanding anything herein or in any Award Agreement or Election to the contrary, to the extent that distribution of a</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409A Award is triggered by a Grantee’s Separation from Service, if the Grantee is then a “specified employee” (as defined in Treasury</w:t>
      </w:r>
    </w:p>
    <w:p>
      <w:pPr>
        <w:spacing w:after="0" w:line="9"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Regulation Section 1.409A-1(i)), no distribution may be made before the date which is six (6) months after such Grantee’s Separation from Service, or, if earlier, the date of the Grantee’s death.</w:t>
      </w:r>
    </w:p>
    <w:p>
      <w:pPr>
        <w:spacing w:after="0" w:line="185"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the Award Agreement otherwise provides, if a Grantee dies or becomes Disabled before complete distribution of amounts payable upon settlement of a 409A Award, such undistributed 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7"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u w:val="single" w:color="auto"/>
          <w:color w:val="auto"/>
        </w:rPr>
        <w:t>Required Withholding</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75" w:lineRule="auto"/>
        <w:tabs>
          <w:tab w:leader="none" w:pos="12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68" w:lineRule="exact"/>
        <w:rPr>
          <w:rFonts w:ascii="Arial" w:cs="Arial" w:eastAsia="Arial" w:hAnsi="Arial"/>
          <w:sz w:val="17"/>
          <w:szCs w:val="17"/>
          <w:color w:val="auto"/>
        </w:rPr>
      </w:pPr>
    </w:p>
    <w:p>
      <w:pPr>
        <w:ind w:left="1100" w:right="40" w:firstLine="408"/>
        <w:spacing w:after="0" w:line="311" w:lineRule="auto"/>
        <w:tabs>
          <w:tab w:leader="none" w:pos="1716" w:val="left"/>
        </w:tabs>
        <w:numPr>
          <w:ilvl w:val="1"/>
          <w:numId w:val="58"/>
        </w:numPr>
        <w:rPr>
          <w:rFonts w:ascii="Arial" w:cs="Arial" w:eastAsia="Arial" w:hAnsi="Arial"/>
          <w:sz w:val="16"/>
          <w:szCs w:val="16"/>
          <w:color w:val="auto"/>
        </w:rPr>
      </w:pPr>
      <w:r>
        <w:rPr>
          <w:rFonts w:ascii="Arial" w:cs="Arial" w:eastAsia="Arial" w:hAnsi="Arial"/>
          <w:sz w:val="16"/>
          <w:szCs w:val="16"/>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780" w:hanging="272"/>
        <w:spacing w:after="0"/>
        <w:tabs>
          <w:tab w:leader="none" w:pos="1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delivering part or all of the amount to be withheld in the form of Common Stock valued at its Fair Market Value on the Tax Date;</w:t>
      </w:r>
    </w:p>
    <w:p>
      <w:pPr>
        <w:spacing w:after="0" w:line="140" w:lineRule="exact"/>
        <w:rPr>
          <w:rFonts w:ascii="Arial" w:cs="Arial" w:eastAsia="Arial" w:hAnsi="Arial"/>
          <w:sz w:val="16"/>
          <w:szCs w:val="16"/>
          <w:color w:val="auto"/>
        </w:rPr>
      </w:pPr>
    </w:p>
    <w:p>
      <w:pPr>
        <w:jc w:val="both"/>
        <w:ind w:left="1100" w:right="220" w:firstLine="408"/>
        <w:spacing w:after="0" w:line="263" w:lineRule="auto"/>
        <w:tabs>
          <w:tab w:leader="none" w:pos="1816"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75" w:lineRule="exact"/>
        <w:rPr>
          <w:rFonts w:ascii="Arial" w:cs="Arial" w:eastAsia="Arial" w:hAnsi="Arial"/>
          <w:sz w:val="18"/>
          <w:szCs w:val="18"/>
          <w:color w:val="auto"/>
        </w:rPr>
      </w:pPr>
    </w:p>
    <w:p>
      <w:pPr>
        <w:ind w:left="1820" w:hanging="312"/>
        <w:spacing w:after="0"/>
        <w:tabs>
          <w:tab w:leader="none" w:pos="18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withholding from any compensation otherwise due to the Grantee.</w:t>
      </w:r>
    </w:p>
    <w:p>
      <w:pPr>
        <w:spacing w:after="0" w:line="117" w:lineRule="exact"/>
        <w:rPr>
          <w:sz w:val="20"/>
          <w:szCs w:val="20"/>
          <w:color w:val="auto"/>
        </w:rPr>
      </w:pPr>
    </w:p>
    <w:p>
      <w:pPr>
        <w:ind w:left="560" w:right="60"/>
        <w:spacing w:after="0" w:line="293" w:lineRule="auto"/>
        <w:rPr>
          <w:sz w:val="20"/>
          <w:szCs w:val="20"/>
          <w:color w:val="auto"/>
        </w:rPr>
      </w:pPr>
      <w:r>
        <w:rPr>
          <w:rFonts w:ascii="Arial" w:cs="Arial" w:eastAsia="Arial" w:hAnsi="Arial"/>
          <w:sz w:val="16"/>
          <w:szCs w:val="16"/>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56" w:lineRule="exact"/>
        <w:rPr>
          <w:sz w:val="20"/>
          <w:szCs w:val="20"/>
          <w:color w:val="auto"/>
        </w:rPr>
      </w:pPr>
    </w:p>
    <w:p>
      <w:pPr>
        <w:jc w:val="both"/>
        <w:ind w:left="560" w:right="140" w:firstLine="419"/>
        <w:spacing w:after="0" w:line="342" w:lineRule="auto"/>
        <w:tabs>
          <w:tab w:leader="none" w:pos="123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2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Provisions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4"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w:t>
      </w:r>
    </w:p>
    <w:p>
      <w:pPr>
        <w:spacing w:after="0" w:line="117" w:lineRule="exact"/>
        <w:rPr>
          <w:sz w:val="20"/>
          <w:szCs w:val="20"/>
          <w:color w:val="auto"/>
        </w:rPr>
      </w:pPr>
    </w:p>
    <w:p>
      <w:pPr>
        <w:ind w:left="560" w:firstLine="419"/>
        <w:spacing w:after="0" w:line="268" w:lineRule="auto"/>
        <w:tabs>
          <w:tab w:leader="none" w:pos="1228" w:val="left"/>
        </w:tabs>
        <w:numPr>
          <w:ilvl w:val="0"/>
          <w:numId w:val="61"/>
        </w:numPr>
        <w:rPr>
          <w:rFonts w:ascii="Arial" w:cs="Arial" w:eastAsia="Arial" w:hAnsi="Arial"/>
          <w:sz w:val="17"/>
          <w:szCs w:val="17"/>
          <w:color w:val="auto"/>
        </w:rPr>
      </w:pPr>
      <w:r>
        <w:rPr>
          <w:rFonts w:ascii="Arial" w:cs="Arial" w:eastAsia="Arial" w:hAnsi="Arial"/>
          <w:sz w:val="17"/>
          <w:szCs w:val="17"/>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firstLine="419"/>
        <w:spacing w:after="0" w:line="257" w:lineRule="auto"/>
        <w:tabs>
          <w:tab w:leader="none" w:pos="1238"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8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 xml:space="preserve">18.5 </w:t>
      </w:r>
      <w:r>
        <w:rPr>
          <w:rFonts w:ascii="Arial" w:cs="Arial" w:eastAsia="Arial" w:hAnsi="Arial"/>
          <w:sz w:val="16"/>
          <w:szCs w:val="16"/>
          <w:u w:val="single" w:color="auto"/>
          <w:color w:val="auto"/>
        </w:rPr>
        <w:t>Forfeiture Events</w:t>
      </w:r>
      <w:r>
        <w:rPr>
          <w:rFonts w:ascii="Arial" w:cs="Arial" w:eastAsia="Arial" w:hAnsi="Arial"/>
          <w:sz w:val="16"/>
          <w:szCs w:val="16"/>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 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w:t>
      </w:r>
    </w:p>
    <w:p>
      <w:pPr>
        <w:spacing w:after="0" w:line="1" w:lineRule="exact"/>
        <w:rPr>
          <w:sz w:val="20"/>
          <w:szCs w:val="20"/>
          <w:color w:val="auto"/>
        </w:rPr>
      </w:pPr>
    </w:p>
    <w:p>
      <w:pPr>
        <w:jc w:val="both"/>
        <w:ind w:left="120" w:right="160"/>
        <w:spacing w:after="0" w:line="302" w:lineRule="auto"/>
        <w:rPr>
          <w:sz w:val="20"/>
          <w:szCs w:val="20"/>
          <w:color w:val="auto"/>
        </w:rPr>
      </w:pPr>
      <w:r>
        <w:rPr>
          <w:rFonts w:ascii="Arial" w:cs="Arial" w:eastAsia="Arial" w:hAnsi="Arial"/>
          <w:sz w:val="16"/>
          <w:szCs w:val="16"/>
          <w:color w:val="auto"/>
        </w:rPr>
        <w:t>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15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construed in accordance with and governed by the laws of the Commonwealth of Massachusetts,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8" w:lineRule="exact"/>
        <w:rPr>
          <w:sz w:val="20"/>
          <w:szCs w:val="20"/>
          <w:color w:val="auto"/>
        </w:rPr>
      </w:pPr>
    </w:p>
    <w:p>
      <w:pPr>
        <w:ind w:left="120" w:right="200" w:firstLine="440"/>
        <w:spacing w:after="0" w:line="255"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Unfunded Status of Awards; Creation of Trusts</w:t>
      </w:r>
      <w:r>
        <w:rPr>
          <w:rFonts w:ascii="Arial" w:cs="Arial" w:eastAsia="Arial" w:hAnsi="Arial"/>
          <w:sz w:val="18"/>
          <w:szCs w:val="18"/>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18.14 </w:t>
      </w:r>
      <w:r>
        <w:rPr>
          <w:rFonts w:ascii="Arial" w:cs="Arial" w:eastAsia="Arial" w:hAnsi="Arial"/>
          <w:sz w:val="16"/>
          <w:szCs w:val="16"/>
          <w:u w:val="single" w:color="auto"/>
          <w:color w:val="auto"/>
        </w:rPr>
        <w:t>Construction</w:t>
      </w:r>
      <w:r>
        <w:rPr>
          <w:rFonts w:ascii="Arial" w:cs="Arial" w:eastAsia="Arial" w:hAnsi="Arial"/>
          <w:sz w:val="16"/>
          <w:szCs w:val="16"/>
          <w:color w:val="auto"/>
        </w:rPr>
        <w:t>. The following rules of construction will apply to the Plan: (a) the word “or” is disjunctive but not necessarily exclusive, and</w:t>
      </w:r>
    </w:p>
    <w:p>
      <w:pPr>
        <w:spacing w:after="0" w:line="46" w:lineRule="exact"/>
        <w:rPr>
          <w:sz w:val="20"/>
          <w:szCs w:val="20"/>
          <w:color w:val="auto"/>
        </w:rPr>
      </w:pPr>
    </w:p>
    <w:p>
      <w:pPr>
        <w:ind w:left="120" w:right="120" w:hanging="4"/>
        <w:spacing w:after="0" w:line="260" w:lineRule="auto"/>
        <w:tabs>
          <w:tab w:leader="none" w:pos="37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if there is any conflict between such headings and the text of this Plan, the text shall control.</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 xml:space="preserve">18.17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40"/>
          </w:cols>
          <w:pgMar w:left="320" w:top="459" w:right="439" w:bottom="10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0"/>
        <w:spacing w:after="0"/>
        <w:rPr>
          <w:sz w:val="20"/>
          <w:szCs w:val="20"/>
          <w:color w:val="auto"/>
        </w:rPr>
      </w:pPr>
      <w:r>
        <w:rPr>
          <w:rFonts w:ascii="Arial" w:cs="Arial" w:eastAsia="Arial" w:hAnsi="Arial"/>
          <w:sz w:val="14"/>
          <w:szCs w:val="14"/>
          <w:i w:val="1"/>
          <w:iCs w:val="1"/>
          <w:color w:val="auto"/>
        </w:rPr>
        <w:t>GALECTIN THERAPEUTICS INC.</w:t>
      </w:r>
    </w:p>
    <w:p>
      <w:pPr>
        <w:ind w:left="480"/>
        <w:spacing w:after="0"/>
        <w:rPr>
          <w:sz w:val="20"/>
          <w:szCs w:val="20"/>
          <w:color w:val="auto"/>
        </w:rPr>
      </w:pPr>
      <w:r>
        <w:rPr>
          <w:rFonts w:ascii="Arial" w:cs="Arial" w:eastAsia="Arial" w:hAnsi="Arial"/>
          <w:sz w:val="13"/>
          <w:szCs w:val="13"/>
          <w:i w:val="1"/>
          <w:iCs w:val="1"/>
          <w:color w:val="auto"/>
        </w:rPr>
        <w:t>4960 PEACHTREE INDUSTRIAL BLVD., SUITE 240</w:t>
      </w:r>
    </w:p>
    <w:p>
      <w:pPr>
        <w:ind w:left="480"/>
        <w:spacing w:after="0" w:line="221" w:lineRule="auto"/>
        <w:rPr>
          <w:sz w:val="20"/>
          <w:szCs w:val="20"/>
          <w:color w:val="auto"/>
        </w:rPr>
      </w:pPr>
      <w:r>
        <w:rPr>
          <w:rFonts w:ascii="Arial" w:cs="Arial" w:eastAsia="Arial" w:hAnsi="Arial"/>
          <w:sz w:val="14"/>
          <w:szCs w:val="14"/>
          <w:i w:val="1"/>
          <w:iCs w:val="1"/>
          <w:color w:val="auto"/>
        </w:rPr>
        <w:t>NORCROSS, GA 30071</w:t>
      </w:r>
    </w:p>
    <w:p>
      <w:pPr>
        <w:ind w:left="480"/>
        <w:spacing w:after="0"/>
        <w:rPr>
          <w:sz w:val="20"/>
          <w:szCs w:val="20"/>
          <w:color w:val="auto"/>
        </w:rPr>
      </w:pPr>
      <w:r>
        <w:rPr>
          <w:rFonts w:ascii="Arial" w:cs="Arial" w:eastAsia="Arial" w:hAnsi="Arial"/>
          <w:sz w:val="14"/>
          <w:szCs w:val="14"/>
          <w:i w:val="1"/>
          <w:iCs w:val="1"/>
          <w:color w:val="auto"/>
        </w:rPr>
        <w:t>ATTN: JACK CALLICUTT</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INTERNET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www.proxyvote.com</w:t>
      </w:r>
    </w:p>
    <w:p>
      <w:pPr>
        <w:spacing w:after="0" w:line="205"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www.virtualshareholdermeeting.com/</w:t>
      </w:r>
      <w:r>
        <w:rPr>
          <w:rFonts w:ascii="Arial" w:cs="Arial" w:eastAsia="Arial" w:hAnsi="Arial"/>
          <w:sz w:val="14"/>
          <w:szCs w:val="14"/>
          <w:b w:val="1"/>
          <w:bCs w:val="1"/>
          <w:color w:val="auto"/>
        </w:rPr>
        <w:t>GALT2021</w:t>
      </w:r>
    </w:p>
    <w:p>
      <w:pPr>
        <w:spacing w:after="0" w:line="221" w:lineRule="exact"/>
        <w:rPr>
          <w:sz w:val="20"/>
          <w:szCs w:val="20"/>
          <w:color w:val="auto"/>
        </w:rPr>
      </w:pPr>
    </w:p>
    <w:p>
      <w:pPr>
        <w:jc w:val="both"/>
        <w:ind w:right="260"/>
        <w:spacing w:after="0" w:line="238" w:lineRule="auto"/>
        <w:rPr>
          <w:sz w:val="20"/>
          <w:szCs w:val="20"/>
          <w:color w:val="auto"/>
        </w:rPr>
      </w:pPr>
      <w:r>
        <w:rPr>
          <w:rFonts w:ascii="Arial" w:cs="Arial" w:eastAsia="Arial" w:hAnsi="Arial"/>
          <w:sz w:val="14"/>
          <w:szCs w:val="14"/>
          <w:color w:val="auto"/>
        </w:rPr>
        <w:t>You may attend the meeting via the Internet and vote during the meeting. Have the information that is printed in the box marked by the arrow available and follow the instructions.</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jc w:val="both"/>
        <w:ind w:right="8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3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30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380" w:space="720"/>
            <w:col w:w="5040"/>
          </w:cols>
          <w:pgMar w:left="320" w:top="459" w:right="439" w:bottom="10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182"/>
        </w:trPr>
        <w:tc>
          <w:tcPr>
            <w:tcW w:w="534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1840" w:type="dxa"/>
            <w:vAlign w:val="bottom"/>
            <w:vMerge w:val="restart"/>
          </w:tcPr>
          <w:p>
            <w:pPr>
              <w:ind w:left="420"/>
              <w:spacing w:after="0"/>
              <w:rPr>
                <w:sz w:val="20"/>
                <w:szCs w:val="20"/>
                <w:color w:val="auto"/>
              </w:rPr>
            </w:pPr>
            <w:r>
              <w:rPr>
                <w:rFonts w:ascii="Arial" w:cs="Arial" w:eastAsia="Arial" w:hAnsi="Arial"/>
                <w:sz w:val="14"/>
                <w:szCs w:val="14"/>
                <w:color w:val="auto"/>
              </w:rPr>
              <w:t>D60871-P62338</w:t>
            </w:r>
          </w:p>
        </w:tc>
        <w:tc>
          <w:tcPr>
            <w:tcW w:w="3300" w:type="dxa"/>
            <w:vAlign w:val="bottom"/>
            <w:vMerge w:val="restart"/>
          </w:tcPr>
          <w:p>
            <w:pPr>
              <w:ind w:left="460"/>
              <w:spacing w:after="0"/>
              <w:rPr>
                <w:sz w:val="20"/>
                <w:szCs w:val="20"/>
                <w:color w:val="auto"/>
              </w:rPr>
            </w:pPr>
            <w:r>
              <w:rPr>
                <w:rFonts w:ascii="Arial" w:cs="Arial" w:eastAsia="Arial" w:hAnsi="Arial"/>
                <w:sz w:val="14"/>
                <w:szCs w:val="14"/>
                <w:color w:val="auto"/>
                <w:w w:val="96"/>
              </w:rPr>
              <w:t>KEEP THIS PORTION FOR YOUR RECORDS</w:t>
            </w:r>
          </w:p>
        </w:tc>
        <w:tc>
          <w:tcPr>
            <w:tcW w:w="0" w:type="dxa"/>
            <w:vAlign w:val="bottom"/>
          </w:tcPr>
          <w:p>
            <w:pPr>
              <w:spacing w:after="0"/>
              <w:rPr>
                <w:sz w:val="1"/>
                <w:szCs w:val="1"/>
                <w:color w:val="auto"/>
              </w:rPr>
            </w:pPr>
          </w:p>
        </w:tc>
      </w:tr>
      <w:tr>
        <w:trPr>
          <w:trHeight w:val="73"/>
        </w:trPr>
        <w:tc>
          <w:tcPr>
            <w:tcW w:w="53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3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jc w:val="right"/>
        <w:ind w:left="660"/>
        <w:spacing w:after="0" w:line="221" w:lineRule="auto"/>
        <w:rPr>
          <w:sz w:val="20"/>
          <w:szCs w:val="20"/>
          <w:color w:val="auto"/>
        </w:rPr>
      </w:pPr>
      <w:r>
        <w:rPr>
          <w:rFonts w:ascii="Arial" w:cs="Arial" w:eastAsia="Arial" w:hAnsi="Arial"/>
          <w:sz w:val="14"/>
          <w:szCs w:val="14"/>
          <w:color w:val="auto"/>
        </w:rPr>
        <w:t>— — — — — — — — — — — — — — — — — — — — — — — — — — — — — — — — — — — — — — — — — — — — — — — — — — — — — — — — — DETACH AND RETURN THIS PORTION ONLY</w:t>
      </w:r>
    </w:p>
    <w:p>
      <w:pPr>
        <w:spacing w:after="0" w:line="1" w:lineRule="exact"/>
        <w:rPr>
          <w:sz w:val="20"/>
          <w:szCs w:val="20"/>
          <w:color w:val="auto"/>
        </w:rPr>
      </w:pPr>
    </w:p>
    <w:p>
      <w:pPr>
        <w:ind w:left="368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73660</wp:posOffset>
            </wp:positionV>
            <wp:extent cx="6643370" cy="43630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43370" cy="4363085"/>
                    </a:xfrm>
                    <a:prstGeom prst="rect">
                      <a:avLst/>
                    </a:prstGeom>
                    <a:noFill/>
                  </pic:spPr>
                </pic:pic>
              </a:graphicData>
            </a:graphic>
          </wp:anchor>
        </w:drawing>
      </w:r>
    </w:p>
    <w:p>
      <w:pPr>
        <w:sectPr>
          <w:pgSz w:w="11900" w:h="16838" w:orient="portrait"/>
          <w:cols w:equalWidth="0" w:num="1">
            <w:col w:w="11140"/>
          </w:cols>
          <w:pgMar w:left="320" w:top="459" w:right="439" w:bottom="1088" w:gutter="0" w:footer="0" w:header="0"/>
          <w:type w:val="continuous"/>
        </w:sectPr>
      </w:pPr>
    </w:p>
    <w:p>
      <w:pPr>
        <w:spacing w:after="0" w:line="228"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GALECTIN THERAPEUTICS INC.</w:t>
      </w:r>
    </w:p>
    <w:p>
      <w:pPr>
        <w:spacing w:after="0" w:line="150" w:lineRule="exact"/>
        <w:rPr>
          <w:sz w:val="20"/>
          <w:szCs w:val="20"/>
          <w:color w:val="auto"/>
        </w:rPr>
      </w:pPr>
    </w:p>
    <w:p>
      <w:pPr>
        <w:ind w:left="840" w:hanging="2"/>
        <w:spacing w:after="0" w:line="258" w:lineRule="auto"/>
        <w:rPr>
          <w:sz w:val="20"/>
          <w:szCs w:val="20"/>
          <w:color w:val="auto"/>
        </w:rPr>
      </w:pPr>
      <w:r>
        <w:rPr>
          <w:rFonts w:ascii="Arial" w:cs="Arial" w:eastAsia="Arial" w:hAnsi="Arial"/>
          <w:sz w:val="14"/>
          <w:szCs w:val="14"/>
          <w:b w:val="1"/>
          <w:bCs w:val="1"/>
          <w:color w:val="auto"/>
        </w:rPr>
        <w:t>The Board of Directors recommends you vote “FOR” the listed nominees.</w:t>
      </w:r>
    </w:p>
    <w:p>
      <w:pPr>
        <w:spacing w:after="0" w:line="63" w:lineRule="exact"/>
        <w:rPr>
          <w:sz w:val="20"/>
          <w:szCs w:val="20"/>
          <w:color w:val="auto"/>
        </w:rPr>
      </w:pPr>
    </w:p>
    <w:p>
      <w:pPr>
        <w:ind w:left="840"/>
        <w:spacing w:after="0"/>
        <w:rPr>
          <w:sz w:val="20"/>
          <w:szCs w:val="20"/>
          <w:color w:val="auto"/>
        </w:rPr>
      </w:pPr>
      <w:r>
        <w:rPr>
          <w:rFonts w:ascii="Arial" w:cs="Arial" w:eastAsia="Arial" w:hAnsi="Arial"/>
          <w:sz w:val="14"/>
          <w:szCs w:val="14"/>
          <w:color w:val="auto"/>
        </w:rPr>
        <w:t>1.  Election of Directors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ind w:hanging="19"/>
        <w:spacing w:after="0" w:line="258" w:lineRule="auto"/>
        <w:rPr>
          <w:sz w:val="20"/>
          <w:szCs w:val="20"/>
          <w:color w:val="auto"/>
        </w:rPr>
      </w:pPr>
      <w:r>
        <w:rPr>
          <w:rFonts w:ascii="Arial" w:cs="Arial" w:eastAsia="Arial" w:hAnsi="Arial"/>
          <w:sz w:val="14"/>
          <w:szCs w:val="14"/>
          <w:b w:val="1"/>
          <w:bCs w:val="1"/>
          <w:color w:val="auto"/>
        </w:rPr>
        <w:t>For Withhold For All All All Except</w:t>
      </w:r>
    </w:p>
    <w:p>
      <w:pPr>
        <w:spacing w:after="0" w:line="21" w:lineRule="exact"/>
        <w:rPr>
          <w:sz w:val="20"/>
          <w:szCs w:val="20"/>
          <w:color w:val="auto"/>
        </w:rPr>
      </w:pPr>
    </w:p>
    <w:p>
      <w:pPr>
        <w:spacing w:after="0" w:line="181" w:lineRule="exact"/>
        <w:tabs>
          <w:tab w:leader="none" w:pos="460" w:val="left"/>
          <w:tab w:leader="none" w:pos="102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both"/>
        <w:ind w:right="2320"/>
        <w:spacing w:after="0" w:line="264" w:lineRule="auto"/>
        <w:rPr>
          <w:sz w:val="20"/>
          <w:szCs w:val="20"/>
          <w:color w:val="auto"/>
        </w:rPr>
      </w:pPr>
      <w:r>
        <w:rPr>
          <w:rFonts w:ascii="Arial" w:cs="Arial" w:eastAsia="Arial" w:hAnsi="Arial"/>
          <w:sz w:val="13"/>
          <w:szCs w:val="13"/>
          <w:color w:val="auto"/>
        </w:rPr>
        <w:t>To withhold authority to vote for any individual nominee(s), mark “For All Except” and write the number(s) of the nominee(s) on the line below.</w:t>
      </w:r>
    </w:p>
    <w:p>
      <w:pPr>
        <w:spacing w:after="0" w:line="583" w:lineRule="exact"/>
        <w:rPr>
          <w:sz w:val="20"/>
          <w:szCs w:val="20"/>
          <w:color w:val="auto"/>
        </w:rPr>
      </w:pPr>
    </w:p>
    <w:p>
      <w:pPr>
        <w:sectPr>
          <w:pgSz w:w="11900" w:h="16838" w:orient="portrait"/>
          <w:cols w:equalWidth="0" w:num="3">
            <w:col w:w="4120" w:space="120"/>
            <w:col w:w="1340" w:space="420"/>
            <w:col w:w="5140"/>
          </w:cols>
          <w:pgMar w:left="320" w:top="459" w:right="439" w:bottom="1088" w:gutter="0" w:footer="0" w:header="0"/>
          <w:type w:val="continuous"/>
        </w:sectPr>
      </w:pPr>
    </w:p>
    <w:p>
      <w:pPr>
        <w:spacing w:after="0" w:line="32"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300" w:type="dxa"/>
            <w:vAlign w:val="bottom"/>
          </w:tcPr>
          <w:p>
            <w:pPr>
              <w:jc w:val="right"/>
              <w:ind w:right="28"/>
              <w:spacing w:after="0"/>
              <w:rPr>
                <w:sz w:val="20"/>
                <w:szCs w:val="20"/>
                <w:color w:val="auto"/>
              </w:rPr>
            </w:pPr>
            <w:r>
              <w:rPr>
                <w:rFonts w:ascii="Arial" w:cs="Arial" w:eastAsia="Arial" w:hAnsi="Arial"/>
                <w:sz w:val="14"/>
                <w:szCs w:val="14"/>
                <w:color w:val="auto"/>
                <w:w w:val="88"/>
              </w:rPr>
              <w:t>01)</w:t>
            </w:r>
          </w:p>
        </w:tc>
        <w:tc>
          <w:tcPr>
            <w:tcW w:w="1700" w:type="dxa"/>
            <w:vAlign w:val="bottom"/>
          </w:tcPr>
          <w:p>
            <w:pPr>
              <w:ind w:left="80"/>
              <w:spacing w:after="0"/>
              <w:rPr>
                <w:sz w:val="20"/>
                <w:szCs w:val="20"/>
                <w:color w:val="auto"/>
              </w:rPr>
            </w:pPr>
            <w:r>
              <w:rPr>
                <w:rFonts w:ascii="Arial" w:cs="Arial" w:eastAsia="Arial" w:hAnsi="Arial"/>
                <w:sz w:val="14"/>
                <w:szCs w:val="14"/>
                <w:color w:val="auto"/>
              </w:rPr>
              <w:t>Gilbert F. Amelio, Ph.D.</w:t>
            </w:r>
          </w:p>
        </w:tc>
        <w:tc>
          <w:tcPr>
            <w:tcW w:w="480" w:type="dxa"/>
            <w:vAlign w:val="bottom"/>
          </w:tcPr>
          <w:p>
            <w:pPr>
              <w:jc w:val="right"/>
              <w:spacing w:after="0"/>
              <w:rPr>
                <w:sz w:val="20"/>
                <w:szCs w:val="20"/>
                <w:color w:val="auto"/>
              </w:rPr>
            </w:pPr>
            <w:r>
              <w:rPr>
                <w:rFonts w:ascii="Arial" w:cs="Arial" w:eastAsia="Arial" w:hAnsi="Arial"/>
                <w:sz w:val="14"/>
                <w:szCs w:val="14"/>
                <w:color w:val="auto"/>
              </w:rPr>
              <w:t>07)</w:t>
            </w:r>
          </w:p>
        </w:tc>
        <w:tc>
          <w:tcPr>
            <w:tcW w:w="1520" w:type="dxa"/>
            <w:vAlign w:val="bottom"/>
          </w:tcPr>
          <w:p>
            <w:pPr>
              <w:ind w:left="60"/>
              <w:spacing w:after="0"/>
              <w:rPr>
                <w:sz w:val="20"/>
                <w:szCs w:val="20"/>
                <w:color w:val="auto"/>
              </w:rPr>
            </w:pPr>
            <w:r>
              <w:rPr>
                <w:rFonts w:ascii="Arial" w:cs="Arial" w:eastAsia="Arial" w:hAnsi="Arial"/>
                <w:sz w:val="14"/>
                <w:szCs w:val="14"/>
                <w:color w:val="auto"/>
              </w:rPr>
              <w:t>Marc Rubin, M.D.</w:t>
            </w:r>
          </w:p>
        </w:tc>
      </w:tr>
      <w:tr>
        <w:trPr>
          <w:trHeight w:val="148"/>
        </w:trPr>
        <w:tc>
          <w:tcPr>
            <w:tcW w:w="300" w:type="dxa"/>
            <w:vAlign w:val="bottom"/>
          </w:tcPr>
          <w:p>
            <w:pPr>
              <w:jc w:val="right"/>
              <w:ind w:right="28"/>
              <w:spacing w:after="0" w:line="149" w:lineRule="exact"/>
              <w:rPr>
                <w:sz w:val="20"/>
                <w:szCs w:val="20"/>
                <w:color w:val="auto"/>
              </w:rPr>
            </w:pPr>
            <w:r>
              <w:rPr>
                <w:rFonts w:ascii="Arial" w:cs="Arial" w:eastAsia="Arial" w:hAnsi="Arial"/>
                <w:sz w:val="14"/>
                <w:szCs w:val="14"/>
                <w:color w:val="auto"/>
                <w:w w:val="88"/>
              </w:rPr>
              <w:t>02)</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James C. Czirr</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w w:val="92"/>
              </w:rPr>
              <w:t>Elissa J. Schwartz, Ph.D.</w:t>
            </w:r>
          </w:p>
        </w:tc>
      </w:tr>
      <w:tr>
        <w:trPr>
          <w:trHeight w:val="149"/>
        </w:trPr>
        <w:tc>
          <w:tcPr>
            <w:tcW w:w="300" w:type="dxa"/>
            <w:vAlign w:val="bottom"/>
          </w:tcPr>
          <w:p>
            <w:pPr>
              <w:jc w:val="right"/>
              <w:ind w:right="28"/>
              <w:spacing w:after="0" w:line="149" w:lineRule="exact"/>
              <w:rPr>
                <w:sz w:val="20"/>
                <w:szCs w:val="20"/>
                <w:color w:val="auto"/>
              </w:rPr>
            </w:pPr>
            <w:r>
              <w:rPr>
                <w:rFonts w:ascii="Arial" w:cs="Arial" w:eastAsia="Arial" w:hAnsi="Arial"/>
                <w:sz w:val="14"/>
                <w:szCs w:val="14"/>
                <w:color w:val="auto"/>
                <w:w w:val="88"/>
              </w:rPr>
              <w:t>03)</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Kary Eldred</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w w:val="94"/>
              </w:rPr>
              <w:t>Harold H. Shlevin, Ph.D.</w:t>
            </w:r>
          </w:p>
        </w:tc>
      </w:tr>
      <w:tr>
        <w:trPr>
          <w:trHeight w:val="148"/>
        </w:trPr>
        <w:tc>
          <w:tcPr>
            <w:tcW w:w="300" w:type="dxa"/>
            <w:vAlign w:val="bottom"/>
          </w:tcPr>
          <w:p>
            <w:pPr>
              <w:jc w:val="right"/>
              <w:ind w:right="28"/>
              <w:spacing w:after="0" w:line="149" w:lineRule="exact"/>
              <w:rPr>
                <w:sz w:val="20"/>
                <w:szCs w:val="20"/>
                <w:color w:val="auto"/>
              </w:rPr>
            </w:pPr>
            <w:r>
              <w:rPr>
                <w:rFonts w:ascii="Arial" w:cs="Arial" w:eastAsia="Arial" w:hAnsi="Arial"/>
                <w:sz w:val="14"/>
                <w:szCs w:val="14"/>
                <w:color w:val="auto"/>
                <w:w w:val="88"/>
              </w:rPr>
              <w:t>04)</w:t>
            </w:r>
          </w:p>
        </w:tc>
        <w:tc>
          <w:tcPr>
            <w:tcW w:w="1700" w:type="dxa"/>
            <w:vAlign w:val="bottom"/>
          </w:tcPr>
          <w:p>
            <w:pPr>
              <w:ind w:left="80"/>
              <w:spacing w:after="0" w:line="149" w:lineRule="exact"/>
              <w:rPr>
                <w:sz w:val="20"/>
                <w:szCs w:val="20"/>
                <w:color w:val="auto"/>
              </w:rPr>
            </w:pPr>
            <w:r>
              <w:rPr>
                <w:rFonts w:ascii="Arial" w:cs="Arial" w:eastAsia="Arial" w:hAnsi="Arial"/>
                <w:sz w:val="14"/>
                <w:szCs w:val="14"/>
                <w:color w:val="auto"/>
              </w:rPr>
              <w:t>Kevin D. Freeman</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520" w:type="dxa"/>
            <w:vAlign w:val="bottom"/>
          </w:tcPr>
          <w:p>
            <w:pPr>
              <w:ind w:left="60"/>
              <w:spacing w:after="0" w:line="149" w:lineRule="exact"/>
              <w:rPr>
                <w:sz w:val="20"/>
                <w:szCs w:val="20"/>
                <w:color w:val="auto"/>
              </w:rPr>
            </w:pPr>
            <w:r>
              <w:rPr>
                <w:rFonts w:ascii="Arial" w:cs="Arial" w:eastAsia="Arial" w:hAnsi="Arial"/>
                <w:sz w:val="14"/>
                <w:szCs w:val="14"/>
                <w:color w:val="auto"/>
              </w:rPr>
              <w:t>Richard E. Uihlein</w:t>
            </w:r>
          </w:p>
        </w:tc>
      </w:tr>
      <w:tr>
        <w:trPr>
          <w:trHeight w:val="160"/>
        </w:trPr>
        <w:tc>
          <w:tcPr>
            <w:tcW w:w="300" w:type="dxa"/>
            <w:vAlign w:val="bottom"/>
          </w:tcPr>
          <w:p>
            <w:pPr>
              <w:jc w:val="right"/>
              <w:ind w:right="28"/>
              <w:spacing w:after="0"/>
              <w:rPr>
                <w:sz w:val="20"/>
                <w:szCs w:val="20"/>
                <w:color w:val="auto"/>
              </w:rPr>
            </w:pPr>
            <w:r>
              <w:rPr>
                <w:rFonts w:ascii="Arial" w:cs="Arial" w:eastAsia="Arial" w:hAnsi="Arial"/>
                <w:sz w:val="14"/>
                <w:szCs w:val="14"/>
                <w:color w:val="auto"/>
                <w:w w:val="88"/>
              </w:rPr>
              <w:t>05)</w:t>
            </w:r>
          </w:p>
        </w:tc>
        <w:tc>
          <w:tcPr>
            <w:tcW w:w="1700" w:type="dxa"/>
            <w:vAlign w:val="bottom"/>
          </w:tcPr>
          <w:p>
            <w:pPr>
              <w:ind w:left="80"/>
              <w:spacing w:after="0"/>
              <w:rPr>
                <w:sz w:val="20"/>
                <w:szCs w:val="20"/>
                <w:color w:val="auto"/>
              </w:rPr>
            </w:pPr>
            <w:r>
              <w:rPr>
                <w:rFonts w:ascii="Arial" w:cs="Arial" w:eastAsia="Arial" w:hAnsi="Arial"/>
                <w:sz w:val="14"/>
                <w:szCs w:val="14"/>
                <w:color w:val="auto"/>
              </w:rPr>
              <w:t>Joel Lewis</w:t>
            </w:r>
          </w:p>
        </w:tc>
        <w:tc>
          <w:tcPr>
            <w:tcW w:w="4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520" w:type="dxa"/>
            <w:vAlign w:val="bottom"/>
          </w:tcPr>
          <w:p>
            <w:pPr>
              <w:ind w:left="60"/>
              <w:spacing w:after="0"/>
              <w:rPr>
                <w:sz w:val="20"/>
                <w:szCs w:val="20"/>
                <w:color w:val="auto"/>
              </w:rPr>
            </w:pPr>
            <w:r>
              <w:rPr>
                <w:rFonts w:ascii="Arial" w:cs="Arial" w:eastAsia="Arial" w:hAnsi="Arial"/>
                <w:sz w:val="14"/>
                <w:szCs w:val="14"/>
                <w:color w:val="auto"/>
              </w:rPr>
              <w:t>Richard A. Zordani</w:t>
            </w:r>
          </w:p>
        </w:tc>
      </w:tr>
    </w:tbl>
    <w:p>
      <w:pPr>
        <w:ind w:left="1400" w:hanging="374"/>
        <w:spacing w:after="0"/>
        <w:tabs>
          <w:tab w:leader="none" w:pos="1400" w:val="left"/>
        </w:tabs>
        <w:numPr>
          <w:ilvl w:val="0"/>
          <w:numId w:val="64"/>
        </w:numPr>
        <w:rPr>
          <w:rFonts w:ascii="Arial" w:cs="Arial" w:eastAsia="Arial" w:hAnsi="Arial"/>
          <w:sz w:val="14"/>
          <w:szCs w:val="14"/>
          <w:color w:val="auto"/>
        </w:rPr>
      </w:pPr>
      <w:r>
        <w:rPr>
          <w:rFonts w:ascii="Arial" w:cs="Arial" w:eastAsia="Arial" w:hAnsi="Arial"/>
          <w:sz w:val="14"/>
          <w:szCs w:val="14"/>
          <w:color w:val="auto"/>
        </w:rPr>
        <w:t>Gilbert S. Omenn, M.D.</w:t>
      </w:r>
    </w:p>
    <w:tbl>
      <w:tblPr>
        <w:tblLayout w:type="fixed"/>
        <w:tblInd w:w="84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Arial" w:cs="Arial" w:eastAsia="Arial" w:hAnsi="Arial"/>
                <w:sz w:val="14"/>
                <w:szCs w:val="14"/>
                <w:b w:val="1"/>
                <w:bCs w:val="1"/>
                <w:color w:val="auto"/>
                <w:w w:val="94"/>
              </w:rPr>
              <w:t>The Board of Directors recommends you vote FOR</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For Against Abstain</w:t>
            </w:r>
          </w:p>
        </w:tc>
      </w:tr>
      <w:tr>
        <w:trPr>
          <w:trHeight w:val="186"/>
        </w:trPr>
        <w:tc>
          <w:tcPr>
            <w:tcW w:w="3220" w:type="dxa"/>
            <w:vAlign w:val="bottom"/>
          </w:tcPr>
          <w:p>
            <w:pPr>
              <w:spacing w:after="0"/>
              <w:rPr>
                <w:sz w:val="20"/>
                <w:szCs w:val="20"/>
                <w:color w:val="auto"/>
              </w:rPr>
            </w:pPr>
            <w:r>
              <w:rPr>
                <w:rFonts w:ascii="Arial" w:cs="Arial" w:eastAsia="Arial" w:hAnsi="Arial"/>
                <w:sz w:val="14"/>
                <w:szCs w:val="14"/>
                <w:b w:val="1"/>
                <w:bCs w:val="1"/>
                <w:color w:val="auto"/>
              </w:rPr>
              <w:t>the following proposals:</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370"/>
        </w:trPr>
        <w:tc>
          <w:tcPr>
            <w:tcW w:w="3220" w:type="dxa"/>
            <w:vAlign w:val="bottom"/>
          </w:tcPr>
          <w:p>
            <w:pPr>
              <w:ind w:left="80"/>
              <w:spacing w:after="0"/>
              <w:rPr>
                <w:sz w:val="20"/>
                <w:szCs w:val="20"/>
                <w:color w:val="auto"/>
              </w:rPr>
            </w:pPr>
            <w:r>
              <w:rPr>
                <w:rFonts w:ascii="Arial" w:cs="Arial" w:eastAsia="Arial" w:hAnsi="Arial"/>
                <w:sz w:val="14"/>
                <w:szCs w:val="14"/>
                <w:color w:val="auto"/>
                <w:w w:val="99"/>
              </w:rPr>
              <w:t>2. To ratify the selection by the Audit Committee of</w:t>
            </w:r>
          </w:p>
        </w:tc>
        <w:tc>
          <w:tcPr>
            <w:tcW w:w="40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bl>
    <w:p>
      <w:pPr>
        <w:ind w:left="1100"/>
        <w:spacing w:after="0" w:line="221" w:lineRule="auto"/>
        <w:rPr>
          <w:sz w:val="20"/>
          <w:szCs w:val="20"/>
          <w:color w:val="auto"/>
        </w:rPr>
      </w:pPr>
      <w:r>
        <w:rPr>
          <w:rFonts w:ascii="Arial" w:cs="Arial" w:eastAsia="Arial" w:hAnsi="Arial"/>
          <w:sz w:val="14"/>
          <w:szCs w:val="14"/>
          <w:color w:val="auto"/>
        </w:rPr>
        <w:t>the Board of Directors of Cherry Bekaert LLP as</w:t>
      </w:r>
    </w:p>
    <w:p>
      <w:pPr>
        <w:ind w:left="1100"/>
        <w:spacing w:after="0" w:line="221" w:lineRule="auto"/>
        <w:rPr>
          <w:sz w:val="20"/>
          <w:szCs w:val="20"/>
          <w:color w:val="auto"/>
        </w:rPr>
      </w:pPr>
      <w:r>
        <w:rPr>
          <w:rFonts w:ascii="Arial" w:cs="Arial" w:eastAsia="Arial" w:hAnsi="Arial"/>
          <w:sz w:val="14"/>
          <w:szCs w:val="14"/>
          <w:color w:val="auto"/>
        </w:rPr>
        <w:t>our independent registered public accounting firm</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4"/>
          <w:szCs w:val="14"/>
          <w:color w:val="auto"/>
        </w:rPr>
        <w:t>for the fiscal year ending December 31, 2021.</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316" w:hanging="316"/>
        <w:spacing w:after="0" w:line="245" w:lineRule="auto"/>
        <w:tabs>
          <w:tab w:leader="none" w:pos="316"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authorize and approve, for purposes of complying with Nasdaq Listing Rule 5635, the issuance of up to 7,645,268 shares of our common stock upon conversion, exchange or otherwise of principal and accrued interest to Richard E. Uihlein, our Chairman of the Board of Directors, pursuant to the terms of certain unsecured convertible notes aggregating $30,000,000 and the related accrued interest.</w:t>
      </w:r>
    </w:p>
    <w:p>
      <w:pPr>
        <w:spacing w:after="0" w:line="129" w:lineRule="exact"/>
        <w:rPr>
          <w:rFonts w:ascii="Arial" w:cs="Arial" w:eastAsia="Arial" w:hAnsi="Arial"/>
          <w:sz w:val="13"/>
          <w:szCs w:val="13"/>
          <w:color w:val="auto"/>
        </w:rPr>
      </w:pPr>
    </w:p>
    <w:p>
      <w:pPr>
        <w:ind w:left="316" w:right="20" w:hanging="316"/>
        <w:spacing w:after="0" w:line="250" w:lineRule="auto"/>
        <w:tabs>
          <w:tab w:leader="none" w:pos="316" w:val="left"/>
        </w:tabs>
        <w:numPr>
          <w:ilvl w:val="0"/>
          <w:numId w:val="65"/>
        </w:numPr>
        <w:rPr>
          <w:rFonts w:ascii="Arial" w:cs="Arial" w:eastAsia="Arial" w:hAnsi="Arial"/>
          <w:sz w:val="13"/>
          <w:szCs w:val="13"/>
          <w:color w:val="auto"/>
        </w:rPr>
      </w:pPr>
      <w:r>
        <w:rPr>
          <w:rFonts w:ascii="Arial" w:cs="Arial" w:eastAsia="Arial" w:hAnsi="Arial"/>
          <w:sz w:val="13"/>
          <w:szCs w:val="13"/>
          <w:color w:val="auto"/>
        </w:rPr>
        <w:t>To authorize the adjournment of the annual meeting if necessary or appropriate, including to solicit additional proxies if there are not sufficient votes at the time of the annual meeting or adjournment or postponement thereof to approve any of the foregoing proposals.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5" w:lineRule="exact"/>
        <w:rPr>
          <w:sz w:val="20"/>
          <w:szCs w:val="20"/>
          <w:color w:val="auto"/>
        </w:rPr>
      </w:pPr>
    </w:p>
    <w:p>
      <w:pPr>
        <w:ind w:left="20"/>
        <w:spacing w:after="0" w:line="181" w:lineRule="exact"/>
        <w:tabs>
          <w:tab w:leader="none" w:pos="460" w:val="left"/>
          <w:tab w:leader="none" w:pos="1060" w:val="left"/>
        </w:tabs>
        <w:rPr>
          <w:sz w:val="20"/>
          <w:szCs w:val="20"/>
          <w:color w:val="auto"/>
        </w:rPr>
      </w:pPr>
      <w:r>
        <w:rPr>
          <w:rFonts w:ascii="MS PGothic" w:cs="MS PGothic" w:eastAsia="MS PGothic" w:hAnsi="MS PGothic"/>
          <w:sz w:val="18"/>
          <w:szCs w:val="18"/>
          <w:color w:val="auto"/>
        </w:rPr>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line="181" w:lineRule="exact"/>
        <w:tabs>
          <w:tab w:leader="none" w:pos="460" w:val="left"/>
          <w:tab w:leader="none" w:pos="1060" w:val="left"/>
        </w:tabs>
        <w:rPr>
          <w:sz w:val="20"/>
          <w:szCs w:val="20"/>
          <w:color w:val="auto"/>
        </w:rPr>
      </w:pPr>
      <w:r>
        <w:rPr>
          <w:rFonts w:ascii="MS PGothic" w:cs="MS PGothic" w:eastAsia="MS PGothic" w:hAnsi="MS PGothic"/>
          <w:sz w:val="18"/>
          <w:szCs w:val="18"/>
          <w:color w:val="auto"/>
        </w:rPr>
        <w:t>☐</w:t>
        <w:tab/>
        <w:t>☐</w:t>
        <w:tab/>
        <w:t>☐</w:t>
      </w:r>
    </w:p>
    <w:p>
      <w:pPr>
        <w:spacing w:after="0" w:line="629" w:lineRule="exact"/>
        <w:rPr>
          <w:sz w:val="20"/>
          <w:szCs w:val="20"/>
          <w:color w:val="auto"/>
        </w:rPr>
      </w:pPr>
    </w:p>
    <w:p>
      <w:pPr>
        <w:sectPr>
          <w:pgSz w:w="11900" w:h="16838" w:orient="portrait"/>
          <w:cols w:equalWidth="0" w:num="3">
            <w:col w:w="5440" w:space="564"/>
            <w:col w:w="3516" w:space="100"/>
            <w:col w:w="1520"/>
          </w:cols>
          <w:pgMar w:left="320" w:top="459" w:right="439" w:bottom="1088" w:gutter="0" w:footer="0" w:header="0"/>
          <w:type w:val="continuous"/>
        </w:sectPr>
      </w:pPr>
    </w:p>
    <w:tbl>
      <w:tblPr>
        <w:tblLayout w:type="fixed"/>
        <w:tblInd w:w="920" w:type="dxa"/>
        <w:tblCellMar>
          <w:top w:w="0" w:type="dxa"/>
          <w:left w:w="0" w:type="dxa"/>
          <w:bottom w:w="0" w:type="dxa"/>
          <w:right w:w="0" w:type="dxa"/>
        </w:tblCellMar>
      </w:tblPr>
      <w:tr>
        <w:trPr>
          <w:trHeight w:val="195"/>
        </w:trPr>
        <w:tc>
          <w:tcPr>
            <w:tcW w:w="140" w:type="dxa"/>
            <w:vAlign w:val="bottom"/>
          </w:tcPr>
          <w:p>
            <w:pPr>
              <w:jc w:val="right"/>
              <w:spacing w:after="0"/>
              <w:rPr>
                <w:sz w:val="20"/>
                <w:szCs w:val="20"/>
                <w:color w:val="auto"/>
              </w:rPr>
            </w:pPr>
            <w:r>
              <w:rPr>
                <w:rFonts w:ascii="Arial" w:cs="Arial" w:eastAsia="Arial" w:hAnsi="Arial"/>
                <w:sz w:val="13"/>
                <w:szCs w:val="13"/>
                <w:color w:val="auto"/>
                <w:w w:val="73"/>
              </w:rPr>
              <w:t>3.</w:t>
            </w:r>
          </w:p>
        </w:tc>
        <w:tc>
          <w:tcPr>
            <w:tcW w:w="2960" w:type="dxa"/>
            <w:vAlign w:val="bottom"/>
          </w:tcPr>
          <w:p>
            <w:pPr>
              <w:ind w:left="40"/>
              <w:spacing w:after="0"/>
              <w:rPr>
                <w:sz w:val="20"/>
                <w:szCs w:val="20"/>
                <w:color w:val="auto"/>
              </w:rPr>
            </w:pPr>
            <w:r>
              <w:rPr>
                <w:rFonts w:ascii="Arial" w:cs="Arial" w:eastAsia="Arial" w:hAnsi="Arial"/>
                <w:sz w:val="14"/>
                <w:szCs w:val="14"/>
                <w:color w:val="auto"/>
              </w:rPr>
              <w:t>To adopt and approve an amendment to our</w:t>
            </w:r>
          </w:p>
        </w:tc>
        <w:tc>
          <w:tcPr>
            <w:tcW w:w="44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680"/>
              <w:spacing w:after="0"/>
              <w:rPr>
                <w:sz w:val="20"/>
                <w:szCs w:val="20"/>
                <w:color w:val="auto"/>
              </w:rPr>
            </w:pPr>
            <w:r>
              <w:rPr>
                <w:rFonts w:ascii="Arial" w:cs="Arial" w:eastAsia="Arial" w:hAnsi="Arial"/>
                <w:sz w:val="14"/>
                <w:szCs w:val="14"/>
                <w:color w:val="auto"/>
                <w:w w:val="97"/>
              </w:rPr>
              <w:t>In their discretion, the proxies are authorized to vote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960" w:type="dxa"/>
            <w:vAlign w:val="bottom"/>
          </w:tcPr>
          <w:p>
            <w:pPr>
              <w:ind w:left="40"/>
              <w:spacing w:after="0" w:line="149" w:lineRule="exact"/>
              <w:rPr>
                <w:sz w:val="20"/>
                <w:szCs w:val="20"/>
                <w:color w:val="auto"/>
              </w:rPr>
            </w:pPr>
            <w:r>
              <w:rPr>
                <w:rFonts w:ascii="Arial" w:cs="Arial" w:eastAsia="Arial" w:hAnsi="Arial"/>
                <w:sz w:val="14"/>
                <w:szCs w:val="14"/>
                <w:color w:val="auto"/>
                <w:w w:val="97"/>
              </w:rPr>
              <w:t>Restated Articles of Incorporation increasing the</w:t>
            </w:r>
          </w:p>
        </w:tc>
        <w:tc>
          <w:tcPr>
            <w:tcW w:w="44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3840" w:type="dxa"/>
            <w:vAlign w:val="bottom"/>
          </w:tcPr>
          <w:p>
            <w:pPr>
              <w:ind w:left="360"/>
              <w:spacing w:after="0" w:line="149" w:lineRule="exact"/>
              <w:rPr>
                <w:sz w:val="20"/>
                <w:szCs w:val="20"/>
                <w:color w:val="auto"/>
              </w:rPr>
            </w:pPr>
            <w:r>
              <w:rPr>
                <w:rFonts w:ascii="Arial" w:cs="Arial" w:eastAsia="Arial" w:hAnsi="Arial"/>
                <w:sz w:val="14"/>
                <w:szCs w:val="14"/>
                <w:color w:val="auto"/>
                <w:w w:val="93"/>
              </w:rPr>
              <w:t>7.   upon such other business as may properly come before</w:t>
            </w:r>
          </w:p>
        </w:tc>
        <w:tc>
          <w:tcPr>
            <w:tcW w:w="0" w:type="dxa"/>
            <w:vAlign w:val="bottom"/>
          </w:tcPr>
          <w:p>
            <w:pPr>
              <w:spacing w:after="0"/>
              <w:rPr>
                <w:sz w:val="1"/>
                <w:szCs w:val="1"/>
                <w:color w:val="auto"/>
              </w:rPr>
            </w:pPr>
          </w:p>
        </w:tc>
      </w:tr>
      <w:tr>
        <w:trPr>
          <w:trHeight w:val="149"/>
        </w:trPr>
        <w:tc>
          <w:tcPr>
            <w:tcW w:w="140" w:type="dxa"/>
            <w:vAlign w:val="bottom"/>
          </w:tcPr>
          <w:p>
            <w:pPr>
              <w:spacing w:after="0"/>
              <w:rPr>
                <w:sz w:val="12"/>
                <w:szCs w:val="12"/>
                <w:color w:val="auto"/>
              </w:rPr>
            </w:pPr>
          </w:p>
        </w:tc>
        <w:tc>
          <w:tcPr>
            <w:tcW w:w="2960" w:type="dxa"/>
            <w:vAlign w:val="bottom"/>
          </w:tcPr>
          <w:p>
            <w:pPr>
              <w:ind w:left="40"/>
              <w:spacing w:after="0" w:line="149" w:lineRule="exact"/>
              <w:rPr>
                <w:sz w:val="20"/>
                <w:szCs w:val="20"/>
                <w:color w:val="auto"/>
              </w:rPr>
            </w:pPr>
            <w:r>
              <w:rPr>
                <w:rFonts w:ascii="Arial" w:cs="Arial" w:eastAsia="Arial" w:hAnsi="Arial"/>
                <w:sz w:val="14"/>
                <w:szCs w:val="14"/>
                <w:color w:val="auto"/>
              </w:rPr>
              <w:t>number of authorized common voting shares</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ind w:left="680"/>
              <w:spacing w:after="0" w:line="149" w:lineRule="exact"/>
              <w:rPr>
                <w:sz w:val="20"/>
                <w:szCs w:val="20"/>
                <w:color w:val="auto"/>
              </w:rPr>
            </w:pPr>
            <w:r>
              <w:rPr>
                <w:rFonts w:ascii="Arial" w:cs="Arial" w:eastAsia="Arial" w:hAnsi="Arial"/>
                <w:sz w:val="14"/>
                <w:szCs w:val="14"/>
                <w:color w:val="auto"/>
              </w:rPr>
              <w:t>the annual meeting.</w:t>
            </w:r>
          </w:p>
        </w:tc>
        <w:tc>
          <w:tcPr>
            <w:tcW w:w="0" w:type="dxa"/>
            <w:vAlign w:val="bottom"/>
          </w:tcPr>
          <w:p>
            <w:pPr>
              <w:spacing w:after="0"/>
              <w:rPr>
                <w:sz w:val="1"/>
                <w:szCs w:val="1"/>
                <w:color w:val="auto"/>
              </w:rPr>
            </w:pPr>
          </w:p>
        </w:tc>
      </w:tr>
      <w:tr>
        <w:trPr>
          <w:trHeight w:val="130"/>
        </w:trPr>
        <w:tc>
          <w:tcPr>
            <w:tcW w:w="140" w:type="dxa"/>
            <w:vAlign w:val="bottom"/>
          </w:tcPr>
          <w:p>
            <w:pPr>
              <w:spacing w:after="0"/>
              <w:rPr>
                <w:sz w:val="11"/>
                <w:szCs w:val="11"/>
                <w:color w:val="auto"/>
              </w:rPr>
            </w:pPr>
          </w:p>
        </w:tc>
        <w:tc>
          <w:tcPr>
            <w:tcW w:w="2960" w:type="dxa"/>
            <w:vAlign w:val="bottom"/>
          </w:tcPr>
          <w:p>
            <w:pPr>
              <w:ind w:left="40"/>
              <w:spacing w:after="0" w:line="130" w:lineRule="exact"/>
              <w:rPr>
                <w:sz w:val="20"/>
                <w:szCs w:val="20"/>
                <w:color w:val="auto"/>
              </w:rPr>
            </w:pPr>
            <w:r>
              <w:rPr>
                <w:rFonts w:ascii="Arial" w:cs="Arial" w:eastAsia="Arial" w:hAnsi="Arial"/>
                <w:sz w:val="14"/>
                <w:szCs w:val="14"/>
                <w:color w:val="auto"/>
              </w:rPr>
              <w:t>(“common stock”) from 100,000,000 to</w:t>
            </w: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40" w:type="dxa"/>
            <w:vAlign w:val="bottom"/>
          </w:tcPr>
          <w:p>
            <w:pPr>
              <w:spacing w:after="0"/>
              <w:rPr>
                <w:sz w:val="15"/>
                <w:szCs w:val="15"/>
                <w:color w:val="auto"/>
              </w:rPr>
            </w:pPr>
          </w:p>
        </w:tc>
        <w:tc>
          <w:tcPr>
            <w:tcW w:w="2960" w:type="dxa"/>
            <w:vAlign w:val="bottom"/>
          </w:tcPr>
          <w:p>
            <w:pPr>
              <w:ind w:left="40"/>
              <w:spacing w:after="0"/>
              <w:rPr>
                <w:sz w:val="20"/>
                <w:szCs w:val="20"/>
                <w:color w:val="auto"/>
              </w:rPr>
            </w:pPr>
            <w:r>
              <w:rPr>
                <w:rFonts w:ascii="Arial" w:cs="Arial" w:eastAsia="Arial" w:hAnsi="Arial"/>
                <w:sz w:val="14"/>
                <w:szCs w:val="14"/>
                <w:color w:val="auto"/>
              </w:rPr>
              <w:t>150,000,000.</w:t>
            </w: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140" w:type="dxa"/>
            <w:vAlign w:val="bottom"/>
          </w:tcPr>
          <w:p>
            <w:pPr>
              <w:jc w:val="right"/>
              <w:spacing w:after="0"/>
              <w:rPr>
                <w:sz w:val="20"/>
                <w:szCs w:val="20"/>
                <w:color w:val="auto"/>
              </w:rPr>
            </w:pPr>
            <w:r>
              <w:rPr>
                <w:rFonts w:ascii="Arial" w:cs="Arial" w:eastAsia="Arial" w:hAnsi="Arial"/>
                <w:sz w:val="13"/>
                <w:szCs w:val="13"/>
                <w:color w:val="auto"/>
                <w:w w:val="73"/>
              </w:rPr>
              <w:t>4.</w:t>
            </w:r>
          </w:p>
        </w:tc>
        <w:tc>
          <w:tcPr>
            <w:tcW w:w="2960" w:type="dxa"/>
            <w:vAlign w:val="bottom"/>
          </w:tcPr>
          <w:p>
            <w:pPr>
              <w:ind w:left="40"/>
              <w:spacing w:after="0"/>
              <w:rPr>
                <w:sz w:val="20"/>
                <w:szCs w:val="20"/>
                <w:color w:val="auto"/>
              </w:rPr>
            </w:pPr>
            <w:r>
              <w:rPr>
                <w:rFonts w:ascii="Arial" w:cs="Arial" w:eastAsia="Arial" w:hAnsi="Arial"/>
                <w:sz w:val="14"/>
                <w:szCs w:val="14"/>
                <w:color w:val="auto"/>
                <w:w w:val="95"/>
              </w:rPr>
              <w:t>To approve an amendment to our 2019 Omnibus</w:t>
            </w:r>
          </w:p>
        </w:tc>
        <w:tc>
          <w:tcPr>
            <w:tcW w:w="4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2960" w:type="dxa"/>
            <w:vAlign w:val="bottom"/>
          </w:tcPr>
          <w:p>
            <w:pPr>
              <w:ind w:left="40"/>
              <w:spacing w:after="0" w:line="149" w:lineRule="exact"/>
              <w:rPr>
                <w:sz w:val="20"/>
                <w:szCs w:val="20"/>
                <w:color w:val="auto"/>
              </w:rPr>
            </w:pPr>
            <w:r>
              <w:rPr>
                <w:rFonts w:ascii="Arial" w:cs="Arial" w:eastAsia="Arial" w:hAnsi="Arial"/>
                <w:sz w:val="14"/>
                <w:szCs w:val="14"/>
                <w:color w:val="auto"/>
              </w:rPr>
              <w:t>Equity Incentive Plan to reserve an additional</w:t>
            </w: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1100"/>
        <w:spacing w:after="0"/>
        <w:rPr>
          <w:sz w:val="20"/>
          <w:szCs w:val="20"/>
          <w:color w:val="auto"/>
        </w:rPr>
      </w:pPr>
      <w:r>
        <w:rPr>
          <w:rFonts w:ascii="Arial" w:cs="Arial" w:eastAsia="Arial" w:hAnsi="Arial"/>
          <w:sz w:val="14"/>
          <w:szCs w:val="14"/>
          <w:color w:val="auto"/>
        </w:rPr>
        <w:t>3,000,000 shares for issuance under the plan.</w:t>
      </w:r>
    </w:p>
    <w:p>
      <w:pPr>
        <w:spacing w:after="0" w:line="218" w:lineRule="exact"/>
        <w:rPr>
          <w:sz w:val="20"/>
          <w:szCs w:val="20"/>
          <w:color w:val="auto"/>
        </w:rPr>
      </w:pPr>
    </w:p>
    <w:p>
      <w:pPr>
        <w:ind w:left="920"/>
        <w:spacing w:after="0"/>
        <w:rPr>
          <w:sz w:val="20"/>
          <w:szCs w:val="20"/>
          <w:color w:val="auto"/>
        </w:rPr>
      </w:pPr>
      <w:r>
        <w:rPr>
          <w:rFonts w:ascii="Arial" w:cs="Arial" w:eastAsia="Arial" w:hAnsi="Arial"/>
          <w:sz w:val="14"/>
          <w:szCs w:val="14"/>
          <w:color w:val="auto"/>
        </w:rPr>
        <w:t>Note: Please sign exactly as name(s) appear(s) hereon. When shares are held by</w:t>
      </w:r>
    </w:p>
    <w:p>
      <w:pPr>
        <w:ind w:left="920"/>
        <w:spacing w:after="0" w:line="221" w:lineRule="auto"/>
        <w:rPr>
          <w:sz w:val="20"/>
          <w:szCs w:val="20"/>
          <w:color w:val="auto"/>
        </w:rPr>
      </w:pPr>
      <w:r>
        <w:rPr>
          <w:rFonts w:ascii="Arial" w:cs="Arial" w:eastAsia="Arial" w:hAnsi="Arial"/>
          <w:sz w:val="14"/>
          <w:szCs w:val="14"/>
          <w:color w:val="auto"/>
        </w:rPr>
        <w:t>joint owners, both should sign. When signing as attorney, executor,</w:t>
      </w:r>
    </w:p>
    <w:p>
      <w:pPr>
        <w:ind w:left="920"/>
        <w:spacing w:after="0"/>
        <w:rPr>
          <w:sz w:val="20"/>
          <w:szCs w:val="20"/>
          <w:color w:val="auto"/>
        </w:rPr>
      </w:pPr>
      <w:r>
        <w:rPr>
          <w:rFonts w:ascii="Arial" w:cs="Arial" w:eastAsia="Arial" w:hAnsi="Arial"/>
          <w:sz w:val="14"/>
          <w:szCs w:val="14"/>
          <w:color w:val="auto"/>
        </w:rPr>
        <w:t>administrator, trustee, guardian, or corporate officer, please give title as such.</w:t>
      </w:r>
    </w:p>
    <w:p>
      <w:pPr>
        <w:sectPr>
          <w:pgSz w:w="11900" w:h="16838" w:orient="portrait"/>
          <w:cols w:equalWidth="0" w:num="1">
            <w:col w:w="11140"/>
          </w:cols>
          <w:pgMar w:left="320" w:top="459" w:right="439" w:bottom="108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940"/>
        <w:spacing w:after="0"/>
        <w:tabs>
          <w:tab w:leader="none" w:pos="4340" w:val="left"/>
          <w:tab w:leader="none" w:pos="6240" w:val="left"/>
          <w:tab w:leader="none" w:pos="96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140"/>
          </w:cols>
          <w:pgMar w:left="320" w:top="459" w:right="439" w:bottom="1088"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2021 Annual Meeting of Stockholders of Galectin Therapeutics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be held virtually via the internet at www.virtualshareholdermeeting.com/GALT2021</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on December 3, 2021 at 11:00 A.M. Eastern Standard Time.</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The Proxy Statement and Annual Report to Stockholders are available at: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http://www.galectintherapeutics.com</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u w:val="single" w:color="auto"/>
          <w:color w:val="auto"/>
        </w:rPr>
        <w:t>To Vote Your Proxy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Mark, sign and date your Proxy Card on the reverse side, and return it in the</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right="1380"/>
        <w:spacing w:after="0" w:line="253" w:lineRule="auto"/>
        <w:rPr>
          <w:sz w:val="20"/>
          <w:szCs w:val="20"/>
          <w:color w:val="auto"/>
        </w:rPr>
      </w:pPr>
      <w:r>
        <w:rPr>
          <w:rFonts w:ascii="Arial" w:cs="Arial" w:eastAsia="Arial" w:hAnsi="Arial"/>
          <w:sz w:val="14"/>
          <w:szCs w:val="14"/>
          <w:color w:val="auto"/>
        </w:rPr>
        <w:t>— — — — — — — — — — — — — — — — — — — — — — — — — — — — — — — — — — — — — — — — — — — — — — — — — — — — — — — — — — — — — —</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D60872-P62338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25400</wp:posOffset>
            </wp:positionV>
            <wp:extent cx="7003415" cy="34283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03415" cy="3428365"/>
                    </a:xfrm>
                    <a:prstGeom prst="rect">
                      <a:avLst/>
                    </a:prstGeom>
                    <a:noFill/>
                  </pic:spPr>
                </pic:pic>
              </a:graphicData>
            </a:graphic>
          </wp:anchor>
        </w:drawing>
      </w:r>
    </w:p>
    <w:p>
      <w:pPr>
        <w:spacing w:after="0" w:line="400"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PROXY</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GALECTIN THERAPEUTICS INC.</w:t>
      </w:r>
    </w:p>
    <w:p>
      <w:pPr>
        <w:spacing w:after="0" w:line="256" w:lineRule="exact"/>
        <w:rPr>
          <w:sz w:val="20"/>
          <w:szCs w:val="20"/>
          <w:color w:val="auto"/>
        </w:rPr>
      </w:pPr>
    </w:p>
    <w:p>
      <w:pPr>
        <w:ind w:left="580" w:right="660"/>
        <w:spacing w:after="0" w:line="275" w:lineRule="auto"/>
        <w:rPr>
          <w:sz w:val="20"/>
          <w:szCs w:val="20"/>
          <w:color w:val="auto"/>
        </w:rPr>
      </w:pPr>
      <w:r>
        <w:rPr>
          <w:rFonts w:ascii="Arial" w:cs="Arial" w:eastAsia="Arial" w:hAnsi="Arial"/>
          <w:sz w:val="17"/>
          <w:szCs w:val="17"/>
          <w:color w:val="auto"/>
        </w:rPr>
        <w:t>The undersigned appoints Jack W. Callicutt and Joel Lewis and each of them, as proxies, each with the power of substitution, and authorizes each of them to represent and to vote, as designated on the reverse hereof, all of the shares of voting stock of Galectin Therapeutics Inc. held of record by the undersigned at the close of business on October 7, 2021 at the 2021 Annual Meeting of Stockholders to be held virtually via the internet at www.virtualshareholdermeeting.com/GALT2021 on December 3, 2021 at 11:00 a.m. Eastern Standard Time or at any adjournment thereof.</w:t>
      </w:r>
    </w:p>
    <w:p>
      <w:pPr>
        <w:spacing w:after="0" w:line="199" w:lineRule="exact"/>
        <w:rPr>
          <w:sz w:val="20"/>
          <w:szCs w:val="20"/>
          <w:color w:val="auto"/>
        </w:rPr>
      </w:pPr>
    </w:p>
    <w:p>
      <w:pPr>
        <w:ind w:left="580" w:right="1060"/>
        <w:spacing w:after="0" w:line="282" w:lineRule="auto"/>
        <w:rPr>
          <w:sz w:val="20"/>
          <w:szCs w:val="20"/>
          <w:color w:val="auto"/>
        </w:rPr>
      </w:pPr>
      <w:r>
        <w:rPr>
          <w:rFonts w:ascii="Arial" w:cs="Arial" w:eastAsia="Arial" w:hAnsi="Arial"/>
          <w:sz w:val="18"/>
          <w:szCs w:val="18"/>
          <w:b w:val="1"/>
          <w:bCs w:val="1"/>
          <w:color w:val="auto"/>
        </w:rPr>
        <w:t>THIS PROXY WILL BE VOTED AS DIRECTED. IF NO DIRECTION IS INDICATED FOR THE PROPOSALS, EACH PROPOSAL WILL BE VOTED “FOR”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(Continued and to be marked, dated and signed, on the other side)</w:t>
      </w:r>
    </w:p>
    <w:sectPr>
      <w:pgSz w:w="11900" w:h="16838" w:orient="portrait"/>
      <w:cols w:equalWidth="0" w:num="1">
        <w:col w:w="11060"/>
      </w:cols>
      <w:pgMar w:left="32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lvl w:ilvl="1">
      <w:lvlJc w:val="left"/>
      <w:lvlText w:val="(%2)"/>
      <w:numFmt w:val="decimal"/>
      <w:start w:val="1"/>
    </w:lvl>
  </w:abstractNum>
  <w:abstractNum w:abstractNumId="4">
    <w:nsid w:val="5577F8E1"/>
    <w:multiLevelType w:val="hybridMultilevel"/>
    <w:lvl w:ilvl="0">
      <w:lvlJc w:val="left"/>
      <w:lvlText w:val="(%1)"/>
      <w:numFmt w:val="decimal"/>
      <w:start w:val="2"/>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1)"/>
      <w:numFmt w:val="decimal"/>
      <w:start w:val="1"/>
    </w:lvl>
  </w:abstractNum>
  <w:abstractNum w:abstractNumId="12">
    <w:nsid w:val="5E884ADC"/>
    <w:multiLevelType w:val="hybridMultilevel"/>
    <w:lvl w:ilvl="0">
      <w:lvlJc w:val="left"/>
      <w:lvlText w:val="(%1)"/>
      <w:numFmt w:val="decimal"/>
      <w:start w:val="2"/>
    </w:lvl>
  </w:abstractNum>
  <w:abstractNum w:abstractNumId="13">
    <w:nsid w:val="51EAD36B"/>
    <w:multiLevelType w:val="hybridMultilevel"/>
    <w:lvl w:ilvl="0">
      <w:lvlJc w:val="left"/>
      <w:lvlText w:val="(%1)"/>
      <w:numFmt w:val="decimal"/>
      <w:start w:val="3"/>
    </w:lvl>
  </w:abstractNum>
  <w:abstractNum w:abstractNumId="14">
    <w:nsid w:val="2D517796"/>
    <w:multiLevelType w:val="hybridMultilevel"/>
    <w:lvl w:ilvl="0">
      <w:lvlJc w:val="left"/>
      <w:lvlText w:val="(%1)"/>
      <w:numFmt w:val="decimal"/>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1)"/>
      <w:numFmt w:val="decimal"/>
      <w:start w:val="1"/>
    </w:lvl>
  </w:abstractNum>
  <w:abstractNum w:abstractNumId="22">
    <w:nsid w:val="725A06FB"/>
    <w:multiLevelType w:val="hybridMultilevel"/>
    <w:lvl w:ilvl="0">
      <w:lvlJc w:val="left"/>
      <w:lvlText w:val="(%1)"/>
      <w:numFmt w:val="decimal"/>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lvl w:ilvl="1">
      <w:lvlJc w:val="left"/>
      <w:lvlText w:val="(%2)"/>
      <w:numFmt w:val="lowerRoman"/>
      <w:start w:val="1"/>
    </w:lvl>
  </w:abstractNum>
  <w:abstractNum w:abstractNumId="27">
    <w:nsid w:val="542289EC"/>
    <w:multiLevelType w:val="hybridMultilevel"/>
    <w:lvl w:ilvl="0">
      <w:lvlJc w:val="left"/>
      <w:lvlText w:val="(%1)"/>
      <w:numFmt w:val="lowerRoman"/>
      <w:start w:val="1"/>
    </w:lvl>
  </w:abstractNum>
  <w:abstractNum w:abstractNumId="28">
    <w:nsid w:val="6DE91B18"/>
    <w:multiLevelType w:val="hybridMultilevel"/>
    <w:lvl w:ilvl="0">
      <w:lvlJc w:val="left"/>
      <w:lvlText w:val="(%1)"/>
      <w:numFmt w:val="decimal"/>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decimal"/>
      <w:start w:val="775"/>
    </w:lvl>
  </w:abstractNum>
  <w:abstractNum w:abstractNumId="31">
    <w:nsid w:val="32FFF902"/>
    <w:multiLevelType w:val="hybridMultilevel"/>
    <w:lvl w:ilvl="0">
      <w:lvlJc w:val="left"/>
      <w:lvlText w:val="%1."/>
      <w:numFmt w:val="decimal"/>
      <w:start w:val="3"/>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lowerLetter"/>
      <w:start w:val="1"/>
    </w:lvl>
  </w:abstractNum>
  <w:abstractNum w:abstractNumId="34">
    <w:nsid w:val="749ABB43"/>
    <w:multiLevelType w:val="hybridMultilevel"/>
    <w:lvl w:ilvl="0">
      <w:lvlJc w:val="left"/>
      <w:lvlText w:val="(%1)"/>
      <w:numFmt w:val="lowerLetter"/>
      <w:start w:val="1"/>
    </w:lvl>
    <w:lvl w:ilvl="1">
      <w:lvlJc w:val="left"/>
      <w:lvlText w:val="(%2)"/>
      <w:numFmt w:val="lowerRoman"/>
      <w:start w:val="1"/>
    </w:lvl>
  </w:abstractNum>
  <w:abstractNum w:abstractNumId="35">
    <w:nsid w:val="3DC240FB"/>
    <w:multiLevelType w:val="hybridMultilevel"/>
    <w:lvl w:ilvl="0">
      <w:lvlJc w:val="left"/>
      <w:lvlText w:val="(%1)"/>
      <w:numFmt w:val="lowerLetter"/>
      <w:start w:val="2"/>
    </w:lvl>
  </w:abstractNum>
  <w:abstractNum w:abstractNumId="36">
    <w:nsid w:val="1BA026FA"/>
    <w:multiLevelType w:val="hybridMultilevel"/>
    <w:lvl w:ilvl="0">
      <w:lvlJc w:val="left"/>
      <w:lvlText w:val="(%1)"/>
      <w:numFmt w:val="lowerLetter"/>
      <w:start w:val="1"/>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1)"/>
      <w:numFmt w:val="lowerLetter"/>
      <w:start w:val="8"/>
    </w:lvl>
  </w:abstractNum>
  <w:abstractNum w:abstractNumId="39">
    <w:nsid w:val="12E685FB"/>
    <w:multiLevelType w:val="hybridMultilevel"/>
    <w:lvl w:ilvl="0">
      <w:lvlJc w:val="left"/>
      <w:lvlText w:val="%1"/>
      <w:numFmt w:val="lowerRoman"/>
      <w:start w:val="1"/>
    </w:lvl>
    <w:lvl w:ilvl="1">
      <w:lvlJc w:val="left"/>
      <w:lvlText w:val="(%2)"/>
      <w:numFmt w:val="lowerLetter"/>
      <w:start w:val="1"/>
    </w:lvl>
  </w:abstractNum>
  <w:abstractNum w:abstractNumId="40">
    <w:nsid w:val="70C6A529"/>
    <w:multiLevelType w:val="hybridMultilevel"/>
    <w:lvl w:ilvl="0">
      <w:lvlJc w:val="left"/>
      <w:lvlText w:val="(%1)"/>
      <w:numFmt w:val="lowerRoman"/>
      <w:start w:val="4"/>
    </w:lvl>
    <w:lvl w:ilvl="1">
      <w:lvlJc w:val="left"/>
      <w:lvlText w:val="(%2)"/>
      <w:numFmt w:val="lowerLetter"/>
      <w:start w:val="2"/>
    </w:lvl>
  </w:abstractNum>
  <w:abstractNum w:abstractNumId="41">
    <w:nsid w:val="520EEDD1"/>
    <w:multiLevelType w:val="hybridMultilevel"/>
    <w:lvl w:ilvl="0">
      <w:lvlJc w:val="left"/>
      <w:lvlText w:val="(%1)"/>
      <w:numFmt w:val="lowerLetter"/>
      <w:start w:val="4"/>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3"/>
    </w:lvl>
  </w:abstractNum>
  <w:abstractNum w:abstractNumId="48">
    <w:nsid w:val="1CF10FD8"/>
    <w:multiLevelType w:val="hybridMultilevel"/>
    <w:lvl w:ilvl="0">
      <w:lvlJc w:val="left"/>
      <w:lvlText w:val="(%1)"/>
      <w:numFmt w:val="lowerRoman"/>
      <w:start w:val="10"/>
    </w:lvl>
  </w:abstractNum>
  <w:abstractNum w:abstractNumId="49">
    <w:nsid w:val="180115BE"/>
    <w:multiLevelType w:val="hybridMultilevel"/>
    <w:lvl w:ilvl="0">
      <w:lvlJc w:val="left"/>
      <w:lvlText w:val="(%1)"/>
      <w:numFmt w:val="lowerLetter"/>
      <w:start w:val="1"/>
    </w:lvl>
  </w:abstractNum>
  <w:abstractNum w:abstractNumId="50">
    <w:nsid w:val="235BA861"/>
    <w:multiLevelType w:val="hybridMultilevel"/>
    <w:lvl w:ilvl="0">
      <w:lvlJc w:val="left"/>
      <w:lvlText w:val="(%1)"/>
      <w:numFmt w:val="lowerLetter"/>
      <w:start w:val="25"/>
    </w:lvl>
  </w:abstractNum>
  <w:abstractNum w:abstractNumId="51">
    <w:nsid w:val="47398C89"/>
    <w:multiLevelType w:val="hybridMultilevel"/>
    <w:lvl w:ilvl="0">
      <w:lvlJc w:val="left"/>
      <w:lvlText w:val="(%1)"/>
      <w:numFmt w:val="lowerLetter"/>
      <w:start w:val="1"/>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3"/>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1"/>
    </w:lvl>
    <w:lvl w:ilvl="1">
      <w:lvlJc w:val="left"/>
      <w:lvlText w:val="(%2)"/>
      <w:numFmt w:val="lowerLetter"/>
      <w:start w:val="9"/>
    </w:lvl>
  </w:abstractNum>
  <w:abstractNum w:abstractNumId="58">
    <w:nsid w:val="61574095"/>
    <w:multiLevelType w:val="hybridMultilevel"/>
    <w:lvl w:ilvl="0">
      <w:lvlJc w:val="left"/>
      <w:lvlText w:val="(%1)"/>
      <w:numFmt w:val="lowerRoman"/>
      <w:start w:val="2"/>
    </w:lvl>
  </w:abstractNum>
  <w:abstractNum w:abstractNumId="59">
    <w:nsid w:val="7E0C57B1"/>
    <w:multiLevelType w:val="hybridMultilevel"/>
    <w:lvl w:ilvl="0">
      <w:lvlJc w:val="left"/>
      <w:lvlText w:val="(%1)"/>
      <w:numFmt w:val="lowerLetter"/>
      <w:start w:val="2"/>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lowerLetter"/>
      <w:start w:val="2"/>
    </w:lvl>
  </w:abstractNum>
  <w:abstractNum w:abstractNumId="62">
    <w:nsid w:val="310C50B3"/>
    <w:multiLevelType w:val="hybridMultilevel"/>
    <w:lvl w:ilvl="0">
      <w:lvlJc w:val="left"/>
      <w:lvlText w:val="(%1)"/>
      <w:numFmt w:val="lowerLetter"/>
      <w:start w:val="2"/>
    </w:lvl>
  </w:abstractNum>
  <w:abstractNum w:abstractNumId="63">
    <w:nsid w:val="5FF87E05"/>
    <w:multiLevelType w:val="hybridMultilevel"/>
    <w:lvl w:ilvl="0">
      <w:lvlJc w:val="left"/>
      <w:lvlText w:val="%1)"/>
      <w:numFmt w:val="decimal"/>
      <w:start w:val="6"/>
    </w:lvl>
  </w:abstractNum>
  <w:abstractNum w:abstractNumId="64">
    <w:nsid w:val="2F305DE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2021-09-22T15:02:51Z</dcterms:created>
  <dcterms:modified xsi:type="dcterms:W3CDTF">2021-09-22T15:02:51Z</dcterms:modified>
</cp:coreProperties>
</file>