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43"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254000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1760" w:type="dxa"/>
        <w:tblCellMar>
          <w:top w:w="0" w:type="dxa"/>
          <w:left w:w="0" w:type="dxa"/>
          <w:bottom w:w="0" w:type="dxa"/>
          <w:right w:w="0" w:type="dxa"/>
        </w:tblCellMar>
      </w:tblPr>
      <w:tr>
        <w:trPr>
          <w:trHeight w:val="212"/>
        </w:trPr>
        <w:tc>
          <w:tcPr>
            <w:tcW w:w="5940" w:type="dxa"/>
            <w:vAlign w:val="bottom"/>
          </w:tcPr>
          <w:p>
            <w:pPr>
              <w:jc w:val="center"/>
              <w:ind w:right="3399"/>
              <w:spacing w:after="0"/>
              <w:rPr>
                <w:sz w:val="20"/>
                <w:szCs w:val="20"/>
                <w:color w:val="auto"/>
              </w:rPr>
            </w:pPr>
            <w:r>
              <w:rPr>
                <w:rFonts w:ascii="Arial" w:cs="Arial" w:eastAsia="Arial" w:hAnsi="Arial"/>
                <w:sz w:val="18"/>
                <w:szCs w:val="18"/>
                <w:b w:val="1"/>
                <w:bCs w:val="1"/>
                <w:color w:val="auto"/>
                <w:w w:val="90"/>
              </w:rPr>
              <w:t>Nevada</w:t>
            </w:r>
          </w:p>
        </w:tc>
        <w:tc>
          <w:tcPr>
            <w:tcW w:w="1420" w:type="dxa"/>
            <w:vAlign w:val="bottom"/>
          </w:tcPr>
          <w:p>
            <w:pPr>
              <w:jc w:val="right"/>
              <w:ind w:right="61"/>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5940" w:type="dxa"/>
            <w:vAlign w:val="bottom"/>
          </w:tcPr>
          <w:p>
            <w:pPr>
              <w:jc w:val="center"/>
              <w:ind w:right="34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2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5940" w:type="dxa"/>
            <w:vAlign w:val="bottom"/>
          </w:tcPr>
          <w:p>
            <w:pPr>
              <w:jc w:val="center"/>
              <w:ind w:right="3399"/>
              <w:spacing w:after="0"/>
              <w:rPr>
                <w:sz w:val="20"/>
                <w:szCs w:val="20"/>
                <w:color w:val="auto"/>
              </w:rPr>
            </w:pPr>
            <w:r>
              <w:rPr>
                <w:rFonts w:ascii="Arial" w:cs="Arial" w:eastAsia="Arial" w:hAnsi="Arial"/>
                <w:sz w:val="14"/>
                <w:szCs w:val="14"/>
                <w:b w:val="1"/>
                <w:bCs w:val="1"/>
                <w:color w:val="auto"/>
                <w:w w:val="94"/>
              </w:rPr>
              <w:t>of incorporation)</w:t>
            </w:r>
          </w:p>
        </w:tc>
        <w:tc>
          <w:tcPr>
            <w:tcW w:w="1420" w:type="dxa"/>
            <w:vAlign w:val="bottom"/>
          </w:tcPr>
          <w:p>
            <w:pPr>
              <w:jc w:val="center"/>
              <w:ind w:left="20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5940" w:type="dxa"/>
            <w:vAlign w:val="bottom"/>
          </w:tcPr>
          <w:p>
            <w:pPr>
              <w:jc w:val="center"/>
              <w:ind w:right="3399"/>
              <w:spacing w:after="0"/>
              <w:rPr>
                <w:sz w:val="20"/>
                <w:szCs w:val="20"/>
                <w:color w:val="auto"/>
              </w:rPr>
            </w:pPr>
            <w:r>
              <w:rPr>
                <w:rFonts w:ascii="Arial" w:cs="Arial" w:eastAsia="Arial" w:hAnsi="Arial"/>
                <w:sz w:val="18"/>
                <w:szCs w:val="18"/>
                <w:b w:val="1"/>
                <w:bCs w:val="1"/>
                <w:color w:val="auto"/>
                <w:w w:val="90"/>
              </w:rPr>
              <w:t>4960 Peachtree Industrial Blvd.,</w:t>
            </w:r>
          </w:p>
        </w:tc>
        <w:tc>
          <w:tcPr>
            <w:tcW w:w="1420" w:type="dxa"/>
            <w:vAlign w:val="bottom"/>
          </w:tcPr>
          <w:p>
            <w:pPr>
              <w:spacing w:after="0"/>
              <w:rPr>
                <w:sz w:val="24"/>
                <w:szCs w:val="24"/>
                <w:color w:val="auto"/>
              </w:rPr>
            </w:pPr>
          </w:p>
        </w:tc>
      </w:tr>
      <w:tr>
        <w:trPr>
          <w:trHeight w:val="225"/>
        </w:trPr>
        <w:tc>
          <w:tcPr>
            <w:tcW w:w="5940" w:type="dxa"/>
            <w:vAlign w:val="bottom"/>
          </w:tcPr>
          <w:p>
            <w:pPr>
              <w:jc w:val="center"/>
              <w:ind w:right="3419"/>
              <w:spacing w:after="0"/>
              <w:rPr>
                <w:sz w:val="20"/>
                <w:szCs w:val="20"/>
                <w:color w:val="auto"/>
              </w:rPr>
            </w:pPr>
            <w:r>
              <w:rPr>
                <w:rFonts w:ascii="Arial" w:cs="Arial" w:eastAsia="Arial" w:hAnsi="Arial"/>
                <w:sz w:val="18"/>
                <w:szCs w:val="18"/>
                <w:b w:val="1"/>
                <w:bCs w:val="1"/>
                <w:color w:val="auto"/>
                <w:w w:val="89"/>
              </w:rPr>
              <w:t>Suite 240, Norcross, GA</w:t>
            </w:r>
          </w:p>
        </w:tc>
        <w:tc>
          <w:tcPr>
            <w:tcW w:w="142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5940" w:type="dxa"/>
            <w:vAlign w:val="bottom"/>
          </w:tcPr>
          <w:p>
            <w:pPr>
              <w:jc w:val="center"/>
              <w:ind w:right="33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20" w:type="dxa"/>
            <w:vAlign w:val="bottom"/>
          </w:tcPr>
          <w:p>
            <w:pPr>
              <w:jc w:val="center"/>
              <w:ind w:left="20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5940" w:type="dxa"/>
            <w:vAlign w:val="bottom"/>
          </w:tcPr>
          <w:p>
            <w:pPr>
              <w:jc w:val="right"/>
              <w:ind w:right="1339"/>
              <w:spacing w:after="0"/>
              <w:rPr>
                <w:sz w:val="20"/>
                <w:szCs w:val="20"/>
                <w:color w:val="auto"/>
              </w:rPr>
            </w:pPr>
            <w:r>
              <w:rPr>
                <w:rFonts w:ascii="Arial" w:cs="Arial" w:eastAsia="Arial" w:hAnsi="Arial"/>
                <w:sz w:val="18"/>
                <w:szCs w:val="18"/>
                <w:b w:val="1"/>
                <w:bCs w:val="1"/>
                <w:color w:val="auto"/>
              </w:rPr>
              <w:t>(678) 620-3186</w:t>
            </w:r>
          </w:p>
        </w:tc>
        <w:tc>
          <w:tcPr>
            <w:tcW w:w="1420" w:type="dxa"/>
            <w:vAlign w:val="bottom"/>
          </w:tcPr>
          <w:p>
            <w:pPr>
              <w:spacing w:after="0"/>
              <w:rPr>
                <w:sz w:val="24"/>
                <w:szCs w:val="24"/>
                <w:color w:val="auto"/>
              </w:rPr>
            </w:pPr>
          </w:p>
        </w:tc>
      </w:tr>
      <w:tr>
        <w:trPr>
          <w:trHeight w:val="186"/>
        </w:trPr>
        <w:tc>
          <w:tcPr>
            <w:tcW w:w="5940" w:type="dxa"/>
            <w:vAlign w:val="bottom"/>
          </w:tcPr>
          <w:p>
            <w:pPr>
              <w:jc w:val="center"/>
              <w:ind w:left="189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213360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35" w:lineRule="exact"/>
        <w:rPr>
          <w:sz w:val="24"/>
          <w:szCs w:val="24"/>
          <w:color w:val="auto"/>
        </w:rPr>
      </w:pPr>
    </w:p>
    <w:tbl>
      <w:tblPr>
        <w:tblLayout w:type="fixed"/>
        <w:tblInd w:w="2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GALT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Nasdaq</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200"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20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200"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300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300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6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82" w:lineRule="exact"/>
        <w:rPr>
          <w:sz w:val="24"/>
          <w:szCs w:val="24"/>
          <w:color w:val="auto"/>
        </w:rPr>
      </w:pPr>
    </w:p>
    <w:p>
      <w:pPr>
        <w:ind w:left="200"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00"/>
        <w:spacing w:after="0" w:line="207" w:lineRule="exact"/>
        <w:tabs>
          <w:tab w:leader="none" w:pos="85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The number of shares outstanding of the registrant’s common stock as of August 6, 2019 was 56,631,304.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160655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203835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275"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FOR THE QUARTER ENDED JUNE 30, 2019</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0" w:type="dxa"/>
            <w:vAlign w:val="bottom"/>
            <w:gridSpan w:val="14"/>
            <w:vMerge w:val="restart"/>
          </w:tcPr>
          <w:p>
            <w:pPr>
              <w:jc w:val="center"/>
              <w:ind w:right="2760"/>
              <w:spacing w:after="0"/>
              <w:rPr>
                <w:sz w:val="20"/>
                <w:szCs w:val="20"/>
                <w:color w:val="auto"/>
              </w:rPr>
            </w:pPr>
            <w:r>
              <w:rPr>
                <w:rFonts w:ascii="Arial" w:cs="Arial" w:eastAsia="Arial" w:hAnsi="Arial"/>
                <w:sz w:val="18"/>
                <w:szCs w:val="18"/>
                <w:b w:val="1"/>
                <w:bCs w:val="1"/>
                <w:color w:val="0000EE"/>
              </w:rPr>
              <w:t>PART I — FINANCIAL INFORMATION</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0" w:type="dxa"/>
            <w:vAlign w:val="bottom"/>
            <w:gridSpan w:val="14"/>
            <w:vMerge w:val="continue"/>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80" w:type="dxa"/>
            <w:vAlign w:val="bottom"/>
            <w:gridSpan w:val="22"/>
          </w:tcPr>
          <w:p>
            <w:pPr>
              <w:spacing w:after="0"/>
              <w:rPr>
                <w:sz w:val="20"/>
                <w:szCs w:val="20"/>
                <w:color w:val="auto"/>
              </w:rPr>
            </w:pPr>
            <w:r>
              <w:rPr>
                <w:rFonts w:ascii="Arial" w:cs="Arial" w:eastAsia="Arial" w:hAnsi="Arial"/>
                <w:sz w:val="18"/>
                <w:szCs w:val="18"/>
                <w:color w:val="0000EE"/>
              </w:rPr>
              <w:t>Unaudited Condensed Consolidated Financial Statements (unaudited)</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2019 and December 31, 2018</w:t>
              </w:r>
            </w:hyperlink>
          </w:p>
        </w:tc>
        <w:tc>
          <w:tcPr>
            <w:tcW w:w="2580" w:type="dxa"/>
            <w:vAlign w:val="bottom"/>
            <w:gridSpan w:val="5"/>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780" w:type="dxa"/>
            <w:vAlign w:val="bottom"/>
            <w:gridSpan w:val="22"/>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Operations for the Three and Six Months Ended June 30, 2019 and 2018</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00" w:type="dxa"/>
            <w:vAlign w:val="bottom"/>
            <w:tcBorders>
              <w:top w:val="single" w:sz="8" w:color="0000EE"/>
            </w:tcBorders>
            <w:gridSpan w:val="20"/>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Cash Flows for the Six Months Ended June 30, 2019 and 2018</w:t>
              </w:r>
            </w:hyperlink>
          </w:p>
        </w:tc>
        <w:tc>
          <w:tcPr>
            <w:tcW w:w="680" w:type="dxa"/>
            <w:vAlign w:val="bottom"/>
            <w:gridSpan w:val="2"/>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6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Changes in Redeemable Convertible Preferred Stock and Stockholders’ Equity</w:t>
              </w:r>
            </w:hyperlink>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(Deficit) for the Three Months and Six Months ended June 30, 2019 and 2018</w:t>
              </w:r>
            </w:hyperlink>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Condensed Consolidated Financial Statements</w:t>
              </w:r>
            </w:hyperlink>
          </w:p>
        </w:tc>
        <w:tc>
          <w:tcPr>
            <w:tcW w:w="3980" w:type="dxa"/>
            <w:vAlign w:val="bottom"/>
            <w:gridSpan w:val="10"/>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14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780" w:type="dxa"/>
            <w:vAlign w:val="bottom"/>
            <w:gridSpan w:val="22"/>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4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8"/>
          </w:tcPr>
          <w:p>
            <w:pPr>
              <w:spacing w:after="0"/>
              <w:rPr>
                <w:sz w:val="24"/>
                <w:szCs w:val="24"/>
                <w:color w:val="auto"/>
              </w:rPr>
            </w:pPr>
          </w:p>
        </w:tc>
        <w:tc>
          <w:tcPr>
            <w:tcW w:w="2320" w:type="dxa"/>
            <w:vAlign w:val="bottom"/>
            <w:gridSpan w:val="4"/>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4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780" w:type="dxa"/>
            <w:vAlign w:val="bottom"/>
            <w:gridSpan w:val="2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0" w:type="dxa"/>
            <w:vAlign w:val="bottom"/>
            <w:gridSpan w:val="14"/>
          </w:tcPr>
          <w:p>
            <w:pPr>
              <w:jc w:val="center"/>
              <w:ind w:right="2740"/>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940" w:type="dxa"/>
            <w:vAlign w:val="bottom"/>
            <w:gridSpan w:val="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2940" w:type="dxa"/>
            <w:vAlign w:val="bottom"/>
            <w:tcBorders>
              <w:top w:val="single" w:sz="8" w:color="0000EE"/>
            </w:tcBorders>
            <w:gridSpan w:val="6"/>
          </w:tcPr>
          <w:p>
            <w:pPr>
              <w:spacing w:after="0"/>
              <w:rPr>
                <w:sz w:val="24"/>
                <w:szCs w:val="24"/>
                <w:color w:val="auto"/>
              </w:rPr>
            </w:pPr>
          </w:p>
        </w:tc>
        <w:tc>
          <w:tcPr>
            <w:tcW w:w="2900" w:type="dxa"/>
            <w:vAlign w:val="bottom"/>
            <w:gridSpan w:val="7"/>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4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7440" w:type="dxa"/>
            <w:vAlign w:val="bottom"/>
            <w:gridSpan w:val="17"/>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4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Unregistered Sales of Equity Securities and Use of Proceeds</w:t>
              </w:r>
            </w:hyperlink>
          </w:p>
        </w:tc>
        <w:tc>
          <w:tcPr>
            <w:tcW w:w="4420" w:type="dxa"/>
            <w:vAlign w:val="bottom"/>
            <w:gridSpan w:val="11"/>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4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Defaults Upon Senior Securities</w:t>
              </w:r>
            </w:hyperlink>
          </w:p>
        </w:tc>
        <w:tc>
          <w:tcPr>
            <w:tcW w:w="6440" w:type="dxa"/>
            <w:vAlign w:val="bottom"/>
            <w:gridSpan w:val="15"/>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4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Mine Safety Disclosures</w:t>
              </w:r>
            </w:hyperlink>
          </w:p>
        </w:tc>
        <w:tc>
          <w:tcPr>
            <w:tcW w:w="7000" w:type="dxa"/>
            <w:vAlign w:val="bottom"/>
            <w:gridSpan w:val="16"/>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4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780" w:type="dxa"/>
            <w:vAlign w:val="bottom"/>
            <w:gridSpan w:val="2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4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7460" w:type="dxa"/>
            <w:vAlign w:val="bottom"/>
            <w:gridSpan w:val="18"/>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400" w:type="dxa"/>
            <w:vAlign w:val="bottom"/>
            <w:gridSpan w:val="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240" w:top="459" w:right="6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June 30,</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5"/>
          </w:tcPr>
          <w:p>
            <w:pPr>
              <w:jc w:val="right"/>
              <w:ind w:right="471"/>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52,043</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53,012</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9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00" w:type="dxa"/>
            <w:vAlign w:val="bottom"/>
          </w:tcPr>
          <w:p>
            <w:pPr>
              <w:ind w:left="160"/>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396</w:t>
            </w:r>
          </w:p>
        </w:tc>
        <w:tc>
          <w:tcPr>
            <w:tcW w:w="2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Series C super dividend redeemable convertible preferred stock; 1,000 shares authorized, 176 shares issued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outstanding at June 30, 2019 and December 31, 2018, redemption value: $8,758,000, liquidation value: $1,760,000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 June 30, 2019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3"/>
              </w:rPr>
              <w:t>Undesignated stock, $0.01 par value; 20,000,000 shares authorized, 20,000,000 designated at June 30, 2019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and December 31, 2018,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tcPr>
          <w:p>
            <w:pPr>
              <w:ind w:left="700"/>
              <w:spacing w:after="0" w:line="201" w:lineRule="exact"/>
              <w:rPr>
                <w:sz w:val="20"/>
                <w:szCs w:val="20"/>
                <w:color w:val="auto"/>
              </w:rPr>
            </w:pPr>
            <w:r>
              <w:rPr>
                <w:rFonts w:ascii="Arial" w:cs="Arial" w:eastAsia="Arial" w:hAnsi="Arial"/>
                <w:sz w:val="18"/>
                <w:szCs w:val="18"/>
                <w:color w:val="auto"/>
                <w:w w:val="94"/>
              </w:rPr>
              <w:t>Series A 12% convertible preferred stock; 1,742,500 shares authorized, 1,327,500 issued and outstanding at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880"/>
              <w:spacing w:after="0"/>
              <w:rPr>
                <w:sz w:val="20"/>
                <w:szCs w:val="20"/>
                <w:color w:val="auto"/>
              </w:rPr>
            </w:pPr>
            <w:r>
              <w:rPr>
                <w:rFonts w:ascii="Arial" w:cs="Arial" w:eastAsia="Arial" w:hAnsi="Arial"/>
                <w:sz w:val="18"/>
                <w:szCs w:val="18"/>
                <w:color w:val="auto"/>
              </w:rPr>
              <w:t>June 30, 2019 and December 31, 2018, liquidation value $1,327,500 at June 30, 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Series B-1 12% convertible preferred stock; 900,000 shares authorized, 0 and 900,000 issued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outstanding at June 30, 2019 and December 31, 2018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tcPr>
          <w:p>
            <w:pPr>
              <w:ind w:left="700"/>
              <w:spacing w:after="0" w:line="201" w:lineRule="exact"/>
              <w:rPr>
                <w:sz w:val="20"/>
                <w:szCs w:val="20"/>
                <w:color w:val="auto"/>
              </w:rPr>
            </w:pPr>
            <w:r>
              <w:rPr>
                <w:rFonts w:ascii="Arial" w:cs="Arial" w:eastAsia="Arial" w:hAnsi="Arial"/>
                <w:sz w:val="18"/>
                <w:szCs w:val="18"/>
                <w:color w:val="auto"/>
              </w:rPr>
              <w:t>Series B-2 12% convertible preferred stock; 2,100,000 shares authorized, 0 and 2,100,000 issued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880"/>
              <w:spacing w:after="0"/>
              <w:rPr>
                <w:sz w:val="20"/>
                <w:szCs w:val="20"/>
                <w:color w:val="auto"/>
              </w:rPr>
            </w:pPr>
            <w:r>
              <w:rPr>
                <w:rFonts w:ascii="Arial" w:cs="Arial" w:eastAsia="Arial" w:hAnsi="Arial"/>
                <w:sz w:val="18"/>
                <w:szCs w:val="18"/>
                <w:color w:val="auto"/>
              </w:rPr>
              <w:t>outstanding at June 30, 2019 and December 31, 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Series B-3 8% convertible preferred stock; 2,508,000 shares authorized, 0 and 2,508,000 issued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outstanding at June 30, 2019 and December 31, 2018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tcPr>
          <w:p>
            <w:pPr>
              <w:ind w:left="700"/>
              <w:spacing w:after="0" w:line="201" w:lineRule="exact"/>
              <w:rPr>
                <w:sz w:val="20"/>
                <w:szCs w:val="20"/>
                <w:color w:val="auto"/>
              </w:rPr>
            </w:pPr>
            <w:r>
              <w:rPr>
                <w:rFonts w:ascii="Arial" w:cs="Arial" w:eastAsia="Arial" w:hAnsi="Arial"/>
                <w:sz w:val="18"/>
                <w:szCs w:val="18"/>
                <w:color w:val="auto"/>
                <w:w w:val="94"/>
              </w:rPr>
              <w:t>Common stock, $0.001 par value; 100,000,000 shares authorized at June 30, 2019 and December 31, 2018,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880"/>
              <w:spacing w:after="0"/>
              <w:rPr>
                <w:sz w:val="20"/>
                <w:szCs w:val="20"/>
                <w:color w:val="auto"/>
              </w:rPr>
            </w:pPr>
            <w:r>
              <w:rPr>
                <w:rFonts w:ascii="Arial" w:cs="Arial" w:eastAsia="Arial" w:hAnsi="Arial"/>
                <w:sz w:val="18"/>
                <w:szCs w:val="18"/>
                <w:color w:val="auto"/>
                <w:w w:val="93"/>
              </w:rPr>
              <w:t>56,591,278 and 41,190,905 issued and outstanding at June 30, 2019 and December 31, 2018,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257,678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700"/>
              <w:spacing w:after="0"/>
              <w:rPr>
                <w:sz w:val="20"/>
                <w:szCs w:val="20"/>
                <w:color w:val="auto"/>
              </w:rPr>
            </w:pPr>
            <w:r>
              <w:rPr>
                <w:rFonts w:ascii="Arial" w:cs="Arial" w:eastAsia="Arial" w:hAnsi="Arial"/>
                <w:sz w:val="18"/>
                <w:szCs w:val="18"/>
                <w:color w:val="auto"/>
              </w:rPr>
              <w:t>Retained 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(208,373)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(196,215)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left="454"/>
              <w:spacing w:after="0"/>
              <w:rPr>
                <w:sz w:val="20"/>
                <w:szCs w:val="20"/>
                <w:color w:val="auto"/>
              </w:rPr>
            </w:pPr>
            <w:r>
              <w:rPr>
                <w:rFonts w:ascii="Arial" w:cs="Arial" w:eastAsia="Arial" w:hAnsi="Arial"/>
                <w:sz w:val="14"/>
                <w:szCs w:val="14"/>
                <w:b w:val="1"/>
                <w:bCs w:val="1"/>
                <w:color w:val="auto"/>
                <w:w w:val="93"/>
              </w:rPr>
              <w:t>Six Months Ended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493"/>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left="454"/>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5"/>
          </w:tcPr>
          <w:p>
            <w:pPr>
              <w:jc w:val="center"/>
              <w:ind w:right="11"/>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64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1,522</w:t>
            </w:r>
          </w:p>
        </w:tc>
        <w:tc>
          <w:tcPr>
            <w:tcW w:w="240" w:type="dxa"/>
            <w:vAlign w:val="bottom"/>
          </w:tcPr>
          <w:p>
            <w:pPr>
              <w:spacing w:after="0"/>
              <w:rPr>
                <w:sz w:val="18"/>
                <w:szCs w:val="18"/>
                <w:color w:val="auto"/>
              </w:rPr>
            </w:pP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1,476</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2,168</w:t>
            </w:r>
          </w:p>
        </w:tc>
        <w:tc>
          <w:tcPr>
            <w:tcW w:w="220" w:type="dxa"/>
            <w:vAlign w:val="bottom"/>
          </w:tcPr>
          <w:p>
            <w:pPr>
              <w:spacing w:after="0"/>
              <w:rPr>
                <w:sz w:val="18"/>
                <w:szCs w:val="18"/>
                <w:color w:val="auto"/>
              </w:rPr>
            </w:pPr>
          </w:p>
        </w:tc>
        <w:tc>
          <w:tcPr>
            <w:tcW w:w="5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loss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(5,387)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(7,937)</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4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Warrant modification (Note 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(6,622)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64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(3,065)</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(12,158)</w:t>
            </w:r>
          </w:p>
        </w:tc>
        <w:tc>
          <w:tcPr>
            <w:tcW w:w="5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(8,651)</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common shares outstanding — basic and diluted</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Six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5"/>
          </w:tcPr>
          <w:p>
            <w:pPr>
              <w:jc w:val="right"/>
              <w:ind w:right="171"/>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(5,373)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(8,098)</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Payment of preferred stock dividends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Amortization of right to use lease asset</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Issuance of common stock for services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Non-cash interest expense</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Prepaid expenses and other assets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(1,532)</w:t>
            </w:r>
          </w:p>
        </w:tc>
      </w:tr>
      <w:tr>
        <w:trPr>
          <w:trHeight w:val="230"/>
        </w:trPr>
        <w:tc>
          <w:tcPr>
            <w:tcW w:w="20" w:type="dxa"/>
            <w:vAlign w:val="bottom"/>
          </w:tcPr>
          <w:p>
            <w:pPr>
              <w:spacing w:after="0"/>
              <w:rPr>
                <w:sz w:val="20"/>
                <w:szCs w:val="20"/>
                <w:color w:val="auto"/>
              </w:rPr>
            </w:pPr>
          </w:p>
        </w:tc>
        <w:tc>
          <w:tcPr>
            <w:tcW w:w="7680" w:type="dxa"/>
            <w:vAlign w:val="bottom"/>
          </w:tcPr>
          <w:p>
            <w:pPr>
              <w:ind w:left="1420"/>
              <w:spacing w:after="0"/>
              <w:rPr>
                <w:sz w:val="20"/>
                <w:szCs w:val="20"/>
                <w:color w:val="auto"/>
              </w:rPr>
            </w:pPr>
            <w:r>
              <w:rPr>
                <w:rFonts w:ascii="Arial" w:cs="Arial" w:eastAsia="Arial" w:hAnsi="Arial"/>
                <w:sz w:val="18"/>
                <w:szCs w:val="18"/>
                <w:color w:val="auto"/>
              </w:rPr>
              <w:t>Net cash from operating activities</w:t>
            </w:r>
          </w:p>
        </w:tc>
        <w:tc>
          <w:tcPr>
            <w:tcW w:w="18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(5,614)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(6,595)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Net proceeds from issuance of common stock and warrants</w:t>
            </w: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49,404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14,039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flows from financing activities</w:t>
            </w:r>
          </w:p>
        </w:tc>
        <w:tc>
          <w:tcPr>
            <w:tcW w:w="1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49,404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14,039</w:t>
            </w:r>
          </w:p>
        </w:tc>
        <w:tc>
          <w:tcPr>
            <w:tcW w:w="120" w:type="dxa"/>
            <w:vAlign w:val="bottom"/>
            <w:shd w:val="clear" w:color="auto" w:fill="CCEEFF"/>
          </w:tcPr>
          <w:p>
            <w:pPr>
              <w:spacing w:after="0"/>
              <w:rPr>
                <w:sz w:val="18"/>
                <w:szCs w:val="18"/>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43,790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7,444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20" w:type="dxa"/>
            <w:vAlign w:val="bottom"/>
            <w:shd w:val="clear" w:color="auto" w:fill="CCEEFF"/>
          </w:tcPr>
          <w:p>
            <w:pPr>
              <w:spacing w:after="0"/>
              <w:rPr>
                <w:sz w:val="18"/>
                <w:szCs w:val="18"/>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8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52,043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10,497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Payment of preferred stock dividends in common stock</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STOCKHOLDERS’ EQUITY (DEFICIT) (UNAUDITED)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6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Series C Super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6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Dividend Redeemable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6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Number of</w:t>
            </w:r>
          </w:p>
        </w:tc>
        <w:tc>
          <w:tcPr>
            <w:tcW w:w="380" w:type="dxa"/>
            <w:vAlign w:val="bottom"/>
          </w:tcPr>
          <w:p>
            <w:pPr>
              <w:spacing w:after="0"/>
              <w:rPr>
                <w:sz w:val="10"/>
                <w:szCs w:val="10"/>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80" w:type="dxa"/>
            <w:vAlign w:val="bottom"/>
          </w:tcPr>
          <w:p>
            <w:pPr>
              <w:jc w:val="right"/>
              <w:ind w:right="63"/>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5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3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2018</w:t>
            </w:r>
          </w:p>
        </w:tc>
        <w:tc>
          <w:tcPr>
            <w:tcW w:w="55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38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6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2019</w:t>
            </w:r>
          </w:p>
        </w:tc>
        <w:tc>
          <w:tcPr>
            <w:tcW w:w="55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3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520" w:type="dxa"/>
            <w:vAlign w:val="bottom"/>
            <w:vMerge w:val="restart"/>
          </w:tcPr>
          <w:p>
            <w:pPr>
              <w:jc w:val="right"/>
              <w:ind w:right="3750"/>
              <w:spacing w:after="0"/>
              <w:rPr>
                <w:sz w:val="20"/>
                <w:szCs w:val="20"/>
                <w:color w:val="auto"/>
              </w:rPr>
            </w:pPr>
            <w:r>
              <w:rPr>
                <w:rFonts w:ascii="Arial" w:cs="Arial" w:eastAsia="Arial" w:hAnsi="Arial"/>
                <w:sz w:val="18"/>
                <w:szCs w:val="18"/>
                <w:color w:val="auto"/>
              </w:rPr>
              <w:t>6</w:t>
            </w: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200" w:right="300"/>
        <w:spacing w:after="0" w:line="250"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 — (Continued)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Three Months Ended June 30, 2019 and 2018</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920" w:type="dxa"/>
            <w:vAlign w:val="bottom"/>
            <w:gridSpan w:val="4"/>
          </w:tcPr>
          <w:p>
            <w:pPr>
              <w:jc w:val="center"/>
              <w:ind w:left="142"/>
              <w:spacing w:after="0"/>
              <w:rPr>
                <w:sz w:val="20"/>
                <w:szCs w:val="20"/>
                <w:color w:val="auto"/>
              </w:rPr>
            </w:pPr>
            <w:r>
              <w:rPr>
                <w:rFonts w:ascii="Arial" w:cs="Arial" w:eastAsia="Arial" w:hAnsi="Arial"/>
                <w:sz w:val="11"/>
                <w:szCs w:val="11"/>
                <w:b w:val="1"/>
                <w:bCs w:val="1"/>
                <w:color w:val="auto"/>
                <w:w w:val="92"/>
              </w:rPr>
              <w:t>Series A 12%</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4"/>
          </w:tcPr>
          <w:p>
            <w:pPr>
              <w:jc w:val="center"/>
              <w:spacing w:after="0"/>
              <w:rPr>
                <w:sz w:val="20"/>
                <w:szCs w:val="20"/>
                <w:color w:val="auto"/>
              </w:rPr>
            </w:pPr>
            <w:r>
              <w:rPr>
                <w:rFonts w:ascii="Arial" w:cs="Arial" w:eastAsia="Arial" w:hAnsi="Arial"/>
                <w:sz w:val="11"/>
                <w:szCs w:val="11"/>
                <w:b w:val="1"/>
                <w:bCs w:val="1"/>
                <w:color w:val="auto"/>
                <w:w w:val="88"/>
              </w:rPr>
              <w:t>Series B-1 12%</w:t>
            </w:r>
          </w:p>
        </w:tc>
        <w:tc>
          <w:tcPr>
            <w:tcW w:w="140" w:type="dxa"/>
            <w:vAlign w:val="bottom"/>
          </w:tcPr>
          <w:p>
            <w:pPr>
              <w:spacing w:after="0"/>
              <w:rPr>
                <w:sz w:val="10"/>
                <w:szCs w:val="10"/>
                <w:color w:val="auto"/>
              </w:rPr>
            </w:pPr>
          </w:p>
        </w:tc>
        <w:tc>
          <w:tcPr>
            <w:tcW w:w="1100" w:type="dxa"/>
            <w:vAlign w:val="bottom"/>
            <w:gridSpan w:val="4"/>
          </w:tcPr>
          <w:p>
            <w:pPr>
              <w:jc w:val="center"/>
              <w:spacing w:after="0"/>
              <w:rPr>
                <w:sz w:val="20"/>
                <w:szCs w:val="20"/>
                <w:color w:val="auto"/>
              </w:rPr>
            </w:pPr>
            <w:r>
              <w:rPr>
                <w:rFonts w:ascii="Arial" w:cs="Arial" w:eastAsia="Arial" w:hAnsi="Arial"/>
                <w:sz w:val="11"/>
                <w:szCs w:val="11"/>
                <w:b w:val="1"/>
                <w:bCs w:val="1"/>
                <w:color w:val="auto"/>
                <w:w w:val="88"/>
              </w:rPr>
              <w:t>Series B-2 12%</w:t>
            </w:r>
          </w:p>
        </w:tc>
        <w:tc>
          <w:tcPr>
            <w:tcW w:w="160" w:type="dxa"/>
            <w:vAlign w:val="bottom"/>
          </w:tcPr>
          <w:p>
            <w:pPr>
              <w:spacing w:after="0"/>
              <w:rPr>
                <w:sz w:val="10"/>
                <w:szCs w:val="10"/>
                <w:color w:val="auto"/>
              </w:rPr>
            </w:pPr>
          </w:p>
        </w:tc>
        <w:tc>
          <w:tcPr>
            <w:tcW w:w="1080" w:type="dxa"/>
            <w:vAlign w:val="bottom"/>
            <w:gridSpan w:val="4"/>
          </w:tcPr>
          <w:p>
            <w:pPr>
              <w:jc w:val="center"/>
              <w:spacing w:after="0"/>
              <w:rPr>
                <w:sz w:val="20"/>
                <w:szCs w:val="20"/>
                <w:color w:val="auto"/>
              </w:rPr>
            </w:pPr>
            <w:r>
              <w:rPr>
                <w:rFonts w:ascii="Arial" w:cs="Arial" w:eastAsia="Arial" w:hAnsi="Arial"/>
                <w:sz w:val="11"/>
                <w:szCs w:val="11"/>
                <w:b w:val="1"/>
                <w:bCs w:val="1"/>
                <w:color w:val="auto"/>
                <w:w w:val="90"/>
              </w:rPr>
              <w:t>Series B-3 8%</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920" w:type="dxa"/>
            <w:vAlign w:val="bottom"/>
            <w:gridSpan w:val="4"/>
          </w:tcPr>
          <w:p>
            <w:pPr>
              <w:jc w:val="center"/>
              <w:ind w:left="142"/>
              <w:spacing w:after="0" w:line="122" w:lineRule="exact"/>
              <w:rPr>
                <w:sz w:val="20"/>
                <w:szCs w:val="20"/>
                <w:color w:val="auto"/>
              </w:rPr>
            </w:pPr>
            <w:r>
              <w:rPr>
                <w:rFonts w:ascii="Arial" w:cs="Arial" w:eastAsia="Arial" w:hAnsi="Arial"/>
                <w:sz w:val="11"/>
                <w:szCs w:val="11"/>
                <w:b w:val="1"/>
                <w:bCs w:val="1"/>
                <w:color w:val="auto"/>
                <w:w w:val="92"/>
              </w:rPr>
              <w:t>Convertible</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40" w:type="dxa"/>
            <w:vAlign w:val="bottom"/>
          </w:tcPr>
          <w:p>
            <w:pPr>
              <w:spacing w:after="0"/>
              <w:rPr>
                <w:sz w:val="10"/>
                <w:szCs w:val="10"/>
                <w:color w:val="auto"/>
              </w:rPr>
            </w:pPr>
          </w:p>
        </w:tc>
        <w:tc>
          <w:tcPr>
            <w:tcW w:w="110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60" w:type="dxa"/>
            <w:vAlign w:val="bottom"/>
          </w:tcPr>
          <w:p>
            <w:pPr>
              <w:spacing w:after="0"/>
              <w:rPr>
                <w:sz w:val="10"/>
                <w:szCs w:val="10"/>
                <w:color w:val="auto"/>
              </w:rPr>
            </w:pPr>
          </w:p>
        </w:tc>
        <w:tc>
          <w:tcPr>
            <w:tcW w:w="108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920" w:type="dxa"/>
            <w:vAlign w:val="bottom"/>
            <w:tcBorders>
              <w:bottom w:val="single" w:sz="8" w:color="auto"/>
            </w:tcBorders>
            <w:gridSpan w:val="4"/>
          </w:tcPr>
          <w:p>
            <w:pPr>
              <w:jc w:val="center"/>
              <w:ind w:left="142"/>
              <w:spacing w:after="0"/>
              <w:rPr>
                <w:sz w:val="20"/>
                <w:szCs w:val="20"/>
                <w:color w:val="auto"/>
              </w:rPr>
            </w:pPr>
            <w:r>
              <w:rPr>
                <w:rFonts w:ascii="Arial" w:cs="Arial" w:eastAsia="Arial" w:hAnsi="Arial"/>
                <w:sz w:val="11"/>
                <w:szCs w:val="11"/>
                <w:b w:val="1"/>
                <w:bCs w:val="1"/>
                <w:color w:val="auto"/>
                <w:w w:val="87"/>
              </w:rPr>
              <w:t>Preferred Stock</w:t>
            </w:r>
          </w:p>
        </w:tc>
        <w:tc>
          <w:tcPr>
            <w:tcW w:w="2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140" w:type="dxa"/>
            <w:vAlign w:val="bottom"/>
          </w:tcPr>
          <w:p>
            <w:pPr>
              <w:spacing w:after="0"/>
              <w:rPr>
                <w:sz w:val="11"/>
                <w:szCs w:val="11"/>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160" w:type="dxa"/>
            <w:vAlign w:val="bottom"/>
          </w:tcPr>
          <w:p>
            <w:pPr>
              <w:spacing w:after="0"/>
              <w:rPr>
                <w:sz w:val="11"/>
                <w:szCs w:val="11"/>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160" w:type="dxa"/>
            <w:vAlign w:val="bottom"/>
          </w:tcPr>
          <w:p>
            <w:pPr>
              <w:spacing w:after="0"/>
              <w:rPr>
                <w:sz w:val="11"/>
                <w:szCs w:val="11"/>
                <w:color w:val="auto"/>
              </w:rPr>
            </w:pPr>
          </w:p>
        </w:tc>
        <w:tc>
          <w:tcPr>
            <w:tcW w:w="96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ind w:left="40"/>
              <w:spacing w:after="0" w:line="122" w:lineRule="exact"/>
              <w:rPr>
                <w:sz w:val="20"/>
                <w:szCs w:val="20"/>
                <w:color w:val="auto"/>
              </w:rPr>
            </w:pPr>
            <w:r>
              <w:rPr>
                <w:rFonts w:ascii="Arial" w:cs="Arial" w:eastAsia="Arial" w:hAnsi="Arial"/>
                <w:sz w:val="11"/>
                <w:szCs w:val="11"/>
                <w:b w:val="1"/>
                <w:bCs w:val="1"/>
                <w:color w:val="auto"/>
                <w:w w:val="96"/>
              </w:rPr>
              <w:t>Number</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Number</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Number</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Number</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6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76"/>
              </w:rPr>
              <w:t>of</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76"/>
              </w:rPr>
              <w:t>of</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76"/>
              </w:rPr>
              <w:t>of</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76"/>
              </w:rPr>
              <w:t>of</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of</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ind w:right="41"/>
              <w:spacing w:after="0" w:line="122"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10"/>
                <w:szCs w:val="10"/>
                <w:color w:val="auto"/>
              </w:rPr>
            </w:pPr>
          </w:p>
        </w:tc>
        <w:tc>
          <w:tcPr>
            <w:tcW w:w="620" w:type="dxa"/>
            <w:vAlign w:val="bottom"/>
            <w:gridSpan w:val="2"/>
          </w:tcPr>
          <w:p>
            <w:pPr>
              <w:jc w:val="right"/>
              <w:ind w:right="118"/>
              <w:spacing w:after="0" w:line="122" w:lineRule="exact"/>
              <w:rPr>
                <w:sz w:val="20"/>
                <w:szCs w:val="20"/>
                <w:color w:val="auto"/>
              </w:rPr>
            </w:pPr>
            <w:r>
              <w:rPr>
                <w:rFonts w:ascii="Arial" w:cs="Arial" w:eastAsia="Arial" w:hAnsi="Arial"/>
                <w:sz w:val="11"/>
                <w:szCs w:val="11"/>
                <w:b w:val="1"/>
                <w:bCs w:val="1"/>
                <w:color w:val="auto"/>
                <w:w w:val="94"/>
              </w:rPr>
              <w:t>Retained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640" w:type="dxa"/>
            <w:vAlign w:val="bottom"/>
            <w:gridSpan w:val="4"/>
          </w:tcPr>
          <w:p>
            <w:pPr>
              <w:jc w:val="right"/>
              <w:ind w:right="18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87"/>
              </w:rPr>
              <w:t>Shares</w:t>
            </w:r>
          </w:p>
        </w:tc>
        <w:tc>
          <w:tcPr>
            <w:tcW w:w="540" w:type="dxa"/>
            <w:vAlign w:val="bottom"/>
            <w:gridSpan w:val="3"/>
          </w:tcPr>
          <w:p>
            <w:pPr>
              <w:ind w:left="140"/>
              <w:spacing w:after="0"/>
              <w:rPr>
                <w:sz w:val="20"/>
                <w:szCs w:val="20"/>
                <w:color w:val="auto"/>
              </w:rPr>
            </w:pPr>
            <w:r>
              <w:rPr>
                <w:rFonts w:ascii="Arial" w:cs="Arial" w:eastAsia="Arial" w:hAnsi="Arial"/>
                <w:sz w:val="11"/>
                <w:szCs w:val="11"/>
                <w:b w:val="1"/>
                <w:bCs w:val="1"/>
                <w:color w:val="auto"/>
                <w:w w:val="91"/>
              </w:rPr>
              <w:t>Amount</w:t>
            </w:r>
          </w:p>
        </w:tc>
        <w:tc>
          <w:tcPr>
            <w:tcW w:w="14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7"/>
              </w:rPr>
              <w:t>Shares</w:t>
            </w:r>
          </w:p>
        </w:tc>
        <w:tc>
          <w:tcPr>
            <w:tcW w:w="540" w:type="dxa"/>
            <w:vAlign w:val="bottom"/>
            <w:gridSpan w:val="3"/>
          </w:tcPr>
          <w:p>
            <w:pPr>
              <w:jc w:val="right"/>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7"/>
              </w:rPr>
              <w:t>Shares</w:t>
            </w:r>
          </w:p>
        </w:tc>
        <w:tc>
          <w:tcPr>
            <w:tcW w:w="160" w:type="dxa"/>
            <w:vAlign w:val="bottom"/>
          </w:tcPr>
          <w:p>
            <w:pPr>
              <w:spacing w:after="0"/>
              <w:rPr>
                <w:sz w:val="11"/>
                <w:szCs w:val="11"/>
                <w:color w:val="auto"/>
              </w:rPr>
            </w:pPr>
          </w:p>
        </w:tc>
        <w:tc>
          <w:tcPr>
            <w:tcW w:w="380" w:type="dxa"/>
            <w:vAlign w:val="bottom"/>
            <w:gridSpan w:val="2"/>
          </w:tcPr>
          <w:p>
            <w:pPr>
              <w:jc w:val="right"/>
              <w:spacing w:after="0"/>
              <w:rPr>
                <w:sz w:val="20"/>
                <w:szCs w:val="20"/>
                <w:color w:val="auto"/>
              </w:rPr>
            </w:pPr>
            <w:r>
              <w:rPr>
                <w:rFonts w:ascii="Arial" w:cs="Arial" w:eastAsia="Arial" w:hAnsi="Arial"/>
                <w:sz w:val="11"/>
                <w:szCs w:val="11"/>
                <w:b w:val="1"/>
                <w:bCs w:val="1"/>
                <w:color w:val="auto"/>
                <w:w w:val="86"/>
              </w:rPr>
              <w:t>Amount</w:t>
            </w:r>
          </w:p>
        </w:tc>
        <w:tc>
          <w:tcPr>
            <w:tcW w:w="16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1"/>
              </w:rPr>
              <w:t>Shares</w:t>
            </w:r>
          </w:p>
        </w:tc>
        <w:tc>
          <w:tcPr>
            <w:tcW w:w="540" w:type="dxa"/>
            <w:vAlign w:val="bottom"/>
            <w:gridSpan w:val="3"/>
          </w:tcPr>
          <w:p>
            <w:pPr>
              <w:jc w:val="right"/>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jc w:val="right"/>
              <w:ind w:right="41"/>
              <w:spacing w:after="0"/>
              <w:rPr>
                <w:sz w:val="20"/>
                <w:szCs w:val="20"/>
                <w:color w:val="auto"/>
              </w:rPr>
            </w:pPr>
            <w:r>
              <w:rPr>
                <w:rFonts w:ascii="Arial" w:cs="Arial" w:eastAsia="Arial" w:hAnsi="Arial"/>
                <w:sz w:val="11"/>
                <w:szCs w:val="11"/>
                <w:b w:val="1"/>
                <w:bCs w:val="1"/>
                <w:color w:val="auto"/>
              </w:rPr>
              <w:t>Capital</w:t>
            </w:r>
          </w:p>
        </w:tc>
        <w:tc>
          <w:tcPr>
            <w:tcW w:w="140" w:type="dxa"/>
            <w:vAlign w:val="bottom"/>
          </w:tcPr>
          <w:p>
            <w:pPr>
              <w:spacing w:after="0"/>
              <w:rPr>
                <w:sz w:val="11"/>
                <w:szCs w:val="11"/>
                <w:color w:val="auto"/>
              </w:rPr>
            </w:pPr>
          </w:p>
        </w:tc>
        <w:tc>
          <w:tcPr>
            <w:tcW w:w="620" w:type="dxa"/>
            <w:vAlign w:val="bottom"/>
            <w:gridSpan w:val="2"/>
          </w:tcPr>
          <w:p>
            <w:pPr>
              <w:jc w:val="right"/>
              <w:ind w:right="178"/>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(Deficit)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March 31, 2018</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3"/>
              </w:rPr>
              <w:t>1,377,500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9"/>
                <w:szCs w:val="9"/>
                <w:b w:val="1"/>
                <w:bCs w:val="1"/>
                <w:color w:val="auto"/>
                <w:w w:val="78"/>
              </w:rPr>
              <w:t>$</w:t>
            </w: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557</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w w:val="85"/>
              </w:rPr>
              <w:t>900,000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32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b w:val="1"/>
                <w:bCs w:val="1"/>
                <w:color w:val="auto"/>
                <w:w w:val="85"/>
              </w:rPr>
              <w:t>1,761</w:t>
            </w: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3"/>
              </w:rPr>
              <w:t>2,100,000</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5"/>
                <w:szCs w:val="5"/>
                <w:b w:val="1"/>
                <w:bCs w:val="1"/>
                <w:color w:val="auto"/>
                <w:w w:val="70"/>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5"/>
              </w:rPr>
              <w:t>3,697</w:t>
            </w:r>
          </w:p>
        </w:tc>
        <w:tc>
          <w:tcPr>
            <w:tcW w:w="1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9"/>
              </w:rPr>
              <w:t>2,508,000</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5"/>
              </w:rPr>
              <w:t>1,224</w:t>
            </w: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9"/>
              </w:rPr>
              <w:t>37,645,971</w:t>
            </w: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38</w:t>
            </w:r>
          </w:p>
        </w:tc>
        <w:tc>
          <w:tcPr>
            <w:tcW w:w="1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79"/>
              </w:rPr>
              <w:t>$ 179,359</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75"/>
              </w:rPr>
              <w:t>$ (185,711)</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925</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tcPr>
          <w:p>
            <w:pPr>
              <w:spacing w:after="0" w:line="135" w:lineRule="exact"/>
              <w:rPr>
                <w:sz w:val="20"/>
                <w:szCs w:val="20"/>
                <w:color w:val="auto"/>
              </w:rPr>
            </w:pPr>
            <w:r>
              <w:rPr>
                <w:rFonts w:ascii="Arial" w:cs="Arial" w:eastAsia="Arial" w:hAnsi="Arial"/>
                <w:sz w:val="13"/>
                <w:szCs w:val="13"/>
                <w:color w:val="auto"/>
                <w:w w:val="93"/>
              </w:rPr>
              <w:t>Series A 12% convertible preferred stock dividend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3"/>
          </w:tcPr>
          <w:p>
            <w:pPr>
              <w:jc w:val="right"/>
              <w:ind w:right="18"/>
              <w:spacing w:after="0" w:line="135" w:lineRule="exact"/>
              <w:rPr>
                <w:sz w:val="20"/>
                <w:szCs w:val="20"/>
                <w:color w:val="auto"/>
              </w:rPr>
            </w:pPr>
            <w:r>
              <w:rPr>
                <w:rFonts w:ascii="Arial" w:cs="Arial" w:eastAsia="Arial" w:hAnsi="Arial"/>
                <w:sz w:val="13"/>
                <w:szCs w:val="13"/>
                <w:color w:val="auto"/>
              </w:rPr>
              <w:t>(42)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Series B-1 12% convertible preferred stock</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dividend</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7,421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760" w:type="dxa"/>
            <w:vAlign w:val="bottom"/>
            <w:gridSpan w:val="3"/>
            <w:shd w:val="clear" w:color="auto" w:fill="CCEEFF"/>
          </w:tcPr>
          <w:p>
            <w:pPr>
              <w:jc w:val="right"/>
              <w:ind w:right="18"/>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00" w:type="dxa"/>
            <w:vAlign w:val="bottom"/>
          </w:tcPr>
          <w:p>
            <w:pPr>
              <w:spacing w:after="0" w:line="121" w:lineRule="exact"/>
              <w:rPr>
                <w:sz w:val="20"/>
                <w:szCs w:val="20"/>
                <w:color w:val="auto"/>
              </w:rPr>
            </w:pPr>
            <w:r>
              <w:rPr>
                <w:rFonts w:ascii="Arial" w:cs="Arial" w:eastAsia="Arial" w:hAnsi="Arial"/>
                <w:sz w:val="13"/>
                <w:szCs w:val="13"/>
                <w:color w:val="auto"/>
              </w:rPr>
              <w:t>Series B-2 12% convertible preferred stock</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100"/>
              <w:spacing w:after="0"/>
              <w:rPr>
                <w:sz w:val="20"/>
                <w:szCs w:val="20"/>
                <w:color w:val="auto"/>
              </w:rPr>
            </w:pPr>
            <w:r>
              <w:rPr>
                <w:rFonts w:ascii="Arial" w:cs="Arial" w:eastAsia="Arial" w:hAnsi="Arial"/>
                <w:sz w:val="13"/>
                <w:szCs w:val="13"/>
                <w:color w:val="auto"/>
              </w:rPr>
              <w:t>dividend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17,315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110</w:t>
            </w:r>
          </w:p>
        </w:tc>
        <w:tc>
          <w:tcPr>
            <w:tcW w:w="760" w:type="dxa"/>
            <w:vAlign w:val="bottom"/>
            <w:gridSpan w:val="3"/>
          </w:tcPr>
          <w:p>
            <w:pPr>
              <w:jc w:val="right"/>
              <w:ind w:right="18"/>
              <w:spacing w:after="0"/>
              <w:rPr>
                <w:sz w:val="20"/>
                <w:szCs w:val="20"/>
                <w:color w:val="auto"/>
              </w:rPr>
            </w:pPr>
            <w:r>
              <w:rPr>
                <w:rFonts w:ascii="Arial" w:cs="Arial" w:eastAsia="Arial" w:hAnsi="Arial"/>
                <w:sz w:val="13"/>
                <w:szCs w:val="13"/>
                <w:color w:val="auto"/>
              </w:rPr>
              <w:t>(110)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1"/>
              </w:rPr>
              <w:t>Series B-3 8% convertible preferred stock dividend</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6,870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44</w:t>
            </w:r>
          </w:p>
        </w:tc>
        <w:tc>
          <w:tcPr>
            <w:tcW w:w="760" w:type="dxa"/>
            <w:vAlign w:val="bottom"/>
            <w:gridSpan w:val="3"/>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00" w:type="dxa"/>
            <w:vAlign w:val="bottom"/>
          </w:tcPr>
          <w:p>
            <w:pPr>
              <w:spacing w:after="0" w:line="121" w:lineRule="exact"/>
              <w:rPr>
                <w:sz w:val="20"/>
                <w:szCs w:val="20"/>
                <w:color w:val="auto"/>
              </w:rPr>
            </w:pPr>
            <w:r>
              <w:rPr>
                <w:rFonts w:ascii="Arial" w:cs="Arial" w:eastAsia="Arial" w:hAnsi="Arial"/>
                <w:sz w:val="13"/>
                <w:szCs w:val="13"/>
                <w:color w:val="auto"/>
                <w:w w:val="96"/>
              </w:rPr>
              <w:t>Series C super dividend redeemable convertible</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100"/>
              <w:spacing w:after="0"/>
              <w:rPr>
                <w:sz w:val="20"/>
                <w:szCs w:val="20"/>
                <w:color w:val="auto"/>
              </w:rPr>
            </w:pPr>
            <w:r>
              <w:rPr>
                <w:rFonts w:ascii="Arial" w:cs="Arial" w:eastAsia="Arial" w:hAnsi="Arial"/>
                <w:sz w:val="13"/>
                <w:szCs w:val="13"/>
                <w:color w:val="auto"/>
              </w:rPr>
              <w:t>preferred stock dividend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3"/>
          </w:tcPr>
          <w:p>
            <w:pPr>
              <w:jc w:val="right"/>
              <w:ind w:right="18"/>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common stock</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618,614</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5,241</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5,242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00" w:type="dxa"/>
            <w:vAlign w:val="bottom"/>
          </w:tcPr>
          <w:p>
            <w:pPr>
              <w:spacing w:after="0" w:line="121" w:lineRule="exact"/>
              <w:rPr>
                <w:sz w:val="20"/>
                <w:szCs w:val="20"/>
                <w:color w:val="auto"/>
              </w:rPr>
            </w:pPr>
            <w:r>
              <w:rPr>
                <w:rFonts w:ascii="Arial" w:cs="Arial" w:eastAsia="Arial" w:hAnsi="Arial"/>
                <w:sz w:val="13"/>
                <w:szCs w:val="13"/>
                <w:color w:val="auto"/>
              </w:rPr>
              <w:t>Issuance of common stock from exercise of</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100"/>
              <w:spacing w:after="0"/>
              <w:rPr>
                <w:sz w:val="20"/>
                <w:szCs w:val="20"/>
                <w:color w:val="auto"/>
              </w:rPr>
            </w:pPr>
            <w:r>
              <w:rPr>
                <w:rFonts w:ascii="Arial" w:cs="Arial" w:eastAsia="Arial" w:hAnsi="Arial"/>
                <w:sz w:val="13"/>
                <w:szCs w:val="13"/>
                <w:color w:val="auto"/>
              </w:rPr>
              <w:t>warrants and options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2,326,709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2</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4,344</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common stock for services</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1,026</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00" w:type="dxa"/>
            <w:vAlign w:val="bottom"/>
          </w:tcPr>
          <w:p>
            <w:pPr>
              <w:spacing w:after="0" w:line="121" w:lineRule="exact"/>
              <w:rPr>
                <w:sz w:val="20"/>
                <w:szCs w:val="20"/>
                <w:color w:val="auto"/>
              </w:rPr>
            </w:pPr>
            <w:r>
              <w:rPr>
                <w:rFonts w:ascii="Arial" w:cs="Arial" w:eastAsia="Arial" w:hAnsi="Arial"/>
                <w:sz w:val="13"/>
                <w:szCs w:val="13"/>
                <w:color w:val="auto"/>
              </w:rPr>
              <w:t>Issuance of common stock from Series A</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100"/>
              <w:spacing w:after="0"/>
              <w:rPr>
                <w:sz w:val="20"/>
                <w:szCs w:val="20"/>
                <w:color w:val="auto"/>
              </w:rPr>
            </w:pPr>
            <w:r>
              <w:rPr>
                <w:rFonts w:ascii="Arial" w:cs="Arial" w:eastAsia="Arial" w:hAnsi="Arial"/>
                <w:sz w:val="13"/>
                <w:szCs w:val="13"/>
                <w:color w:val="auto"/>
              </w:rPr>
              <w:t>conversion</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(25,000)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w w:val="94"/>
              </w:rPr>
              <w:t>(10)</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4,257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1,443</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(3,840)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(3,840)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June 30, 2018</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93"/>
              </w:rPr>
              <w:t>1,352,500</w:t>
            </w:r>
          </w:p>
        </w:tc>
        <w:tc>
          <w:tcPr>
            <w:tcW w:w="1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3"/>
                <w:szCs w:val="13"/>
                <w:b w:val="1"/>
                <w:bCs w:val="1"/>
                <w:color w:val="auto"/>
              </w:rPr>
              <w:t>$</w:t>
            </w: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547</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b w:val="1"/>
                <w:bCs w:val="1"/>
                <w:color w:val="auto"/>
                <w:w w:val="85"/>
              </w:rPr>
              <w:t>900,000</w:t>
            </w:r>
          </w:p>
        </w:tc>
        <w:tc>
          <w:tcPr>
            <w:tcW w:w="2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b w:val="1"/>
                <w:bCs w:val="1"/>
                <w:color w:val="auto"/>
                <w:w w:val="82"/>
              </w:rPr>
              <w:t>$</w:t>
            </w:r>
          </w:p>
        </w:tc>
        <w:tc>
          <w:tcPr>
            <w:tcW w:w="3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85"/>
              </w:rPr>
              <w:t>1,761</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2,100,000</w:t>
            </w:r>
          </w:p>
        </w:tc>
        <w:tc>
          <w:tcPr>
            <w:tcW w:w="240" w:type="dxa"/>
            <w:vAlign w:val="bottom"/>
            <w:gridSpan w:val="2"/>
            <w:shd w:val="clear" w:color="auto" w:fill="CCEEFF"/>
          </w:tcPr>
          <w:p>
            <w:pPr>
              <w:jc w:val="right"/>
              <w:ind w:right="14"/>
              <w:spacing w:after="0" w:line="135" w:lineRule="exact"/>
              <w:rPr>
                <w:sz w:val="20"/>
                <w:szCs w:val="20"/>
                <w:color w:val="auto"/>
              </w:rPr>
            </w:pPr>
            <w:r>
              <w:rPr>
                <w:rFonts w:ascii="Arial" w:cs="Arial" w:eastAsia="Arial" w:hAnsi="Arial"/>
                <w:sz w:val="13"/>
                <w:szCs w:val="13"/>
                <w:b w:val="1"/>
                <w:bCs w:val="1"/>
                <w:color w:val="auto"/>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5"/>
              </w:rPr>
              <w:t>3,697</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2,508,000</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5"/>
              </w:rPr>
              <w:t>1,224</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40,628,183</w:t>
            </w:r>
          </w:p>
        </w:tc>
        <w:tc>
          <w:tcPr>
            <w:tcW w:w="360" w:type="dxa"/>
            <w:vAlign w:val="bottom"/>
            <w:gridSpan w:val="2"/>
            <w:shd w:val="clear" w:color="auto" w:fill="CCEEFF"/>
          </w:tcPr>
          <w:p>
            <w:pPr>
              <w:jc w:val="right"/>
              <w:ind w:right="134"/>
              <w:spacing w:after="0" w:line="135" w:lineRule="exact"/>
              <w:rPr>
                <w:sz w:val="20"/>
                <w:szCs w:val="20"/>
                <w:color w:val="auto"/>
              </w:rPr>
            </w:pPr>
            <w:r>
              <w:rPr>
                <w:rFonts w:ascii="Arial" w:cs="Arial" w:eastAsia="Arial" w:hAnsi="Arial"/>
                <w:sz w:val="13"/>
                <w:szCs w:val="13"/>
                <w:b w:val="1"/>
                <w:bCs w:val="1"/>
                <w:color w:val="auto"/>
              </w:rPr>
              <w:t>$</w:t>
            </w: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41</w:t>
            </w: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$ 190,602</w:t>
            </w:r>
          </w:p>
        </w:tc>
        <w:tc>
          <w:tcPr>
            <w:tcW w:w="760" w:type="dxa"/>
            <w:vAlign w:val="bottom"/>
            <w:gridSpan w:val="3"/>
            <w:shd w:val="clear" w:color="auto" w:fill="CCEEFF"/>
          </w:tcPr>
          <w:p>
            <w:pPr>
              <w:jc w:val="right"/>
              <w:ind w:right="18"/>
              <w:spacing w:after="0" w:line="135" w:lineRule="exact"/>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(189,820)</w:t>
            </w:r>
          </w:p>
        </w:tc>
        <w:tc>
          <w:tcPr>
            <w:tcW w:w="1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8,052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at March 31, 2019</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20" w:type="dxa"/>
            <w:vAlign w:val="bottom"/>
            <w:gridSpan w:val="2"/>
            <w:vMerge w:val="continue"/>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3"/>
              </w:rPr>
              <w:t>1,327,500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b w:val="1"/>
                <w:bCs w:val="1"/>
                <w:color w:val="auto"/>
                <w:w w:val="78"/>
              </w:rPr>
              <w:t>$</w:t>
            </w:r>
          </w:p>
        </w:tc>
        <w:tc>
          <w:tcPr>
            <w:tcW w:w="2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2"/>
              </w:rPr>
              <w:t>537</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b w:val="1"/>
                <w:bCs w:val="1"/>
                <w:color w:val="auto"/>
                <w:w w:val="70"/>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9"/>
              </w:rPr>
              <w:t>45,594,411</w:t>
            </w:r>
          </w:p>
        </w:tc>
        <w:tc>
          <w:tcPr>
            <w:tcW w:w="160" w:type="dxa"/>
            <w:vAlign w:val="bottom"/>
          </w:tcPr>
          <w:p>
            <w:pPr>
              <w:spacing w:after="0"/>
              <w:rPr>
                <w:sz w:val="11"/>
                <w:szCs w:val="11"/>
                <w:color w:val="auto"/>
              </w:rPr>
            </w:pPr>
          </w:p>
        </w:tc>
        <w:tc>
          <w:tcPr>
            <w:tcW w:w="200" w:type="dxa"/>
            <w:vAlign w:val="bottom"/>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1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45</w:t>
            </w:r>
          </w:p>
        </w:tc>
        <w:tc>
          <w:tcPr>
            <w:tcW w:w="16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79"/>
              </w:rPr>
              <w:t>$ 209,845</w:t>
            </w:r>
          </w:p>
        </w:tc>
        <w:tc>
          <w:tcPr>
            <w:tcW w:w="14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79"/>
              </w:rPr>
              <w:t>$(205,308)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line="129" w:lineRule="exact"/>
              <w:rPr>
                <w:sz w:val="20"/>
                <w:szCs w:val="20"/>
                <w:color w:val="auto"/>
              </w:rPr>
            </w:pPr>
            <w:r>
              <w:rPr>
                <w:rFonts w:ascii="Arial" w:cs="Arial" w:eastAsia="Arial" w:hAnsi="Arial"/>
                <w:sz w:val="13"/>
                <w:szCs w:val="13"/>
                <w:b w:val="1"/>
                <w:bCs w:val="1"/>
                <w:color w:val="auto"/>
              </w:rPr>
              <w:t>$</w:t>
            </w:r>
          </w:p>
        </w:tc>
        <w:tc>
          <w:tcPr>
            <w:tcW w:w="5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5,119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3"/>
              </w:rPr>
              <w:t>Series A 12% convertible preferred stock dividend</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(40)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00" w:type="dxa"/>
            <w:vAlign w:val="bottom"/>
          </w:tcPr>
          <w:p>
            <w:pPr>
              <w:spacing w:after="0" w:line="121" w:lineRule="exact"/>
              <w:rPr>
                <w:sz w:val="20"/>
                <w:szCs w:val="20"/>
                <w:color w:val="auto"/>
              </w:rPr>
            </w:pPr>
            <w:r>
              <w:rPr>
                <w:rFonts w:ascii="Arial" w:cs="Arial" w:eastAsia="Arial" w:hAnsi="Arial"/>
                <w:sz w:val="13"/>
                <w:szCs w:val="13"/>
                <w:color w:val="auto"/>
              </w:rPr>
              <w:t>Series B-1 12% convertible preferred stock</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100"/>
              <w:spacing w:after="0"/>
              <w:rPr>
                <w:sz w:val="20"/>
                <w:szCs w:val="20"/>
                <w:color w:val="auto"/>
              </w:rPr>
            </w:pPr>
            <w:r>
              <w:rPr>
                <w:rFonts w:ascii="Arial" w:cs="Arial" w:eastAsia="Arial" w:hAnsi="Arial"/>
                <w:sz w:val="13"/>
                <w:szCs w:val="13"/>
                <w:color w:val="auto"/>
              </w:rPr>
              <w:t>dividend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Series B-2 12% convertible preferred stock</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dividend</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tcPr>
          <w:p>
            <w:pPr>
              <w:spacing w:after="0" w:line="135" w:lineRule="exact"/>
              <w:rPr>
                <w:sz w:val="20"/>
                <w:szCs w:val="20"/>
                <w:color w:val="auto"/>
              </w:rPr>
            </w:pPr>
            <w:r>
              <w:rPr>
                <w:rFonts w:ascii="Arial" w:cs="Arial" w:eastAsia="Arial" w:hAnsi="Arial"/>
                <w:sz w:val="13"/>
                <w:szCs w:val="13"/>
                <w:color w:val="auto"/>
                <w:w w:val="91"/>
              </w:rPr>
              <w:t>Series B-3 8% convertible preferred stock dividend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Series C super dividend redeemable convertible</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preferred stock dividend</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8"/>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tcPr>
          <w:p>
            <w:pPr>
              <w:spacing w:after="0" w:line="135" w:lineRule="exact"/>
              <w:rPr>
                <w:sz w:val="20"/>
                <w:szCs w:val="20"/>
                <w:color w:val="auto"/>
              </w:rPr>
            </w:pPr>
            <w:r>
              <w:rPr>
                <w:rFonts w:ascii="Arial" w:cs="Arial" w:eastAsia="Arial" w:hAnsi="Arial"/>
                <w:sz w:val="13"/>
                <w:szCs w:val="13"/>
                <w:color w:val="auto"/>
              </w:rPr>
              <w:t>Issuance of common stock</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10,488,161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44,879</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44,889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7"/>
              </w:rPr>
              <w:t>Conversion of Series B Convertible Preferred to</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common</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00" w:type="dxa"/>
            <w:vAlign w:val="bottom"/>
          </w:tcPr>
          <w:p>
            <w:pPr>
              <w:spacing w:after="0" w:line="121" w:lineRule="exact"/>
              <w:rPr>
                <w:sz w:val="20"/>
                <w:szCs w:val="20"/>
                <w:color w:val="auto"/>
              </w:rPr>
            </w:pPr>
            <w:r>
              <w:rPr>
                <w:rFonts w:ascii="Arial" w:cs="Arial" w:eastAsia="Arial" w:hAnsi="Arial"/>
                <w:sz w:val="13"/>
                <w:szCs w:val="13"/>
                <w:color w:val="auto"/>
                <w:w w:val="91"/>
              </w:rPr>
              <w:t>Issuance of common stock for exercise of warrants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100"/>
              <w:spacing w:after="0"/>
              <w:rPr>
                <w:sz w:val="20"/>
                <w:szCs w:val="20"/>
                <w:color w:val="auto"/>
              </w:rPr>
            </w:pPr>
            <w:r>
              <w:rPr>
                <w:rFonts w:ascii="Arial" w:cs="Arial" w:eastAsia="Arial" w:hAnsi="Arial"/>
                <w:sz w:val="13"/>
                <w:szCs w:val="13"/>
                <w:color w:val="auto"/>
              </w:rPr>
              <w:t>and options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508,706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1</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2,511</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Warrant modification</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443</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443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(2,998)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(2,998)</w:t>
            </w:r>
          </w:p>
        </w:tc>
        <w:tc>
          <w:tcPr>
            <w:tcW w:w="0" w:type="dxa"/>
            <w:vAlign w:val="bottom"/>
          </w:tcPr>
          <w:p>
            <w:pPr>
              <w:spacing w:after="0"/>
              <w:rPr>
                <w:sz w:val="1"/>
                <w:szCs w:val="1"/>
                <w:color w:val="auto"/>
              </w:rPr>
            </w:pPr>
          </w:p>
        </w:tc>
      </w:tr>
      <w:tr>
        <w:trPr>
          <w:trHeight w:val="142"/>
        </w:trPr>
        <w:tc>
          <w:tcPr>
            <w:tcW w:w="27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Balance at June 30, 2019</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3"/>
              </w:rPr>
              <w:t>1,327,500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b w:val="1"/>
                <w:bCs w:val="1"/>
                <w:color w:val="auto"/>
                <w:w w:val="78"/>
              </w:rPr>
              <w:t>$</w:t>
            </w:r>
          </w:p>
        </w:tc>
        <w:tc>
          <w:tcPr>
            <w:tcW w:w="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2"/>
              </w:rPr>
              <w:t>537</w:t>
            </w:r>
          </w:p>
        </w:tc>
        <w:tc>
          <w:tcPr>
            <w:tcW w:w="18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260"/>
              <w:spacing w:after="0" w:line="143"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w w:val="82"/>
              </w:rPr>
              <w:t>$</w:t>
            </w:r>
          </w:p>
        </w:tc>
        <w:tc>
          <w:tcPr>
            <w:tcW w:w="320" w:type="dxa"/>
            <w:vAlign w:val="bottom"/>
            <w:tcBorders>
              <w:top w:val="single" w:sz="8" w:color="auto"/>
              <w:bottom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4"/>
              <w:spacing w:after="0" w:line="143"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b w:val="1"/>
                <w:bCs w:val="1"/>
                <w:color w:val="auto"/>
                <w:w w:val="70"/>
              </w:rPr>
              <w:t>$</w:t>
            </w:r>
          </w:p>
        </w:tc>
        <w:tc>
          <w:tcPr>
            <w:tcW w:w="3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
              <w:spacing w:after="0" w:line="143"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3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9"/>
              </w:rPr>
              <w:t>56,591,278</w:t>
            </w: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1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56</w:t>
            </w: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79"/>
              </w:rPr>
              <w:t>$ 257,678</w:t>
            </w:r>
          </w:p>
        </w:tc>
        <w:tc>
          <w:tcPr>
            <w:tcW w:w="1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u w:val="single" w:color="auto"/>
                <w:color w:val="auto"/>
                <w:w w:val="85"/>
              </w:rPr>
              <w:t>$</w:t>
            </w:r>
            <w:r>
              <w:rPr>
                <w:rFonts w:ascii="Arial" w:cs="Arial" w:eastAsia="Arial" w:hAnsi="Arial"/>
                <w:sz w:val="13"/>
                <w:szCs w:val="13"/>
                <w:b w:val="1"/>
                <w:bCs w:val="1"/>
                <w:color w:val="auto"/>
                <w:w w:val="85"/>
              </w:rPr>
              <w:t>(208,373</w:t>
            </w:r>
          </w:p>
        </w:tc>
        <w:tc>
          <w:tcPr>
            <w:tcW w:w="100" w:type="dxa"/>
            <w:vAlign w:val="bottom"/>
          </w:tcPr>
          <w:p>
            <w:pPr>
              <w:jc w:val="right"/>
              <w:ind w:right="18"/>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w:t>
            </w: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49,898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200" w:right="300"/>
        <w:spacing w:after="0" w:line="250"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 — (Continued)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Six Months Ended June 30, 2019 and 2018</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920" w:type="dxa"/>
            <w:vAlign w:val="bottom"/>
            <w:gridSpan w:val="4"/>
          </w:tcPr>
          <w:p>
            <w:pPr>
              <w:jc w:val="center"/>
              <w:ind w:left="122"/>
              <w:spacing w:after="0"/>
              <w:rPr>
                <w:sz w:val="20"/>
                <w:szCs w:val="20"/>
                <w:color w:val="auto"/>
              </w:rPr>
            </w:pPr>
            <w:r>
              <w:rPr>
                <w:rFonts w:ascii="Arial" w:cs="Arial" w:eastAsia="Arial" w:hAnsi="Arial"/>
                <w:sz w:val="11"/>
                <w:szCs w:val="11"/>
                <w:b w:val="1"/>
                <w:bCs w:val="1"/>
                <w:color w:val="auto"/>
                <w:w w:val="89"/>
              </w:rPr>
              <w:t>Series A 12%</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6"/>
          </w:tcPr>
          <w:p>
            <w:pPr>
              <w:jc w:val="center"/>
              <w:ind w:right="200"/>
              <w:spacing w:after="0"/>
              <w:rPr>
                <w:sz w:val="20"/>
                <w:szCs w:val="20"/>
                <w:color w:val="auto"/>
              </w:rPr>
            </w:pPr>
            <w:r>
              <w:rPr>
                <w:rFonts w:ascii="Arial" w:cs="Arial" w:eastAsia="Arial" w:hAnsi="Arial"/>
                <w:sz w:val="11"/>
                <w:szCs w:val="11"/>
                <w:b w:val="1"/>
                <w:bCs w:val="1"/>
                <w:color w:val="auto"/>
                <w:w w:val="88"/>
              </w:rPr>
              <w:t>Series B-1 12%</w:t>
            </w:r>
          </w:p>
        </w:tc>
        <w:tc>
          <w:tcPr>
            <w:tcW w:w="1340" w:type="dxa"/>
            <w:vAlign w:val="bottom"/>
            <w:gridSpan w:val="6"/>
          </w:tcPr>
          <w:p>
            <w:pPr>
              <w:jc w:val="center"/>
              <w:ind w:right="200"/>
              <w:spacing w:after="0"/>
              <w:rPr>
                <w:sz w:val="20"/>
                <w:szCs w:val="20"/>
                <w:color w:val="auto"/>
              </w:rPr>
            </w:pPr>
            <w:r>
              <w:rPr>
                <w:rFonts w:ascii="Arial" w:cs="Arial" w:eastAsia="Arial" w:hAnsi="Arial"/>
                <w:sz w:val="11"/>
                <w:szCs w:val="11"/>
                <w:b w:val="1"/>
                <w:bCs w:val="1"/>
                <w:color w:val="auto"/>
                <w:w w:val="88"/>
              </w:rPr>
              <w:t>Series B-2 12%</w:t>
            </w:r>
          </w:p>
        </w:tc>
        <w:tc>
          <w:tcPr>
            <w:tcW w:w="1360" w:type="dxa"/>
            <w:vAlign w:val="bottom"/>
            <w:gridSpan w:val="6"/>
          </w:tcPr>
          <w:p>
            <w:pPr>
              <w:jc w:val="center"/>
              <w:ind w:right="180"/>
              <w:spacing w:after="0"/>
              <w:rPr>
                <w:sz w:val="20"/>
                <w:szCs w:val="20"/>
                <w:color w:val="auto"/>
              </w:rPr>
            </w:pPr>
            <w:r>
              <w:rPr>
                <w:rFonts w:ascii="Arial" w:cs="Arial" w:eastAsia="Arial" w:hAnsi="Arial"/>
                <w:sz w:val="11"/>
                <w:szCs w:val="11"/>
                <w:b w:val="1"/>
                <w:bCs w:val="1"/>
                <w:color w:val="auto"/>
                <w:w w:val="90"/>
              </w:rPr>
              <w:t>Series B-3 8%</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920" w:type="dxa"/>
            <w:vAlign w:val="bottom"/>
            <w:gridSpan w:val="4"/>
          </w:tcPr>
          <w:p>
            <w:pPr>
              <w:jc w:val="center"/>
              <w:ind w:left="122"/>
              <w:spacing w:after="0" w:line="122" w:lineRule="exact"/>
              <w:rPr>
                <w:sz w:val="20"/>
                <w:szCs w:val="20"/>
                <w:color w:val="auto"/>
              </w:rPr>
            </w:pPr>
            <w:r>
              <w:rPr>
                <w:rFonts w:ascii="Arial" w:cs="Arial" w:eastAsia="Arial" w:hAnsi="Arial"/>
                <w:sz w:val="11"/>
                <w:szCs w:val="11"/>
                <w:b w:val="1"/>
                <w:bCs w:val="1"/>
                <w:color w:val="auto"/>
                <w:w w:val="89"/>
              </w:rPr>
              <w:t>Convertible</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6"/>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340" w:type="dxa"/>
            <w:vAlign w:val="bottom"/>
            <w:gridSpan w:val="6"/>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360" w:type="dxa"/>
            <w:vAlign w:val="bottom"/>
            <w:gridSpan w:val="6"/>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920" w:type="dxa"/>
            <w:vAlign w:val="bottom"/>
            <w:gridSpan w:val="4"/>
          </w:tcPr>
          <w:p>
            <w:pPr>
              <w:jc w:val="center"/>
              <w:ind w:left="122"/>
              <w:spacing w:after="0"/>
              <w:rPr>
                <w:sz w:val="20"/>
                <w:szCs w:val="20"/>
                <w:color w:val="auto"/>
              </w:rPr>
            </w:pPr>
            <w:r>
              <w:rPr>
                <w:rFonts w:ascii="Arial" w:cs="Arial" w:eastAsia="Arial" w:hAnsi="Arial"/>
                <w:sz w:val="11"/>
                <w:szCs w:val="11"/>
                <w:b w:val="1"/>
                <w:bCs w:val="1"/>
                <w:color w:val="auto"/>
                <w:w w:val="90"/>
              </w:rPr>
              <w:t>Preferred Stock</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6"/>
          </w:tcPr>
          <w:p>
            <w:pPr>
              <w:jc w:val="center"/>
              <w:ind w:right="200"/>
              <w:spacing w:after="0"/>
              <w:rPr>
                <w:sz w:val="20"/>
                <w:szCs w:val="20"/>
                <w:color w:val="auto"/>
              </w:rPr>
            </w:pPr>
            <w:r>
              <w:rPr>
                <w:rFonts w:ascii="Arial" w:cs="Arial" w:eastAsia="Arial" w:hAnsi="Arial"/>
                <w:sz w:val="11"/>
                <w:szCs w:val="11"/>
                <w:b w:val="1"/>
                <w:bCs w:val="1"/>
                <w:color w:val="auto"/>
                <w:w w:val="90"/>
              </w:rPr>
              <w:t>Preferred Stock</w:t>
            </w:r>
          </w:p>
        </w:tc>
        <w:tc>
          <w:tcPr>
            <w:tcW w:w="1340" w:type="dxa"/>
            <w:vAlign w:val="bottom"/>
            <w:gridSpan w:val="6"/>
          </w:tcPr>
          <w:p>
            <w:pPr>
              <w:jc w:val="center"/>
              <w:ind w:right="200"/>
              <w:spacing w:after="0"/>
              <w:rPr>
                <w:sz w:val="20"/>
                <w:szCs w:val="20"/>
                <w:color w:val="auto"/>
              </w:rPr>
            </w:pPr>
            <w:r>
              <w:rPr>
                <w:rFonts w:ascii="Arial" w:cs="Arial" w:eastAsia="Arial" w:hAnsi="Arial"/>
                <w:sz w:val="11"/>
                <w:szCs w:val="11"/>
                <w:b w:val="1"/>
                <w:bCs w:val="1"/>
                <w:color w:val="auto"/>
                <w:w w:val="90"/>
              </w:rPr>
              <w:t>Preferred Stock</w:t>
            </w:r>
          </w:p>
        </w:tc>
        <w:tc>
          <w:tcPr>
            <w:tcW w:w="1360" w:type="dxa"/>
            <w:vAlign w:val="bottom"/>
            <w:gridSpan w:val="6"/>
          </w:tcPr>
          <w:p>
            <w:pPr>
              <w:jc w:val="center"/>
              <w:ind w:right="180"/>
              <w:spacing w:after="0"/>
              <w:rPr>
                <w:sz w:val="20"/>
                <w:szCs w:val="20"/>
                <w:color w:val="auto"/>
              </w:rPr>
            </w:pPr>
            <w:r>
              <w:rPr>
                <w:rFonts w:ascii="Arial" w:cs="Arial" w:eastAsia="Arial" w:hAnsi="Arial"/>
                <w:sz w:val="11"/>
                <w:szCs w:val="11"/>
                <w:b w:val="1"/>
                <w:bCs w:val="1"/>
                <w:color w:val="auto"/>
                <w:w w:val="90"/>
              </w:rPr>
              <w:t>Preferred Stock</w:t>
            </w:r>
          </w:p>
        </w:tc>
        <w:tc>
          <w:tcPr>
            <w:tcW w:w="960" w:type="dxa"/>
            <w:vAlign w:val="bottom"/>
            <w:gridSpan w:val="3"/>
          </w:tcPr>
          <w:p>
            <w:pPr>
              <w:jc w:val="right"/>
              <w:ind w:right="14"/>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6"/>
              </w:rPr>
              <w:t>Number</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Number</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Number</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5"/>
              </w:rPr>
              <w:t>of</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76"/>
              </w:rPr>
              <w:t>of</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76"/>
              </w:rPr>
              <w:t>of</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5"/>
              </w:rPr>
              <w:t>of</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of</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ind w:right="41"/>
              <w:spacing w:after="0" w:line="122"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10"/>
                <w:szCs w:val="10"/>
                <w:color w:val="auto"/>
              </w:rPr>
            </w:pPr>
          </w:p>
        </w:tc>
        <w:tc>
          <w:tcPr>
            <w:tcW w:w="620" w:type="dxa"/>
            <w:vAlign w:val="bottom"/>
            <w:gridSpan w:val="2"/>
          </w:tcPr>
          <w:p>
            <w:pPr>
              <w:jc w:val="right"/>
              <w:ind w:right="118"/>
              <w:spacing w:after="0" w:line="122" w:lineRule="exact"/>
              <w:rPr>
                <w:sz w:val="20"/>
                <w:szCs w:val="20"/>
                <w:color w:val="auto"/>
              </w:rPr>
            </w:pPr>
            <w:r>
              <w:rPr>
                <w:rFonts w:ascii="Arial" w:cs="Arial" w:eastAsia="Arial" w:hAnsi="Arial"/>
                <w:sz w:val="11"/>
                <w:szCs w:val="11"/>
                <w:b w:val="1"/>
                <w:bCs w:val="1"/>
                <w:color w:val="auto"/>
                <w:w w:val="94"/>
              </w:rPr>
              <w:t>Retained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Shares</w:t>
            </w:r>
          </w:p>
        </w:tc>
        <w:tc>
          <w:tcPr>
            <w:tcW w:w="80" w:type="dxa"/>
            <w:vAlign w:val="bottom"/>
          </w:tcPr>
          <w:p>
            <w:pPr>
              <w:spacing w:after="0"/>
              <w:rPr>
                <w:sz w:val="11"/>
                <w:szCs w:val="11"/>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w w:val="81"/>
              </w:rPr>
              <w:t>Amount</w:t>
            </w:r>
          </w:p>
        </w:tc>
        <w:tc>
          <w:tcPr>
            <w:tcW w:w="6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Shares</w:t>
            </w:r>
          </w:p>
        </w:tc>
        <w:tc>
          <w:tcPr>
            <w:tcW w:w="80" w:type="dxa"/>
            <w:vAlign w:val="bottom"/>
          </w:tcPr>
          <w:p>
            <w:pPr>
              <w:spacing w:after="0"/>
              <w:rPr>
                <w:sz w:val="11"/>
                <w:szCs w:val="11"/>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w w:val="86"/>
              </w:rPr>
              <w:t>Amount</w:t>
            </w: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Shares</w:t>
            </w:r>
          </w:p>
        </w:tc>
        <w:tc>
          <w:tcPr>
            <w:tcW w:w="80" w:type="dxa"/>
            <w:vAlign w:val="bottom"/>
          </w:tcPr>
          <w:p>
            <w:pPr>
              <w:spacing w:after="0"/>
              <w:rPr>
                <w:sz w:val="11"/>
                <w:szCs w:val="11"/>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Shares</w:t>
            </w:r>
          </w:p>
        </w:tc>
        <w:tc>
          <w:tcPr>
            <w:tcW w:w="80" w:type="dxa"/>
            <w:vAlign w:val="bottom"/>
          </w:tcPr>
          <w:p>
            <w:pPr>
              <w:spacing w:after="0"/>
              <w:rPr>
                <w:sz w:val="11"/>
                <w:szCs w:val="11"/>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w w:val="86"/>
              </w:rPr>
              <w:t>Amount</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1"/>
              </w:rPr>
              <w:t>Shares</w:t>
            </w:r>
          </w:p>
        </w:tc>
        <w:tc>
          <w:tcPr>
            <w:tcW w:w="540" w:type="dxa"/>
            <w:vAlign w:val="bottom"/>
            <w:gridSpan w:val="3"/>
          </w:tcPr>
          <w:p>
            <w:pPr>
              <w:jc w:val="right"/>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jc w:val="right"/>
              <w:ind w:right="41"/>
              <w:spacing w:after="0"/>
              <w:rPr>
                <w:sz w:val="20"/>
                <w:szCs w:val="20"/>
                <w:color w:val="auto"/>
              </w:rPr>
            </w:pPr>
            <w:r>
              <w:rPr>
                <w:rFonts w:ascii="Arial" w:cs="Arial" w:eastAsia="Arial" w:hAnsi="Arial"/>
                <w:sz w:val="11"/>
                <w:szCs w:val="11"/>
                <w:b w:val="1"/>
                <w:bCs w:val="1"/>
                <w:color w:val="auto"/>
              </w:rPr>
              <w:t>Capital</w:t>
            </w:r>
          </w:p>
        </w:tc>
        <w:tc>
          <w:tcPr>
            <w:tcW w:w="140" w:type="dxa"/>
            <w:vAlign w:val="bottom"/>
          </w:tcPr>
          <w:p>
            <w:pPr>
              <w:spacing w:after="0"/>
              <w:rPr>
                <w:sz w:val="11"/>
                <w:szCs w:val="11"/>
                <w:color w:val="auto"/>
              </w:rPr>
            </w:pPr>
          </w:p>
        </w:tc>
        <w:tc>
          <w:tcPr>
            <w:tcW w:w="620" w:type="dxa"/>
            <w:vAlign w:val="bottom"/>
            <w:gridSpan w:val="2"/>
          </w:tcPr>
          <w:p>
            <w:pPr>
              <w:jc w:val="right"/>
              <w:ind w:right="178"/>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(Deficit)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December 31, 2017</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9"/>
              </w:rPr>
              <w:t>1,377,500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5"/>
                <w:szCs w:val="5"/>
                <w:b w:val="1"/>
                <w:bCs w:val="1"/>
                <w:color w:val="auto"/>
                <w:w w:val="70"/>
              </w:rPr>
              <w:t>$</w:t>
            </w: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557</w:t>
            </w: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900,000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8"/>
              </w:rPr>
              <w:t>1,761</w:t>
            </w: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6"/>
              </w:rPr>
              <w:t>2,100,000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b w:val="1"/>
                <w:bCs w:val="1"/>
                <w:color w:val="auto"/>
                <w:w w:val="78"/>
              </w:rPr>
              <w:t>$</w:t>
            </w: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8"/>
              </w:rPr>
              <w:t>3,697</w:t>
            </w: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2,508,000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8"/>
              </w:rPr>
              <w:t>1,224</w:t>
            </w: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9"/>
              </w:rPr>
              <w:t>35,789,388</w:t>
            </w: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36</w:t>
            </w:r>
          </w:p>
        </w:tc>
        <w:tc>
          <w:tcPr>
            <w:tcW w:w="1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79"/>
              </w:rPr>
              <w:t>$ 173,363</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79"/>
              </w:rPr>
              <w:t>$(181,168)</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(530)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80" w:type="dxa"/>
            <w:vAlign w:val="bottom"/>
          </w:tcPr>
          <w:p>
            <w:pPr>
              <w:spacing w:after="0" w:line="121" w:lineRule="exact"/>
              <w:rPr>
                <w:sz w:val="20"/>
                <w:szCs w:val="20"/>
                <w:color w:val="auto"/>
              </w:rPr>
            </w:pPr>
            <w:r>
              <w:rPr>
                <w:rFonts w:ascii="Arial" w:cs="Arial" w:eastAsia="Arial" w:hAnsi="Arial"/>
                <w:sz w:val="13"/>
                <w:szCs w:val="13"/>
                <w:color w:val="auto"/>
              </w:rPr>
              <w:t>Series A 12% convertible preferred stock</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100"/>
              <w:spacing w:after="0"/>
              <w:rPr>
                <w:sz w:val="20"/>
                <w:szCs w:val="20"/>
                <w:color w:val="auto"/>
              </w:rPr>
            </w:pPr>
            <w:r>
              <w:rPr>
                <w:rFonts w:ascii="Arial" w:cs="Arial" w:eastAsia="Arial" w:hAnsi="Arial"/>
                <w:sz w:val="13"/>
                <w:szCs w:val="13"/>
                <w:color w:val="auto"/>
              </w:rPr>
              <w:t>dividend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13,775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66</w:t>
            </w:r>
          </w:p>
        </w:tc>
        <w:tc>
          <w:tcPr>
            <w:tcW w:w="760" w:type="dxa"/>
            <w:vAlign w:val="bottom"/>
            <w:gridSpan w:val="3"/>
          </w:tcPr>
          <w:p>
            <w:pPr>
              <w:jc w:val="right"/>
              <w:ind w:right="18"/>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Series B-1 12% convertible preferred stock</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dividend</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18,879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760" w:type="dxa"/>
            <w:vAlign w:val="bottom"/>
            <w:gridSpan w:val="3"/>
            <w:shd w:val="clear" w:color="auto" w:fill="CCEEFF"/>
          </w:tcPr>
          <w:p>
            <w:pPr>
              <w:jc w:val="right"/>
              <w:ind w:right="18"/>
              <w:spacing w:after="0"/>
              <w:rPr>
                <w:sz w:val="20"/>
                <w:szCs w:val="20"/>
                <w:color w:val="auto"/>
              </w:rPr>
            </w:pPr>
            <w:r>
              <w:rPr>
                <w:rFonts w:ascii="Arial" w:cs="Arial" w:eastAsia="Arial" w:hAnsi="Arial"/>
                <w:sz w:val="13"/>
                <w:szCs w:val="13"/>
                <w:color w:val="auto"/>
              </w:rPr>
              <w:t>(101)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80" w:type="dxa"/>
            <w:vAlign w:val="bottom"/>
          </w:tcPr>
          <w:p>
            <w:pPr>
              <w:spacing w:after="0" w:line="121" w:lineRule="exact"/>
              <w:rPr>
                <w:sz w:val="20"/>
                <w:szCs w:val="20"/>
                <w:color w:val="auto"/>
              </w:rPr>
            </w:pPr>
            <w:r>
              <w:rPr>
                <w:rFonts w:ascii="Arial" w:cs="Arial" w:eastAsia="Arial" w:hAnsi="Arial"/>
                <w:sz w:val="13"/>
                <w:szCs w:val="13"/>
                <w:color w:val="auto"/>
                <w:w w:val="95"/>
              </w:rPr>
              <w:t>Series B-2 12% convertible preferred stock</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100"/>
              <w:spacing w:after="0"/>
              <w:rPr>
                <w:sz w:val="20"/>
                <w:szCs w:val="20"/>
                <w:color w:val="auto"/>
              </w:rPr>
            </w:pPr>
            <w:r>
              <w:rPr>
                <w:rFonts w:ascii="Arial" w:cs="Arial" w:eastAsia="Arial" w:hAnsi="Arial"/>
                <w:sz w:val="13"/>
                <w:szCs w:val="13"/>
                <w:color w:val="auto"/>
              </w:rPr>
              <w:t>dividend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44,051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237</w:t>
            </w:r>
          </w:p>
        </w:tc>
        <w:tc>
          <w:tcPr>
            <w:tcW w:w="760" w:type="dxa"/>
            <w:vAlign w:val="bottom"/>
            <w:gridSpan w:val="3"/>
          </w:tcPr>
          <w:p>
            <w:pPr>
              <w:jc w:val="right"/>
              <w:ind w:right="18"/>
              <w:spacing w:after="0"/>
              <w:rPr>
                <w:sz w:val="20"/>
                <w:szCs w:val="20"/>
                <w:color w:val="auto"/>
              </w:rPr>
            </w:pPr>
            <w:r>
              <w:rPr>
                <w:rFonts w:ascii="Arial" w:cs="Arial" w:eastAsia="Arial" w:hAnsi="Arial"/>
                <w:sz w:val="13"/>
                <w:szCs w:val="13"/>
                <w:color w:val="auto"/>
              </w:rPr>
              <w:t>(237)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8"/>
              </w:rPr>
              <w:t>Series B-3 8% convertible preferred stock</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dividend</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17,478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760" w:type="dxa"/>
            <w:vAlign w:val="bottom"/>
            <w:gridSpan w:val="3"/>
            <w:shd w:val="clear" w:color="auto" w:fill="CCEEFF"/>
          </w:tcPr>
          <w:p>
            <w:pPr>
              <w:jc w:val="right"/>
              <w:ind w:right="18"/>
              <w:spacing w:after="0"/>
              <w:rPr>
                <w:sz w:val="20"/>
                <w:szCs w:val="20"/>
                <w:color w:val="auto"/>
              </w:rPr>
            </w:pPr>
            <w:r>
              <w:rPr>
                <w:rFonts w:ascii="Arial" w:cs="Arial" w:eastAsia="Arial" w:hAnsi="Arial"/>
                <w:sz w:val="13"/>
                <w:szCs w:val="13"/>
                <w:color w:val="auto"/>
              </w:rPr>
              <w:t>(94)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80" w:type="dxa"/>
            <w:vAlign w:val="bottom"/>
          </w:tcPr>
          <w:p>
            <w:pPr>
              <w:spacing w:after="0" w:line="121" w:lineRule="exact"/>
              <w:rPr>
                <w:sz w:val="20"/>
                <w:szCs w:val="20"/>
                <w:color w:val="auto"/>
              </w:rPr>
            </w:pPr>
            <w:r>
              <w:rPr>
                <w:rFonts w:ascii="Arial" w:cs="Arial" w:eastAsia="Arial" w:hAnsi="Arial"/>
                <w:sz w:val="13"/>
                <w:szCs w:val="13"/>
                <w:color w:val="auto"/>
              </w:rPr>
              <w:t>Series C super dividend redeemable</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100"/>
              <w:spacing w:after="0"/>
              <w:rPr>
                <w:sz w:val="20"/>
                <w:szCs w:val="20"/>
                <w:color w:val="auto"/>
              </w:rPr>
            </w:pPr>
            <w:r>
              <w:rPr>
                <w:rFonts w:ascii="Arial" w:cs="Arial" w:eastAsia="Arial" w:hAnsi="Arial"/>
                <w:sz w:val="13"/>
                <w:szCs w:val="13"/>
                <w:color w:val="auto"/>
              </w:rPr>
              <w:t>convertible preferred stock dividend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11,899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56</w:t>
            </w:r>
          </w:p>
        </w:tc>
        <w:tc>
          <w:tcPr>
            <w:tcW w:w="760" w:type="dxa"/>
            <w:vAlign w:val="bottom"/>
            <w:gridSpan w:val="3"/>
          </w:tcPr>
          <w:p>
            <w:pPr>
              <w:jc w:val="right"/>
              <w:ind w:right="18"/>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common stock</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618,614</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5,241</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5,242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80" w:type="dxa"/>
            <w:vAlign w:val="bottom"/>
          </w:tcPr>
          <w:p>
            <w:pPr>
              <w:spacing w:after="0" w:line="121" w:lineRule="exact"/>
              <w:rPr>
                <w:sz w:val="20"/>
                <w:szCs w:val="20"/>
                <w:color w:val="auto"/>
              </w:rPr>
            </w:pPr>
            <w:r>
              <w:rPr>
                <w:rFonts w:ascii="Arial" w:cs="Arial" w:eastAsia="Arial" w:hAnsi="Arial"/>
                <w:sz w:val="13"/>
                <w:szCs w:val="13"/>
                <w:color w:val="auto"/>
                <w:w w:val="94"/>
              </w:rPr>
              <w:t>Issuance of common stock from exercise of</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100"/>
              <w:spacing w:after="0"/>
              <w:rPr>
                <w:sz w:val="20"/>
                <w:szCs w:val="20"/>
                <w:color w:val="auto"/>
              </w:rPr>
            </w:pPr>
            <w:r>
              <w:rPr>
                <w:rFonts w:ascii="Arial" w:cs="Arial" w:eastAsia="Arial" w:hAnsi="Arial"/>
                <w:sz w:val="13"/>
                <w:szCs w:val="13"/>
                <w:color w:val="auto"/>
              </w:rPr>
              <w:t>warrants and options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4,107,187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4</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8,793</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8,797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common stock for services</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2,655</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80" w:type="dxa"/>
            <w:vAlign w:val="bottom"/>
          </w:tcPr>
          <w:p>
            <w:pPr>
              <w:spacing w:after="0" w:line="121" w:lineRule="exact"/>
              <w:rPr>
                <w:sz w:val="20"/>
                <w:szCs w:val="20"/>
                <w:color w:val="auto"/>
              </w:rPr>
            </w:pPr>
            <w:r>
              <w:rPr>
                <w:rFonts w:ascii="Arial" w:cs="Arial" w:eastAsia="Arial" w:hAnsi="Arial"/>
                <w:sz w:val="13"/>
                <w:szCs w:val="13"/>
                <w:color w:val="auto"/>
                <w:w w:val="99"/>
              </w:rPr>
              <w:t>Issuance of common stock from Series A</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100"/>
              <w:spacing w:after="0"/>
              <w:rPr>
                <w:sz w:val="20"/>
                <w:szCs w:val="20"/>
                <w:color w:val="auto"/>
              </w:rPr>
            </w:pPr>
            <w:r>
              <w:rPr>
                <w:rFonts w:ascii="Arial" w:cs="Arial" w:eastAsia="Arial" w:hAnsi="Arial"/>
                <w:sz w:val="13"/>
                <w:szCs w:val="13"/>
                <w:color w:val="auto"/>
              </w:rPr>
              <w:t>conversion</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(25,000)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w w:val="94"/>
              </w:rPr>
              <w:t>(10)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4,257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2,630</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2,630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(8,098)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(8,098)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June 30, 2018</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9"/>
              </w:rPr>
              <w:t>1,352,500</w:t>
            </w:r>
          </w:p>
        </w:tc>
        <w:tc>
          <w:tcPr>
            <w:tcW w:w="1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07"/>
              <w:spacing w:after="0" w:line="135" w:lineRule="exact"/>
              <w:rPr>
                <w:sz w:val="20"/>
                <w:szCs w:val="20"/>
                <w:color w:val="auto"/>
              </w:rPr>
            </w:pPr>
            <w:r>
              <w:rPr>
                <w:rFonts w:ascii="Arial" w:cs="Arial" w:eastAsia="Arial" w:hAnsi="Arial"/>
                <w:sz w:val="13"/>
                <w:szCs w:val="13"/>
                <w:b w:val="1"/>
                <w:bCs w:val="1"/>
                <w:color w:val="auto"/>
              </w:rPr>
              <w:t>$</w:t>
            </w: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547</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900,000</w:t>
            </w:r>
          </w:p>
        </w:tc>
        <w:tc>
          <w:tcPr>
            <w:tcW w:w="10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98"/>
              </w:rPr>
              <w:t>1,761</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96"/>
              </w:rPr>
              <w:t>2,100,000</w:t>
            </w:r>
          </w:p>
        </w:tc>
        <w:tc>
          <w:tcPr>
            <w:tcW w:w="10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9"/>
                <w:szCs w:val="9"/>
                <w:b w:val="1"/>
                <w:bCs w:val="1"/>
                <w:color w:val="auto"/>
                <w:w w:val="78"/>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98"/>
              </w:rPr>
              <w:t>3,697</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2,508,000</w:t>
            </w:r>
          </w:p>
        </w:tc>
        <w:tc>
          <w:tcPr>
            <w:tcW w:w="10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98"/>
              </w:rPr>
              <w:t>1,224</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9"/>
              </w:rPr>
              <w:t>40,628,183</w:t>
            </w:r>
          </w:p>
        </w:tc>
        <w:tc>
          <w:tcPr>
            <w:tcW w:w="360" w:type="dxa"/>
            <w:vAlign w:val="bottom"/>
            <w:gridSpan w:val="2"/>
            <w:shd w:val="clear" w:color="auto" w:fill="CCEEFF"/>
          </w:tcPr>
          <w:p>
            <w:pPr>
              <w:jc w:val="right"/>
              <w:ind w:right="134"/>
              <w:spacing w:after="0" w:line="135" w:lineRule="exact"/>
              <w:rPr>
                <w:sz w:val="20"/>
                <w:szCs w:val="20"/>
                <w:color w:val="auto"/>
              </w:rPr>
            </w:pPr>
            <w:r>
              <w:rPr>
                <w:rFonts w:ascii="Arial" w:cs="Arial" w:eastAsia="Arial" w:hAnsi="Arial"/>
                <w:sz w:val="13"/>
                <w:szCs w:val="13"/>
                <w:b w:val="1"/>
                <w:bCs w:val="1"/>
                <w:color w:val="auto"/>
              </w:rPr>
              <w:t>$</w:t>
            </w: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41</w:t>
            </w: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$ 190,602</w:t>
            </w:r>
          </w:p>
        </w:tc>
        <w:tc>
          <w:tcPr>
            <w:tcW w:w="760" w:type="dxa"/>
            <w:vAlign w:val="bottom"/>
            <w:gridSpan w:val="3"/>
            <w:shd w:val="clear" w:color="auto" w:fill="CCEEFF"/>
          </w:tcPr>
          <w:p>
            <w:pPr>
              <w:jc w:val="right"/>
              <w:ind w:right="18"/>
              <w:spacing w:after="0" w:line="135" w:lineRule="exact"/>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(189,820)</w:t>
            </w:r>
          </w:p>
        </w:tc>
        <w:tc>
          <w:tcPr>
            <w:tcW w:w="1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8,052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at December 31, 2018</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00" w:type="dxa"/>
            <w:vAlign w:val="bottom"/>
            <w:gridSpan w:val="2"/>
            <w:vMerge w:val="continue"/>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9"/>
              </w:rPr>
              <w:t>1,327,500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jc w:val="right"/>
              <w:ind w:right="107"/>
              <w:spacing w:after="0"/>
              <w:rPr>
                <w:sz w:val="20"/>
                <w:szCs w:val="20"/>
                <w:color w:val="auto"/>
              </w:rPr>
            </w:pPr>
            <w:r>
              <w:rPr>
                <w:rFonts w:ascii="Arial" w:cs="Arial" w:eastAsia="Arial" w:hAnsi="Arial"/>
                <w:sz w:val="5"/>
                <w:szCs w:val="5"/>
                <w:b w:val="1"/>
                <w:bCs w:val="1"/>
                <w:color w:val="auto"/>
                <w:w w:val="70"/>
              </w:rPr>
              <w:t>$</w:t>
            </w:r>
          </w:p>
        </w:tc>
        <w:tc>
          <w:tcPr>
            <w:tcW w:w="2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2"/>
              </w:rPr>
              <w:t>537</w:t>
            </w:r>
          </w:p>
        </w:tc>
        <w:tc>
          <w:tcPr>
            <w:tcW w:w="1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900,000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3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8"/>
              </w:rPr>
              <w:t>1,761</w:t>
            </w:r>
          </w:p>
        </w:tc>
        <w:tc>
          <w:tcPr>
            <w:tcW w:w="1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6"/>
              </w:rPr>
              <w:t>2,100,000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9"/>
                <w:szCs w:val="9"/>
                <w:b w:val="1"/>
                <w:bCs w:val="1"/>
                <w:color w:val="auto"/>
                <w:w w:val="78"/>
              </w:rPr>
              <w:t>$</w:t>
            </w:r>
          </w:p>
        </w:tc>
        <w:tc>
          <w:tcPr>
            <w:tcW w:w="3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8"/>
              </w:rPr>
              <w:t>3,697</w:t>
            </w:r>
          </w:p>
        </w:tc>
        <w:tc>
          <w:tcPr>
            <w:tcW w:w="1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2,508,000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3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8"/>
              </w:rPr>
              <w:t>1,224</w:t>
            </w:r>
          </w:p>
        </w:tc>
        <w:tc>
          <w:tcPr>
            <w:tcW w:w="1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9"/>
              </w:rPr>
              <w:t>41,190,905</w:t>
            </w:r>
          </w:p>
        </w:tc>
        <w:tc>
          <w:tcPr>
            <w:tcW w:w="160" w:type="dxa"/>
            <w:vAlign w:val="bottom"/>
          </w:tcPr>
          <w:p>
            <w:pPr>
              <w:spacing w:after="0"/>
              <w:rPr>
                <w:sz w:val="11"/>
                <w:szCs w:val="11"/>
                <w:color w:val="auto"/>
              </w:rPr>
            </w:pPr>
          </w:p>
        </w:tc>
        <w:tc>
          <w:tcPr>
            <w:tcW w:w="200" w:type="dxa"/>
            <w:vAlign w:val="bottom"/>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1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41</w:t>
            </w:r>
          </w:p>
        </w:tc>
        <w:tc>
          <w:tcPr>
            <w:tcW w:w="16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79"/>
              </w:rPr>
              <w:t>$ 194,130</w:t>
            </w:r>
          </w:p>
        </w:tc>
        <w:tc>
          <w:tcPr>
            <w:tcW w:w="14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79"/>
              </w:rPr>
              <w:t>$(196,215)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line="129" w:lineRule="exact"/>
              <w:rPr>
                <w:sz w:val="20"/>
                <w:szCs w:val="20"/>
                <w:color w:val="auto"/>
              </w:rPr>
            </w:pPr>
            <w:r>
              <w:rPr>
                <w:rFonts w:ascii="Arial" w:cs="Arial" w:eastAsia="Arial" w:hAnsi="Arial"/>
                <w:sz w:val="13"/>
                <w:szCs w:val="13"/>
                <w:b w:val="1"/>
                <w:bCs w:val="1"/>
                <w:color w:val="auto"/>
              </w:rPr>
              <w:t>$</w:t>
            </w:r>
          </w:p>
        </w:tc>
        <w:tc>
          <w:tcPr>
            <w:tcW w:w="5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5,175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Series A 12% convertible preferred stock</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dividend</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8"/>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80" w:type="dxa"/>
            <w:vAlign w:val="bottom"/>
          </w:tcPr>
          <w:p>
            <w:pPr>
              <w:spacing w:after="0" w:line="121" w:lineRule="exact"/>
              <w:rPr>
                <w:sz w:val="20"/>
                <w:szCs w:val="20"/>
                <w:color w:val="auto"/>
              </w:rPr>
            </w:pPr>
            <w:r>
              <w:rPr>
                <w:rFonts w:ascii="Arial" w:cs="Arial" w:eastAsia="Arial" w:hAnsi="Arial"/>
                <w:sz w:val="13"/>
                <w:szCs w:val="13"/>
                <w:color w:val="auto"/>
                <w:w w:val="95"/>
              </w:rPr>
              <w:t>Series B-1 12% convertible preferred stock</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100"/>
              <w:spacing w:after="0"/>
              <w:rPr>
                <w:sz w:val="20"/>
                <w:szCs w:val="20"/>
                <w:color w:val="auto"/>
              </w:rPr>
            </w:pPr>
            <w:r>
              <w:rPr>
                <w:rFonts w:ascii="Arial" w:cs="Arial" w:eastAsia="Arial" w:hAnsi="Arial"/>
                <w:sz w:val="13"/>
                <w:szCs w:val="13"/>
                <w:color w:val="auto"/>
              </w:rPr>
              <w:t>dividend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3"/>
          </w:tcPr>
          <w:p>
            <w:pPr>
              <w:jc w:val="right"/>
              <w:ind w:right="18"/>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Series B-2 12% convertible preferred stock</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dividend</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8"/>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80" w:type="dxa"/>
            <w:vAlign w:val="bottom"/>
          </w:tcPr>
          <w:p>
            <w:pPr>
              <w:spacing w:after="0" w:line="121" w:lineRule="exact"/>
              <w:rPr>
                <w:sz w:val="20"/>
                <w:szCs w:val="20"/>
                <w:color w:val="auto"/>
              </w:rPr>
            </w:pPr>
            <w:r>
              <w:rPr>
                <w:rFonts w:ascii="Arial" w:cs="Arial" w:eastAsia="Arial" w:hAnsi="Arial"/>
                <w:sz w:val="13"/>
                <w:szCs w:val="13"/>
                <w:color w:val="auto"/>
                <w:w w:val="98"/>
              </w:rPr>
              <w:t>Series B-3 8% convertible preferred stock</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100"/>
              <w:spacing w:after="0"/>
              <w:rPr>
                <w:sz w:val="20"/>
                <w:szCs w:val="20"/>
                <w:color w:val="auto"/>
              </w:rPr>
            </w:pPr>
            <w:r>
              <w:rPr>
                <w:rFonts w:ascii="Arial" w:cs="Arial" w:eastAsia="Arial" w:hAnsi="Arial"/>
                <w:sz w:val="13"/>
                <w:szCs w:val="13"/>
                <w:color w:val="auto"/>
              </w:rPr>
              <w:t>dividend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3"/>
          </w:tcPr>
          <w:p>
            <w:pPr>
              <w:jc w:val="right"/>
              <w:ind w:right="18"/>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Series C super dividend redeemable</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convertible preferred stock dividend</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8"/>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line="135" w:lineRule="exact"/>
              <w:rPr>
                <w:sz w:val="20"/>
                <w:szCs w:val="20"/>
                <w:color w:val="auto"/>
              </w:rPr>
            </w:pPr>
            <w:r>
              <w:rPr>
                <w:rFonts w:ascii="Arial" w:cs="Arial" w:eastAsia="Arial" w:hAnsi="Arial"/>
                <w:sz w:val="13"/>
                <w:szCs w:val="13"/>
                <w:color w:val="auto"/>
              </w:rPr>
              <w:t>Issuance of common stock</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w w:val="89"/>
              </w:rPr>
              <w:t>10,883,394</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46,744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46,754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Conversion of Series B Convertible</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Preferred to common</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3"/>
              </w:rPr>
              <w:t>(900,000)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7"/>
              </w:rPr>
              <w:t>(1,761)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0"/>
              </w:rPr>
              <w:t>(2,100,000)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7"/>
              </w:rPr>
              <w:t>(3,697)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3"/>
              </w:rPr>
              <w:t>(2,508,000)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7"/>
              </w:rPr>
              <w:t>(1,224)</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3,789,346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6,678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80" w:type="dxa"/>
            <w:vAlign w:val="bottom"/>
          </w:tcPr>
          <w:p>
            <w:pPr>
              <w:spacing w:after="0" w:line="121" w:lineRule="exact"/>
              <w:rPr>
                <w:sz w:val="20"/>
                <w:szCs w:val="20"/>
                <w:color w:val="auto"/>
              </w:rPr>
            </w:pPr>
            <w:r>
              <w:rPr>
                <w:rFonts w:ascii="Arial" w:cs="Arial" w:eastAsia="Arial" w:hAnsi="Arial"/>
                <w:sz w:val="13"/>
                <w:szCs w:val="13"/>
                <w:color w:val="auto"/>
                <w:w w:val="98"/>
              </w:rPr>
              <w:t>Issuance of common stock for exercise of</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100"/>
              <w:spacing w:after="0"/>
              <w:rPr>
                <w:sz w:val="20"/>
                <w:szCs w:val="20"/>
                <w:color w:val="auto"/>
              </w:rPr>
            </w:pPr>
            <w:r>
              <w:rPr>
                <w:rFonts w:ascii="Arial" w:cs="Arial" w:eastAsia="Arial" w:hAnsi="Arial"/>
                <w:sz w:val="13"/>
                <w:szCs w:val="13"/>
                <w:color w:val="auto"/>
              </w:rPr>
              <w:t>warrants and options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727,633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1</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2,649</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Warrant modification (Note 9)</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6,622</w:t>
            </w:r>
          </w:p>
        </w:tc>
        <w:tc>
          <w:tcPr>
            <w:tcW w:w="760" w:type="dxa"/>
            <w:vAlign w:val="bottom"/>
            <w:gridSpan w:val="3"/>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(6,622)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855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(5,373)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(5,373)</w:t>
            </w:r>
          </w:p>
        </w:tc>
        <w:tc>
          <w:tcPr>
            <w:tcW w:w="0" w:type="dxa"/>
            <w:vAlign w:val="bottom"/>
          </w:tcPr>
          <w:p>
            <w:pPr>
              <w:spacing w:after="0"/>
              <w:rPr>
                <w:sz w:val="1"/>
                <w:szCs w:val="1"/>
                <w:color w:val="auto"/>
              </w:rPr>
            </w:pPr>
          </w:p>
        </w:tc>
      </w:tr>
      <w:tr>
        <w:trPr>
          <w:trHeight w:val="142"/>
        </w:trPr>
        <w:tc>
          <w:tcPr>
            <w:tcW w:w="24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Balance at June 30, 2019</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9"/>
              </w:rPr>
              <w:t>1,327,500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5"/>
                <w:szCs w:val="5"/>
                <w:b w:val="1"/>
                <w:bCs w:val="1"/>
                <w:color w:val="auto"/>
                <w:w w:val="70"/>
              </w:rPr>
              <w:t>$</w:t>
            </w:r>
          </w:p>
        </w:tc>
        <w:tc>
          <w:tcPr>
            <w:tcW w:w="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2"/>
              </w:rPr>
              <w:t>537</w:t>
            </w:r>
          </w:p>
        </w:tc>
        <w:tc>
          <w:tcPr>
            <w:tcW w:w="1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2"/>
              <w:spacing w:after="0" w:line="143"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340" w:type="dxa"/>
            <w:vAlign w:val="bottom"/>
            <w:tcBorders>
              <w:top w:val="single" w:sz="8" w:color="auto"/>
              <w:bottom w:val="single" w:sz="8" w:color="auto"/>
            </w:tcBorders>
          </w:tcPr>
          <w:p>
            <w:pPr>
              <w:jc w:val="right"/>
              <w:ind w:right="17"/>
              <w:spacing w:after="0" w:line="143"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2"/>
              <w:spacing w:after="0" w:line="143"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b w:val="1"/>
                <w:bCs w:val="1"/>
                <w:color w:val="auto"/>
                <w:w w:val="78"/>
              </w:rPr>
              <w:t>$</w:t>
            </w:r>
          </w:p>
        </w:tc>
        <w:tc>
          <w:tcPr>
            <w:tcW w:w="3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22"/>
              <w:spacing w:after="0" w:line="143"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340" w:type="dxa"/>
            <w:vAlign w:val="bottom"/>
            <w:tcBorders>
              <w:top w:val="single" w:sz="8" w:color="auto"/>
              <w:bottom w:val="single" w:sz="8" w:color="auto"/>
            </w:tcBorders>
          </w:tcPr>
          <w:p>
            <w:pPr>
              <w:jc w:val="right"/>
              <w:ind w:right="17"/>
              <w:spacing w:after="0" w:line="143"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9"/>
              </w:rPr>
              <w:t>56,591,278</w:t>
            </w: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5"/>
                <w:szCs w:val="5"/>
                <w:b w:val="1"/>
                <w:bCs w:val="1"/>
                <w:color w:val="auto"/>
                <w:w w:val="70"/>
              </w:rPr>
              <w:t>$</w:t>
            </w:r>
          </w:p>
        </w:tc>
        <w:tc>
          <w:tcPr>
            <w:tcW w:w="1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56</w:t>
            </w: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79"/>
              </w:rPr>
              <w:t>$ 257,678</w:t>
            </w:r>
          </w:p>
        </w:tc>
        <w:tc>
          <w:tcPr>
            <w:tcW w:w="1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u w:val="single" w:color="auto"/>
                <w:color w:val="auto"/>
                <w:w w:val="85"/>
              </w:rPr>
              <w:t>$</w:t>
            </w:r>
            <w:r>
              <w:rPr>
                <w:rFonts w:ascii="Arial" w:cs="Arial" w:eastAsia="Arial" w:hAnsi="Arial"/>
                <w:sz w:val="13"/>
                <w:szCs w:val="13"/>
                <w:b w:val="1"/>
                <w:bCs w:val="1"/>
                <w:color w:val="auto"/>
                <w:w w:val="85"/>
              </w:rPr>
              <w:t>(208,373</w:t>
            </w:r>
          </w:p>
        </w:tc>
        <w:tc>
          <w:tcPr>
            <w:tcW w:w="100" w:type="dxa"/>
            <w:vAlign w:val="bottom"/>
          </w:tcPr>
          <w:p>
            <w:pPr>
              <w:jc w:val="right"/>
              <w:ind w:right="18"/>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w:t>
            </w: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49,898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Galectin Therapeutics Inc. (the “Company”) is a clinical stage biopharmaceutical company that is applying its leadership in galectin science and drug development to create new therapies for fibrotic disease, skin diseases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unaudited condensed consolidated financial statements as reported in this Quarterly Report on Form 10-Q reflect all adjustments which are, in the opinion of management, necessary to present fairly the financial position of the Company as of June 30, 2019 and the results of its operations for the three and six months ended June 30, 2019 and 2018 and its cash flows for the six months ended June 30, 2019 and 2018. All adjustments made to the interim financial statements include all those of a normal and recurring nature. Amounts presented in the condensed consolidated balance sheet as of December 31, 2018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that may be expected for any other interim period or for the full year. The unaudited condensed consolidated financial statements of the Company should be read in conjunction with its Annual Report on Form 10-K for the year ended December 31, 2018.</w:t>
      </w:r>
    </w:p>
    <w:p>
      <w:pPr>
        <w:spacing w:after="0" w:line="183"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Company has operated at a loss since its inception and has had no significant revenues. The Company anticipates that losses will continue for the foreseeable future. At June 30, 2019, the Company had $52 million of unrestricted cash and cash equivalents available to fund future operations. The Company believes there is sufficient cash, including availability of the line of credit (see Note 3), to fund currently planned operations at least through December 31, 2020. We expect that we will require more cash to fund our operations after December 31, 2020 and believe we will be able to obtain additional financing. The currently planned operations include estimated costs related to a planned Phase 3 clinical trial through December 31, 2020. While the costs of the trial and general overhead during the Phase 3 trial are expected to be approximately $100 million, the costs and timing of such trial is not yet completely finalized. These costs will require additional funding. There can be no assurance that we will be successful in obtaining financing to support our operations beyond December 31, 2020 or, if available, that any such financing will be on terms acceptable to us. Accordingly, based on the forecasts and estimates underlying our current operating plan, the financial statements do not currently include any adjustments that might be necessary if we are unable to continue as a going concern.</w:t>
      </w:r>
    </w:p>
    <w:p>
      <w:pPr>
        <w:spacing w:after="0" w:line="178"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225"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The Financial Accounting Standards Board (the “FASB”) issued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amended by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The new guidance requires a lessee to recognize assets and liabilities for all leases with lease terms of more than 12 months and provide additional disclosures. The ASU requires adoption using a modified retrospective transition approach with either 1) periods prior to the adoption date being recast or 2) a cumulative-effect adjustment recognized to the opening balance of retained earnings on the adoption date with prior periods not recast. We adopted this standard using a modified retrospective transition approach on January 1, 2019 however we only have one lease related to our office space and it was amended effective January 1, 2019. Therefore, no cumulative-effect adjustment approach was required. See Note 11 for the financial position impact and additional disclosures.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Accrued Expenses and Other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880" w:type="dxa"/>
            <w:vAlign w:val="bottom"/>
            <w:gridSpan w:val="3"/>
          </w:tcPr>
          <w:p>
            <w:pPr>
              <w:ind w:left="1400"/>
              <w:spacing w:after="0"/>
              <w:rPr>
                <w:sz w:val="20"/>
                <w:szCs w:val="20"/>
                <w:color w:val="auto"/>
              </w:rPr>
            </w:pPr>
            <w:r>
              <w:rPr>
                <w:rFonts w:ascii="Arial" w:cs="Arial" w:eastAsia="Arial" w:hAnsi="Arial"/>
                <w:sz w:val="14"/>
                <w:szCs w:val="14"/>
                <w:color w:val="auto"/>
                <w:w w:val="85"/>
              </w:rPr>
              <w:t>June 30,</w:t>
            </w:r>
          </w:p>
        </w:tc>
        <w:tc>
          <w:tcPr>
            <w:tcW w:w="1440" w:type="dxa"/>
            <w:vAlign w:val="bottom"/>
            <w:gridSpan w:val="4"/>
          </w:tcPr>
          <w:p>
            <w:pPr>
              <w:ind w:left="580"/>
              <w:spacing w:after="0"/>
              <w:rPr>
                <w:sz w:val="20"/>
                <w:szCs w:val="20"/>
                <w:color w:val="auto"/>
              </w:rPr>
            </w:pPr>
            <w:r>
              <w:rPr>
                <w:rFonts w:ascii="Arial" w:cs="Arial" w:eastAsia="Arial" w:hAnsi="Arial"/>
                <w:sz w:val="14"/>
                <w:szCs w:val="14"/>
                <w:color w:val="auto"/>
                <w:w w:val="95"/>
              </w:rPr>
              <w:t>December 31,</w:t>
            </w:r>
          </w:p>
        </w:tc>
      </w:tr>
      <w:tr>
        <w:trPr>
          <w:trHeight w:val="167"/>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w w:val="89"/>
              </w:rPr>
              <w:t>2019</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3"/>
          </w:tcPr>
          <w:p>
            <w:pPr>
              <w:jc w:val="right"/>
              <w:ind w:right="453"/>
              <w:spacing w:after="0" w:line="142" w:lineRule="exact"/>
              <w:rPr>
                <w:sz w:val="20"/>
                <w:szCs w:val="20"/>
                <w:color w:val="auto"/>
              </w:rPr>
            </w:pPr>
            <w:r>
              <w:rPr>
                <w:rFonts w:ascii="Arial" w:cs="Arial" w:eastAsia="Arial" w:hAnsi="Arial"/>
                <w:sz w:val="14"/>
                <w:szCs w:val="14"/>
                <w:color w:val="auto"/>
                <w:w w:val="94"/>
              </w:rPr>
              <w:t>(in thousands)</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4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Accrued compensation</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715</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Accrued research and development costs and other</w:t>
            </w:r>
          </w:p>
        </w:tc>
        <w:tc>
          <w:tcPr>
            <w:tcW w:w="1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Line of Credit</w:t>
      </w:r>
    </w:p>
    <w:p>
      <w:pPr>
        <w:spacing w:after="0" w:line="12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On December 19, 2017, the Company entered into a $10 million Line of Credit arrangement with Richard E. Uihlein, a director and shareholder who had an approximate 7% ownership interest in the Company on a fully-diluted basis at December 31, 2017. Originally, borrowings may be made by the Company through December 31, 2018. Borrowings bear interest at the Applicable Federal Rate for short term loans published by the Internal Revenue Service (2.7% in January 2019). All borrowings and interest were originally due on December 31, 2019 but could be prepaid without penalty. In connection with the Line of Credit agreement, the Company issued to Mr. Uihlein warrants to purchase 1 million shares of the Company’s common stock for $5 per share. Half of the warrants vested at closing of the Line of Credit and the other half vest ratably with borrowings under the agreement. There have been no borrowings under the Line of Credit to date.</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December 20, 2018, the Line of Credit arrangement was extended for one year for both borrowings and maturity. At the time of the conversion of the Series B Convertible Preferred stock into common stock (See Note 9), on January 11, 2019, the Line of Credit arrangement was extended for an additional two years for both borrowings and maturity. After the second amendment to the Line of Credit arrangement, borrowings may be made through December 31, 2021 with repayment due on December 31, 2022. There was no additional consideration or benefits provided to Mr. Uihlein for any of the extensions of the Line of Credit.</w:t>
      </w:r>
    </w:p>
    <w:p>
      <w:pPr>
        <w:spacing w:after="0" w:line="18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fair value of the 500,000 warrants vested at closing in December 2017 was $696,000 at the date of issuance based on the following assumptions: an expected life of 7 years, volatility of 98%, risk free interest rate of 2.05% and zero dividends. The fair value of the vested warrants was recorded in other current assets and other assets (non-current) as a deferred financing cost and were to be amortized on a straight-line basis from December 19, 2017 through December 31, 2019. The remaining unamortized balance of the deferred financing cost on January 11, 2019 was adjusted to be recorded as expense on a straight-line basis through December 31, 2022. Amortization for the six months ended June 30, 2019 and 2018 of $43,000 and $169,000, respectively, was recorded as interest expense. In May 2019, Mr. Uihlein exercised the 500,000 vested warrants and the Company received the proceeds of $2,500,000.</w:t>
      </w:r>
    </w:p>
    <w:p>
      <w:pPr>
        <w:spacing w:after="0" w:line="189"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fair value of warrants that vest in the future based on borrowings will be computed when those borrowings occur and amortized over the remaining period through December 31, 2022 reflecting the second extension.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Stock-Based Compensation</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60" w:type="dxa"/>
            <w:vAlign w:val="bottom"/>
            <w:gridSpan w:val="5"/>
          </w:tcPr>
          <w:p>
            <w:pPr>
              <w:ind w:left="60"/>
              <w:spacing w:after="0"/>
              <w:rPr>
                <w:sz w:val="20"/>
                <w:szCs w:val="20"/>
                <w:color w:val="auto"/>
              </w:rPr>
            </w:pPr>
            <w:r>
              <w:rPr>
                <w:rFonts w:ascii="Arial" w:cs="Arial" w:eastAsia="Arial" w:hAnsi="Arial"/>
                <w:sz w:val="14"/>
                <w:szCs w:val="14"/>
                <w:b w:val="1"/>
                <w:bCs w:val="1"/>
                <w:color w:val="auto"/>
                <w:w w:val="99"/>
              </w:rPr>
              <w:t>Three Months Ended</w:t>
            </w:r>
          </w:p>
        </w:tc>
        <w:tc>
          <w:tcPr>
            <w:tcW w:w="320" w:type="dxa"/>
            <w:vAlign w:val="bottom"/>
          </w:tcPr>
          <w:p>
            <w:pPr>
              <w:spacing w:after="0"/>
              <w:rPr>
                <w:sz w:val="14"/>
                <w:szCs w:val="14"/>
                <w:color w:val="auto"/>
              </w:rPr>
            </w:pPr>
          </w:p>
        </w:tc>
        <w:tc>
          <w:tcPr>
            <w:tcW w:w="13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3"/>
              </w:rPr>
              <w:t>2018</w:t>
            </w:r>
          </w:p>
        </w:tc>
        <w:tc>
          <w:tcPr>
            <w:tcW w:w="3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$ 170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360</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3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443</w:t>
            </w:r>
          </w:p>
        </w:tc>
        <w:tc>
          <w:tcPr>
            <w:tcW w:w="5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40" w:type="dxa"/>
            <w:vAlign w:val="bottom"/>
            <w:vMerge w:val="restart"/>
          </w:tcPr>
          <w:p>
            <w:pPr>
              <w:jc w:val="right"/>
              <w:ind w:right="1730"/>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2018 through June 30, 2019:</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4"/>
          </w:tcPr>
          <w:p>
            <w:pPr>
              <w:jc w:val="right"/>
              <w:ind w:right="60"/>
              <w:spacing w:after="0"/>
              <w:rPr>
                <w:sz w:val="20"/>
                <w:szCs w:val="20"/>
                <w:color w:val="auto"/>
              </w:rPr>
            </w:pPr>
            <w:r>
              <w:rPr>
                <w:rFonts w:ascii="Arial" w:cs="Arial" w:eastAsia="Arial" w:hAnsi="Arial"/>
                <w:sz w:val="14"/>
                <w:szCs w:val="14"/>
                <w:color w:val="auto"/>
              </w:rPr>
              <w:t>Weighted Average</w:t>
            </w:r>
          </w:p>
        </w:tc>
      </w:tr>
      <w:tr>
        <w:trPr>
          <w:trHeight w:val="167"/>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color w:val="auto"/>
              </w:rPr>
              <w:t>Shares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2,713,979</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530,000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(142,543)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(39,098)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3,062,338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As of June 30, 2019, there was $1,301,000 of unrecognized compensation related to 468,750 unvested options, which is expected to be recognized over a weighted–average period of approximately 1.07 years. The weighted-average grant date fair value for options granted during the three months ended June 30, 2019 was $3.83. The Company granted 530,000 stock options during the three months ended March 31, 2019.</w:t>
      </w:r>
    </w:p>
    <w:p>
      <w:pPr>
        <w:spacing w:after="0" w:line="166"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fair value of all options granted is determined using the Black-Scholes option-pricing model. The following weighted average assumptions were used:</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color w:val="auto"/>
                <w:w w:val="92"/>
              </w:rPr>
              <w:t>Six</w:t>
            </w:r>
          </w:p>
        </w:tc>
        <w:tc>
          <w:tcPr>
            <w:tcW w:w="2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Six</w:t>
            </w: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480" w:type="dxa"/>
            <w:vAlign w:val="bottom"/>
            <w:gridSpan w:val="3"/>
          </w:tcPr>
          <w:p>
            <w:pPr>
              <w:jc w:val="center"/>
              <w:ind w:left="1754"/>
              <w:spacing w:after="0" w:line="149" w:lineRule="exact"/>
              <w:rPr>
                <w:sz w:val="20"/>
                <w:szCs w:val="20"/>
                <w:color w:val="auto"/>
              </w:rPr>
            </w:pPr>
            <w:r>
              <w:rPr>
                <w:rFonts w:ascii="Arial" w:cs="Arial" w:eastAsia="Arial" w:hAnsi="Arial"/>
                <w:sz w:val="14"/>
                <w:szCs w:val="14"/>
                <w:color w:val="auto"/>
                <w:w w:val="92"/>
              </w:rPr>
              <w:t>Months Ended</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Months Ended</w:t>
            </w:r>
          </w:p>
        </w:tc>
      </w:tr>
      <w:tr>
        <w:trPr>
          <w:trHeight w:val="167"/>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color w:val="auto"/>
                <w:w w:val="89"/>
              </w:rPr>
              <w:t>June 30,</w:t>
            </w:r>
          </w:p>
        </w:tc>
        <w:tc>
          <w:tcPr>
            <w:tcW w:w="26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June 30,</w:t>
            </w:r>
          </w:p>
        </w:tc>
      </w:tr>
      <w:tr>
        <w:trPr>
          <w:trHeight w:val="142"/>
        </w:trPr>
        <w:tc>
          <w:tcPr>
            <w:tcW w:w="20" w:type="dxa"/>
            <w:vAlign w:val="bottom"/>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2019</w:t>
            </w:r>
          </w:p>
        </w:tc>
        <w:tc>
          <w:tcPr>
            <w:tcW w:w="4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2018</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2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6 years</w:t>
            </w:r>
          </w:p>
        </w:tc>
        <w:tc>
          <w:tcPr>
            <w:tcW w:w="2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5.7 years</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3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104%</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348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350"/>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240" w:type="dxa"/>
            <w:vAlign w:val="bottom"/>
          </w:tcPr>
          <w:p>
            <w:pPr>
              <w:jc w:val="right"/>
              <w:ind w:right="1474"/>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Common Stock Warrants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common stock warrant activity from December 31, 2018 through June 30, 2019:</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4"/>
          </w:tcPr>
          <w:p>
            <w:pPr>
              <w:jc w:val="right"/>
              <w:ind w:right="60"/>
              <w:spacing w:after="0"/>
              <w:rPr>
                <w:sz w:val="20"/>
                <w:szCs w:val="20"/>
                <w:color w:val="auto"/>
              </w:rPr>
            </w:pPr>
            <w:r>
              <w:rPr>
                <w:rFonts w:ascii="Arial" w:cs="Arial" w:eastAsia="Arial" w:hAnsi="Arial"/>
                <w:sz w:val="14"/>
                <w:szCs w:val="14"/>
                <w:color w:val="auto"/>
              </w:rPr>
              <w:t>Weighted Average</w:t>
            </w:r>
          </w:p>
        </w:tc>
      </w:tr>
      <w:tr>
        <w:trPr>
          <w:trHeight w:val="167"/>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color w:val="auto"/>
              </w:rPr>
              <w:t>Shares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10,647,026</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2,622,154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(585,090)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Forfeited/cancelled</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(143,411)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2019</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12,540,679</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2 or level 3 assets or liabilities at June 30, 2019 or December 31, 2018.</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Loss Per Share</w:t>
      </w:r>
    </w:p>
    <w:p>
      <w:pPr>
        <w:spacing w:after="0" w:line="12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93"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w w:val="90"/>
              </w:rPr>
              <w:t>June 30, 2019</w:t>
            </w:r>
          </w:p>
        </w:tc>
        <w:tc>
          <w:tcPr>
            <w:tcW w:w="22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color w:val="auto"/>
                <w:w w:val="90"/>
              </w:rPr>
              <w:t>June 30, 2018</w:t>
            </w:r>
          </w:p>
        </w:tc>
      </w:tr>
      <w:tr>
        <w:trPr>
          <w:trHeight w:val="167"/>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860" w:type="dxa"/>
            <w:vAlign w:val="bottom"/>
          </w:tcPr>
          <w:p>
            <w:pPr>
              <w:jc w:val="right"/>
              <w:ind w:right="116"/>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(shares)</w:t>
            </w: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12,540,679</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10,815,336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3,062,338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4,294,279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514,602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4,308,115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16,117,619</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19,417,730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2017 At Market Issuance of Common Stock</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On May 19, 2017, the Company entered into an At Market Issuance Sales Agreement (the “2017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2017 At Market Agreement. During the three months ended March 31, 2019, the Company issued 395,233 shares of its common stock under the 2017 At Market Agreement for net proceeds of approximately $1,865,000.</w:t>
      </w:r>
    </w:p>
    <w:p>
      <w:pPr>
        <w:spacing w:after="0" w:line="18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For the three months ended March 31, 2018, the Company has issued a total of 74,476 shares of common stock for dividends on Series A, Series B and Series C Preferred Stock.</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Rights Offering</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On May 23, 2019, the Company completed an offering of common stock and warrants to its shareholders of record as of April 29, 2019. In the offering, the Company received approximately $44.9 million for the issuance of 10,488,161 shares of common stock and warrants which may be exercised for 2,622,154 shares of common stock. The warrants may be exercised at $7.00 per share of common stock and expire on May 23, 2026. The warrants were valued at approximately $8.2 million as of the issuance, using the closing price of $4.01, a life of 7 years, a volatility of 101% and a risk-free interest rate of 2.33%.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Preferred Stock Conversion into Common Stock</w:t>
      </w:r>
    </w:p>
    <w:p>
      <w:pPr>
        <w:spacing w:after="0" w:line="121"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On January 11, 2019, 10X Fund L.P. (“10X Fund”), converted all of its Series B Convertible Preferred Stock into Common Stock of Galectin Therapeutics. Pursuant to the terms of the conversion, as of January 11, 2019, 10X Fund converted 5,508,000 shares of its Series B-1, B-2 and B-3 Convertible Preferred Stock into 3,789,346 shares of Common Stock of Galectin Therapeutics. All special voting rights and protective provisions that previously benefited the Series B Preferred Stock were extinguished by the conversion to Common Stock.</w:t>
      </w:r>
    </w:p>
    <w:p>
      <w:pPr>
        <w:spacing w:after="0" w:line="17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connection with the conversion of the Series B Preferred Stock, the Company extended by five years the exercise date of warrants for 3,579,642 shares of Common Stock issued by the Company in connection with sale of the Series B-1 and Series B-2 Preferred Stock. Before the extension, the warrants had various expiration dates in 2019 and 2020. The warrant amendments give 10X Fund the right to nominate one director to the Company’s board of directors. Previously, under the now extinguished voting rights of the Series B Preferred, 10X Fund had the right to name two directors and nominate an additional three directors.</w:t>
      </w:r>
    </w:p>
    <w:p>
      <w:pPr>
        <w:spacing w:after="0" w:line="188"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The Company has accounted for the modified terms of the warrants pursuant to ASC 718, Stock Compensation, whereby the Company has recognized a charge for the change in fair value of the warrants immediately before and immediately after the modification. In January 2019, the Company recognized a one-time non-cash charge of $6,622,000 related to the extension of the 3,579,642 warrants. The following assumptions were used to value the extension of the warrants immediately before and immediately after the modification: a) immediately before the modification — an expected life range of 0.09 to 1.33 years, volatility of 98%, risk free interest rate range of 2.4% to 2.59% and zero dividends and; b) immediately following the modification — an expected life range of 5.09 to 6.33 years, volatility range of 106%, risk free interest rate range of 2.56% to 2.6% and zero dividends.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significant pending legal proceedings.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Leases</w:t>
      </w:r>
    </w:p>
    <w:p>
      <w:pPr>
        <w:spacing w:after="0" w:line="12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Company has one operating lease for its office space which was amended effective January 1, 2019 for a term of 38 months with no residual value guarantees or material restrictive covenants. The amended lease provided for free rent for the first two months of the lease and continues the security deposit of $6,000. In addition to base rental payments included in the contractual obligations table above, the Company is responsible for our pro-rata share of the operating expenses for the building. Our lease cost for the six-month period ended June 30, 2019 was $22,000 and is included in general and administrative expenses. As of June 30, 2019, the right to use lease asset consisted of $101,000 and is included in other assets. Also, at June 30, 2019, current lease liability of $36,000 is included in accrued expenses and other and noncurrent lease liability of $72,000 is in other liabilities.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5680" w:type="dxa"/>
            <w:vAlign w:val="bottom"/>
            <w:gridSpan w:val="2"/>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040" w:type="dxa"/>
            <w:vAlign w:val="bottom"/>
            <w:gridSpan w:val="3"/>
          </w:tcPr>
          <w:p>
            <w:pPr>
              <w:ind w:left="640"/>
              <w:spacing w:after="0"/>
              <w:rPr>
                <w:sz w:val="20"/>
                <w:szCs w:val="20"/>
                <w:color w:val="auto"/>
              </w:rPr>
            </w:pPr>
            <w:r>
              <w:rPr>
                <w:rFonts w:ascii="Arial" w:cs="Arial" w:eastAsia="Arial" w:hAnsi="Arial"/>
                <w:sz w:val="18"/>
                <w:szCs w:val="18"/>
                <w:color w:val="auto"/>
              </w:rPr>
              <w:t>Maturity of operating lease as of June 30, 2019 in thousands:</w:t>
            </w: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620" w:type="dxa"/>
            <w:vAlign w:val="bottom"/>
            <w:vMerge w:val="restart"/>
          </w:tcPr>
          <w:p>
            <w:pPr>
              <w:spacing w:after="0"/>
              <w:rPr>
                <w:sz w:val="21"/>
                <w:szCs w:val="21"/>
                <w:color w:val="auto"/>
              </w:rPr>
            </w:pPr>
          </w:p>
        </w:tc>
        <w:tc>
          <w:tcPr>
            <w:tcW w:w="50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2020</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2022</w:t>
            </w:r>
          </w:p>
        </w:tc>
        <w:tc>
          <w:tcPr>
            <w:tcW w:w="2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Less imputed interest</w:t>
            </w:r>
          </w:p>
        </w:tc>
        <w:tc>
          <w:tcPr>
            <w:tcW w:w="2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liability</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The discount rate used in calculating the present value of the lease payments was 11.04%</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Galectin Sciences LLC</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January 2014, we created Galectin Sciences, LLC (the “LLC” or “Investee”), a collaborative joint venture co-owned by SBH Sciences, Inc.</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(“SBH”), to research and develop small organic molecule inhibitors of galectin-3 for oral administration. The LLC was initially capitalized with a</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$400,000 cash investment to fund future research and development activities, which was provided by the Company, and specific in-process research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development (“IPR&amp;D”) contributed by SBH. The estimated fair value of the IPR&amp;D contributed by SBH, on the date of contribution, was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$400,000. Initially, the Company and SBH each had a 50% equity ownership interest in the LLC, with neither party having control over the</w:t>
      </w:r>
    </w:p>
    <w:p>
      <w:pPr>
        <w:spacing w:after="0" w:line="9"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Since then, the Company has contributed a total of $1,883,000, including $79,000 for the three months ended June 30, 2019, for expenses of the LLC. Since the end of 2014, SBH has contributed $123,000 for expenses in the LLC. As of June 30, 2019, the Company’s ownership percentage in the LLC was 81.4%. The Company accounts for the interest in the LLC as a consolidated, less than wholly owned subsidiary. Because the LLC’s equity is immaterial, the value of the non-controlling interest is also deemed to be immaterial.</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46"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December 31, 2020;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77" w:lineRule="exact"/>
        <w:rPr>
          <w:sz w:val="20"/>
          <w:szCs w:val="20"/>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cannot assure you that we will generate revenue or profit,</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1180" w:right="52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any litigation,</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technology, including manufacturing of drug product, and clinical trials, including expected dates of availability of clinical data,</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1180" w:right="180" w:hanging="436"/>
        <w:spacing w:after="0" w:line="342" w:lineRule="auto"/>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 and</w:t>
      </w:r>
    </w:p>
    <w:p>
      <w:pPr>
        <w:spacing w:after="0" w:line="130"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We are a clinical stage biopharmaceutical company engaged in drug research and development to create new therapies for fibrotic disease, severe skin disease, and cancer. Our drug candidates are based on our method of targeting galectin proteins, which are key mediators of biologic and pathologic functions. We use naturally occurring, readily 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significant additional resources.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7"/>
          <w:szCs w:val="17"/>
          <w:color w:val="auto"/>
        </w:rPr>
        <w:t>Our lead galectin-3 inhibitor is GR-MD-02, which has been demonstrated in preclinical models to reverse liver fibrosis and cirrhosis. GR-MD-02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gene responsible for galectin-3 “knocked-out” can no longer develop fibrosis in response to experimental stimuli compared to animals with an intact galectin-3 gene. Galectin Therapeutics Inc. is using its galectin-3 inhibitor to treat advanced liver fibrosis and liver cirrhosis in NASH (non-alcoholic steatohepatitis) patients. We have completed two Phase 1 clinical studies, a Phase 2 clinical study in NASH patients with advanced fibrosis (NASH-FX) and a second Phase 2B clinical trial in NASH patients with well compensated cirrhosis. We announced, in December 2017 top line results from our Phase 2b study in NASH patients with cirrhosis (NASH-CX) and results of an End of Phase 2 meeting with the FDA in May 2018 which provided direction on potentially acceptable end points for a Phase 3 trial. The latter was confirmed in a Type C meeting with FDA in February 2019. The company with its external NASH consultants has designed a Phase 3 study which has been sent to various contract research organizations (CROs) for their input on feasibility, timing costs and other important considerations. NASH cirrhosis is a progressive disease, currently not treatable and ultimately may result in liver failure that has poor prognosis and no effective, approved medical therapies other than liver transplant. Galectin-3 expression is highly increased in the liver of patients with liver fibrosis and liver cirrhosis. We believe that our galectin-3 inhibitor, by reducing galectin-3 at the cellular level, ultimately showing a strong anti-fibrotic potential may provide a novel treatment for various forms of liver fibrosis.</w:t>
      </w:r>
    </w:p>
    <w:p>
      <w:pPr>
        <w:spacing w:after="0" w:line="183"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that bind galectin proteins and offer alternative options to larger market segments in our primary disease indications. We also have established through Galectin Sciences LLC, a discovery program aimed at the targeted development of small molecules (generally, non-carbohydrate) that bind galectin proteins and may afford options for alternative means of drug delivery (e.g., oral) and as a result expand the potential uses of our galectin-3 inhibitor compounds. We are also pursuing a development pathway to clinical enhancement and commercialization for our lead compounds in immuno-oncology for cancer therapy. However, our clinical development efforts are focused on both liver fibrosis and fatty liver disease as represented by a Phase 2 clinical trial in NASH-cirrhosis which reported top line data in December 2017 and on planning for Phase 3 studies. All of our proposed products are presently in development, including pre-clinical and clinical trials.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Galectins are a class of proteins that are made by many cells in the body, but predominantly in cells of the immune system.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substantiating the importance of galectin-3 in the fibrotic process arises from gene knockout experiments in animal studies. Mice genetically altered to eliminate the galectin-3 gene, and thus unable to produce galectin-3, are incapable of developing liver fibrosis in response to toxic insult to the liver and in fatty liver disease as well as development of fibrosis in other tissues.</w:t>
      </w:r>
    </w:p>
    <w:p>
      <w:pPr>
        <w:spacing w:after="0" w:line="192"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We have one new proprietary chemical entity (NCE) in development, GR-MD-02, which has shown promise in preclinical and early clinical studies in treatment of fibrosis, severe skin disease, and in cancer therapy. Currently we are focusing on development of GR-MD-02 intended to be used in the treatment of liver fibrosis associated with fatty liver disease (NASH) and more specifically in NASH cirrhosis. We have also leveraged our relationships with well-known investigators to demonstrate clinical effects of GR-MD-02 in treating moderate to severe plaque psoriasis, severe atopic dermatitis, and in cancer therapy in combination with immune-system modifying agent(s). GR-MD-02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 Previously in clinical development for cancer indications, GM-CT-01 compound has been explored in limited other preclinical studies.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product pipeline is shown below:</w:t>
      </w:r>
    </w:p>
    <w:p>
      <w:pPr>
        <w:spacing w:after="0" w:line="23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70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3040" w:type="dxa"/>
            <w:vAlign w:val="bottom"/>
          </w:tcPr>
          <w:p>
            <w:pPr>
              <w:ind w:left="1840"/>
              <w:spacing w:after="0"/>
              <w:rPr>
                <w:sz w:val="20"/>
                <w:szCs w:val="20"/>
                <w:color w:val="auto"/>
              </w:rPr>
            </w:pPr>
            <w:r>
              <w:rPr>
                <w:rFonts w:ascii="Arial" w:cs="Arial" w:eastAsia="Arial" w:hAnsi="Arial"/>
                <w:sz w:val="14"/>
                <w:szCs w:val="14"/>
                <w:b w:val="1"/>
                <w:bCs w:val="1"/>
                <w:color w:val="auto"/>
              </w:rPr>
              <w:t>Drug</w:t>
            </w:r>
          </w:p>
        </w:tc>
        <w:tc>
          <w:tcPr>
            <w:tcW w:w="4280" w:type="dxa"/>
            <w:vAlign w:val="bottom"/>
          </w:tcPr>
          <w:p>
            <w:pPr>
              <w:ind w:left="2060"/>
              <w:spacing w:after="0"/>
              <w:rPr>
                <w:sz w:val="20"/>
                <w:szCs w:val="20"/>
                <w:color w:val="auto"/>
              </w:rPr>
            </w:pPr>
            <w:r>
              <w:rPr>
                <w:rFonts w:ascii="Arial" w:cs="Arial" w:eastAsia="Arial" w:hAnsi="Arial"/>
                <w:sz w:val="14"/>
                <w:szCs w:val="14"/>
                <w:b w:val="1"/>
                <w:bCs w:val="1"/>
                <w:color w:val="auto"/>
              </w:rPr>
              <w:t>Status</w:t>
            </w:r>
          </w:p>
        </w:tc>
      </w:tr>
      <w:tr>
        <w:trPr>
          <w:trHeight w:val="220"/>
        </w:trPr>
        <w:tc>
          <w:tcPr>
            <w:tcW w:w="3700" w:type="dxa"/>
            <w:vAlign w:val="bottom"/>
          </w:tcPr>
          <w:p>
            <w:pPr>
              <w:spacing w:after="0"/>
              <w:rPr>
                <w:sz w:val="20"/>
                <w:szCs w:val="20"/>
                <w:color w:val="auto"/>
              </w:rPr>
            </w:pPr>
            <w:r>
              <w:rPr>
                <w:rFonts w:ascii="Arial" w:cs="Arial" w:eastAsia="Arial" w:hAnsi="Arial"/>
                <w:sz w:val="18"/>
                <w:szCs w:val="18"/>
                <w:b w:val="1"/>
                <w:bCs w:val="1"/>
                <w:color w:val="auto"/>
              </w:rPr>
              <w:t>Fibrosis</w:t>
            </w:r>
          </w:p>
        </w:tc>
        <w:tc>
          <w:tcPr>
            <w:tcW w:w="3040" w:type="dxa"/>
            <w:vAlign w:val="bottom"/>
          </w:tcPr>
          <w:p>
            <w:pPr>
              <w:spacing w:after="0"/>
              <w:rPr>
                <w:sz w:val="19"/>
                <w:szCs w:val="19"/>
                <w:color w:val="auto"/>
              </w:rPr>
            </w:pPr>
          </w:p>
        </w:tc>
        <w:tc>
          <w:tcPr>
            <w:tcW w:w="4280" w:type="dxa"/>
            <w:vAlign w:val="bottom"/>
          </w:tcPr>
          <w:p>
            <w:pPr>
              <w:spacing w:after="0"/>
              <w:rPr>
                <w:sz w:val="19"/>
                <w:szCs w:val="19"/>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NASH with Advanced Fibrosis:</w:t>
            </w:r>
          </w:p>
        </w:tc>
        <w:tc>
          <w:tcPr>
            <w:tcW w:w="3040" w:type="dxa"/>
            <w:vAlign w:val="bottom"/>
          </w:tcPr>
          <w:p>
            <w:pPr>
              <w:ind w:left="840"/>
              <w:spacing w:after="0"/>
              <w:rPr>
                <w:sz w:val="20"/>
                <w:szCs w:val="20"/>
                <w:color w:val="auto"/>
              </w:rPr>
            </w:pPr>
            <w:r>
              <w:rPr>
                <w:rFonts w:ascii="Arial" w:cs="Arial" w:eastAsia="Arial" w:hAnsi="Arial"/>
                <w:sz w:val="18"/>
                <w:szCs w:val="18"/>
                <w:color w:val="auto"/>
              </w:rPr>
              <w:t>GR-MD-02</w:t>
            </w:r>
          </w:p>
        </w:tc>
        <w:tc>
          <w:tcPr>
            <w:tcW w:w="4280" w:type="dxa"/>
            <w:vAlign w:val="bottom"/>
          </w:tcPr>
          <w:p>
            <w:pPr>
              <w:ind w:left="220"/>
              <w:spacing w:after="0"/>
              <w:rPr>
                <w:sz w:val="20"/>
                <w:szCs w:val="20"/>
                <w:color w:val="auto"/>
              </w:rPr>
            </w:pPr>
            <w:r>
              <w:rPr>
                <w:rFonts w:ascii="Arial" w:cs="Arial" w:eastAsia="Arial" w:hAnsi="Arial"/>
                <w:sz w:val="18"/>
                <w:szCs w:val="18"/>
                <w:color w:val="auto"/>
                <w:w w:val="91"/>
              </w:rPr>
              <w:t>IND submitted January 2013. Results from the Phase 1</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NASH-CX trial and</w:t>
            </w: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9"/>
              </w:rPr>
              <w:t>clinical trial were reported in 2014, with final results</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NASH-FX trial</w:t>
            </w: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1"/>
              </w:rPr>
              <w:t>reported in January 2015. End of Phase 1 meeting held</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with FDA in 2014. Two Phase 2 clinical trials were</w:t>
            </w:r>
          </w:p>
        </w:tc>
      </w:tr>
      <w:tr>
        <w:trPr>
          <w:trHeight w:val="230"/>
        </w:trPr>
        <w:tc>
          <w:tcPr>
            <w:tcW w:w="37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designed.</w:t>
            </w:r>
          </w:p>
        </w:tc>
      </w:tr>
      <w:tr>
        <w:trPr>
          <w:trHeight w:val="323"/>
        </w:trPr>
        <w:tc>
          <w:tcPr>
            <w:tcW w:w="3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The NASH FX trial was designed for patients with</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3"/>
              </w:rPr>
              <w:t>advanced fibrosis but not cirrhosis. The NASH FX trial</w:t>
            </w:r>
          </w:p>
        </w:tc>
      </w:tr>
      <w:tr>
        <w:trPr>
          <w:trHeight w:val="230"/>
        </w:trPr>
        <w:tc>
          <w:tcPr>
            <w:tcW w:w="37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top line data was reported in September 2016</w:t>
            </w:r>
          </w:p>
        </w:tc>
      </w:tr>
      <w:tr>
        <w:trPr>
          <w:trHeight w:val="323"/>
        </w:trPr>
        <w:tc>
          <w:tcPr>
            <w:tcW w:w="3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The NASH CX trial, was designed for patients with</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9"/>
              </w:rPr>
              <w:t>well compensated cirrhosis. The NASH CX trial top</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0"/>
              </w:rPr>
              <w:t>line data was reported in December 2017. End of Phase</w:t>
            </w:r>
          </w:p>
        </w:tc>
      </w:tr>
      <w:tr>
        <w:trPr>
          <w:trHeight w:val="230"/>
        </w:trPr>
        <w:tc>
          <w:tcPr>
            <w:tcW w:w="37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2 (EOP2) meeting held with FDA in May 2018.</w:t>
            </w:r>
          </w:p>
        </w:tc>
      </w:tr>
      <w:tr>
        <w:trPr>
          <w:trHeight w:val="310"/>
        </w:trPr>
        <w:tc>
          <w:tcPr>
            <w:tcW w:w="3700" w:type="dxa"/>
            <w:vAlign w:val="bottom"/>
          </w:tcPr>
          <w:p>
            <w:pPr>
              <w:spacing w:after="0"/>
              <w:rPr>
                <w:sz w:val="20"/>
                <w:szCs w:val="20"/>
                <w:color w:val="auto"/>
              </w:rPr>
            </w:pPr>
            <w:r>
              <w:rPr>
                <w:rFonts w:ascii="Arial" w:cs="Arial" w:eastAsia="Arial" w:hAnsi="Arial"/>
                <w:sz w:val="18"/>
                <w:szCs w:val="18"/>
                <w:color w:val="auto"/>
              </w:rPr>
              <w:t>NASH – RX</w:t>
            </w:r>
          </w:p>
        </w:tc>
        <w:tc>
          <w:tcPr>
            <w:tcW w:w="3040" w:type="dxa"/>
            <w:vAlign w:val="bottom"/>
          </w:tcPr>
          <w:p>
            <w:pPr>
              <w:spacing w:after="0"/>
              <w:rPr>
                <w:sz w:val="24"/>
                <w:szCs w:val="24"/>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The NASH -RX trial, a Phase 3 trial designed for</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6"/>
              </w:rPr>
              <w:t>NASH patients with well compensated cirrhosis, is in</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88"/>
              </w:rPr>
              <w:t>planning stage based on feedback on potential endpoints</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6"/>
              </w:rPr>
              <w:t>received from FDA at end of Phase 2 meeting and in</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4"/>
              </w:rPr>
              <w:t>consultation with our external hepatology consultants.</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3"/>
              </w:rPr>
              <w:t>As part of the planning related to the Phase 3 trial, the</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Company has had ongoing discussions with FDA</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2"/>
              </w:rPr>
              <w:t>regarding Galectin’s proposal for the next clinical study</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9"/>
              </w:rPr>
              <w:t>as well as the overall development program. These</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ongoing conversations included a recent Type C</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Meeting via teleconference with the Agency on</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0"/>
              </w:rPr>
              <w:t>February 6, 2019, to discuss Galectin’s proposal for use</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of progression to varices as the primary surrogate</w:t>
            </w:r>
          </w:p>
        </w:tc>
      </w:tr>
      <w:tr>
        <w:trPr>
          <w:trHeight w:val="230"/>
        </w:trPr>
        <w:tc>
          <w:tcPr>
            <w:tcW w:w="37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endpoint moving forward.</w:t>
            </w:r>
          </w:p>
        </w:tc>
      </w:tr>
      <w:tr>
        <w:trPr>
          <w:trHeight w:val="323"/>
        </w:trPr>
        <w:tc>
          <w:tcPr>
            <w:tcW w:w="3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In the meeting, FDA confirmed that the Agency is</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9"/>
              </w:rPr>
              <w:t>supportive of the use of progression to varices as a</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5"/>
              </w:rPr>
              <w:t>potential surrogate endpoint and progression to large</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3"/>
              </w:rPr>
              <w:t>varices as a component of a composite clinical benefit</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9"/>
              </w:rPr>
              <w:t>endpoint pending additional requested information.</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8"/>
              </w:rPr>
              <w:t>Galectin will address and implement additional FDA</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1"/>
              </w:rPr>
              <w:t>requests and considerations for the Phase 3 trial, when</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1"/>
              </w:rPr>
              <w:t>and where possible. Given the newness of the endpoint</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8"/>
              </w:rPr>
              <w:t>and the new information to be generated in the trial,</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some information requested may not currently be</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3"/>
              </w:rPr>
              <w:t>available or may not be able to be addressed fully until</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5"/>
              </w:rPr>
              <w:t>data from the Phase 3 trial is available to address the</w:t>
            </w:r>
          </w:p>
        </w:tc>
      </w:tr>
      <w:tr>
        <w:trPr>
          <w:trHeight w:val="230"/>
        </w:trPr>
        <w:tc>
          <w:tcPr>
            <w:tcW w:w="37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information requests.</w:t>
            </w:r>
          </w:p>
        </w:tc>
      </w:tr>
      <w:tr>
        <w:trPr>
          <w:trHeight w:val="323"/>
        </w:trPr>
        <w:tc>
          <w:tcPr>
            <w:tcW w:w="3700" w:type="dxa"/>
            <w:vAlign w:val="bottom"/>
          </w:tcPr>
          <w:p>
            <w:pPr>
              <w:spacing w:after="0"/>
              <w:rPr>
                <w:sz w:val="20"/>
                <w:szCs w:val="20"/>
                <w:color w:val="auto"/>
              </w:rPr>
            </w:pPr>
            <w:r>
              <w:rPr>
                <w:rFonts w:ascii="Arial" w:cs="Arial" w:eastAsia="Arial" w:hAnsi="Arial"/>
                <w:sz w:val="18"/>
                <w:szCs w:val="18"/>
                <w:color w:val="auto"/>
              </w:rPr>
              <w:t>Lung Fibrosis</w:t>
            </w:r>
          </w:p>
        </w:tc>
        <w:tc>
          <w:tcPr>
            <w:tcW w:w="3040" w:type="dxa"/>
            <w:vAlign w:val="bottom"/>
          </w:tcPr>
          <w:p>
            <w:pPr>
              <w:ind w:left="840"/>
              <w:spacing w:after="0"/>
              <w:rPr>
                <w:sz w:val="20"/>
                <w:szCs w:val="20"/>
                <w:color w:val="auto"/>
              </w:rPr>
            </w:pPr>
            <w:r>
              <w:rPr>
                <w:rFonts w:ascii="Arial" w:cs="Arial" w:eastAsia="Arial" w:hAnsi="Arial"/>
                <w:sz w:val="18"/>
                <w:szCs w:val="18"/>
                <w:color w:val="auto"/>
              </w:rPr>
              <w:t>GR-MD-02</w:t>
            </w:r>
          </w:p>
        </w:tc>
        <w:tc>
          <w:tcPr>
            <w:tcW w:w="4280" w:type="dxa"/>
            <w:vAlign w:val="bottom"/>
          </w:tcPr>
          <w:p>
            <w:pPr>
              <w:ind w:left="220"/>
              <w:spacing w:after="0"/>
              <w:rPr>
                <w:sz w:val="20"/>
                <w:szCs w:val="20"/>
                <w:color w:val="auto"/>
              </w:rPr>
            </w:pPr>
            <w:r>
              <w:rPr>
                <w:rFonts w:ascii="Arial" w:cs="Arial" w:eastAsia="Arial" w:hAnsi="Arial"/>
                <w:sz w:val="18"/>
                <w:szCs w:val="18"/>
                <w:color w:val="auto"/>
              </w:rPr>
              <w:t>In pre-clinical development</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Kidney Fibrosis</w:t>
            </w:r>
          </w:p>
        </w:tc>
        <w:tc>
          <w:tcPr>
            <w:tcW w:w="3040" w:type="dxa"/>
            <w:vAlign w:val="bottom"/>
          </w:tcPr>
          <w:p>
            <w:pPr>
              <w:ind w:left="840"/>
              <w:spacing w:after="0"/>
              <w:rPr>
                <w:sz w:val="20"/>
                <w:szCs w:val="20"/>
                <w:color w:val="auto"/>
              </w:rPr>
            </w:pPr>
            <w:r>
              <w:rPr>
                <w:rFonts w:ascii="Arial" w:cs="Arial" w:eastAsia="Arial" w:hAnsi="Arial"/>
                <w:sz w:val="18"/>
                <w:szCs w:val="18"/>
                <w:color w:val="auto"/>
              </w:rPr>
              <w:t>GR-MD-02</w:t>
            </w:r>
          </w:p>
        </w:tc>
        <w:tc>
          <w:tcPr>
            <w:tcW w:w="4280" w:type="dxa"/>
            <w:vAlign w:val="bottom"/>
          </w:tcPr>
          <w:p>
            <w:pPr>
              <w:ind w:left="220"/>
              <w:spacing w:after="0"/>
              <w:rPr>
                <w:sz w:val="20"/>
                <w:szCs w:val="20"/>
                <w:color w:val="auto"/>
              </w:rPr>
            </w:pPr>
            <w:r>
              <w:rPr>
                <w:rFonts w:ascii="Arial" w:cs="Arial" w:eastAsia="Arial" w:hAnsi="Arial"/>
                <w:sz w:val="18"/>
                <w:szCs w:val="18"/>
                <w:color w:val="auto"/>
              </w:rPr>
              <w:t>In pre-clinical development</w:t>
            </w:r>
          </w:p>
        </w:tc>
      </w:tr>
      <w:tr>
        <w:trPr>
          <w:trHeight w:val="212"/>
        </w:trPr>
        <w:tc>
          <w:tcPr>
            <w:tcW w:w="3700" w:type="dxa"/>
            <w:vAlign w:val="bottom"/>
          </w:tcPr>
          <w:p>
            <w:pPr>
              <w:spacing w:after="0"/>
              <w:rPr>
                <w:sz w:val="20"/>
                <w:szCs w:val="20"/>
                <w:color w:val="auto"/>
              </w:rPr>
            </w:pPr>
            <w:r>
              <w:rPr>
                <w:rFonts w:ascii="Arial" w:cs="Arial" w:eastAsia="Arial" w:hAnsi="Arial"/>
                <w:sz w:val="18"/>
                <w:szCs w:val="18"/>
                <w:color w:val="auto"/>
              </w:rPr>
              <w:t>Cardiac and Vascular Fibrosis</w:t>
            </w:r>
          </w:p>
        </w:tc>
        <w:tc>
          <w:tcPr>
            <w:tcW w:w="3040" w:type="dxa"/>
            <w:vAlign w:val="bottom"/>
          </w:tcPr>
          <w:p>
            <w:pPr>
              <w:ind w:left="840"/>
              <w:spacing w:after="0"/>
              <w:rPr>
                <w:sz w:val="20"/>
                <w:szCs w:val="20"/>
                <w:color w:val="auto"/>
              </w:rPr>
            </w:pPr>
            <w:r>
              <w:rPr>
                <w:rFonts w:ascii="Arial" w:cs="Arial" w:eastAsia="Arial" w:hAnsi="Arial"/>
                <w:sz w:val="18"/>
                <w:szCs w:val="18"/>
                <w:color w:val="auto"/>
              </w:rPr>
              <w:t>GR-MD-02 and GM-CT-01</w:t>
            </w:r>
          </w:p>
        </w:tc>
        <w:tc>
          <w:tcPr>
            <w:tcW w:w="4280" w:type="dxa"/>
            <w:vAlign w:val="bottom"/>
          </w:tcPr>
          <w:p>
            <w:pPr>
              <w:ind w:left="220"/>
              <w:spacing w:after="0"/>
              <w:rPr>
                <w:sz w:val="20"/>
                <w:szCs w:val="20"/>
                <w:color w:val="auto"/>
              </w:rPr>
            </w:pPr>
            <w:r>
              <w:rPr>
                <w:rFonts w:ascii="Arial" w:cs="Arial" w:eastAsia="Arial" w:hAnsi="Arial"/>
                <w:sz w:val="18"/>
                <w:szCs w:val="18"/>
                <w:color w:val="auto"/>
              </w:rPr>
              <w:t>In pre-clinical development</w:t>
            </w:r>
          </w:p>
        </w:tc>
      </w:tr>
      <w:tr>
        <w:trPr>
          <w:trHeight w:val="220"/>
        </w:trPr>
        <w:tc>
          <w:tcPr>
            <w:tcW w:w="3700" w:type="dxa"/>
            <w:vAlign w:val="bottom"/>
          </w:tcPr>
          <w:p>
            <w:pPr>
              <w:spacing w:after="0"/>
              <w:rPr>
                <w:sz w:val="20"/>
                <w:szCs w:val="20"/>
                <w:color w:val="auto"/>
              </w:rPr>
            </w:pPr>
            <w:r>
              <w:rPr>
                <w:rFonts w:ascii="Arial" w:cs="Arial" w:eastAsia="Arial" w:hAnsi="Arial"/>
                <w:sz w:val="18"/>
                <w:szCs w:val="18"/>
                <w:b w:val="1"/>
                <w:bCs w:val="1"/>
                <w:color w:val="auto"/>
              </w:rPr>
              <w:t>Cancer Immunotherapy</w:t>
            </w:r>
          </w:p>
        </w:tc>
        <w:tc>
          <w:tcPr>
            <w:tcW w:w="3040" w:type="dxa"/>
            <w:vAlign w:val="bottom"/>
          </w:tcPr>
          <w:p>
            <w:pPr>
              <w:spacing w:after="0"/>
              <w:rPr>
                <w:sz w:val="19"/>
                <w:szCs w:val="19"/>
                <w:color w:val="auto"/>
              </w:rPr>
            </w:pPr>
          </w:p>
        </w:tc>
        <w:tc>
          <w:tcPr>
            <w:tcW w:w="4280" w:type="dxa"/>
            <w:vAlign w:val="bottom"/>
          </w:tcPr>
          <w:p>
            <w:pPr>
              <w:spacing w:after="0"/>
              <w:rPr>
                <w:sz w:val="19"/>
                <w:szCs w:val="19"/>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Melanoma, Head, Neck Squamous Cell</w:t>
            </w:r>
          </w:p>
        </w:tc>
        <w:tc>
          <w:tcPr>
            <w:tcW w:w="3040" w:type="dxa"/>
            <w:vAlign w:val="bottom"/>
          </w:tcPr>
          <w:p>
            <w:pPr>
              <w:ind w:left="840"/>
              <w:spacing w:after="0"/>
              <w:rPr>
                <w:sz w:val="20"/>
                <w:szCs w:val="20"/>
                <w:color w:val="auto"/>
              </w:rPr>
            </w:pPr>
            <w:r>
              <w:rPr>
                <w:rFonts w:ascii="Arial" w:cs="Arial" w:eastAsia="Arial" w:hAnsi="Arial"/>
                <w:sz w:val="18"/>
                <w:szCs w:val="18"/>
                <w:color w:val="auto"/>
              </w:rPr>
              <w:t>GR-MD-02</w:t>
            </w:r>
          </w:p>
        </w:tc>
        <w:tc>
          <w:tcPr>
            <w:tcW w:w="4280" w:type="dxa"/>
            <w:vAlign w:val="bottom"/>
          </w:tcPr>
          <w:p>
            <w:pPr>
              <w:ind w:left="220"/>
              <w:spacing w:after="0"/>
              <w:rPr>
                <w:sz w:val="20"/>
                <w:szCs w:val="20"/>
                <w:color w:val="auto"/>
              </w:rPr>
            </w:pPr>
            <w:r>
              <w:rPr>
                <w:rFonts w:ascii="Arial" w:cs="Arial" w:eastAsia="Arial" w:hAnsi="Arial"/>
                <w:sz w:val="18"/>
                <w:szCs w:val="18"/>
                <w:color w:val="auto"/>
              </w:rPr>
              <w:t>Investigator IND submitted in December 2013.</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Carcinoma (HNSCC)</w:t>
            </w: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4"/>
              </w:rPr>
              <w:t>Phase 1B study in process. A second Phase 1B study</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began in Q-1 2016. Investigator IND for that study</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2"/>
              </w:rPr>
              <w:t>submitted in September 2015. Early data was reported</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4"/>
              </w:rPr>
              <w:t>in February 2017 and studies with the 3</w:t>
            </w:r>
            <w:r>
              <w:rPr>
                <w:rFonts w:ascii="Arial" w:cs="Arial" w:eastAsia="Arial" w:hAnsi="Arial"/>
                <w:sz w:val="15"/>
                <w:szCs w:val="15"/>
                <w:color w:val="auto"/>
                <w:w w:val="94"/>
              </w:rPr>
              <w:t>rd</w:t>
            </w:r>
            <w:r>
              <w:rPr>
                <w:rFonts w:ascii="Arial" w:cs="Arial" w:eastAsia="Arial" w:hAnsi="Arial"/>
                <w:sz w:val="18"/>
                <w:szCs w:val="18"/>
                <w:color w:val="auto"/>
                <w:w w:val="94"/>
              </w:rPr>
              <w:t xml:space="preserve"> cohort were</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w w:val="99"/>
              </w:rPr>
              <w:t>reported in September 2018. Continuation of trial is</w:t>
            </w: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ongoing to expand the dataset of melanoma and</w:t>
            </w:r>
          </w:p>
        </w:tc>
      </w:tr>
      <w:tr>
        <w:trPr>
          <w:trHeight w:val="230"/>
        </w:trPr>
        <w:tc>
          <w:tcPr>
            <w:tcW w:w="37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HNSCC patients at the 4 mg/Kg dose.</w:t>
            </w:r>
          </w:p>
        </w:tc>
      </w:tr>
    </w:tbl>
    <w:p>
      <w:pPr>
        <w:spacing w:after="0" w:line="134" w:lineRule="exact"/>
        <w:rPr>
          <w:sz w:val="20"/>
          <w:szCs w:val="20"/>
          <w:color w:val="auto"/>
        </w:rPr>
      </w:pPr>
    </w:p>
    <w:p>
      <w:pPr>
        <w:sectPr>
          <w:pgSz w:w="11900" w:h="16838" w:orient="portrait"/>
          <w:cols w:equalWidth="0" w:num="1">
            <w:col w:w="11220"/>
          </w:cols>
          <w:pgMar w:left="240" w:top="459" w:right="439" w:bottom="1440" w:gutter="0" w:footer="0" w:header="0"/>
        </w:sectPr>
      </w:pPr>
    </w:p>
    <w:p>
      <w:pPr>
        <w:jc w:val="center"/>
        <w:ind w:right="-19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20"/>
          </w:cols>
          <w:pgMar w:left="240" w:top="459" w:right="439" w:bottom="1440"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Psoriasis</w:t>
      </w:r>
    </w:p>
    <w:p>
      <w:pPr>
        <w:sectPr>
          <w:pgSz w:w="11900" w:h="16838" w:orient="portrait"/>
          <w:cols w:equalWidth="0" w:num="1">
            <w:col w:w="11200"/>
          </w:cols>
          <w:pgMar w:left="240" w:top="459" w:right="459" w:bottom="1440" w:gutter="0" w:footer="0" w:header="0"/>
        </w:sectPr>
      </w:pPr>
    </w:p>
    <w:p>
      <w:pPr>
        <w:spacing w:after="0" w:line="27"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Indication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Drug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Status</w:t>
      </w:r>
    </w:p>
    <w:p>
      <w:pPr>
        <w:spacing w:after="0" w:line="25" w:lineRule="exact"/>
        <w:rPr>
          <w:sz w:val="20"/>
          <w:szCs w:val="20"/>
          <w:color w:val="auto"/>
        </w:rPr>
      </w:pPr>
    </w:p>
    <w:p>
      <w:pPr>
        <w:sectPr>
          <w:pgSz w:w="11900" w:h="16838" w:orient="portrait"/>
          <w:cols w:equalWidth="0" w:num="3">
            <w:col w:w="5020" w:space="720"/>
            <w:col w:w="2540" w:space="720"/>
            <w:col w:w="2200"/>
          </w:cols>
          <w:pgMar w:left="240" w:top="459" w:right="459" w:bottom="1440" w:gutter="0" w:footer="0" w:header="0"/>
          <w:type w:val="continuous"/>
        </w:sectPr>
      </w:pPr>
    </w:p>
    <w:p>
      <w:pPr>
        <w:ind w:left="200" w:right="1180"/>
        <w:spacing w:after="0" w:line="272" w:lineRule="auto"/>
        <w:rPr>
          <w:sz w:val="20"/>
          <w:szCs w:val="20"/>
          <w:color w:val="auto"/>
        </w:rPr>
      </w:pPr>
      <w:r>
        <w:rPr>
          <w:rFonts w:ascii="Arial" w:cs="Arial" w:eastAsia="Arial" w:hAnsi="Arial"/>
          <w:sz w:val="17"/>
          <w:szCs w:val="17"/>
          <w:color w:val="auto"/>
        </w:rPr>
        <w:t>Moderate to Severe Plaque Psoriasis Severe Atopic Dermatitis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GR-MD-02</w:t>
      </w:r>
    </w:p>
    <w:p>
      <w:pPr>
        <w:spacing w:after="0" w:line="20" w:lineRule="exact"/>
        <w:rPr>
          <w:sz w:val="20"/>
          <w:szCs w:val="20"/>
          <w:color w:val="auto"/>
        </w:rPr>
      </w:pPr>
      <w:r>
        <w:rPr>
          <w:sz w:val="20"/>
          <w:szCs w:val="20"/>
          <w:color w:val="auto"/>
        </w:rPr>
        <w:br w:type="column"/>
      </w:r>
    </w:p>
    <w:p>
      <w:pPr>
        <w:ind w:right="140"/>
        <w:spacing w:after="0" w:line="284" w:lineRule="auto"/>
        <w:rPr>
          <w:sz w:val="20"/>
          <w:szCs w:val="20"/>
          <w:color w:val="auto"/>
        </w:rPr>
      </w:pPr>
      <w:r>
        <w:rPr>
          <w:rFonts w:ascii="Arial" w:cs="Arial" w:eastAsia="Arial" w:hAnsi="Arial"/>
          <w:sz w:val="16"/>
          <w:szCs w:val="16"/>
          <w:color w:val="auto"/>
        </w:rPr>
        <w:t>IND submitted March 2015. A phase 2a trial in moderate to severe plaque psoriasis patients began in January 2016. Interim data on the first four patients were positive and were reported in May 2016. Further positive data was reported in September 2016. Investigator initiated IND submitted for treatment of three patients with severe atopic dermatitis, with positive preliminary data presented in February 2017. Further studies are dependent on finding a suitable strategic partner.</w:t>
      </w:r>
    </w:p>
    <w:p>
      <w:pPr>
        <w:spacing w:after="0" w:line="170" w:lineRule="exact"/>
        <w:rPr>
          <w:sz w:val="20"/>
          <w:szCs w:val="20"/>
          <w:color w:val="auto"/>
        </w:rPr>
      </w:pPr>
    </w:p>
    <w:p>
      <w:pPr>
        <w:sectPr>
          <w:pgSz w:w="11900" w:h="16838" w:orient="portrait"/>
          <w:cols w:equalWidth="0" w:num="3">
            <w:col w:w="4020" w:space="720"/>
            <w:col w:w="1700" w:space="720"/>
            <w:col w:w="4040"/>
          </w:cols>
          <w:pgMar w:left="240" w:top="459" w:right="459" w:bottom="1440" w:gutter="0" w:footer="0" w:header="0"/>
          <w:type w:val="continuous"/>
        </w:sectPr>
      </w:pPr>
    </w:p>
    <w:p>
      <w:pPr>
        <w:ind w:left="200" w:firstLine="441"/>
        <w:spacing w:after="0" w:line="268" w:lineRule="auto"/>
        <w:rPr>
          <w:sz w:val="20"/>
          <w:szCs w:val="20"/>
          <w:color w:val="auto"/>
        </w:rPr>
      </w:pPr>
      <w:r>
        <w:rPr>
          <w:rFonts w:ascii="Arial" w:cs="Arial" w:eastAsia="Arial" w:hAnsi="Arial"/>
          <w:sz w:val="17"/>
          <w:szCs w:val="17"/>
          <w:i w:val="1"/>
          <w:iCs w:val="1"/>
          <w:color w:val="auto"/>
        </w:rPr>
        <w:t xml:space="preserve">Fibrosis. </w:t>
      </w:r>
      <w:r>
        <w:rPr>
          <w:rFonts w:ascii="Arial" w:cs="Arial" w:eastAsia="Arial" w:hAnsi="Arial"/>
          <w:sz w:val="17"/>
          <w:szCs w:val="17"/>
          <w:color w:val="auto"/>
        </w:rPr>
        <w:t>GR-MD-02 is our lead product candidate for treatment of fibrotic disease. Our preclinical data show that GR-MD-02 has a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 effect on liver fibrosis as shown in several relevant animal models. In addition, in NASH animal models, GR-MD-02 has been shown to reduce liver fat, inflammation, and ballooning degeneration or death of liver cells.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The Phase 1 trial was completed and demonstrated that GR-MD-02 up to 8 mg/kg, i.v. was safe and well tolerated. The human pharmacokinetic data defined a drug dose for use in the planned Phase 2 trials based on extrapolation from efficacy data in NASH animal models of liver fibrosis and/or cirrhosis. Additionally, there was evidence of a pharmacodynamic effect of GR-MD-02 at the 8 mg/kg dose with a decrease in alpha 2 macroglobulin, a serum marker of fibrotic activity, and a reduction in liver stiffness as determined by FibroScan</w:t>
      </w:r>
      <w:r>
        <w:rPr>
          <w:rFonts w:ascii="Arial" w:cs="Arial" w:eastAsia="Arial" w:hAnsi="Arial"/>
          <w:sz w:val="14"/>
          <w:szCs w:val="14"/>
          <w:color w:val="auto"/>
        </w:rPr>
        <w:t>®</w:t>
      </w:r>
      <w:r>
        <w:rPr>
          <w:rFonts w:ascii="Arial" w:cs="Arial" w:eastAsia="Arial" w:hAnsi="Arial"/>
          <w:sz w:val="17"/>
          <w:szCs w:val="17"/>
          <w:color w:val="auto"/>
        </w:rPr>
        <w:t>. An “End of Phase 1 Meeting” was held with FDA which, amongst other items, provided guidance on the primary endpoint for the Phase 2 clinical trial, the NASH-CX trial.</w:t>
      </w:r>
    </w:p>
    <w:p>
      <w:pPr>
        <w:spacing w:after="0" w:line="18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Additionally, an open label drug-drug interaction study was completed in healthy volunteers during the second quarter of 2015 with GR-MD-02 and it showed that with 8 mg/kg dose of GR-MD-02 and 2 mg/kg dose of midazolam there was no drug-drug interaction and no serious adverse events or drug-related adverse events were observed. This study was required by the U.S. Food and Drug Administration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enabled the Company to expand the number of patients eligible for its Phase 2 clinical trial. In addition, should GR-MD-02 be approved for marketing, the success of this study supports a broader patient population for the drug label.</w:t>
      </w:r>
    </w:p>
    <w:p>
      <w:pPr>
        <w:spacing w:after="0" w:line="178"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Our Phase 2 program in fibrotic disease consisted of two separate human clinical trials. The primary clinical trial was the Phase 2b NASH-CX study for one year for patients with NASH with well compensated cirrhosis, which began enrolling in June, 2015. This study was the primary focus of our program and is a randomized, placebo-controlled, double-blind, parallel-group Phase 2b trial to evaluate the safety and efficacy of GR-MD-02 for treatment of liver fibrosis and resultant portal hypertension in NASH patients with well compensated cirrhosis. A smaller, exploratory NASH-FX trial was conducted to explore potential use of various non-invasive imaging techniques in NASH patients with advanced fibrosis but not cirrhosis.</w:t>
      </w:r>
    </w:p>
    <w:p>
      <w:pPr>
        <w:spacing w:after="0" w:line="15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b w:val="1"/>
          <w:bCs w:val="1"/>
          <w:color w:val="auto"/>
        </w:rPr>
        <w:t xml:space="preserve">NASH-FX Trial: </w:t>
      </w:r>
      <w:r>
        <w:rPr>
          <w:rFonts w:ascii="Arial" w:cs="Arial" w:eastAsia="Arial" w:hAnsi="Arial"/>
          <w:sz w:val="17"/>
          <w:szCs w:val="17"/>
          <w:color w:val="auto"/>
        </w:rPr>
        <w:t>The NASH-FX trial, a Phase 2a pilot trial NASH-FX for patients with NASH advanced fibrosis that explored use of three</w:t>
      </w:r>
      <w:r>
        <w:rPr>
          <w:rFonts w:ascii="Arial" w:cs="Arial" w:eastAsia="Arial" w:hAnsi="Arial"/>
          <w:sz w:val="17"/>
          <w:szCs w:val="17"/>
          <w:b w:val="1"/>
          <w:bCs w:val="1"/>
          <w:color w:val="auto"/>
        </w:rPr>
        <w:t xml:space="preserve"> </w:t>
      </w:r>
      <w:r>
        <w:rPr>
          <w:rFonts w:ascii="Arial" w:cs="Arial" w:eastAsia="Arial" w:hAnsi="Arial"/>
          <w:sz w:val="17"/>
          <w:szCs w:val="17"/>
          <w:color w:val="auto"/>
        </w:rPr>
        <w:t>non-invasive imaging technologies, is now complete. It was a short, single site, four-month trial in 30 NASH patients with advanced fibrosis, but not cirrhosis, randomized 1:1 to either 9 bi-weekly doses of 8 mg/kg of GR-MD-02 or placebo. The trial did not meet its primary biomarker endpoint as measured using multi-parametric magnetic resonance imaging (LiverMultiScan</w:t>
      </w:r>
      <w:r>
        <w:rPr>
          <w:rFonts w:ascii="Arial" w:cs="Arial" w:eastAsia="Arial" w:hAnsi="Arial"/>
          <w:sz w:val="14"/>
          <w:szCs w:val="14"/>
          <w:color w:val="auto"/>
        </w:rPr>
        <w:t>(R)</w:t>
      </w:r>
      <w:r>
        <w:rPr>
          <w:rFonts w:ascii="Arial" w:cs="Arial" w:eastAsia="Arial" w:hAnsi="Arial"/>
          <w:sz w:val="17"/>
          <w:szCs w:val="17"/>
          <w:color w:val="auto"/>
        </w:rPr>
        <w:t>, Perspectum Diagnostics). The trial also did not meet secondary endpoints that measure liver stiffness as a surrogate for fibrosis using, magnetic resonance-elastography and FibroScan</w:t>
      </w:r>
      <w:r>
        <w:rPr>
          <w:rFonts w:ascii="Arial" w:cs="Arial" w:eastAsia="Arial" w:hAnsi="Arial"/>
          <w:sz w:val="14"/>
          <w:szCs w:val="14"/>
          <w:color w:val="auto"/>
        </w:rPr>
        <w:t>®</w:t>
      </w:r>
      <w:r>
        <w:rPr>
          <w:rFonts w:ascii="Arial" w:cs="Arial" w:eastAsia="Arial" w:hAnsi="Arial"/>
          <w:sz w:val="17"/>
          <w:szCs w:val="17"/>
          <w:color w:val="auto"/>
        </w:rPr>
        <w:t xml:space="preserve"> score. We, and many experts in the field, now believe that a four-month treatment period may not be sufficient to show efficacy results in established liver fibrosis. This small study was not powered for the secondary endpoints and thus, not surprisingly, did not meet the secondary endpoints. In the trial, GR-MD-02 was found to be safe and well tolerated among the patient population with no serious adverse events. Although there was no apparent improvement in the three non-invasive tests for assessment of liver fibrosis in the four-month NASH-FX trial, the principal investigator of the NASH-FX trial has stated that the inhibition of galectin-3 with GR-MD-02 remains promising for the treatment of NASH fibrosis. Of note is that GR-MD-02 has demonstrated an improved clinical effect in moderate-to-severe psoriasis, suggesting the compound has activity in humans in an</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immune-mediated inflammatory human disease that can occur in association with NASH. We believe 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and renal disease. We have further demonstrated the broad applicability of the actions of our galectin-3 inhibitor’s biological effect in ameliorating fibrosis involving lung, kidney, blood vessels, and cardiac tissues in a wide variety of animal models.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NASH-CX Trial: </w:t>
      </w:r>
      <w:r>
        <w:rPr>
          <w:rFonts w:ascii="Arial" w:cs="Arial" w:eastAsia="Arial" w:hAnsi="Arial"/>
          <w:sz w:val="17"/>
          <w:szCs w:val="17"/>
          <w:color w:val="auto"/>
        </w:rPr>
        <w:t>The NASH-CX trial was a larger well-designed multi-center clinical trial that explored use of GR-MD-02 for the treatment of</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liver fibrosis and resultant portal hypertension in patients with well-compensated NASH cirrhosis. Enrollment in this trial was completed in September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2016, and a total of 162 patients at 36 sites in the United States were randomized to receive either 2 mg/kg of GR-MD-02, 8 mg/kg of GR-MD-02 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placebo, with approximately 54 patients in each group. The primary endpoint was a reduction in change in hepatic venous pressure gradient (HVPG).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Patients received an infusion every other week for one year, total of 26 infusions, and were evaluated to determine the change in HVPG as compared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 placebo. HVPG was also correlated with secondary endpoints of fibrosis on liver biopsy as well as with measurement of liver stiffness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(FibroScan</w:t>
      </w:r>
      <w:r>
        <w:rPr>
          <w:rFonts w:ascii="Arial" w:cs="Arial" w:eastAsia="Arial" w:hAnsi="Arial"/>
          <w:sz w:val="13"/>
          <w:szCs w:val="13"/>
          <w:color w:val="auto"/>
        </w:rPr>
        <w:t>(R)</w:t>
      </w:r>
      <w:r>
        <w:rPr>
          <w:rFonts w:ascii="Arial" w:cs="Arial" w:eastAsia="Arial" w:hAnsi="Arial"/>
          <w:sz w:val="16"/>
          <w:szCs w:val="16"/>
          <w:color w:val="auto"/>
        </w:rPr>
        <w:t>) and assessment of liver metabolism (</w:t>
      </w:r>
      <w:r>
        <w:rPr>
          <w:rFonts w:ascii="Arial" w:cs="Arial" w:eastAsia="Arial" w:hAnsi="Arial"/>
          <w:sz w:val="13"/>
          <w:szCs w:val="13"/>
          <w:color w:val="auto"/>
        </w:rPr>
        <w:t>13</w:t>
      </w:r>
      <w:r>
        <w:rPr>
          <w:rFonts w:ascii="Arial" w:cs="Arial" w:eastAsia="Arial" w:hAnsi="Arial"/>
          <w:sz w:val="16"/>
          <w:szCs w:val="16"/>
          <w:color w:val="auto"/>
        </w:rPr>
        <w:t>C-methacetin breath test, Exalenz), which are non-invasive measures of the liver that may be used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future studies. Top line data readout was reported in December 2017 demonstrating positive efficacy data and safety and clinically meaningful results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the NASH patients with well compensated cirrhosis without esophageal varices (stage 1 cirrhosis).</w:t>
      </w:r>
    </w:p>
    <w:p>
      <w:pPr>
        <w:spacing w:after="0" w:line="21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 the total patient population, the primary endpoint HVPG showed a trend toward benefit with GR-MD-02 treatment, but the difference from placebo was not statistically significant. The mean change in HVPG of placebo from baseline to week 54 was 0.3 mm Hg. The mean change in HVPG from baseline was -0.37 and -0.42 for the 2 mg/kg dose and 8 mg/kg dose of GR-MD-02, respectively.</w:t>
      </w:r>
    </w:p>
    <w:p>
      <w:pPr>
        <w:spacing w:after="0" w:line="181"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Further analysis showed that the drug effect was significantly dependent on dose “varices” in the total group of patients (p&lt;0.02). In those NASH cirrhosis patients without varices at baseline (about 50% of the total population), there was a statistically significant effect of the 2 mg/kg dose of GR-MD-02 on the absolute change in HVPG (-1.08 mm Hg, p&lt;0.01). The effect of the 8 mg/Kg dose of GR-MD-02 on absolute or percent change in HVPG from baseline to week 54 was not significant. The population of patients without varices at baseline were further subdivided into those with mild portal hypertension (HVPG greater or equal to 6 mm Hg and less than 10 mm Hg). In patients with mild portal hypertension (MPH), both doses of GR-MD-02 demonstrated a statistically significant effect on change in HVPG. The mean change in HVPG in the MPH group were +1.8 mm Hg for placebo and -0.3 and -0.4 mm Hg in the 2 mg/kg and 8 mg/kg dose groups, respectively. In patients with clinically significant portal hypertension (HVPG greater than 10 mm Hg) with no varices at baseline, there was a statistically significant effect of 2 mg/kg of GR-MD-02 on the change in HVPG.</w:t>
      </w:r>
    </w:p>
    <w:p>
      <w:pPr>
        <w:spacing w:after="0" w:line="19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responder analysis was performed on those patients without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GR-MD-02 2 mg/kg group was statistically significant (p&lt;0.01) while that of the 8 mg/kg group was not.</w:t>
      </w:r>
    </w:p>
    <w:p>
      <w:pPr>
        <w:spacing w:after="0" w:line="187"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In terms of cirrhosis complications over the 54-week treatment period, in patients without varices there were statistically significantly fewer new varices that developed in the treatment groups vs placebo. We believe this may represent a useful measure of clinical outcome.</w:t>
      </w:r>
    </w:p>
    <w:p>
      <w:pPr>
        <w:spacing w:after="0" w:line="14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major conclusions, to date from the NASH-CX trial results are that: i) GR-MD-02 had a statistically significant and clinically meaningful effect in improving HVPG vs placebo in patients with NASH cirrhosis who did not have esophageal varices at baseline. This effect was seen regardless of the patient’s baseline portal hypertension. Furthermore, we believe that patients with esophageal varices may have masked benefits in the total patient population. ii) There was an important drug effect of GR-MD-02 in the total patient population on liver biopsy with a statistically significant improvement in hepatocyte ballooning (ie cell death), (iii) There was a statistically significant reduction (p=0.02) in the development of new esophageal varices in drug-treated patients compared to placebo. We believe that this is a clinically relevant endpoint related to patient outcomes, (iv) While there was a drug effect in both the 2 mg/kg and 8 mg/kg dosage groups on liver biopsy and in the mild portal hypertension group, there was a consistently greater and statistically significant effect of the 2 mg/kg dose of GR-MD-02, (v) GR-MD-02 appears to be safe and well tolerated in this one year clinical trial and (vi) We believe this is the first large, randomized clinical trial of any drug to demonstrate a clinically meaningful improvement in portal hypertension or liver biopsy in patients with compensated NASH cirrhosis without esophageal varices.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Further information and details on the NASH-CX results summarized above is available in public presentations posted to our website and filed with the SEC.</w:t>
      </w:r>
    </w:p>
    <w:p>
      <w:pPr>
        <w:spacing w:after="0" w:line="166" w:lineRule="exact"/>
        <w:rPr>
          <w:sz w:val="20"/>
          <w:szCs w:val="20"/>
          <w:color w:val="auto"/>
        </w:rPr>
      </w:pPr>
    </w:p>
    <w:p>
      <w:pPr>
        <w:ind w:left="200" w:right="100" w:firstLine="441"/>
        <w:spacing w:after="0" w:line="274" w:lineRule="auto"/>
        <w:rPr>
          <w:sz w:val="20"/>
          <w:szCs w:val="20"/>
          <w:color w:val="auto"/>
        </w:rPr>
      </w:pPr>
      <w:r>
        <w:rPr>
          <w:rFonts w:ascii="Arial" w:cs="Arial" w:eastAsia="Arial" w:hAnsi="Arial"/>
          <w:sz w:val="17"/>
          <w:szCs w:val="17"/>
          <w:b w:val="1"/>
          <w:bCs w:val="1"/>
          <w:color w:val="auto"/>
        </w:rPr>
        <w:t xml:space="preserve">NASH-RX Trial: </w:t>
      </w:r>
      <w:r>
        <w:rPr>
          <w:rFonts w:ascii="Arial" w:cs="Arial" w:eastAsia="Arial" w:hAnsi="Arial"/>
          <w:sz w:val="17"/>
          <w:szCs w:val="17"/>
          <w:color w:val="auto"/>
        </w:rPr>
        <w:t>The NASH-RX Trial is a phase 3 trial of GR-MD-02 in NASH cirrhosis patients. We have met with the FDA to discuss the</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of the NASH-CX trial in an End of Phase 2 meeting as disclosed in our May 14, 2018 press release. The proposed target population of the Phase 3 clinical trial will be patients with well compensated established NASH cirrhosis and portal hypertension</w:t>
      </w:r>
      <w:r>
        <w:rPr>
          <w:rFonts w:ascii="Arial" w:cs="Arial" w:eastAsia="Arial" w:hAnsi="Arial"/>
          <w:sz w:val="17"/>
          <w:szCs w:val="17"/>
          <w:b w:val="1"/>
          <w:bCs w:val="1"/>
          <w:color w:val="auto"/>
        </w:rPr>
        <w:t>.</w:t>
      </w:r>
      <w:r>
        <w:rPr>
          <w:rFonts w:ascii="Arial" w:cs="Arial" w:eastAsia="Arial" w:hAnsi="Arial"/>
          <w:sz w:val="17"/>
          <w:szCs w:val="17"/>
          <w:color w:val="auto"/>
        </w:rPr>
        <w:t xml:space="preserve"> Patients will be selected based on criteria commonly used in clinical practice to identify patients with portal hypertension who are at risk of developing esophageal varices. Ongoing conversations with FDA included a recent Type C Meeting via teleconference with the Agency on February 6, 2019, to discuss Galectin’s proposal for use of progression to varices as the primary surrogate endpoint moving forward.</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the meeting, FDA confirmed that the Agency is supportive of the use of progression to varices as a potential surrogate endpoint and progression to large varices as a component of a composite clinical benefit endpoint pending additional requested information. Galectin will address and implement additional FDA requests and considerations for the Phase 3 trial, when and where possible. Given the newness of the endpoint and the new information to be generated in the trial, some information requested may not currently be available or may not be able to be addressed fully until data from the Phase 3 trial is available to address the information requests.</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focus and goal of the therapeutic program is to stop the progression of and reverse the fibrosis and/or portal hypertension in the liver and, thereby improve liver function and prevent the development of complications of fibrosis/cirrhosis and liver-related mortality in patients. The results of the NASH-CX trial substantiate that, subject to confirmation in later stage clinical trials, we believe that this goal is achievable in a significant portion of the NASH cirrhosis patient population i.e. those NASH cirrhosis patients with portal hypertension at risk of developing esophageal varices that may bleed and experience other decompensating events. The trial design has been refined with external consultants and sent out to potential CROs in a confidential Request for Proposal (RFP) process.</w:t>
      </w:r>
    </w:p>
    <w:p>
      <w:pPr>
        <w:spacing w:after="0" w:line="193"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final primary endpoint and additional aspects of the Phase 3 clinical trial design, including projected timing and costs will be announced once the final protocol is completed and filed with FDA. The study is a parallel group, randomized, placebo-controlled, double-blinded trial, of either 2 mg/kg or 4 mg/kg GR-MD-02 or placebo administered by i.v. infusion every two weeks for two years to NASH Cirrhosis patients who did not have esophageal varices at baseline. The surrogate endpoint is the proportion of patients in treatment groups who develop esophageal varices vs placebo after 2 years of treatment under an accelerated approval (Subpart H) pathway. Various secondary and exploratory endpoints are planned to be included which amongst other items may include HVPG determination in a subset of patients, liver biopsies to qualify the underlying disease state, various biomarkers, and digital video EGDs (esophagogastroduodenoscopy) at baseline and every six months thereafter. There will be adjudication panels/central readers for the critical endpoints. No interim analysis is included in the study design. Primary inclusion criteria is based on using modified Baveno VI criteria amongst other factors. This represents those criteria commonly used in clinical practice to identify patients with portal hypertension who are at risk of developing esophageal varices.</w:t>
      </w:r>
    </w:p>
    <w:p>
      <w:pPr>
        <w:spacing w:after="0" w:line="178"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key milestones and associated target dates for the NASH-RX trial are subject to change as are elements of design of the trial following FDA feedback on the recent submission. These target dates currently include: First Patient Fall, 2019; Enrollment Period Estimated: 12-14 months; Last Patient enrolled: Q4, 2020; Estimated Last Patient completion: Fall, 2022 and Top Line Data: around the end of 2022. The study will involve approximately 500 patients at up to 130 sites in 11 countries in North America, Europe, Asia, and Australia and will continue for two years of dosing.</w:t>
      </w:r>
    </w:p>
    <w:p>
      <w:pPr>
        <w:spacing w:after="0" w:line="154"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Following a Request for Proposal process involving six global Contract Research Organizations (CROs), Covance has been selected as our CRO for the NASH- RX Phase 3 trial. Covance’s extensive experience in conducting clinical trials in liver-related diseases was an important consideration in evaluating CROs. We are particularly impressed by its work with clinical trials involving assessment and adjudication of video endoscopies, the critical variable of the primary endpoint in our Phase 3 trial. Covance has already begun extensive work on site and vendor startup activities. We are also including a NASH-specific site network to accelerate site startup and patient enrollment for this trial. The global medical team at Covance, together with our two co-primary investigators (Co-PI), who are also key opinion leaders in NASH, dedicated considerable time and effort to design and optimize the study design for success and to maximize the likelihood of attracting and retaining patients during the two years of extensive assessments and treatments. A startup agreement has been executed with Covance which allowed them to start work on protocols development, statistical analysis plans, support us in addressing some of FDAs questions, and to engage vendors for various activities in support of the NASH-RX trial.</w:t>
      </w:r>
    </w:p>
    <w:p>
      <w:pPr>
        <w:spacing w:after="0" w:line="16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addressed FDAs questions from the February 2019 meeting in a large, detailed response which was submitted on July 17, 2019 to FDA for assessment of the revised Phase 3 protocol for using belapectin (GR-MD-02) for the treatment of compensated non-alcoholic steatohepatitis (NASH) cirrhosis without esophageal varices (the NASH-RX trial). The plans, which are subject to FDA’s acceptance of the submission for review and acknowledgement, were put forward via a Type C Written Response Only (WRO) submission to the U.S. Food and Drug Administration (FDA) with the goal of finalizing the protocol and initiating the Phase 3 trial in the fourth quarter of this year.</w:t>
      </w:r>
    </w:p>
    <w:p>
      <w:pPr>
        <w:spacing w:after="0" w:line="1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our previous meeting with the FDA in February 2019, the Agency stated that while it is supportive of the potential use of progression to varices as a surrogate endpoint and progression to large varices as a component of a composite clinical benefit endpoint, several items should be addressed before it could agree on trial design and the endpoints. The purpose of the recent submission is to address these items and gain the FDA’s endorsement of the planned protocol.</w:t>
      </w:r>
    </w:p>
    <w:p>
      <w:pPr>
        <w:spacing w:after="0" w:line="18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support of the Phase 3 protocol, at the request of the Agency, we have also submitted the current clinical development plan, a draft Phase 4 study synopsis, a draft SAP for the Phase 4 study, an esophagogastroduodenoscopy (EGD) procedure manual to standardize centralized evaluation of the primary and key secondary esophageal varices endpoints, and an updated Investigator Brochure suitable for international studies, as well as complete responses to the FDA’s comments from the previous meeting, including the justification for dose selection and foregoing a dedicated hepatic impairment study.</w:t>
      </w:r>
    </w:p>
    <w:p>
      <w:pPr>
        <w:spacing w:after="0" w:line="188"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i w:val="1"/>
          <w:iCs w:val="1"/>
          <w:color w:val="auto"/>
        </w:rPr>
        <w:t xml:space="preserve">Cancer Immunotherapy. </w:t>
      </w:r>
      <w:r>
        <w:rPr>
          <w:rFonts w:ascii="Arial" w:cs="Arial" w:eastAsia="Arial" w:hAnsi="Arial"/>
          <w:sz w:val="16"/>
          <w:szCs w:val="16"/>
          <w:color w:val="auto"/>
        </w:rPr>
        <w:t>We believe there is potential for galectin inhibition to play a key role in the burgeoning area of cancer immunotherapy.</w:t>
      </w:r>
      <w:r>
        <w:rPr>
          <w:rFonts w:ascii="Arial" w:cs="Arial" w:eastAsia="Arial" w:hAnsi="Arial"/>
          <w:sz w:val="16"/>
          <w:szCs w:val="16"/>
          <w:i w:val="1"/>
          <w:iCs w:val="1"/>
          <w:color w:val="auto"/>
        </w:rPr>
        <w:t xml:space="preserve"> </w:t>
      </w:r>
      <w:r>
        <w:rPr>
          <w:rFonts w:ascii="Arial" w:cs="Arial" w:eastAsia="Arial" w:hAnsi="Arial"/>
          <w:sz w:val="16"/>
          <w:szCs w:val="16"/>
          <w:color w:val="auto"/>
        </w:rPr>
        <w:t>For example, there have been several recent approvals of drugs that enhance a patient’s immune system to fight cancer. It is our goal to use a galectin inhibitor to further enhance the immune system function to fight cancer in a way that complements other approaches to this type of therapy. This hypothesis is supported by the fact that galectin-3 is expressed at high levels in multiple types of tumors, adds to the malignant nature of the tumors, and protects the tumors from immune system attack. Our drug candidates provide a promising new therapeutic approach to enhance the activity of the immune system against cancer cells. Preclinical studies have indicated that GR-MD-02 enhances the immune response to cancer cells, increased tumor</w:t>
      </w:r>
    </w:p>
    <w:p>
      <w:pPr>
        <w:sectPr>
          <w:pgSz w:w="11900" w:h="16838" w:orient="portrait"/>
          <w:cols w:equalWidth="0" w:num="1">
            <w:col w:w="11220"/>
          </w:cols>
          <w:pgMar w:left="240" w:top="459" w:right="439" w:bottom="0" w:gutter="0" w:footer="0" w:header="0"/>
        </w:sectPr>
      </w:pPr>
    </w:p>
    <w:bookmarkStart w:id="20" w:name="page21"/>
    <w:bookmarkEnd w:id="20"/>
    <w:p>
      <w:pPr>
        <w:spacing w:after="0" w:line="255" w:lineRule="auto"/>
        <w:rPr>
          <w:sz w:val="20"/>
          <w:szCs w:val="20"/>
          <w:color w:val="auto"/>
        </w:rPr>
      </w:pPr>
      <w:r>
        <w:rPr>
          <w:rFonts w:ascii="Arial" w:cs="Arial" w:eastAsia="Arial" w:hAnsi="Arial"/>
          <w:sz w:val="18"/>
          <w:szCs w:val="18"/>
          <w:color w:val="auto"/>
        </w:rPr>
        <w:t>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studies of GR-MD-02 in combination with Yervoy</w:t>
      </w:r>
      <w:r>
        <w:rPr>
          <w:rFonts w:ascii="Arial" w:cs="Arial" w:eastAsia="Arial" w:hAnsi="Arial"/>
          <w:sz w:val="15"/>
          <w:szCs w:val="15"/>
          <w:color w:val="auto"/>
        </w:rPr>
        <w:t>®</w:t>
      </w:r>
      <w:r>
        <w:rPr>
          <w:rFonts w:ascii="Arial" w:cs="Arial" w:eastAsia="Arial" w:hAnsi="Arial"/>
          <w:sz w:val="18"/>
          <w:szCs w:val="18"/>
          <w:color w:val="auto"/>
        </w:rPr>
        <w:t xml:space="preserve"> (ipilimumab) and KEYTRUDA (pembrolizumab) in Phase 1B studies of patients with metastatic melanoma. The KEYTRUDA trial has also been expanded to include patients with non-small cell lung cancer and head and neck squamous cell carcinoma. These studies are being conducted under the sponsorship of Providence Portland Medical Center’s Earle A. Chiles Research Institute (EACRI).</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125"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Data on this combination immunotherapy program was initially presented on February 7, 2017 at the 9th GTCBio Immunotherapeutics &amp; Immunomonitoring Conference in San Diego, CA by Dr. William L. Redmond, Providence Cancer Center. Preclinical results in mouse models of multiple types of cancers showed important anti-tumor activity and increased survival effects of combining GR-MD-02 with different types of immune modulators, providing a case for progressing studies into human patients with cancer. Seven patients were treated in the GR-MD-02 in combination with Yervoy trial, with no safety concerns in these low dose cohorts. Due to changes in the standard of care for metastatic melanoma (i.e., approval of anti-PD-1), recruitment has been slowed significantly in this trial. Promising results were reported in the Phase 1b trial combining GR-MD-02 with pembrolizumab (KEYTRUDA). Cohort 1 was completed (n=6, 5 with melanoma, one head and neck) with one partial response and one mixed response in 5 melanoma patients. There was a rapid and marked tumor response after 3 doses of combined GR-MD-02 and pembrolizumab in the one partial response patient who had failed high-dose IL-2 and oncolytic virus + ipilimumab. The study is ongoing and progression to further development will be based on response rate as compared to historical response rates to pembrolizumab alone. In September 2018 we announced additional preliminary clinical data from cohort 3 of this investigator-initiated trial. When aggregated with cohorts previously reported, the data shows a 50% objective response rate in advanced melanoma with GR-MD-02 in combination with KEYTRUDA, and a significant decrease in the frequency of suppressive myeloid-derived suppressor cells following treatment in the responding patients (on day 85 post-treatment). Fourteen advanced melanoma patients across three dose cohorts now have Objective Response Rate (ORR) and Disease Control Rate (DCR) data. Six patients completed in cohort 3 (8 mg/Kg) have now been added to the three patients completed in cohort 2 (4 mg/Kg) and five patients completed in cohort 1 (2 mg/Kg). Cohorts 1 and 3 each had two patients with an objective response. All three patients in cohort 2 had an objective response. In addition to the fourteen advanced melanoma patients, six patients with head and neck cancer were enrolled in this trial with a 33% ORR and 67% DCR. These data, taken together with the observed favorable safety and tolerability of the combination, in the view of the principal investigator, provide compelling rationale to move forward. Given that all three melanoma patients were responders at the 4 mg/Kg dose, the investigators plan to continue the trial with the expansion of the 4 mg/Kg cohort to include additional advanced melanoma patients and additional head and neck cancer patients. The expansion cohort will target to include 15 patients and is planned to have continued GR-MD-02 dosing as long as pembrolizumab is administered. Assuming these additional data are positive, the next logical step could be a Phase II trial.</w:t>
      </w:r>
    </w:p>
    <w:p>
      <w:pPr>
        <w:spacing w:after="0" w:line="398"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i w:val="1"/>
          <w:iCs w:val="1"/>
          <w:color w:val="auto"/>
        </w:rPr>
        <w:t xml:space="preserve">Severe skin diseases. </w:t>
      </w:r>
      <w:r>
        <w:rPr>
          <w:rFonts w:ascii="Arial" w:cs="Arial" w:eastAsia="Arial" w:hAnsi="Arial"/>
          <w:sz w:val="17"/>
          <w:szCs w:val="17"/>
          <w:color w:val="auto"/>
        </w:rPr>
        <w:t>During our Phase 1 NASH fibrosis trial with GR-MD-02, a clinical effect on plaque psoriasis was observed in a NASH</w:t>
      </w:r>
      <w:r>
        <w:rPr>
          <w:rFonts w:ascii="Arial" w:cs="Arial" w:eastAsia="Arial" w:hAnsi="Arial"/>
          <w:sz w:val="17"/>
          <w:szCs w:val="17"/>
          <w:i w:val="1"/>
          <w:iCs w:val="1"/>
          <w:color w:val="auto"/>
        </w:rPr>
        <w:t xml:space="preserve"> </w:t>
      </w:r>
      <w:r>
        <w:rPr>
          <w:rFonts w:ascii="Arial" w:cs="Arial" w:eastAsia="Arial" w:hAnsi="Arial"/>
          <w:sz w:val="17"/>
          <w:szCs w:val="17"/>
          <w:color w:val="auto"/>
        </w:rPr>
        <w:t>patient who also had this disease.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71" w:lineRule="exact"/>
        <w:rPr>
          <w:sz w:val="20"/>
          <w:szCs w:val="20"/>
          <w:color w:val="auto"/>
        </w:rPr>
      </w:pPr>
    </w:p>
    <w:p>
      <w:pPr>
        <w:ind w:left="200" w:right="140" w:firstLine="441"/>
        <w:spacing w:after="0" w:line="285" w:lineRule="auto"/>
        <w:rPr>
          <w:sz w:val="20"/>
          <w:szCs w:val="20"/>
          <w:color w:val="auto"/>
        </w:rPr>
      </w:pPr>
      <w:r>
        <w:rPr>
          <w:rFonts w:ascii="Arial" w:cs="Arial" w:eastAsia="Arial" w:hAnsi="Arial"/>
          <w:sz w:val="16"/>
          <w:szCs w:val="16"/>
          <w:color w:val="auto"/>
        </w:rPr>
        <w:t>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 receive active drug), 5 patients with moderate to severe plaque psoriasis were administered GR-MD-02 every two weeks for 24 weeks. In May 2016, we reported positive results on the first four patients after</w:t>
      </w:r>
    </w:p>
    <w:p>
      <w:pPr>
        <w:spacing w:after="0" w:line="2" w:lineRule="exact"/>
        <w:rPr>
          <w:sz w:val="20"/>
          <w:szCs w:val="20"/>
          <w:color w:val="auto"/>
        </w:rPr>
      </w:pPr>
    </w:p>
    <w:p>
      <w:pPr>
        <w:ind w:left="200" w:right="100"/>
        <w:spacing w:after="0" w:line="270" w:lineRule="auto"/>
        <w:rPr>
          <w:sz w:val="20"/>
          <w:szCs w:val="20"/>
          <w:color w:val="auto"/>
        </w:rPr>
      </w:pPr>
      <w:r>
        <w:rPr>
          <w:rFonts w:ascii="Arial" w:cs="Arial" w:eastAsia="Arial" w:hAnsi="Arial"/>
          <w:sz w:val="17"/>
          <w:szCs w:val="17"/>
          <w:color w:val="auto"/>
        </w:rPr>
        <w:t>12 weeks of therapy. Based on these results, we modified the trial to include 24 weeks of therapy. In August 2016, we reported on four patients after 24 weeks of therapy and one patient after 12 weeks of therapy. The four patients who received 24 weeks of therapy experienced an average of 48% improvement in their plaque psoriasis. At this time, the average response in all five patients remains at 50% with one patient having an 82% improvement. However, there are existing drugs on the market in this disease that produce 75% and higher improvements in 60-90% of patients. While we are encouraged that this study has demonstrated clinically meaningful results in a human disease with GR-MD-02, the next steps would entail a controlled, does-ranging clinical trial which we do not expect to conduct absent a strategic partnership.</w:t>
      </w:r>
    </w:p>
    <w:p>
      <w:pPr>
        <w:spacing w:after="0" w:line="179"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We believe the mechanism of action for GR-MD-02 is based upon interaction with, and inhibition of, galectin proteins, particularly galectin-3, which are expressed at high levels in certain pathological states including inflammation, fibrosis and cancer. While GR-MD-02 is capable of binding to multiple galectin proteins, we believe that it has the greatest affinity for galectin-3, the most prominent galectin implicated in pathological processes. Blocking galectin in cancer and liver fibrosis has specific salutary effects on the disease process, as discussed previously.</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Three and Six Months Ended June 30, 2019 Compared to Three and Six Months Ended June 30, 2018</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Three Months Ended</w:t>
            </w:r>
          </w:p>
        </w:tc>
        <w:tc>
          <w:tcPr>
            <w:tcW w:w="240" w:type="dxa"/>
            <w:vAlign w:val="bottom"/>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Six Months Ended</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color w:val="auto"/>
                <w:w w:val="97"/>
              </w:rPr>
              <w:t>2019 as Compared to 2018</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9"/>
              </w:rPr>
              <w:t>June 30,</w:t>
            </w:r>
          </w:p>
        </w:tc>
        <w:tc>
          <w:tcPr>
            <w:tcW w:w="240" w:type="dxa"/>
            <w:vAlign w:val="bottom"/>
          </w:tcPr>
          <w:p>
            <w:pPr>
              <w:spacing w:after="0"/>
              <w:rPr>
                <w:sz w:val="12"/>
                <w:szCs w:val="12"/>
                <w:color w:val="auto"/>
              </w:rPr>
            </w:pPr>
          </w:p>
        </w:tc>
        <w:tc>
          <w:tcPr>
            <w:tcW w:w="124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9"/>
              </w:rPr>
              <w:t>June 30,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3"/>
          </w:tcPr>
          <w:p>
            <w:pPr>
              <w:jc w:val="right"/>
              <w:ind w:right="560"/>
              <w:spacing w:after="0" w:line="142" w:lineRule="exact"/>
              <w:rPr>
                <w:sz w:val="20"/>
                <w:szCs w:val="20"/>
                <w:color w:val="auto"/>
              </w:rPr>
            </w:pPr>
            <w:r>
              <w:rPr>
                <w:rFonts w:ascii="Arial" w:cs="Arial" w:eastAsia="Arial" w:hAnsi="Arial"/>
                <w:sz w:val="14"/>
                <w:szCs w:val="14"/>
                <w:color w:val="auto"/>
              </w:rPr>
              <w:t>Three Months</w:t>
            </w:r>
          </w:p>
        </w:tc>
        <w:tc>
          <w:tcPr>
            <w:tcW w:w="120" w:type="dxa"/>
            <w:vAlign w:val="bottom"/>
          </w:tcPr>
          <w:p>
            <w:pPr>
              <w:spacing w:after="0"/>
              <w:rPr>
                <w:sz w:val="12"/>
                <w:szCs w:val="12"/>
                <w:color w:val="auto"/>
              </w:rPr>
            </w:pPr>
          </w:p>
        </w:tc>
        <w:tc>
          <w:tcPr>
            <w:tcW w:w="1460" w:type="dxa"/>
            <w:vAlign w:val="bottom"/>
            <w:gridSpan w:val="2"/>
          </w:tcPr>
          <w:p>
            <w:pPr>
              <w:ind w:left="380"/>
              <w:spacing w:after="0" w:line="142" w:lineRule="exact"/>
              <w:rPr>
                <w:sz w:val="20"/>
                <w:szCs w:val="20"/>
                <w:color w:val="auto"/>
              </w:rPr>
            </w:pPr>
            <w:r>
              <w:rPr>
                <w:rFonts w:ascii="Arial" w:cs="Arial" w:eastAsia="Arial" w:hAnsi="Arial"/>
                <w:sz w:val="14"/>
                <w:szCs w:val="14"/>
                <w:color w:val="auto"/>
              </w:rPr>
              <w:t>Six Months</w:t>
            </w: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2019</w:t>
            </w:r>
          </w:p>
        </w:tc>
        <w:tc>
          <w:tcPr>
            <w:tcW w:w="6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rPr>
              <w:t>2018</w:t>
            </w:r>
          </w:p>
        </w:tc>
        <w:tc>
          <w:tcPr>
            <w:tcW w:w="2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2019</w:t>
            </w:r>
          </w:p>
        </w:tc>
        <w:tc>
          <w:tcPr>
            <w:tcW w:w="6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color w:val="auto"/>
              </w:rPr>
              <w:t>2018</w:t>
            </w:r>
          </w:p>
        </w:tc>
        <w:tc>
          <w:tcPr>
            <w:tcW w:w="26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w w:val="89"/>
              </w:rPr>
              <w:t>Change</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 Change</w:t>
            </w:r>
          </w:p>
        </w:tc>
        <w:tc>
          <w:tcPr>
            <w:tcW w:w="7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color w:val="auto"/>
                <w:w w:val="91"/>
              </w:rPr>
              <w:t>% Change</w:t>
            </w: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40" w:type="dxa"/>
            <w:vAlign w:val="bottom"/>
            <w:gridSpan w:val="6"/>
          </w:tcPr>
          <w:p>
            <w:pPr>
              <w:jc w:val="right"/>
              <w:ind w:right="860"/>
              <w:spacing w:after="0" w:line="142" w:lineRule="exact"/>
              <w:rPr>
                <w:sz w:val="20"/>
                <w:szCs w:val="20"/>
                <w:color w:val="auto"/>
              </w:rPr>
            </w:pPr>
            <w:r>
              <w:rPr>
                <w:rFonts w:ascii="Arial" w:cs="Arial" w:eastAsia="Arial" w:hAnsi="Arial"/>
                <w:sz w:val="14"/>
                <w:szCs w:val="14"/>
                <w:color w:val="auto"/>
              </w:rPr>
              <w:t>(In thousands, except %)</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$1,522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$ 1,476</w:t>
            </w: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$2,168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$(1,606)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bl>
    <w:p>
      <w:pPr>
        <w:spacing w:after="0" w:line="20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research and development expenses were as follows: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right"/>
              <w:ind w:right="16"/>
              <w:spacing w:after="0"/>
              <w:rPr>
                <w:sz w:val="20"/>
                <w:szCs w:val="20"/>
                <w:color w:val="auto"/>
              </w:rPr>
            </w:pPr>
            <w:r>
              <w:rPr>
                <w:rFonts w:ascii="Arial" w:cs="Arial" w:eastAsia="Arial" w:hAnsi="Arial"/>
                <w:sz w:val="14"/>
                <w:szCs w:val="14"/>
                <w:color w:val="auto"/>
                <w:w w:val="91"/>
              </w:rPr>
              <w:t>Three Months Ended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tcPr>
          <w:p>
            <w:pPr>
              <w:jc w:val="center"/>
              <w:ind w:right="140"/>
              <w:spacing w:after="0"/>
              <w:rPr>
                <w:sz w:val="20"/>
                <w:szCs w:val="20"/>
                <w:color w:val="auto"/>
              </w:rPr>
            </w:pPr>
            <w:r>
              <w:rPr>
                <w:rFonts w:ascii="Arial" w:cs="Arial" w:eastAsia="Arial" w:hAnsi="Arial"/>
                <w:sz w:val="14"/>
                <w:szCs w:val="14"/>
                <w:color w:val="auto"/>
                <w:w w:val="95"/>
              </w:rPr>
              <w:t>Six Months Ended</w:t>
            </w:r>
          </w:p>
        </w:tc>
      </w:tr>
      <w:tr>
        <w:trPr>
          <w:trHeight w:val="167"/>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June 30,</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tcPr>
          <w:p>
            <w:pPr>
              <w:jc w:val="center"/>
              <w:ind w:right="140"/>
              <w:spacing w:after="0"/>
              <w:rPr>
                <w:sz w:val="20"/>
                <w:szCs w:val="20"/>
                <w:color w:val="auto"/>
              </w:rPr>
            </w:pPr>
            <w:r>
              <w:rPr>
                <w:rFonts w:ascii="Arial" w:cs="Arial" w:eastAsia="Arial" w:hAnsi="Arial"/>
                <w:sz w:val="14"/>
                <w:szCs w:val="14"/>
                <w:color w:val="auto"/>
                <w:w w:val="89"/>
              </w:rPr>
              <w:t>June 30,</w:t>
            </w: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color w:val="auto"/>
                <w:w w:val="89"/>
              </w:rPr>
              <w:t>2019</w:t>
            </w: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w w:val="96"/>
              </w:rPr>
              <w:t>2018</w:t>
            </w:r>
          </w:p>
        </w:tc>
        <w:tc>
          <w:tcPr>
            <w:tcW w:w="3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color w:val="auto"/>
                <w:w w:val="89"/>
              </w:rPr>
              <w:t>2019</w:t>
            </w:r>
          </w:p>
        </w:tc>
        <w:tc>
          <w:tcPr>
            <w:tcW w:w="84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2018</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jc w:val="right"/>
              <w:ind w:right="218"/>
              <w:spacing w:after="0" w:line="142" w:lineRule="exact"/>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Clinical programs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944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331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930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$1,617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Pre-clinical activities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1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1,095</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1,137</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1,522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1,476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2,168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3,774</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Clinical programs expenses increased in the three months ended June 30, 2019 over the three months ended June 30, 2018 primarily due to costs related to our Phase 3 NASH RX clinical trial planning and preparations. Other research and development expense decreased in the three months ended June 30, 2019 over the three months ended June 30, 2018 primarily due to a decrease in non-cash stock-based compensation expense of approximately $544,000. For the six months ended June 30, 2019 compared to the previous year, clinical program expenses are lower due to the close out costs in 2018 of the Phase 2 clinical trials in that period being higher than the startup costs and activities related to the Phase 3 clinical trial through the first half of 2019. Other research and development expense decreased in the six months ended June 30, 2019 over the six months ended June 30, 2018 primarily due to a decrease in non-cash stock-based compensation expense of approximately $992,000.</w:t>
      </w:r>
    </w:p>
    <w:p>
      <w:pPr>
        <w:spacing w:after="0" w:line="16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color w:val="auto"/>
                <w:w w:val="94"/>
              </w:rPr>
              <w:t>Three Months</w:t>
            </w:r>
          </w:p>
        </w:tc>
        <w:tc>
          <w:tcPr>
            <w:tcW w:w="240" w:type="dxa"/>
            <w:vAlign w:val="bottom"/>
          </w:tcPr>
          <w:p>
            <w:pPr>
              <w:spacing w:after="0"/>
              <w:rPr>
                <w:sz w:val="14"/>
                <w:szCs w:val="14"/>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color w:val="auto"/>
                <w:w w:val="98"/>
              </w:rPr>
              <w:t>Six Months</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102"/>
              <w:spacing w:after="0"/>
              <w:rPr>
                <w:sz w:val="20"/>
                <w:szCs w:val="20"/>
                <w:color w:val="auto"/>
              </w:rPr>
            </w:pPr>
            <w:r>
              <w:rPr>
                <w:rFonts w:ascii="Arial" w:cs="Arial" w:eastAsia="Arial" w:hAnsi="Arial"/>
                <w:sz w:val="14"/>
                <w:szCs w:val="14"/>
                <w:color w:val="auto"/>
                <w:w w:val="99"/>
              </w:rPr>
              <w:t>2019 as Compared to 2018</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89"/>
              </w:rPr>
              <w:t>Ended June 30,</w:t>
            </w:r>
          </w:p>
        </w:tc>
        <w:tc>
          <w:tcPr>
            <w:tcW w:w="24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89"/>
              </w:rPr>
              <w:t>Ended June 30,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3"/>
          </w:tcPr>
          <w:p>
            <w:pPr>
              <w:jc w:val="right"/>
              <w:ind w:right="640"/>
              <w:spacing w:after="0"/>
              <w:rPr>
                <w:sz w:val="20"/>
                <w:szCs w:val="20"/>
                <w:color w:val="auto"/>
              </w:rPr>
            </w:pPr>
            <w:r>
              <w:rPr>
                <w:rFonts w:ascii="Arial" w:cs="Arial" w:eastAsia="Arial" w:hAnsi="Arial"/>
                <w:sz w:val="14"/>
                <w:szCs w:val="14"/>
                <w:color w:val="auto"/>
              </w:rPr>
              <w:t>Three Months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right"/>
              <w:ind w:right="660"/>
              <w:spacing w:after="0"/>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2019</w:t>
            </w:r>
          </w:p>
        </w:tc>
        <w:tc>
          <w:tcPr>
            <w:tcW w:w="62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rPr>
              <w:t>2018</w:t>
            </w:r>
          </w:p>
        </w:tc>
        <w:tc>
          <w:tcPr>
            <w:tcW w:w="2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2019</w:t>
            </w:r>
          </w:p>
        </w:tc>
        <w:tc>
          <w:tcPr>
            <w:tcW w:w="6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color w:val="auto"/>
              </w:rPr>
              <w:t>2018</w:t>
            </w:r>
          </w:p>
        </w:tc>
        <w:tc>
          <w:tcPr>
            <w:tcW w:w="26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w w:val="89"/>
              </w:rPr>
              <w:t>Change</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 Change</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w w:val="89"/>
              </w:rPr>
              <w:t>Change</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40" w:type="dxa"/>
            <w:vAlign w:val="bottom"/>
            <w:gridSpan w:val="6"/>
          </w:tcPr>
          <w:p>
            <w:pPr>
              <w:jc w:val="right"/>
              <w:ind w:right="880"/>
              <w:spacing w:after="0" w:line="142" w:lineRule="exact"/>
              <w:rPr>
                <w:sz w:val="20"/>
                <w:szCs w:val="20"/>
                <w:color w:val="auto"/>
              </w:rPr>
            </w:pPr>
            <w:r>
              <w:rPr>
                <w:rFonts w:ascii="Arial" w:cs="Arial" w:eastAsia="Arial" w:hAnsi="Arial"/>
                <w:sz w:val="14"/>
                <w:szCs w:val="14"/>
                <w:color w:val="auto"/>
              </w:rPr>
              <w:t>(In thousands, except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$1,498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$3,219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(785)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(944)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General and administrative expenses consist primarily of salaries including stock-based compensation, legal and accounting fees, insurance, investor relations, business development and other office related expenses. The primary reasons for the decrease in general and administrative expenses for the three months ended June 30, 2019 as compared to the same period in 2018 is due to a decrease in non-cash, stock-based compensation expense of $457,000 and smaller decreases in legal and business development expenses. The primary reasons for the decrease in general and administrative expenses for the six months ended June 30, 2019 as compared to the same period in 2018 is due to a decrease in non-cash, stock-based compensation expense of $784,000 and smaller decrease in business development expenses.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140" w:firstLine="441"/>
        <w:spacing w:after="0" w:line="269" w:lineRule="auto"/>
        <w:rPr>
          <w:sz w:val="20"/>
          <w:szCs w:val="20"/>
          <w:color w:val="auto"/>
        </w:rPr>
      </w:pPr>
      <w:r>
        <w:rPr>
          <w:rFonts w:ascii="Arial" w:cs="Arial" w:eastAsia="Arial" w:hAnsi="Arial"/>
          <w:sz w:val="17"/>
          <w:szCs w:val="17"/>
          <w:color w:val="auto"/>
        </w:rPr>
        <w:t>Since our inception on July 10, 2000, we have financed our operations from proceeds of public and private offerings of debt and equity. The Company has operated at a loss since its inception and has had no significant revenues. The Company anticipates that losses will continue for the foreseeable future. At June 30, 2019, the Company had $52 million of unrestricted cash and cash equivalents available to fund future operations. The Company believes there is sufficient cash, including availability of the line of credit (see Note 3), to fund currently planned operations at least through December 31, 2020. We expect that we will require more cash to fund our operations after December 31, 2020 and believe we will be able to obtain additional financing. The currently planned operations include estimated costs related to a planned Phase 3 clinical trial through December 31, 2020. While the costs of the trial and general overhead during the Phase 3 trial are expected to be approximately $100 million, the costs and timing of such trial is not yet completely finalized. These costs will require additional funding. There can be no assurance that we will be successful in obtaining financing to support our operations beyond December 31, 2020 or, if available, that any such financing will be on terms acceptable to us. Accordingly, based on the forecasts and estimates underlying our current operating plan, the financial statements do not currently include any adjustments that might be necessary if we are unable to continue as a going concern.</w:t>
      </w:r>
    </w:p>
    <w:p>
      <w:pPr>
        <w:spacing w:after="0" w:line="183"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On May 23, 2019, we completed an offering of common stock and warrants to its shareholders of record as of April 29, 2019. In the offering, we received approximately $44.9 million for the issuance of 10,488,161 shares of common stock and warrants which may be exercised for 2,622,154 shares of common stock. The warrants may be exercised at $7.00 per share of common stock and expire on May 23, 2026.</w:t>
      </w:r>
    </w:p>
    <w:p>
      <w:pPr>
        <w:spacing w:after="0" w:line="166"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Net cash used in operations decreased by $981,000 to $5,614,000 for the six months ended June 30, 2019, as compared to $6,595,000 for the six months ended June 30, 2018. Cash operating expenses decreased principally due to the winding down in 2018 of Phase 2 clinical trial somewhat offset by startup activities related to the planned Phase 3 clinical trial in 2019.</w:t>
      </w:r>
    </w:p>
    <w:p>
      <w:pPr>
        <w:spacing w:after="0" w:line="181" w:lineRule="exact"/>
        <w:rPr>
          <w:sz w:val="20"/>
          <w:szCs w:val="20"/>
          <w:color w:val="auto"/>
        </w:rPr>
      </w:pPr>
    </w:p>
    <w:p>
      <w:pPr>
        <w:ind w:left="200" w:right="300" w:firstLine="441"/>
        <w:spacing w:after="0" w:line="279" w:lineRule="auto"/>
        <w:rPr>
          <w:sz w:val="20"/>
          <w:szCs w:val="20"/>
          <w:color w:val="auto"/>
        </w:rPr>
      </w:pPr>
      <w:r>
        <w:rPr>
          <w:rFonts w:ascii="Arial" w:cs="Arial" w:eastAsia="Arial" w:hAnsi="Arial"/>
          <w:sz w:val="17"/>
          <w:szCs w:val="17"/>
          <w:color w:val="auto"/>
        </w:rPr>
        <w:t>Net cash provided by financing activities for the six months ended June 30, 2019, of $49,404,000 represents proceeds from the issuance of common stock from the stockholder rights offering of $44,889,000, from the ATM of $1,865,000 and $2,650,000 from the exercise of common stock options and warrants. Net cash provided by financing activities for the six months ended June 30, 2018, of $14,039,000 represents proceeds from the exercise of common stock warrants and options and issuances of common stock from the ATM.</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We have engaged outside vendors for certain services associated with our clinical trials. These services are generally available from several providers and, accordingly, our arrangements are typically cancellable on 30 days notice.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jc w:val="both"/>
        <w:ind w:left="200" w:right="160" w:firstLine="441"/>
        <w:spacing w:after="0" w:line="297"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5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2018 Annual Report on Form 10-K.</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Securities Exchange Act of 1934, as amended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Our management, with the participation of the Chief Executive Officer and Chief Financial Officer, evaluated the effectiveness of our disclosure controls and procedures (as defined in Rule 13a-15(e) promulgated under the Securities Exchange Act of 1934) and concluded that, as of June 30, 2019, our disclosure controls and procedures were effective at a reasonable assurance level. In designing and evaluating our disclosure controls and procedures, we recognize that any controls and procedures, no matter how well designed and operated, can provide only reasonable assurance of achieving the desired control objectives.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During the quarter ended June 30, 2019, no change in our internal control over financial reporting has materially affected, or is reasonably likely to materially affect, our internal control over financial reporting.</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The information set forth in this report should be read in conjunction with the risk factors set forth in Item 1A, “Risk Factors,” of Part I of our Annual Report on Form 10-K for the year ended December 31, 2018, which could materially impact our business, financial condition or future results.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878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center"/>
        <w:ind w:right="88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Exhibit</w:t>
            </w:r>
          </w:p>
        </w:tc>
        <w:tc>
          <w:tcPr>
            <w:tcW w:w="8740" w:type="dxa"/>
            <w:vAlign w:val="bottom"/>
            <w:gridSpan w:val="4"/>
            <w:vMerge w:val="restart"/>
          </w:tcPr>
          <w:p>
            <w:pPr>
              <w:ind w:left="3760"/>
              <w:spacing w:after="0"/>
              <w:rPr>
                <w:sz w:val="20"/>
                <w:szCs w:val="20"/>
                <w:color w:val="auto"/>
              </w:rPr>
            </w:pPr>
            <w:r>
              <w:rPr>
                <w:rFonts w:ascii="Arial" w:cs="Arial" w:eastAsia="Arial" w:hAnsi="Arial"/>
                <w:sz w:val="14"/>
                <w:szCs w:val="14"/>
                <w:b w:val="1"/>
                <w:bCs w:val="1"/>
                <w:color w:val="auto"/>
              </w:rPr>
              <w:t>Description of Document</w:t>
            </w:r>
          </w:p>
        </w:tc>
        <w:tc>
          <w:tcPr>
            <w:tcW w:w="6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Note</w:t>
            </w:r>
          </w:p>
        </w:tc>
        <w:tc>
          <w:tcPr>
            <w:tcW w:w="0" w:type="dxa"/>
            <w:vAlign w:val="bottom"/>
          </w:tcPr>
          <w:p>
            <w:pPr>
              <w:spacing w:after="0"/>
              <w:rPr>
                <w:sz w:val="1"/>
                <w:szCs w:val="1"/>
                <w:color w:val="auto"/>
              </w:rPr>
            </w:pPr>
          </w:p>
        </w:tc>
      </w:tr>
      <w:tr>
        <w:trPr>
          <w:trHeight w:val="171"/>
        </w:trPr>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8"/>
              </w:rPr>
              <w:t>Number</w:t>
            </w:r>
          </w:p>
        </w:tc>
        <w:tc>
          <w:tcPr>
            <w:tcW w:w="8740" w:type="dxa"/>
            <w:vAlign w:val="bottom"/>
            <w:gridSpan w:val="4"/>
            <w:vMerge w:val="continue"/>
          </w:tcPr>
          <w:p>
            <w:pPr>
              <w:spacing w:after="0"/>
              <w:rPr>
                <w:sz w:val="14"/>
                <w:szCs w:val="14"/>
                <w:color w:val="auto"/>
              </w:rPr>
            </w:pPr>
          </w:p>
        </w:tc>
        <w:tc>
          <w:tcPr>
            <w:tcW w:w="1280" w:type="dxa"/>
            <w:vAlign w:val="bottom"/>
            <w:gridSpan w:val="2"/>
          </w:tcPr>
          <w:p>
            <w:pPr>
              <w:jc w:val="center"/>
              <w:ind w:left="548"/>
              <w:spacing w:after="0"/>
              <w:rPr>
                <w:sz w:val="20"/>
                <w:szCs w:val="20"/>
                <w:color w:val="auto"/>
              </w:rPr>
            </w:pPr>
            <w:r>
              <w:rPr>
                <w:rFonts w:ascii="Arial" w:cs="Arial" w:eastAsia="Arial" w:hAnsi="Arial"/>
                <w:sz w:val="14"/>
                <w:szCs w:val="14"/>
                <w:b w:val="1"/>
                <w:bCs w:val="1"/>
                <w:color w:val="auto"/>
                <w:w w:val="91"/>
              </w:rPr>
              <w:t>Reference</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380" w:type="dxa"/>
            <w:vAlign w:val="bottom"/>
          </w:tcPr>
          <w:p>
            <w:pPr>
              <w:spacing w:after="0"/>
              <w:rPr>
                <w:sz w:val="24"/>
                <w:szCs w:val="24"/>
                <w:color w:val="auto"/>
              </w:rPr>
            </w:pPr>
          </w:p>
        </w:tc>
        <w:tc>
          <w:tcPr>
            <w:tcW w:w="874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Certification Pursuant to Rule 13a-14(a) of the Securities Exchange Act of 1934</w:t>
              </w:r>
            </w:hyperlink>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60" w:type="dxa"/>
            <w:vAlign w:val="bottom"/>
            <w:gridSpan w:val="3"/>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380" w:type="dxa"/>
            <w:vAlign w:val="bottom"/>
          </w:tcPr>
          <w:p>
            <w:pPr>
              <w:spacing w:after="0"/>
              <w:rPr>
                <w:sz w:val="24"/>
                <w:szCs w:val="24"/>
                <w:color w:val="auto"/>
              </w:rPr>
            </w:pPr>
          </w:p>
        </w:tc>
        <w:tc>
          <w:tcPr>
            <w:tcW w:w="874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Certification Pursuant to Rule 13a-14(a) of the Securities Exchange Act of 1934</w:t>
              </w:r>
            </w:hyperlink>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60" w:type="dxa"/>
            <w:vAlign w:val="bottom"/>
            <w:gridSpan w:val="3"/>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7"/>
              </w:rPr>
              <w:t>32.1**</w:t>
            </w:r>
          </w:p>
        </w:tc>
        <w:tc>
          <w:tcPr>
            <w:tcW w:w="380" w:type="dxa"/>
            <w:vAlign w:val="bottom"/>
          </w:tcPr>
          <w:p>
            <w:pPr>
              <w:spacing w:after="0"/>
              <w:rPr>
                <w:sz w:val="24"/>
                <w:szCs w:val="24"/>
                <w:color w:val="auto"/>
              </w:rPr>
            </w:pPr>
          </w:p>
        </w:tc>
        <w:tc>
          <w:tcPr>
            <w:tcW w:w="87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Certification Pursuant to 18 U.S.C. Section 1350, as Adopted Pursuant to Section 906 of the Sarbanes-Oxley Act of 2002</w:t>
              </w:r>
            </w:hyperlink>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7"/>
              </w:rPr>
              <w:t>32.2**</w:t>
            </w:r>
          </w:p>
        </w:tc>
        <w:tc>
          <w:tcPr>
            <w:tcW w:w="380" w:type="dxa"/>
            <w:vAlign w:val="bottom"/>
          </w:tcPr>
          <w:p>
            <w:pPr>
              <w:spacing w:after="0"/>
              <w:rPr>
                <w:sz w:val="24"/>
                <w:szCs w:val="24"/>
                <w:color w:val="auto"/>
              </w:rPr>
            </w:pPr>
          </w:p>
        </w:tc>
        <w:tc>
          <w:tcPr>
            <w:tcW w:w="87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Certification Pursuant to 18 U.S.C. Section 1350, as Adopted Pursuant to Section 906 of the Sarbanes-Oxley Act of 2002</w:t>
              </w:r>
            </w:hyperlink>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8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101.INS</w:t>
            </w:r>
          </w:p>
        </w:tc>
        <w:tc>
          <w:tcPr>
            <w:tcW w:w="874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101.SCH</w:t>
            </w:r>
          </w:p>
        </w:tc>
        <w:tc>
          <w:tcPr>
            <w:tcW w:w="874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3"/>
          </w:tcPr>
          <w:p>
            <w:pPr>
              <w:jc w:val="center"/>
              <w:ind w:right="300"/>
              <w:spacing w:after="0"/>
              <w:rPr>
                <w:sz w:val="20"/>
                <w:szCs w:val="20"/>
                <w:color w:val="auto"/>
              </w:rPr>
            </w:pPr>
            <w:r>
              <w:rPr>
                <w:rFonts w:ascii="Arial" w:cs="Arial" w:eastAsia="Arial" w:hAnsi="Arial"/>
                <w:sz w:val="18"/>
                <w:szCs w:val="18"/>
                <w:color w:val="auto"/>
                <w:w w:val="97"/>
              </w:rPr>
              <w:t>101.CAL</w:t>
            </w:r>
          </w:p>
        </w:tc>
        <w:tc>
          <w:tcPr>
            <w:tcW w:w="8740" w:type="dxa"/>
            <w:vAlign w:val="bottom"/>
            <w:gridSpan w:val="4"/>
          </w:tcPr>
          <w:p>
            <w:pPr>
              <w:spacing w:after="0"/>
              <w:rPr>
                <w:sz w:val="20"/>
                <w:szCs w:val="20"/>
                <w:color w:val="auto"/>
              </w:rPr>
            </w:pPr>
            <w:r>
              <w:rPr>
                <w:rFonts w:ascii="Arial" w:cs="Arial" w:eastAsia="Arial" w:hAnsi="Arial"/>
                <w:sz w:val="18"/>
                <w:szCs w:val="18"/>
                <w:color w:val="auto"/>
              </w:rPr>
              <w:t>XBRL Taxonomy Calculation Linkbase Document*</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101.DEF</w:t>
            </w:r>
          </w:p>
        </w:tc>
        <w:tc>
          <w:tcPr>
            <w:tcW w:w="874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3"/>
          </w:tcPr>
          <w:p>
            <w:pPr>
              <w:jc w:val="center"/>
              <w:ind w:right="300"/>
              <w:spacing w:after="0"/>
              <w:rPr>
                <w:sz w:val="20"/>
                <w:szCs w:val="20"/>
                <w:color w:val="auto"/>
              </w:rPr>
            </w:pPr>
            <w:r>
              <w:rPr>
                <w:rFonts w:ascii="Arial" w:cs="Arial" w:eastAsia="Arial" w:hAnsi="Arial"/>
                <w:sz w:val="18"/>
                <w:szCs w:val="18"/>
                <w:color w:val="auto"/>
                <w:w w:val="98"/>
              </w:rPr>
              <w:t>101.LAB</w:t>
            </w:r>
          </w:p>
        </w:tc>
        <w:tc>
          <w:tcPr>
            <w:tcW w:w="8740" w:type="dxa"/>
            <w:vAlign w:val="bottom"/>
            <w:gridSpan w:val="4"/>
          </w:tcPr>
          <w:p>
            <w:pPr>
              <w:spacing w:after="0"/>
              <w:rPr>
                <w:sz w:val="20"/>
                <w:szCs w:val="20"/>
                <w:color w:val="auto"/>
              </w:rPr>
            </w:pPr>
            <w:r>
              <w:rPr>
                <w:rFonts w:ascii="Arial" w:cs="Arial" w:eastAsia="Arial" w:hAnsi="Arial"/>
                <w:sz w:val="18"/>
                <w:szCs w:val="18"/>
                <w:color w:val="auto"/>
              </w:rPr>
              <w:t>XBRL Taxonomy Label Linkbase Document*</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101.PRE</w:t>
            </w:r>
          </w:p>
        </w:tc>
        <w:tc>
          <w:tcPr>
            <w:tcW w:w="8740" w:type="dxa"/>
            <w:vAlign w:val="bottom"/>
            <w:gridSpan w:val="4"/>
          </w:tcPr>
          <w:p>
            <w:pPr>
              <w:spacing w:after="0"/>
              <w:rPr>
                <w:sz w:val="20"/>
                <w:szCs w:val="20"/>
                <w:color w:val="auto"/>
              </w:rPr>
            </w:pPr>
            <w:r>
              <w:rPr>
                <w:rFonts w:ascii="Arial" w:cs="Arial" w:eastAsia="Arial" w:hAnsi="Arial"/>
                <w:sz w:val="18"/>
                <w:szCs w:val="18"/>
                <w:color w:val="auto"/>
              </w:rPr>
              <w:t>XBRL Taxonomy Presentation Linkbase Document*</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20" w:right="2260" w:hanging="5416"/>
        <w:spacing w:after="0" w:line="433" w:lineRule="auto"/>
        <w:tabs>
          <w:tab w:leader="none" w:pos="632"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 25</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9, 2019.</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Harold H. Shlevin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Harold H. Shlevin, Ph.D.</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4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44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Jack W. Callicutt</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Jack W. Callicutt</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4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459" w:right="419" w:bottom="1440" w:gutter="0" w:footer="0" w:header="0"/>
        </w:sectPr>
      </w:pPr>
    </w:p>
    <w:bookmarkStart w:id="27" w:name="page28"/>
    <w:bookmarkEnd w:id="27"/>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Harold H. Shlevin, certify that:</w:t>
      </w:r>
    </w:p>
    <w:p>
      <w:pPr>
        <w:spacing w:after="0" w:line="131" w:lineRule="exact"/>
        <w:rPr>
          <w:sz w:val="20"/>
          <w:szCs w:val="20"/>
          <w:color w:val="auto"/>
        </w:rPr>
      </w:pPr>
    </w:p>
    <w:p>
      <w:pPr>
        <w:ind w:left="440" w:hanging="43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40" w:right="140" w:hanging="436"/>
        <w:spacing w:after="0" w:line="264"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100" w:hanging="436"/>
        <w:spacing w:after="0" w:line="308"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20" w:hanging="436"/>
        <w:spacing w:after="0" w:line="291"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we have:</w:t>
      </w:r>
    </w:p>
    <w:p>
      <w:pPr>
        <w:spacing w:after="0" w:line="116" w:lineRule="exact"/>
        <w:rPr>
          <w:rFonts w:ascii="Arial" w:cs="Arial" w:eastAsia="Arial" w:hAnsi="Arial"/>
          <w:sz w:val="16"/>
          <w:szCs w:val="16"/>
          <w:color w:val="auto"/>
        </w:rPr>
      </w:pPr>
    </w:p>
    <w:p>
      <w:pPr>
        <w:ind w:left="980" w:right="40" w:hanging="54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80" w:right="160" w:hanging="54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80" w:right="340" w:hanging="544"/>
        <w:spacing w:after="0" w:line="342" w:lineRule="auto"/>
        <w:tabs>
          <w:tab w:leader="none" w:pos="98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40" w:hanging="54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20" w:hanging="436"/>
        <w:spacing w:after="0" w:line="308"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80" w:right="580" w:hanging="544"/>
        <w:spacing w:after="0" w:line="342" w:lineRule="auto"/>
        <w:tabs>
          <w:tab w:leader="none" w:pos="98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60" w:hanging="544"/>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August 9, 2019</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Harold H. Shlevin</w:t>
            </w:r>
          </w:p>
        </w:tc>
      </w:tr>
      <w:tr>
        <w:trPr>
          <w:trHeight w:val="195"/>
        </w:trPr>
        <w:tc>
          <w:tcPr>
            <w:tcW w:w="6080" w:type="dxa"/>
            <w:vAlign w:val="bottom"/>
          </w:tcPr>
          <w:p>
            <w:pPr>
              <w:ind w:left="55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Harold H. Shlevin, Ph.D.</w:t>
            </w:r>
          </w:p>
        </w:tc>
      </w:tr>
      <w:tr>
        <w:trPr>
          <w:trHeight w:val="216"/>
        </w:trPr>
        <w:tc>
          <w:tcPr>
            <w:tcW w:w="6080" w:type="dxa"/>
            <w:vAlign w:val="bottom"/>
          </w:tcPr>
          <w:p>
            <w:pPr>
              <w:ind w:left="55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08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40"/>
          </w:cols>
          <w:pgMar w:left="440" w:top="121" w:right="419" w:bottom="1440" w:gutter="0" w:footer="0" w:header="0"/>
        </w:sectPr>
      </w:pPr>
    </w:p>
    <w:bookmarkStart w:id="28" w:name="page29"/>
    <w:bookmarkEnd w:id="28"/>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40" w:right="140" w:hanging="436"/>
        <w:spacing w:after="0" w:line="264"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100" w:hanging="436"/>
        <w:spacing w:after="0" w:line="308"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20" w:hanging="436"/>
        <w:spacing w:after="0" w:line="291"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we have:</w:t>
      </w:r>
    </w:p>
    <w:p>
      <w:pPr>
        <w:spacing w:after="0" w:line="116" w:lineRule="exact"/>
        <w:rPr>
          <w:rFonts w:ascii="Arial" w:cs="Arial" w:eastAsia="Arial" w:hAnsi="Arial"/>
          <w:sz w:val="16"/>
          <w:szCs w:val="16"/>
          <w:color w:val="auto"/>
        </w:rPr>
      </w:pPr>
    </w:p>
    <w:p>
      <w:pPr>
        <w:ind w:left="980" w:right="40" w:hanging="54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80" w:right="160" w:hanging="54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80" w:right="340" w:hanging="544"/>
        <w:spacing w:after="0" w:line="342"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40" w:hanging="54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20" w:hanging="436"/>
        <w:spacing w:after="0" w:line="308"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80" w:right="580" w:hanging="544"/>
        <w:spacing w:after="0" w:line="342"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60" w:hanging="54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August 9, 2019</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W. Callicutt</w:t>
            </w:r>
          </w:p>
        </w:tc>
      </w:tr>
      <w:tr>
        <w:trPr>
          <w:trHeight w:val="195"/>
        </w:trPr>
        <w:tc>
          <w:tcPr>
            <w:tcW w:w="6080" w:type="dxa"/>
            <w:vAlign w:val="bottom"/>
          </w:tcPr>
          <w:p>
            <w:pPr>
              <w:ind w:left="55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Jack W. Callicutt</w:t>
            </w:r>
          </w:p>
        </w:tc>
      </w:tr>
      <w:tr>
        <w:trPr>
          <w:trHeight w:val="216"/>
        </w:trPr>
        <w:tc>
          <w:tcPr>
            <w:tcW w:w="6080" w:type="dxa"/>
            <w:vAlign w:val="bottom"/>
          </w:tcPr>
          <w:p>
            <w:pPr>
              <w:ind w:left="55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08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040"/>
          </w:cols>
          <w:pgMar w:left="440" w:top="121" w:right="419" w:bottom="1440" w:gutter="0" w:footer="0" w:header="0"/>
        </w:sectPr>
      </w:pPr>
    </w:p>
    <w:bookmarkStart w:id="29" w:name="page30"/>
    <w:bookmarkEnd w:id="29"/>
    <w:p>
      <w:pPr>
        <w:jc w:val="right"/>
        <w:ind w:right="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80" w:firstLine="441"/>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June 30, 2019 as filed with the Securities and Exchange Commission on the date hereof (the “Report”), I, Harold H. Shlevin, Chief Executive Officer of the Company, certify, pursuant to 18 U.S.C. § 1350, as adopted pursuant to § 906 of the Sarbanes-Oxley Act of 2002, that, to my knowledge:</w:t>
      </w:r>
    </w:p>
    <w:p>
      <w:pPr>
        <w:spacing w:after="0" w:line="71" w:lineRule="exact"/>
        <w:rPr>
          <w:sz w:val="20"/>
          <w:szCs w:val="20"/>
          <w:color w:val="auto"/>
        </w:rPr>
      </w:pPr>
    </w:p>
    <w:p>
      <w:pPr>
        <w:ind w:left="980" w:hanging="54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80" w:right="400" w:hanging="54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August 9, 2019</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Harold H. Shlevin</w:t>
            </w:r>
          </w:p>
        </w:tc>
      </w:tr>
      <w:tr>
        <w:trPr>
          <w:trHeight w:val="195"/>
        </w:trPr>
        <w:tc>
          <w:tcPr>
            <w:tcW w:w="6080" w:type="dxa"/>
            <w:vAlign w:val="bottom"/>
          </w:tcPr>
          <w:p>
            <w:pPr>
              <w:ind w:left="55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Harold H. Shlevin, Ph.D.</w:t>
            </w:r>
          </w:p>
        </w:tc>
      </w:tr>
      <w:tr>
        <w:trPr>
          <w:trHeight w:val="216"/>
        </w:trPr>
        <w:tc>
          <w:tcPr>
            <w:tcW w:w="6080" w:type="dxa"/>
            <w:vAlign w:val="bottom"/>
          </w:tcPr>
          <w:p>
            <w:pPr>
              <w:ind w:left="55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08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pacing w:after="0" w:line="215"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040"/>
          </w:cols>
          <w:pgMar w:left="440" w:top="121" w:right="419" w:bottom="1440" w:gutter="0" w:footer="0" w:header="0"/>
        </w:sectPr>
      </w:pPr>
    </w:p>
    <w:bookmarkStart w:id="30" w:name="page31"/>
    <w:bookmarkEnd w:id="30"/>
    <w:p>
      <w:pPr>
        <w:jc w:val="right"/>
        <w:ind w:right="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June 30, 2019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71" w:lineRule="exact"/>
        <w:rPr>
          <w:sz w:val="20"/>
          <w:szCs w:val="20"/>
          <w:color w:val="auto"/>
        </w:rPr>
      </w:pPr>
    </w:p>
    <w:p>
      <w:pPr>
        <w:ind w:left="980" w:hanging="54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80" w:right="400" w:hanging="54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August 9, 2019</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W. Callicutt</w:t>
            </w:r>
          </w:p>
        </w:tc>
      </w:tr>
      <w:tr>
        <w:trPr>
          <w:trHeight w:val="195"/>
        </w:trPr>
        <w:tc>
          <w:tcPr>
            <w:tcW w:w="6080" w:type="dxa"/>
            <w:vAlign w:val="bottom"/>
          </w:tcPr>
          <w:p>
            <w:pPr>
              <w:ind w:left="55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Jack W. Callicutt</w:t>
            </w:r>
          </w:p>
        </w:tc>
      </w:tr>
      <w:tr>
        <w:trPr>
          <w:trHeight w:val="216"/>
        </w:trPr>
        <w:tc>
          <w:tcPr>
            <w:tcW w:w="6080" w:type="dxa"/>
            <w:vAlign w:val="bottom"/>
          </w:tcPr>
          <w:p>
            <w:pPr>
              <w:ind w:left="55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08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15"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040"/>
      </w:cols>
      <w:pgMar w:left="44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2019-12-28T07:30:40Z</dcterms:created>
  <dcterms:modified xsi:type="dcterms:W3CDTF">2019-12-28T07:30:40Z</dcterms:modified>
</cp:coreProperties>
</file>