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254000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7020" w:type="dxa"/>
            <w:vAlign w:val="bottom"/>
          </w:tcPr>
          <w:p>
            <w:pPr>
              <w:jc w:val="center"/>
              <w:ind w:right="2600"/>
              <w:spacing w:after="0"/>
              <w:rPr>
                <w:sz w:val="20"/>
                <w:szCs w:val="20"/>
                <w:color w:val="auto"/>
              </w:rPr>
            </w:pPr>
            <w:r>
              <w:rPr>
                <w:rFonts w:ascii="Arial" w:cs="Arial" w:eastAsia="Arial" w:hAnsi="Arial"/>
                <w:sz w:val="18"/>
                <w:szCs w:val="18"/>
                <w:b w:val="1"/>
                <w:bCs w:val="1"/>
                <w:color w:val="auto"/>
                <w:w w:val="90"/>
              </w:rPr>
              <w:t>Nevada</w:t>
            </w:r>
          </w:p>
        </w:tc>
        <w:tc>
          <w:tcPr>
            <w:tcW w:w="1480" w:type="dxa"/>
            <w:vAlign w:val="bottom"/>
          </w:tcPr>
          <w:p>
            <w:pPr>
              <w:jc w:val="right"/>
              <w:ind w:right="61"/>
              <w:spacing w:after="0"/>
              <w:rPr>
                <w:sz w:val="20"/>
                <w:szCs w:val="20"/>
                <w:color w:val="auto"/>
              </w:rPr>
            </w:pPr>
            <w:r>
              <w:rPr>
                <w:rFonts w:ascii="Arial" w:cs="Arial" w:eastAsia="Arial" w:hAnsi="Arial"/>
                <w:sz w:val="18"/>
                <w:szCs w:val="18"/>
                <w:b w:val="1"/>
                <w:bCs w:val="1"/>
                <w:color w:val="auto"/>
              </w:rPr>
              <w:t>04-3562325</w:t>
            </w:r>
          </w:p>
        </w:tc>
      </w:tr>
      <w:tr>
        <w:trPr>
          <w:trHeight w:val="149"/>
        </w:trPr>
        <w:tc>
          <w:tcPr>
            <w:tcW w:w="7020" w:type="dxa"/>
            <w:vAlign w:val="bottom"/>
          </w:tcPr>
          <w:p>
            <w:pPr>
              <w:jc w:val="center"/>
              <w:ind w:right="2580"/>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8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020" w:type="dxa"/>
            <w:vAlign w:val="bottom"/>
          </w:tcPr>
          <w:p>
            <w:pPr>
              <w:jc w:val="center"/>
              <w:ind w:right="2600"/>
              <w:spacing w:after="0"/>
              <w:rPr>
                <w:sz w:val="20"/>
                <w:szCs w:val="20"/>
                <w:color w:val="auto"/>
              </w:rPr>
            </w:pPr>
            <w:r>
              <w:rPr>
                <w:rFonts w:ascii="Arial" w:cs="Arial" w:eastAsia="Arial" w:hAnsi="Arial"/>
                <w:sz w:val="14"/>
                <w:szCs w:val="14"/>
                <w:b w:val="1"/>
                <w:bCs w:val="1"/>
                <w:color w:val="auto"/>
                <w:w w:val="94"/>
              </w:rPr>
              <w:t>of incorporation)</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7020" w:type="dxa"/>
            <w:vAlign w:val="bottom"/>
          </w:tcPr>
          <w:p>
            <w:pPr>
              <w:jc w:val="center"/>
              <w:ind w:right="2600"/>
              <w:spacing w:after="0"/>
              <w:rPr>
                <w:sz w:val="20"/>
                <w:szCs w:val="20"/>
                <w:color w:val="auto"/>
              </w:rPr>
            </w:pPr>
            <w:r>
              <w:rPr>
                <w:rFonts w:ascii="Arial" w:cs="Arial" w:eastAsia="Arial" w:hAnsi="Arial"/>
                <w:sz w:val="18"/>
                <w:szCs w:val="18"/>
                <w:b w:val="1"/>
                <w:bCs w:val="1"/>
                <w:color w:val="auto"/>
                <w:w w:val="90"/>
              </w:rPr>
              <w:t>4960 Peachtree Industrial Blvd., Suite 240, Norcross, GA</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30071</w:t>
            </w:r>
          </w:p>
        </w:tc>
      </w:tr>
      <w:tr>
        <w:trPr>
          <w:trHeight w:val="186"/>
        </w:trPr>
        <w:tc>
          <w:tcPr>
            <w:tcW w:w="7020" w:type="dxa"/>
            <w:vAlign w:val="bottom"/>
          </w:tcPr>
          <w:p>
            <w:pPr>
              <w:jc w:val="center"/>
              <w:ind w:right="26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7020" w:type="dxa"/>
            <w:vAlign w:val="bottom"/>
          </w:tcPr>
          <w:p>
            <w:pPr>
              <w:jc w:val="right"/>
              <w:ind w:right="1380"/>
              <w:spacing w:after="0"/>
              <w:rPr>
                <w:sz w:val="20"/>
                <w:szCs w:val="20"/>
                <w:color w:val="auto"/>
              </w:rPr>
            </w:pPr>
            <w:r>
              <w:rPr>
                <w:rFonts w:ascii="Arial" w:cs="Arial" w:eastAsia="Arial" w:hAnsi="Arial"/>
                <w:sz w:val="18"/>
                <w:szCs w:val="18"/>
                <w:b w:val="1"/>
                <w:bCs w:val="1"/>
                <w:color w:val="auto"/>
              </w:rPr>
              <w:t>(678) 620-3186</w:t>
            </w:r>
          </w:p>
        </w:tc>
        <w:tc>
          <w:tcPr>
            <w:tcW w:w="1480" w:type="dxa"/>
            <w:vAlign w:val="bottom"/>
          </w:tcPr>
          <w:p>
            <w:pPr>
              <w:spacing w:after="0"/>
              <w:rPr>
                <w:sz w:val="24"/>
                <w:szCs w:val="24"/>
                <w:color w:val="auto"/>
              </w:rPr>
            </w:pPr>
          </w:p>
        </w:tc>
      </w:tr>
      <w:tr>
        <w:trPr>
          <w:trHeight w:val="186"/>
        </w:trPr>
        <w:tc>
          <w:tcPr>
            <w:tcW w:w="7020" w:type="dxa"/>
            <w:vAlign w:val="bottom"/>
          </w:tcPr>
          <w:p>
            <w:pPr>
              <w:jc w:val="center"/>
              <w:ind w:left="290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00" w:space="340"/>
            <w:col w:w="610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620" w:space="420"/>
            <w:col w:w="160" w:space="80"/>
            <w:col w:w="5860" w:space="720"/>
            <w:col w:w="1980" w:space="420"/>
            <w:col w:w="160"/>
          </w:cols>
          <w:pgMar w:left="240" w:top="230" w:right="239" w:bottom="1440" w:gutter="0" w:footer="0" w:header="0"/>
          <w:type w:val="continuous"/>
        </w:sectPr>
      </w:pPr>
    </w:p>
    <w:p>
      <w:pPr>
        <w:spacing w:after="0" w:line="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November 5, 2015 was 23,929,244.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SEPTEMBER 30, 2015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40" w:type="dxa"/>
            <w:vAlign w:val="bottom"/>
            <w:gridSpan w:val="9"/>
            <w:vMerge w:val="restart"/>
          </w:tcPr>
          <w:p>
            <w:pPr>
              <w:jc w:val="center"/>
              <w:ind w:right="2560"/>
              <w:spacing w:after="0"/>
              <w:rPr>
                <w:sz w:val="20"/>
                <w:szCs w:val="20"/>
                <w:color w:val="auto"/>
              </w:rPr>
            </w:pPr>
            <w:r>
              <w:rPr>
                <w:rFonts w:ascii="Arial" w:cs="Arial" w:eastAsia="Arial" w:hAnsi="Arial"/>
                <w:sz w:val="18"/>
                <w:szCs w:val="18"/>
                <w:b w:val="1"/>
                <w:bCs w:val="1"/>
                <w:color w:val="auto"/>
              </w:rPr>
              <w:t>PART I — FINANCIAL INFORMATION</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P</w:t>
            </w:r>
            <w:r>
              <w:rPr>
                <w:rFonts w:ascii="Arial" w:cs="Arial" w:eastAsia="Arial" w:hAnsi="Arial"/>
                <w:sz w:val="11"/>
                <w:szCs w:val="11"/>
                <w:b w:val="1"/>
                <w:bCs w:val="1"/>
                <w:color w:val="auto"/>
                <w:w w:val="96"/>
              </w:rPr>
              <w:t>AGE</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40" w:type="dxa"/>
            <w:vAlign w:val="bottom"/>
            <w:gridSpan w:val="9"/>
            <w:vMerge w:val="continue"/>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980" w:type="dxa"/>
            <w:vAlign w:val="bottom"/>
            <w:gridSpan w:val="16"/>
          </w:tcPr>
          <w:p>
            <w:pPr>
              <w:spacing w:after="0"/>
              <w:rPr>
                <w:sz w:val="20"/>
                <w:szCs w:val="20"/>
                <w:color w:val="auto"/>
              </w:rPr>
            </w:pPr>
            <w:r>
              <w:rPr>
                <w:rFonts w:ascii="Arial" w:cs="Arial" w:eastAsia="Arial" w:hAnsi="Arial"/>
                <w:sz w:val="18"/>
                <w:szCs w:val="18"/>
                <w:color w:val="0000EE"/>
              </w:rPr>
              <w:t>Unaudited Condensed Consolidated Financial Statements</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2015 and December 31, 2014 (unaudited)</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980" w:type="dxa"/>
            <w:vAlign w:val="bottom"/>
            <w:gridSpan w:val="16"/>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Condensed Consolidated Statements of Operations for the Three and Nine Months Ended September 30, 2015 and 2014 (unaudited)</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88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Nine Months Ended September 30, 2015 and 2014 (unaudited)</w:t>
              </w:r>
            </w:hyperlink>
          </w:p>
        </w:tc>
        <w:tc>
          <w:tcPr>
            <w:tcW w:w="70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8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Unaudited Condensed Consolidated Financial Statements</w:t>
              </w:r>
            </w:hyperlink>
          </w:p>
        </w:tc>
        <w:tc>
          <w:tcPr>
            <w:tcW w:w="518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980" w:type="dxa"/>
            <w:vAlign w:val="bottom"/>
            <w:gridSpan w:val="16"/>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3520" w:type="dxa"/>
            <w:vAlign w:val="bottom"/>
            <w:gridSpan w:val="4"/>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980" w:type="dxa"/>
            <w:vAlign w:val="bottom"/>
            <w:gridSpan w:val="1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561"/>
        </w:trPr>
        <w:tc>
          <w:tcPr>
            <w:tcW w:w="10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7640" w:type="dxa"/>
            <w:vAlign w:val="bottom"/>
            <w:gridSpan w:val="9"/>
          </w:tcPr>
          <w:p>
            <w:pPr>
              <w:jc w:val="center"/>
              <w:ind w:right="2560"/>
              <w:spacing w:after="0"/>
              <w:rPr>
                <w:sz w:val="20"/>
                <w:szCs w:val="20"/>
                <w:color w:val="auto"/>
              </w:rPr>
            </w:pPr>
            <w:r>
              <w:rPr>
                <w:rFonts w:ascii="Arial" w:cs="Arial" w:eastAsia="Arial" w:hAnsi="Arial"/>
                <w:sz w:val="18"/>
                <w:szCs w:val="18"/>
                <w:b w:val="1"/>
                <w:bCs w:val="1"/>
                <w:color w:val="auto"/>
              </w:rPr>
              <w:t>PART II — OTHER INFORMATION</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980" w:type="dxa"/>
            <w:vAlign w:val="bottom"/>
            <w:gridSpan w:val="1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640" w:type="dxa"/>
            <w:vAlign w:val="bottom"/>
            <w:gridSpan w:val="11"/>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Unregistered Sales of Equity Securities and Use of Proceeds</w:t>
              </w:r>
            </w:hyperlink>
          </w:p>
        </w:tc>
        <w:tc>
          <w:tcPr>
            <w:tcW w:w="5620" w:type="dxa"/>
            <w:vAlign w:val="bottom"/>
            <w:gridSpan w:val="6"/>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Defaults Upon Senior Securities</w:t>
              </w:r>
            </w:hyperlink>
          </w:p>
        </w:tc>
        <w:tc>
          <w:tcPr>
            <w:tcW w:w="7640" w:type="dxa"/>
            <w:vAlign w:val="bottom"/>
            <w:gridSpan w:val="9"/>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Mine Safety Disclosures</w:t>
              </w:r>
            </w:hyperlink>
          </w:p>
        </w:tc>
        <w:tc>
          <w:tcPr>
            <w:tcW w:w="8200" w:type="dxa"/>
            <w:vAlign w:val="bottom"/>
            <w:gridSpan w:val="10"/>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9980" w:type="dxa"/>
            <w:vAlign w:val="bottom"/>
            <w:gridSpan w:val="1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Other Information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Exhibits</w:t>
              </w:r>
            </w:hyperlink>
          </w:p>
        </w:tc>
        <w:tc>
          <w:tcPr>
            <w:tcW w:w="8660" w:type="dxa"/>
            <w:vAlign w:val="bottom"/>
            <w:gridSpan w:val="12"/>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380" w:type="dxa"/>
            <w:vAlign w:val="bottom"/>
            <w:gridSpan w:val="1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98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SIGNATURES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85"/>
        </w:trPr>
        <w:tc>
          <w:tcPr>
            <w:tcW w:w="10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700" w:type="dxa"/>
            <w:vAlign w:val="bottom"/>
            <w:gridSpan w:val="10"/>
          </w:tcPr>
          <w:p>
            <w:pPr>
              <w:jc w:val="right"/>
              <w:ind w:right="40"/>
              <w:spacing w:after="0"/>
              <w:rPr>
                <w:sz w:val="20"/>
                <w:szCs w:val="20"/>
                <w:color w:val="auto"/>
              </w:rPr>
            </w:pPr>
            <w:r>
              <w:rPr>
                <w:rFonts w:ascii="Arial" w:cs="Arial" w:eastAsia="Arial" w:hAnsi="Arial"/>
                <w:sz w:val="18"/>
                <w:szCs w:val="18"/>
                <w:color w:val="auto"/>
              </w:rPr>
              <w:t>2</w:t>
            </w: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91"/>
              <w:spacing w:after="0" w:line="149"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ind w:left="580"/>
              <w:spacing w:after="0"/>
              <w:rPr>
                <w:sz w:val="20"/>
                <w:szCs w:val="20"/>
                <w:color w:val="auto"/>
              </w:rPr>
            </w:pPr>
            <w:r>
              <w:rPr>
                <w:rFonts w:ascii="Arial" w:cs="Arial" w:eastAsia="Arial" w:hAnsi="Arial"/>
                <w:sz w:val="14"/>
                <w:szCs w:val="14"/>
                <w:b w:val="1"/>
                <w:bCs w:val="1"/>
                <w:color w:val="auto"/>
                <w:w w:val="93"/>
              </w:rPr>
              <w:t>(in thousands)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21,319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21,502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29,661</w:t>
            </w:r>
          </w:p>
        </w:tc>
        <w:tc>
          <w:tcPr>
            <w:tcW w:w="0" w:type="dxa"/>
            <w:vAlign w:val="bottom"/>
          </w:tcPr>
          <w:p>
            <w:pPr>
              <w:spacing w:after="0"/>
              <w:rPr>
                <w:sz w:val="1"/>
                <w:szCs w:val="1"/>
                <w:color w:val="auto"/>
              </w:rPr>
            </w:pPr>
          </w:p>
        </w:tc>
      </w:tr>
      <w:tr>
        <w:trPr>
          <w:trHeight w:val="223"/>
        </w:trPr>
        <w:tc>
          <w:tcPr>
            <w:tcW w:w="89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89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21,512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94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LIABILITIES, REDEEMABLE CONVERTIBLE PREFERRED STOCK AND STOCKHOLDERS’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EQUITY</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797</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Accrued dividends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960" w:type="dxa"/>
            <w:vAlign w:val="bottom"/>
            <w:gridSpan w:val="2"/>
          </w:tcPr>
          <w:p>
            <w:pPr>
              <w:spacing w:after="0"/>
              <w:rPr>
                <w:sz w:val="20"/>
                <w:szCs w:val="20"/>
                <w:color w:val="auto"/>
              </w:rPr>
            </w:pPr>
            <w:r>
              <w:rPr>
                <w:rFonts w:ascii="Arial" w:cs="Arial" w:eastAsia="Arial" w:hAnsi="Arial"/>
                <w:sz w:val="18"/>
                <w:szCs w:val="18"/>
                <w:color w:val="auto"/>
              </w:rPr>
              <w:t>Series B-1 12% redeemable convertible preferred stock; 900,000 shares authorized, issued and outstanding at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w w:val="95"/>
              </w:rPr>
              <w:t>September 30, 2015 and December 31, 2014, redemption and liquidation value $1,800,000 at September 30, 2015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1,744</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Series B-2 12% redeemable convertible preferred stock; 2,100,000 shares authorized, issued and outstanding at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September 30, 2015 and December 31, 2014, redemption and liquidation value $4,200,000 at September 30, 2015</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3,484</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40" w:type="dxa"/>
            <w:vAlign w:val="bottom"/>
          </w:tcPr>
          <w:p>
            <w:pPr>
              <w:spacing w:after="0" w:line="201" w:lineRule="exact"/>
              <w:rPr>
                <w:sz w:val="20"/>
                <w:szCs w:val="20"/>
                <w:color w:val="auto"/>
              </w:rPr>
            </w:pPr>
            <w:r>
              <w:rPr>
                <w:rFonts w:ascii="Arial" w:cs="Arial" w:eastAsia="Arial" w:hAnsi="Arial"/>
                <w:sz w:val="18"/>
                <w:szCs w:val="18"/>
                <w:color w:val="auto"/>
                <w:w w:val="96"/>
              </w:rPr>
              <w:t>Series C super dividend convertible preferred stock; 1,000 shares authorized, 176 shares issued and outstanding at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September 30, 2015 and December 31, 2014, redemption value: $5,581,000, liquidation value: $1,760,000 at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September 30, 2015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1,723</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40" w:type="dxa"/>
            <w:vAlign w:val="bottom"/>
          </w:tcPr>
          <w:p>
            <w:pPr>
              <w:ind w:left="700"/>
              <w:spacing w:after="0" w:line="201" w:lineRule="exact"/>
              <w:rPr>
                <w:sz w:val="20"/>
                <w:szCs w:val="20"/>
                <w:color w:val="auto"/>
              </w:rPr>
            </w:pPr>
            <w:r>
              <w:rPr>
                <w:rFonts w:ascii="Arial" w:cs="Arial" w:eastAsia="Arial" w:hAnsi="Arial"/>
                <w:sz w:val="18"/>
                <w:szCs w:val="18"/>
                <w:color w:val="auto"/>
              </w:rPr>
              <w:t>Undesignated stock, $0.01 par value; 20,000,000 shares authorized, 8,001,000 designated at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40" w:type="dxa"/>
            <w:vAlign w:val="bottom"/>
          </w:tcPr>
          <w:p>
            <w:pPr>
              <w:ind w:left="880"/>
              <w:spacing w:after="0"/>
              <w:rPr>
                <w:sz w:val="20"/>
                <w:szCs w:val="20"/>
                <w:color w:val="auto"/>
              </w:rPr>
            </w:pPr>
            <w:r>
              <w:rPr>
                <w:rFonts w:ascii="Arial" w:cs="Arial" w:eastAsia="Arial" w:hAnsi="Arial"/>
                <w:sz w:val="18"/>
                <w:szCs w:val="18"/>
                <w:color w:val="auto"/>
              </w:rPr>
              <w:t>September 30, 2015 and December 31, 2014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4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8"/>
              </w:rPr>
              <w:t>Series A 12% convertible preferred stock; 5,000,000 shares authorized, 1,377,500 and 1,402,500 issued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and outstanding at September 30, 2015 and December 31, 2014, respectively, liquidation value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$1,377,500 at September 30, 2015</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40" w:type="dxa"/>
            <w:vAlign w:val="bottom"/>
          </w:tcPr>
          <w:p>
            <w:pPr>
              <w:ind w:left="700"/>
              <w:spacing w:after="0" w:line="201" w:lineRule="exact"/>
              <w:rPr>
                <w:sz w:val="20"/>
                <w:szCs w:val="20"/>
                <w:color w:val="auto"/>
              </w:rPr>
            </w:pPr>
            <w:r>
              <w:rPr>
                <w:rFonts w:ascii="Arial" w:cs="Arial" w:eastAsia="Arial" w:hAnsi="Arial"/>
                <w:sz w:val="18"/>
                <w:szCs w:val="18"/>
                <w:color w:val="auto"/>
                <w:w w:val="96"/>
              </w:rPr>
              <w:t>Common stock, $0.001 par value; 50,000,000 shares authorized at September 30, 2015 and December 31,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880"/>
              <w:spacing w:after="0"/>
              <w:rPr>
                <w:sz w:val="20"/>
                <w:szCs w:val="20"/>
                <w:color w:val="auto"/>
              </w:rPr>
            </w:pPr>
            <w:r>
              <w:rPr>
                <w:rFonts w:ascii="Arial" w:cs="Arial" w:eastAsia="Arial" w:hAnsi="Arial"/>
                <w:sz w:val="18"/>
                <w:szCs w:val="18"/>
                <w:color w:val="auto"/>
              </w:rPr>
              <w:t>2014, 23,929,244 and 22,277,283 issued and outstanding at September 30, 2015 and December 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40" w:type="dxa"/>
            <w:vAlign w:val="bottom"/>
          </w:tcPr>
          <w:p>
            <w:pPr>
              <w:ind w:left="880"/>
              <w:spacing w:after="0"/>
              <w:rPr>
                <w:sz w:val="20"/>
                <w:szCs w:val="20"/>
                <w:color w:val="auto"/>
              </w:rPr>
            </w:pPr>
            <w:r>
              <w:rPr>
                <w:rFonts w:ascii="Arial" w:cs="Arial" w:eastAsia="Arial" w:hAnsi="Arial"/>
                <w:sz w:val="18"/>
                <w:szCs w:val="18"/>
                <w:color w:val="auto"/>
              </w:rPr>
              <w:t>2014, respectively</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147,338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700"/>
              <w:spacing w:after="0"/>
              <w:rPr>
                <w:sz w:val="20"/>
                <w:szCs w:val="20"/>
                <w:color w:val="auto"/>
              </w:rPr>
            </w:pPr>
            <w:r>
              <w:rPr>
                <w:rFonts w:ascii="Arial" w:cs="Arial" w:eastAsia="Arial" w:hAnsi="Arial"/>
                <w:sz w:val="18"/>
                <w:szCs w:val="18"/>
                <w:color w:val="auto"/>
              </w:rPr>
              <w:t>Retained deficit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8"/>
                <w:szCs w:val="18"/>
                <w:color w:val="auto"/>
                <w:w w:val="98"/>
              </w:rPr>
              <w:t>(135,083)</w:t>
            </w: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(118,925)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12,835</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60" w:type="dxa"/>
            <w:vAlign w:val="bottom"/>
            <w:gridSpan w:val="2"/>
          </w:tcPr>
          <w:p>
            <w:pPr>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21,512</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54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5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80" w:type="dxa"/>
            <w:vAlign w:val="bottom"/>
            <w:gridSpan w:val="11"/>
          </w:tcPr>
          <w:p>
            <w:pPr>
              <w:ind w:left="240"/>
              <w:spacing w:after="0" w:line="142" w:lineRule="exact"/>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4,464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1,979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10,200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5,196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6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3,477</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15,396</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loss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(5,899)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(3,477)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(15,396)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(11,696)</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Loss from equity method investment in Galectin Sciences, LLC</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6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(5,887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(3,518</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(15,356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(12,057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Preferred stock accretion</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(6,152)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(3,853)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(16,157)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(12,992)</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 – basic and diluted</w:t>
            </w: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(0.69)</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23,793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22,051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23,531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21,732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48"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Nine Months Ended</w:t>
      </w:r>
    </w:p>
    <w:p>
      <w:pPr>
        <w:jc w:val="center"/>
        <w:ind w:left="96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right"/>
              <w:ind w:right="251"/>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(15,356)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(12,057)</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3,271</w:t>
            </w:r>
          </w:p>
        </w:tc>
      </w:tr>
      <w:tr>
        <w:trPr>
          <w:trHeight w:val="216"/>
        </w:trPr>
        <w:tc>
          <w:tcPr>
            <w:tcW w:w="20" w:type="dxa"/>
            <w:vAlign w:val="bottom"/>
          </w:tcPr>
          <w:p>
            <w:pPr>
              <w:spacing w:after="0"/>
              <w:rPr>
                <w:sz w:val="18"/>
                <w:szCs w:val="18"/>
                <w:color w:val="auto"/>
              </w:rPr>
            </w:pPr>
          </w:p>
        </w:tc>
        <w:tc>
          <w:tcPr>
            <w:tcW w:w="9760" w:type="dxa"/>
            <w:vAlign w:val="bottom"/>
          </w:tcPr>
          <w:p>
            <w:pPr>
              <w:ind w:left="700"/>
              <w:spacing w:after="0"/>
              <w:rPr>
                <w:sz w:val="20"/>
                <w:szCs w:val="20"/>
                <w:color w:val="auto"/>
              </w:rPr>
            </w:pPr>
            <w:r>
              <w:rPr>
                <w:rFonts w:ascii="Arial" w:cs="Arial" w:eastAsia="Arial" w:hAnsi="Arial"/>
                <w:sz w:val="18"/>
                <w:szCs w:val="18"/>
                <w:color w:val="auto"/>
              </w:rPr>
              <w:t>Loss from equity method investment in Galectin Sciences LLC</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106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(1,033)</w:t>
            </w:r>
          </w:p>
        </w:tc>
      </w:tr>
      <w:tr>
        <w:trPr>
          <w:trHeight w:val="230"/>
        </w:trPr>
        <w:tc>
          <w:tcPr>
            <w:tcW w:w="20" w:type="dxa"/>
            <w:vAlign w:val="bottom"/>
          </w:tcPr>
          <w:p>
            <w:pPr>
              <w:spacing w:after="0"/>
              <w:rPr>
                <w:sz w:val="20"/>
                <w:szCs w:val="20"/>
                <w:color w:val="auto"/>
              </w:rPr>
            </w:pPr>
          </w:p>
        </w:tc>
        <w:tc>
          <w:tcPr>
            <w:tcW w:w="9760" w:type="dxa"/>
            <w:vAlign w:val="bottom"/>
          </w:tcPr>
          <w:p>
            <w:pPr>
              <w:ind w:left="142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(12,382)</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(9,313)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Equity method investment in Galectin Sciences LLC</w:t>
            </w:r>
          </w:p>
        </w:tc>
        <w:tc>
          <w:tcPr>
            <w:tcW w:w="10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r>
      <w:tr>
        <w:trPr>
          <w:trHeight w:val="27"/>
        </w:trPr>
        <w:tc>
          <w:tcPr>
            <w:tcW w:w="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r>
      <w:tr>
        <w:trPr>
          <w:trHeight w:val="223"/>
        </w:trPr>
        <w:tc>
          <w:tcPr>
            <w:tcW w:w="97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issuance of common stock and warrants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28,238</w:t>
            </w:r>
          </w:p>
        </w:tc>
      </w:tr>
      <w:tr>
        <w:trPr>
          <w:trHeight w:val="223"/>
        </w:trPr>
        <w:tc>
          <w:tcPr>
            <w:tcW w:w="20" w:type="dxa"/>
            <w:vAlign w:val="bottom"/>
          </w:tcPr>
          <w:p>
            <w:pPr>
              <w:spacing w:after="0"/>
              <w:rPr>
                <w:sz w:val="19"/>
                <w:szCs w:val="19"/>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Proceeds from exercise of common stock warrants and options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30,425</w:t>
            </w:r>
          </w:p>
        </w:tc>
      </w:tr>
      <w:tr>
        <w:trPr>
          <w:trHeight w:val="223"/>
        </w:trPr>
        <w:tc>
          <w:tcPr>
            <w:tcW w:w="97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(7,809)</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20,712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29,128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10,489</w:t>
            </w:r>
          </w:p>
        </w:tc>
      </w:tr>
      <w:tr>
        <w:trPr>
          <w:trHeight w:val="223"/>
        </w:trPr>
        <w:tc>
          <w:tcPr>
            <w:tcW w:w="97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21,319</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31,201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Payment of preferred stock dividends in common stock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3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Galectin Therapeutics Inc.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4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unaudited condensed consolidated financial statements as reported in this Quarterly Report on Form 10-Q reflect all adjustments which are, in the opinion of management, necessary to present fairly the financial position of the Company as of September 30, 2015 and the results of its operations for the three and nine months ended September 30, 2015 and 2014 and its cash flows for the nine months ended September 30, 2015 and 2014. All adjustments made to the interim financial statements include all those of a normal and recurring nature.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which may be expected for any other interim period or for the full year. The unaudited condensed consolidated financial statements of the Company should be read in conjunction with its Annual Report on Form 10-K for the year ended December 31, 2014.</w:t>
      </w:r>
    </w:p>
    <w:p>
      <w:pPr>
        <w:spacing w:after="0" w:line="166"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Company has operated at a loss since its inception and has had no significant revenues. The Company anticipates that losses will continue for the foreseeable future. At September 30, 2015, the Company had $21.3 million of unrestricted cash and cash equivalents available to fund future operations. The Company believes that with the cash on hand at September 30, 2015, there is sufficient cash to fund currently planned operations through September 30, 2016. The Company’s ability to fund operations after its current cash resources are exhausted depends on its ability to obtain additional financing or achieve profitable operations, as to which no assurances can be given. Accordingly, based on the forecasts and estimates underlying the Company’s current operating plan, the financial statements do not currently include any adjustments that might be necessary if the Company is unable to continue as a going concern.</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was founded in July 2000, was incorporated in the State of Nevada in January 2001 under the name “Pro-Pharmaceuticals, Inc.,” and changed its name to “Galectin Therapeutics Inc.” on May 26, 2011. On March 23, 2012, the Company began trading on The NASDAQ Capital Market under the symbol GALT. Immediately prior to March 23, 2012, the Company was traded on the Over-the Counter Bulletin Board (“OTCBB”) under the symbol GALT.OB.</w:t>
      </w:r>
    </w:p>
    <w:p>
      <w:pPr>
        <w:spacing w:after="0" w:line="33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660" w:type="dxa"/>
            <w:vAlign w:val="bottom"/>
            <w:gridSpan w:val="4"/>
          </w:tcPr>
          <w:p>
            <w:pPr>
              <w:ind w:left="3020"/>
              <w:spacing w:after="0"/>
              <w:rPr>
                <w:sz w:val="20"/>
                <w:szCs w:val="20"/>
                <w:color w:val="auto"/>
              </w:rPr>
            </w:pPr>
            <w:r>
              <w:rPr>
                <w:rFonts w:ascii="Arial" w:cs="Arial" w:eastAsia="Arial" w:hAnsi="Arial"/>
                <w:sz w:val="14"/>
                <w:szCs w:val="14"/>
                <w:color w:val="auto"/>
              </w:rPr>
              <w:t>September 30,</w:t>
            </w:r>
          </w:p>
        </w:tc>
        <w:tc>
          <w:tcPr>
            <w:tcW w:w="920" w:type="dxa"/>
            <w:vAlign w:val="bottom"/>
            <w:gridSpan w:val="4"/>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2015</w:t>
            </w: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ind w:left="640"/>
              <w:spacing w:after="0" w:line="142" w:lineRule="exact"/>
              <w:rPr>
                <w:sz w:val="20"/>
                <w:szCs w:val="20"/>
                <w:color w:val="auto"/>
              </w:rPr>
            </w:pPr>
            <w:r>
              <w:rPr>
                <w:rFonts w:ascii="Arial" w:cs="Arial" w:eastAsia="Arial" w:hAnsi="Arial"/>
                <w:sz w:val="14"/>
                <w:szCs w:val="14"/>
                <w:color w:val="auto"/>
                <w:w w:val="90"/>
              </w:rPr>
              <w:t>(in thousands)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320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Accrued compensation</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485</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 trial costs</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Other</w:t>
            </w:r>
          </w:p>
        </w:tc>
        <w:tc>
          <w:tcPr>
            <w:tcW w:w="30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8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20" w:type="dxa"/>
            <w:vAlign w:val="bottom"/>
            <w:vMerge w:val="restart"/>
          </w:tcPr>
          <w:p>
            <w:pPr>
              <w:jc w:val="right"/>
              <w:ind w:right="1654"/>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Following is the stock-based compensation expense related to common stock options, common stock, restricted common stock and common stock warrants: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right"/>
              <w:ind w:right="200"/>
              <w:spacing w:after="0"/>
              <w:rPr>
                <w:sz w:val="20"/>
                <w:szCs w:val="20"/>
                <w:color w:val="auto"/>
              </w:rPr>
            </w:pPr>
            <w:r>
              <w:rPr>
                <w:rFonts w:ascii="Arial" w:cs="Arial" w:eastAsia="Arial" w:hAnsi="Arial"/>
                <w:sz w:val="14"/>
                <w:szCs w:val="14"/>
                <w:color w:val="auto"/>
                <w:w w:val="95"/>
              </w:rPr>
              <w:t>Nine Months Ended</w:t>
            </w:r>
          </w:p>
        </w:tc>
      </w:tr>
      <w:tr>
        <w:trPr>
          <w:trHeight w:val="167"/>
        </w:trPr>
        <w:tc>
          <w:tcPr>
            <w:tcW w:w="5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ind w:left="180"/>
              <w:spacing w:after="0"/>
              <w:rPr>
                <w:sz w:val="20"/>
                <w:szCs w:val="20"/>
                <w:color w:val="auto"/>
              </w:rPr>
            </w:pPr>
            <w:r>
              <w:rPr>
                <w:rFonts w:ascii="Arial" w:cs="Arial" w:eastAsia="Arial" w:hAnsi="Arial"/>
                <w:sz w:val="14"/>
                <w:szCs w:val="14"/>
                <w:color w:val="auto"/>
              </w:rPr>
              <w:t>September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right"/>
              <w:ind w:right="380"/>
              <w:spacing w:after="0"/>
              <w:rPr>
                <w:sz w:val="20"/>
                <w:szCs w:val="20"/>
                <w:color w:val="auto"/>
              </w:rPr>
            </w:pPr>
            <w:r>
              <w:rPr>
                <w:rFonts w:ascii="Arial" w:cs="Arial" w:eastAsia="Arial" w:hAnsi="Arial"/>
                <w:sz w:val="14"/>
                <w:szCs w:val="14"/>
                <w:color w:val="auto"/>
              </w:rPr>
              <w:t>September 30,</w:t>
            </w:r>
          </w:p>
        </w:tc>
      </w:tr>
      <w:tr>
        <w:trPr>
          <w:trHeight w:val="142"/>
        </w:trPr>
        <w:tc>
          <w:tcPr>
            <w:tcW w:w="52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2015</w:t>
            </w: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color w:val="auto"/>
                <w:w w:val="89"/>
              </w:rPr>
              <w:t>2014</w:t>
            </w: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w w:val="89"/>
              </w:rPr>
              <w:t>2015</w:t>
            </w:r>
          </w:p>
        </w:tc>
        <w:tc>
          <w:tcPr>
            <w:tcW w:w="3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r>
      <w:tr>
        <w:trPr>
          <w:trHeight w:val="142"/>
        </w:trPr>
        <w:tc>
          <w:tcPr>
            <w:tcW w:w="52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6"/>
          </w:tcPr>
          <w:p>
            <w:pPr>
              <w:ind w:left="180"/>
              <w:spacing w:after="0" w:line="142" w:lineRule="exact"/>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$1,083</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556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653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1,747</w:t>
            </w:r>
          </w:p>
        </w:tc>
        <w:tc>
          <w:tcPr>
            <w:tcW w:w="3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2,188</w:t>
            </w:r>
          </w:p>
        </w:tc>
      </w:tr>
      <w:tr>
        <w:trPr>
          <w:trHeight w:val="27"/>
        </w:trPr>
        <w:tc>
          <w:tcPr>
            <w:tcW w:w="5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2,527</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3,271</w:t>
            </w:r>
          </w:p>
        </w:tc>
      </w:tr>
      <w:tr>
        <w:trPr>
          <w:trHeight w:val="20"/>
        </w:trPr>
        <w:tc>
          <w:tcPr>
            <w:tcW w:w="5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stock option activity in the Company’s equity incentive plans from December 31, 2014 through September 30,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gridSpan w:val="4"/>
          </w:tcPr>
          <w:p>
            <w:pPr>
              <w:jc w:val="right"/>
              <w:ind w:right="100"/>
              <w:spacing w:after="0"/>
              <w:rPr>
                <w:sz w:val="20"/>
                <w:szCs w:val="20"/>
                <w:color w:val="auto"/>
              </w:rPr>
            </w:pPr>
            <w:r>
              <w:rPr>
                <w:rFonts w:ascii="Arial" w:cs="Arial" w:eastAsia="Arial" w:hAnsi="Arial"/>
                <w:sz w:val="14"/>
                <w:szCs w:val="14"/>
                <w:color w:val="auto"/>
              </w:rPr>
              <w:t>Weighted Average</w:t>
            </w:r>
          </w:p>
        </w:tc>
      </w:tr>
      <w:tr>
        <w:trPr>
          <w:trHeight w:val="167"/>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color w:val="auto"/>
              </w:rPr>
              <w:t>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2014</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3,332,617</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454,000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(95,574)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Options forfeited/cancelled</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(348,718)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2015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3,342,325</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As of September 30, 2015, there was $3,131,000 of unrecognized compensation related to 914,812 unvested options, which is expected to be recognized over a weighted–average period of approximately 1.76 years. The weighted-average grant date fair value for options granted during the nine months ended September 30, 2015 and 2014 was $2.60 and $10.75, respectively. The Company granted 304,000 stock options in January 2015, of which 76,000 options vested upon grant with the remaining 228,000 options vesting over 3 years. Approximately $173,000 of non-cash, stock-based compensation expense was recorded in the first quarter of 2015 related to the options granted in January 2015 that were vested upon the grant date.</w:t>
      </w:r>
    </w:p>
    <w:p>
      <w:pPr>
        <w:spacing w:after="0" w:line="15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fair value of all other options granted is determined using the Black-Scholes option-pricing model. The following weighted average assumptions were used:</w:t>
      </w:r>
    </w:p>
    <w:p>
      <w:pPr>
        <w:spacing w:after="0" w:line="193" w:lineRule="exact"/>
        <w:rPr>
          <w:sz w:val="20"/>
          <w:szCs w:val="20"/>
          <w:color w:val="auto"/>
        </w:rPr>
      </w:pPr>
    </w:p>
    <w:p>
      <w:pPr>
        <w:jc w:val="center"/>
        <w:ind w:left="6300"/>
        <w:spacing w:after="0"/>
        <w:rPr>
          <w:sz w:val="20"/>
          <w:szCs w:val="20"/>
          <w:color w:val="auto"/>
        </w:rPr>
      </w:pPr>
      <w:r>
        <w:rPr>
          <w:rFonts w:ascii="Arial" w:cs="Arial" w:eastAsia="Arial" w:hAnsi="Arial"/>
          <w:sz w:val="14"/>
          <w:szCs w:val="14"/>
          <w:color w:val="auto"/>
        </w:rPr>
        <w:t>Nine</w:t>
      </w:r>
    </w:p>
    <w:p>
      <w:pPr>
        <w:jc w:val="center"/>
        <w:ind w:left="6300"/>
        <w:spacing w:after="0" w:line="221" w:lineRule="auto"/>
        <w:rPr>
          <w:sz w:val="20"/>
          <w:szCs w:val="20"/>
          <w:color w:val="auto"/>
        </w:rPr>
      </w:pPr>
      <w:r>
        <w:rPr>
          <w:rFonts w:ascii="Arial" w:cs="Arial" w:eastAsia="Arial" w:hAnsi="Arial"/>
          <w:sz w:val="14"/>
          <w:szCs w:val="14"/>
          <w:color w:val="auto"/>
        </w:rPr>
        <w:t>Months Ended</w:t>
      </w:r>
    </w:p>
    <w:p>
      <w:pPr>
        <w:jc w:val="center"/>
        <w:ind w:left="6300"/>
        <w:spacing w:after="0" w:line="231" w:lineRule="auto"/>
        <w:rPr>
          <w:sz w:val="20"/>
          <w:szCs w:val="20"/>
          <w:color w:val="auto"/>
        </w:rPr>
      </w:pPr>
      <w:r>
        <w:rPr>
          <w:rFonts w:ascii="Arial" w:cs="Arial" w:eastAsia="Arial" w:hAnsi="Arial"/>
          <w:sz w:val="14"/>
          <w:szCs w:val="14"/>
          <w:color w:val="auto"/>
        </w:rPr>
        <w:t>September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5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2015</w:t>
            </w:r>
          </w:p>
        </w:tc>
        <w:tc>
          <w:tcPr>
            <w:tcW w:w="52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w w:val="91"/>
              </w:rPr>
              <w:t>6.0 years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6.0 years</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summarizes the restricted stock grant activity in the Company’s equity incentive plans from December 31, 2014 through September 30, 2015:</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740" w:type="dxa"/>
            <w:vAlign w:val="bottom"/>
            <w:gridSpan w:val="2"/>
          </w:tcPr>
          <w:p>
            <w:pPr>
              <w:ind w:left="120"/>
              <w:spacing w:after="0"/>
              <w:rPr>
                <w:sz w:val="20"/>
                <w:szCs w:val="20"/>
                <w:color w:val="auto"/>
              </w:rPr>
            </w:pPr>
            <w:r>
              <w:rPr>
                <w:rFonts w:ascii="Arial" w:cs="Arial" w:eastAsia="Arial" w:hAnsi="Arial"/>
                <w:sz w:val="14"/>
                <w:szCs w:val="14"/>
                <w:color w:val="auto"/>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2014</w:t>
            </w:r>
          </w:p>
        </w:tc>
        <w:tc>
          <w:tcPr>
            <w:tcW w:w="39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416,670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340"/>
              <w:spacing w:after="0"/>
              <w:rPr>
                <w:sz w:val="20"/>
                <w:szCs w:val="20"/>
                <w:color w:val="auto"/>
              </w:rPr>
            </w:pPr>
            <w:r>
              <w:rPr>
                <w:rFonts w:ascii="Arial" w:cs="Arial" w:eastAsia="Arial" w:hAnsi="Arial"/>
                <w:sz w:val="18"/>
                <w:szCs w:val="18"/>
                <w:color w:val="auto"/>
              </w:rPr>
              <w:t>Granted</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337,935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3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Pr>
          <w:p>
            <w:pPr>
              <w:ind w:left="340"/>
              <w:spacing w:after="0"/>
              <w:rPr>
                <w:sz w:val="20"/>
                <w:szCs w:val="20"/>
                <w:color w:val="auto"/>
              </w:rPr>
            </w:pPr>
            <w:r>
              <w:rPr>
                <w:rFonts w:ascii="Arial" w:cs="Arial" w:eastAsia="Arial" w:hAnsi="Arial"/>
                <w:sz w:val="18"/>
                <w:szCs w:val="18"/>
                <w:color w:val="auto"/>
              </w:rPr>
              <w:t>Options forfeited/cancelled</w:t>
            </w:r>
          </w:p>
        </w:tc>
        <w:tc>
          <w:tcPr>
            <w:tcW w:w="3900" w:type="dxa"/>
            <w:vAlign w:val="bottom"/>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2015</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900" w:type="dxa"/>
            <w:vAlign w:val="bottom"/>
            <w:vMerge w:val="restart"/>
          </w:tcPr>
          <w:p>
            <w:pPr>
              <w:jc w:val="right"/>
              <w:ind w:right="3010"/>
              <w:spacing w:after="0"/>
              <w:rPr>
                <w:sz w:val="20"/>
                <w:szCs w:val="20"/>
                <w:color w:val="auto"/>
              </w:rPr>
            </w:pPr>
            <w:r>
              <w:rPr>
                <w:rFonts w:ascii="Arial" w:cs="Arial" w:eastAsia="Arial" w:hAnsi="Arial"/>
                <w:sz w:val="18"/>
                <w:szCs w:val="18"/>
                <w:color w:val="auto"/>
              </w:rPr>
              <w:t>7</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March 12, 2015, the Company granted 81,352 shares of restricted stock to non-employee directors as a component of their compensation. A total of 77,784 shares were issued to seven directors representing non-cash compensation cost of $280,000 which will be recognized on a straight-line basis from the grant date through May 20, 2016, when the restricted shares will vest in full. A total of 3,568 shares were issued to two directors, who were not nominated for reelection, representing non-cash compensation cost of $12,845 that will be recognized on a straight-line basis from the grant date through May 21, 2015, when the restricted shares will vest in full.</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On April 8, 2015, the Company granted 177,618 shares of restricted stock to non-employee directors in exchange for cancelation of 222,615 stock options. As the exchange was made at fair value, there was no additional non-cash compensation expense recorded in accordance with FASB ASC 718-20. Additionally, on April 8, 2015, the Company granted 71,378 shares of restricted stock to one non-employee director representing $236,975 of non-cash compensation expense which will be recorded on a straight-line basis from grant date to May 20, 2016, when the restricted shares will vest in full. Also, in April and May 2015, the Company granted a total of 7,587 shares of restricted stock to four non-employee directors for service as committee chairs or lead independent director representing $23,500 of non-cash compensation expense which will be recorded on a straight-line basis from grant date to May 20, 2016, when the restricted shares will vest in full.</w:t>
      </w:r>
    </w:p>
    <w:p>
      <w:pPr>
        <w:spacing w:after="0" w:line="178"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In January 2014, the Company entered into an agreement with a consultant that provided for the grant of 3,000 shares of common stock. The Company recognized an expense of $25,000, representing the fair value of the common stock, during the three months ended March 31, 2014.</w:t>
      </w:r>
    </w:p>
    <w:p>
      <w:pPr>
        <w:spacing w:after="0" w:line="29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common stock warrant activity from December 31, 2014 through September 30, 2015:</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gridSpan w:val="4"/>
          </w:tcPr>
          <w:p>
            <w:pPr>
              <w:ind w:left="320"/>
              <w:spacing w:after="0"/>
              <w:rPr>
                <w:sz w:val="20"/>
                <w:szCs w:val="20"/>
                <w:color w:val="auto"/>
              </w:rPr>
            </w:pPr>
            <w:r>
              <w:rPr>
                <w:rFonts w:ascii="Arial" w:cs="Arial" w:eastAsia="Arial" w:hAnsi="Arial"/>
                <w:sz w:val="14"/>
                <w:szCs w:val="14"/>
                <w:color w:val="auto"/>
                <w:w w:val="98"/>
              </w:rPr>
              <w:t>Weighted Average</w:t>
            </w:r>
          </w:p>
        </w:tc>
      </w:tr>
      <w:tr>
        <w:trPr>
          <w:trHeight w:val="167"/>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color w:val="auto"/>
              </w:rPr>
              <w:t>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2014</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5,470,995</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center"/>
              <w:ind w:left="553"/>
              <w:spacing w:after="0"/>
              <w:rPr>
                <w:sz w:val="20"/>
                <w:szCs w:val="20"/>
                <w:color w:val="auto"/>
              </w:rPr>
            </w:pPr>
            <w:r>
              <w:rPr>
                <w:rFonts w:ascii="Arial" w:cs="Arial" w:eastAsia="Arial" w:hAnsi="Arial"/>
                <w:sz w:val="18"/>
                <w:szCs w:val="18"/>
                <w:color w:val="auto"/>
                <w:w w:val="91"/>
              </w:rPr>
              <w:t>3.67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left="393"/>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393"/>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Forfeited/cancelled</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(100,000)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ind w:left="553"/>
              <w:spacing w:after="0"/>
              <w:rPr>
                <w:sz w:val="20"/>
                <w:szCs w:val="20"/>
                <w:color w:val="auto"/>
              </w:rPr>
            </w:pPr>
            <w:r>
              <w:rPr>
                <w:rFonts w:ascii="Arial" w:cs="Arial" w:eastAsia="Arial" w:hAnsi="Arial"/>
                <w:sz w:val="18"/>
                <w:szCs w:val="18"/>
                <w:color w:val="auto"/>
                <w:w w:val="91"/>
              </w:rPr>
              <w:t>4.26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2015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5,370,995</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91"/>
              </w:rPr>
              <w:t>3.64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approximates their carrying value due to their short-term nature. There were no level 2 or level 3 assets held at fair value at September 30, 2015 or December 31, 2014.</w:t>
      </w:r>
    </w:p>
    <w:p>
      <w:pPr>
        <w:spacing w:after="0" w:line="33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September 30, 2015</w:t>
            </w:r>
          </w:p>
        </w:tc>
        <w:tc>
          <w:tcPr>
            <w:tcW w:w="1980" w:type="dxa"/>
            <w:vAlign w:val="bottom"/>
            <w:gridSpan w:val="3"/>
          </w:tcPr>
          <w:p>
            <w:pPr>
              <w:jc w:val="center"/>
              <w:ind w:left="536"/>
              <w:spacing w:after="0"/>
              <w:rPr>
                <w:sz w:val="20"/>
                <w:szCs w:val="20"/>
                <w:color w:val="auto"/>
              </w:rPr>
            </w:pPr>
            <w:r>
              <w:rPr>
                <w:rFonts w:ascii="Arial" w:cs="Arial" w:eastAsia="Arial" w:hAnsi="Arial"/>
                <w:sz w:val="14"/>
                <w:szCs w:val="14"/>
                <w:color w:val="auto"/>
                <w:w w:val="91"/>
              </w:rPr>
              <w:t>September 30, 2014</w:t>
            </w:r>
          </w:p>
        </w:tc>
      </w:tr>
      <w:tr>
        <w:trPr>
          <w:trHeight w:val="167"/>
        </w:trPr>
        <w:tc>
          <w:tcPr>
            <w:tcW w:w="5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jc w:val="right"/>
              <w:ind w:right="276"/>
              <w:spacing w:after="0"/>
              <w:rPr>
                <w:sz w:val="20"/>
                <w:szCs w:val="20"/>
                <w:color w:val="auto"/>
              </w:rPr>
            </w:pPr>
            <w:r>
              <w:rPr>
                <w:rFonts w:ascii="Arial" w:cs="Arial" w:eastAsia="Arial" w:hAnsi="Arial"/>
                <w:sz w:val="14"/>
                <w:szCs w:val="14"/>
                <w:color w:val="auto"/>
              </w:rPr>
              <w:t>(shares)</w:t>
            </w:r>
          </w:p>
        </w:tc>
        <w:tc>
          <w:tcPr>
            <w:tcW w:w="7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(shares)</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5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5,370,995</w:t>
            </w:r>
          </w:p>
        </w:tc>
        <w:tc>
          <w:tcPr>
            <w:tcW w:w="7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5,450,995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3,342,325</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3,328,517</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of restricted common stock</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337,935</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02"/>
        </w:trPr>
        <w:tc>
          <w:tcPr>
            <w:tcW w:w="5040" w:type="dxa"/>
            <w:vAlign w:val="bottom"/>
          </w:tcPr>
          <w:p>
            <w:pPr>
              <w:spacing w:after="0" w:line="201" w:lineRule="exact"/>
              <w:rPr>
                <w:sz w:val="20"/>
                <w:szCs w:val="20"/>
                <w:color w:val="auto"/>
              </w:rPr>
            </w:pPr>
            <w:r>
              <w:rPr>
                <w:rFonts w:ascii="Arial" w:cs="Arial" w:eastAsia="Arial" w:hAnsi="Arial"/>
                <w:sz w:val="18"/>
                <w:szCs w:val="18"/>
                <w:color w:val="auto"/>
                <w:w w:val="99"/>
              </w:rPr>
              <w:t>Shares of common stock issuable upon conversion of preferred</w:t>
            </w: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stock</w:t>
            </w:r>
          </w:p>
        </w:tc>
        <w:tc>
          <w:tcPr>
            <w:tcW w:w="50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2,522,936</w:t>
            </w:r>
          </w:p>
        </w:tc>
        <w:tc>
          <w:tcPr>
            <w:tcW w:w="72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2,527,103</w:t>
            </w:r>
          </w:p>
        </w:tc>
        <w:tc>
          <w:tcPr>
            <w:tcW w:w="100" w:type="dxa"/>
            <w:vAlign w:val="bottom"/>
          </w:tcPr>
          <w:p>
            <w:pPr>
              <w:spacing w:after="0"/>
              <w:rPr>
                <w:sz w:val="20"/>
                <w:szCs w:val="20"/>
                <w:color w:val="auto"/>
              </w:rPr>
            </w:pPr>
          </w:p>
        </w:tc>
      </w:tr>
      <w:tr>
        <w:trPr>
          <w:trHeight w:val="216"/>
        </w:trPr>
        <w:tc>
          <w:tcPr>
            <w:tcW w:w="50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11,574,191</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11,306,615</w:t>
            </w:r>
          </w:p>
        </w:tc>
        <w:tc>
          <w:tcPr>
            <w:tcW w:w="100" w:type="dxa"/>
            <w:vAlign w:val="bottom"/>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At Market Issuance of Common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30, 2014, the Company entered into an At Market Issuance Sales Agreement (the “2014 At Market Agreement”) with a sales agent under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which the Company may issue and sell shares of its common stock having an aggregate offering price of up to $30.0 million from time to time through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agent. Sales of the Company’s common stock through the sales agent, if any, will be made by any method that is deemed an “at the market” offering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defined by the U.S. Securities and Exchange Commission. The Company will pay to the sales agent a commission rate equal to 3.0% of the gross proceeds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the sale of any shares of common stock sold through the sales agent under the 2014 At Market Agreement. As of December 31, 2014, the Company had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issued 217,622 shares of its common stock through its 2014 At Market Agreement at an average price of $5.49 per share resulting in gross proceeds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approximately $1,196,000. The Company incurred commissions of approximately $36,000 resulting in net proceeds of approximately $1,159,000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In three months ended March 31, 2015, the Company issued 1,279,416 shares of common stock for net proceeds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$4,532,000 under the 2014 At Market Agreement. In three months ended September 30, the Company issued 17,800 shares of common stock for net proceeds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approximately $41,000 under the 2014 At Market Agreement.</w:t>
      </w:r>
    </w:p>
    <w:p>
      <w:pPr>
        <w:spacing w:after="0" w:line="35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Class Actions and Derivative Lawsuits</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Between July 30, 2014, and August 6, 2014, three putative class action complaints were filed in the United States District Court for the District of Nevada (the “Nevada District Court”) against the Company and certain of its officers and directors on behalf of all persons who purchased or otherwise acquired the Company’s stock between January 6, 2014 and July 28, 2014. By order entered August 22, 2014, the Nevada District Court consolidated the three cases, relieved the defendants of any obligation to respond to the complaints then on file, and provided that defendants may respond to a consolidated amended complaint to be filed following appointment of a lead plaintiff(s) pursuant to the Private Securities Litigation Reform Act of 1995. By order dated January 5, 2015, the Nevada District Court granted the defendants’ motion to transfer the consolidated action to the United States District Court for the Northern District of Georgia (the “Court”). On March 24, 2015, the Court appointed Glyn Hotz as the lead plaintiff (“Plaintiff”). Plaintiff filed his Consolidated Class Action Complaint (the “Complaint”) on May 8, 2015. The Complaint asserts claims on behalf of a putative class of all persons who purchased or otherwise acquired the Company’s common stock between October 25, 2013 and July 28, 2014. The Complaint alleges that the Company and certain of its officers and directors (the “Class Action Individual Defendants”) violated Section 10(b) of the Securities Exchange Act of 1934 (the “Exchange Act”) and SEC Rule 10b-5 through allegedly false or misleading statements in certain SEC filings, press releases and other public statements. The Complaint further alleges that the Class Action Individual Defendants and one of the Company’s shareholders face liability for the alleged Section 10(b) and Rule 10b-5 violations pursuant to Section 20(a) of the Exchange Act. The Complaint seeks class certification, unspecified monetary damages, costs, and attorneys’ fees. The Company disputes the allegations and filed a motion to dismiss the Complaint on June 26, 2015. The parties presented oral argument regarding the motion to dismiss on November 3, 2015. As of the date of this filing, the motion to dismiss remains pending.</w:t>
      </w:r>
    </w:p>
    <w:p>
      <w:pPr>
        <w:spacing w:after="0" w:line="16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August 1 and 25, 2014, persons claiming to be Galectin shareholders filed putative shareholder derivative complaints in the Nevada District Court, seeking recovery on behalf of the Company against certain of the Company’s directors and officers. On September 10, 2014, the Nevada District Court entered an order consolidating the two cases, relieving the defendants of any obligation to respond to the initial complaints, and providing that defendants may respond to a consolidated complaint to be filed by the plaintiffs. On January 5, 2015, the Nevada District Court granted Defendants’ motion to transfer the consolidated putative derivative litigation to the United States District Court for the Northern District of Georgia. The plaintiffs filed a consolidated complaint 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February 27, 2015. On April 6, 2015, the Company and defendants filed motions to dismiss the consolidated complaint. Rather than respond to those motions, the plaintiffs sought and obtained leave to file an amended complaint. Plaintiffs filed their amended complaint (the “Complaint”) on May 26, 2015. The Complaint alleges that certain of the Company’s directors and officers (the “Derivative Action Individual Defendants”) breached their fiduciary duties to the Company’s shareholders by causing or permitting the Company to make allegedly false and misleading public statements concerning the Company’s financial and business prospects. The Complaint also alleges that the Derivative Action Individual Defendants violated the federal securities laws by allegedly making false or misleading statements of material fact in the Company’s proxy filings, committed waste of corporate assets, were unjustly enriched, and that certain defendants breached their fiduciary duties through allegedly improper sales of Galectin stock. In addition, the Complaint alleges that the Derivative Action Individual Defendants and one of the Company’s shareholders aided and abetted the alleged breaches of fiduciary duties. The Complaint seeks unspecified monetary damages on behalf of the Company, corporate governance reforms, disgorgement of profits, benefits and compensation by the defendants, costs, and attorneys’ and experts’ fees. The Company and defendants filed motions to dismiss the Complaint on July 8, 2015. The parties presented oral argument regarding the motions to dismiss on November 3, 2015. As of the date of this filing, those motions to dismiss remain pending.</w:t>
      </w:r>
    </w:p>
    <w:p>
      <w:pPr>
        <w:spacing w:after="0" w:line="17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August 29, 2014, another alleged Galectin shareholder filed a putative shareholder derivative complaint in state court in Las Vegas, Nevada, seeking recovery on behalf of the Company against the same Galectin directors and officers who are named as defendants in the derivative litigation pending in the United States District Court for the Northern District of Georgia (the “Georgia Federal Action”). The plaintiff in the Nevada action subsequently filed first and second amended complaints. The second amended complaint alleges claims for breach of fiduciary duties, unjust enrichment, and waste of corporate assets, based on allegations that are substantially similar to those asserted in the Georgia Federal Action (except that the Nevada action does not allege violations of the federal securities laws and does not assert any claim against the Galectin shareholder named as a defendant in the Georgia Federal Action), and seeks unspecified monetary damages on behalf of the Company, corporate governance reforms, disgorgement of profits, benefits and compensation by the defendants, costs, and attorneys’ and experts’ fees. The Company and defendants filed motions to dismiss the second amended complaint on April 22, 2015. On April 29, 2015, the plaintiffs in the Georgia Federal Action filed a motion to intervene in the Nevada action which, among other things, raised questions regarding the Nevada plaintiff’s standing. Thereafter, the Nevada plaintiff filed a motion to join additional plaintiffs. At a hearing held on June 11, 2015, the Nevada court: (i) granted the Georgia Federal Action plaintiffs’ motion to intervene; (ii) directed the Georgia Federal Action plaintiffs to file a complaint in intervention; (iii) directed the Nevada plaintiff to file a motion for leave to file a further amended complaint to add additional plaintiffs; (iv) stated that the defendants’ motions to dismiss the second amended complaint were denied “at this point;” (v) ordered the Nevada action stayed until December 11, 2015; and (vi) directed the parties to submit a status report on December 11, 2015, updating the court on the progress and status of the Georgia Federal Action.</w:t>
      </w:r>
    </w:p>
    <w:p>
      <w:pPr>
        <w:spacing w:after="0" w:line="17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Estimating an amount or range of possible losses resulting from litigation proceedings is inherently difficult and requires an extensive degree of judgment, particularly where the matters involve indeterminate claims for monetary damages, are in the early stages of the proceedings, and are subject to appeal. In addition, because most legal proceedings are resolved over extended periods of time, potential losses are subject to change due to, among other things, new developments, changes in legal strategy, the outcome of intermediate procedural and substantive rulings and other parties’ settlement posture and their evaluation of the strength or weakness of their case against us. For these reasons, we are currently unable to predict the ultimate timing or outcome of, or reasonably estimate the possible losses or a range of possible losses resulting from, the matters described above. Based on information currently available, the Company does not believe that any reasonably possible losses arising from currently pending legal matters will be material to the Company’s results of operations or financial condition. However, in light of the inherent uncertainties involved in such matters, an adverse outcome in one or more of these matters could materially and adversely affect the Company’s financial condition, results of operations or cash flows in any particular reporting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Proceedings</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other pending legal proceedings except as noted above.</w:t>
      </w:r>
    </w:p>
    <w:p>
      <w:pPr>
        <w:spacing w:after="0" w:line="31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Galectin Sciences LLC</w:t>
      </w:r>
    </w:p>
    <w:p>
      <w:pPr>
        <w:spacing w:after="0" w:line="12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had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investments in or distributions from the Investee, as wells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As a result, the Company contributed the $93,000, $159,000, $172,000 and $160,000 needed for the fourth quarter of 2014, first quarter of 2015, the second quarter of 2015 and third quarter of 2015 expenses of the LLC, respectively. As a result, the Company’s ownership percentage in the LLC is 71.1% at September 30, 2015. The Company accounts for the interest in the LLC as a consolidated, less than wholly owned subsidiary. The Company’s portion of the LLC’s net loss for the year ended December 31, 2014, prior to the change in accounting discussed previously, was $400,000, which includes the Company’s proportionate share of the non-cash charge associated with the contributed IPR&amp;D of $200,000.</w:t>
      </w:r>
    </w:p>
    <w:p>
      <w:pPr>
        <w:spacing w:after="0" w:line="31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has evaluated all events or transactions that occurred through the date on which the financial statements were issued, with no items noted for disclosure or recording in the consolidated financial statements as of September 30, 2015.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September 30, 2016;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77"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and cannot assure you that we will generate revenue or profit,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additional outside capital,</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related to any litigation, including shareholder class actions and derivative lawsuits filed,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130" w:lineRule="exact"/>
        <w:rPr>
          <w:rFonts w:ascii="Arial" w:cs="Arial" w:eastAsia="Arial" w:hAnsi="Arial"/>
          <w:sz w:val="18"/>
          <w:szCs w:val="18"/>
          <w:color w:val="auto"/>
        </w:rPr>
      </w:pPr>
    </w:p>
    <w:p>
      <w:pPr>
        <w:ind w:left="900" w:right="120" w:hanging="325"/>
        <w:spacing w:after="0" w:line="308"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 and</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risks detailed herein and from time to time in our SEC reports, including our Annual Report on Form 10-K filed with the SEC for the fiscal year ended December 31, 2014, and our subsequent SEC filings.</w:t>
      </w:r>
    </w:p>
    <w:p>
      <w:pPr>
        <w:spacing w:after="0" w:line="17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of Galectin Therapeutics appearing elsewhere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are a clinical stage biopharmaceutical company engaged in drug research and development to create new therapies for fibrotic disease and cancer. Our drug candidates are based on our method of targeting galectin proteins, which are key mediators of biologic and pathologic functions. We use naturally occurring, readily-available plant materials as starting material in manufacturing processes to create proprietary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and to seek strategic partners when a program becomes advanced and requires additional resources.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endeavor to leverage our scientific and product development expertise as well as established relationships with outside sources to achieve cost-effective and efficient development. These outside sources, amongst others, provide us with expertise in preclinical models, pharmaceutical development, toxicology, clinical development, pharmaceutical manufacturing, sophisticated physical and chemical characterization, and commercial development. We also have established several collaborative scientific discovery programs with leading experts in carbohydrate chemistry and characterization. These discovery programs are generally aimed at the targeted development of new carbohydrate molecules which bind galectin proteins and offer alternative options to larger market segments in our primary disease indications, such as subcutaneous or oral administration. We also have established a discovery program aimed at the targeted development of small molecules (non-carbohydrate) which bind galectin proteins and may afford options for alternative means of drug delivery (e.g., oral) and as a result expand the potential uses of our compounds. We are pursuing a development pathway to clinical enhancement and commercialization for our lead compounds in immune enhancement for cancer therapy as well as in both liver fibrosis and fatty liver disease. All of our proposed products are presently in development, including pre-clinical and clinical trials.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Development Programs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Galectins are a class of proteins that are made by many cells in the body. As a group, these proteins are able to bind to sugar molecules that are part of other proteins in and on the cells of our body. Galectin proteins act as a kind of molecular glue, bringing together molecules that have sugars on them. Galectin proteins, in particular galectin-3, are known to be markedly increased in a number of important diseases including scarring of organs (e.g. liver, lung, kidney, and heart) and cancers of many kinds. The increase in galectin protein promotes the disease and is detrimental to the patient. Published data show that mice lacking the galectin-3 gene, and thus unable to produce galectin-3, are incapable of developing liver fibrosis in response to toxic insult to the liver and in fatty liver disease.</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have two compounds in development, GR-MD-02 and GM-CT-01, both of which have shown promise in preclinical studies in treatment of fibrosis and in cancer therapy. However, we are currently focusing on development of GR-MD-02 intended to be used in the treatment of liver fibrosis associated with fatty liver disease (nonalcoholic steatohepatitis or NASH) and in cancer therapy in combination with immune-system modifying agent(s). Both of our proprietary, patented compounds are derived from completely different, natural, readily available, starting materials, which, following chemical processing, both exhibit the property of binding to and inhibiting galectin proteins.</w:t>
      </w:r>
    </w:p>
    <w:p>
      <w:pPr>
        <w:sectPr>
          <w:pgSz w:w="11900" w:h="16838" w:orient="portrait"/>
          <w:cols w:equalWidth="0" w:num="1">
            <w:col w:w="11400"/>
          </w:cols>
          <w:pgMar w:left="240" w:top="459" w:right="259" w:bottom="1440" w:gutter="0" w:footer="0" w:header="0"/>
        </w:sectPr>
      </w:pPr>
    </w:p>
    <w:p>
      <w:pPr>
        <w:spacing w:after="0" w:line="188"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Our product pipeline is shown below:</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Indication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Fibrosis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3100" w:val="left"/>
        </w:tabs>
        <w:rPr>
          <w:sz w:val="20"/>
          <w:szCs w:val="20"/>
          <w:color w:val="auto"/>
        </w:rPr>
      </w:pPr>
      <w:r>
        <w:rPr>
          <w:rFonts w:ascii="Arial" w:cs="Arial" w:eastAsia="Arial" w:hAnsi="Arial"/>
          <w:sz w:val="12"/>
          <w:szCs w:val="12"/>
          <w:b w:val="1"/>
          <w:bCs w:val="1"/>
          <w:color w:val="auto"/>
        </w:rPr>
        <w:t>Drug</w:t>
      </w:r>
      <w:r>
        <w:rPr>
          <w:sz w:val="20"/>
          <w:szCs w:val="20"/>
          <w:color w:val="auto"/>
        </w:rPr>
        <w:tab/>
      </w:r>
      <w:r>
        <w:rPr>
          <w:rFonts w:ascii="Arial" w:cs="Arial" w:eastAsia="Arial" w:hAnsi="Arial"/>
          <w:sz w:val="12"/>
          <w:szCs w:val="12"/>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29845</wp:posOffset>
            </wp:positionV>
            <wp:extent cx="39192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356" w:lineRule="exact"/>
        <w:rPr>
          <w:sz w:val="20"/>
          <w:szCs w:val="20"/>
          <w:color w:val="auto"/>
        </w:rPr>
      </w:pPr>
    </w:p>
    <w:p>
      <w:pPr>
        <w:sectPr>
          <w:pgSz w:w="11900" w:h="16838" w:orient="portrait"/>
          <w:cols w:equalWidth="0" w:num="2">
            <w:col w:w="5000" w:space="720"/>
            <w:col w:w="5680"/>
          </w:cols>
          <w:pgMar w:left="240" w:top="459" w:right="259" w:bottom="1440" w:gutter="0" w:footer="0" w:header="0"/>
          <w:type w:val="continuous"/>
        </w:sectPr>
      </w:pPr>
    </w:p>
    <w:p>
      <w:pPr>
        <w:ind w:right="1420"/>
        <w:spacing w:after="0" w:line="277" w:lineRule="auto"/>
        <w:rPr>
          <w:sz w:val="20"/>
          <w:szCs w:val="20"/>
          <w:color w:val="auto"/>
        </w:rPr>
      </w:pPr>
      <w:r>
        <w:rPr>
          <w:rFonts w:ascii="Arial" w:cs="Arial" w:eastAsia="Arial" w:hAnsi="Arial"/>
          <w:sz w:val="18"/>
          <w:szCs w:val="18"/>
          <w:color w:val="auto"/>
        </w:rPr>
        <w:t>NASH with Advanced Fibrosis and NASH cirrhosis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Psoriasis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Lung Fibrosis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Kidney Fibrosis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Cardiac Fibrosis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Immunotherapy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Melanoma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GR-MD-02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GR-MD-02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GR-MD-02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GR-MD-02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GR-MD-02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and GM-CT-01</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GR-MD-02</w:t>
      </w:r>
    </w:p>
    <w:p>
      <w:pPr>
        <w:spacing w:after="0" w:line="20" w:lineRule="exact"/>
        <w:rPr>
          <w:sz w:val="20"/>
          <w:szCs w:val="20"/>
          <w:color w:val="auto"/>
        </w:rPr>
      </w:pPr>
      <w:r>
        <w:rPr>
          <w:sz w:val="20"/>
          <w:szCs w:val="20"/>
          <w:color w:val="auto"/>
        </w:rPr>
        <w:br w:type="column"/>
      </w:r>
    </w:p>
    <w:p>
      <w:pPr>
        <w:ind w:right="40"/>
        <w:spacing w:after="0" w:line="293" w:lineRule="auto"/>
        <w:rPr>
          <w:sz w:val="20"/>
          <w:szCs w:val="20"/>
          <w:color w:val="auto"/>
        </w:rPr>
      </w:pPr>
      <w:r>
        <w:rPr>
          <w:rFonts w:ascii="Arial" w:cs="Arial" w:eastAsia="Arial" w:hAnsi="Arial"/>
          <w:sz w:val="16"/>
          <w:szCs w:val="16"/>
          <w:color w:val="auto"/>
        </w:rPr>
        <w:t>IND submitted January 2013, FDA indicated on March 1, 2013 that we could proceed with a Phase 1 US clinical trial. Phase 1 clinical trial started Q2-2013. Results from the three cohorts of the Phase 1 clinical trial were reported in 2014, with final results reported in January 2015. End of Phase 1 meeting held with FDA in 2014 and Phase 2 clinical program began in Q2 2015.</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Phase 1 clinical trial in process.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pre-clinical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pre-clinical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pre-clinical development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Investigator IND filed in December 2013. Phase 1B study in process.</w:t>
      </w:r>
    </w:p>
    <w:p>
      <w:pPr>
        <w:spacing w:after="0" w:line="170" w:lineRule="exact"/>
        <w:rPr>
          <w:sz w:val="20"/>
          <w:szCs w:val="20"/>
          <w:color w:val="auto"/>
        </w:rPr>
      </w:pPr>
    </w:p>
    <w:p>
      <w:pPr>
        <w:sectPr>
          <w:pgSz w:w="11900" w:h="16838" w:orient="portrait"/>
          <w:cols w:equalWidth="0" w:num="3">
            <w:col w:w="4520" w:space="720"/>
            <w:col w:w="1120" w:space="280"/>
            <w:col w:w="4760"/>
          </w:cols>
          <w:pgMar w:left="240" w:top="459" w:right="259" w:bottom="1440" w:gutter="0" w:footer="0" w:header="0"/>
          <w:type w:val="continuous"/>
        </w:sectPr>
      </w:pPr>
    </w:p>
    <w:p>
      <w:pPr>
        <w:ind w:firstLine="456"/>
        <w:spacing w:after="0" w:line="279" w:lineRule="auto"/>
        <w:rPr>
          <w:sz w:val="20"/>
          <w:szCs w:val="20"/>
          <w:color w:val="auto"/>
        </w:rPr>
      </w:pPr>
      <w:r>
        <w:rPr>
          <w:rFonts w:ascii="Arial" w:cs="Arial" w:eastAsia="Arial" w:hAnsi="Arial"/>
          <w:sz w:val="17"/>
          <w:szCs w:val="17"/>
          <w:color w:val="auto"/>
        </w:rPr>
        <w:t>We believe the mechanism of action for GM-CT-01 and GR-MD-02 is based upon interaction with, and inhibition of, galectin proteins, particularly galectin-3, which are expressed at high levels in certain pathological states including inflammation, fibrosis and cancer. While GM-CT-01 and GR-MD-02 are capable of binding to multiple galectin proteins, we believe that they have the greatest affinity for galectin-3, the most prominent galectin implicated in pathological processes. Blocking galectin in cancer and liver fibrosis has specific salutary effects on the disease process.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i w:val="1"/>
          <w:iCs w:val="1"/>
          <w:color w:val="auto"/>
        </w:rPr>
        <w:t xml:space="preserve">Fibrosis. </w:t>
      </w:r>
      <w:r>
        <w:rPr>
          <w:rFonts w:ascii="Arial" w:cs="Arial" w:eastAsia="Arial" w:hAnsi="Arial"/>
          <w:sz w:val="17"/>
          <w:szCs w:val="17"/>
          <w:color w:val="auto"/>
        </w:rPr>
        <w:t>GR-MD-02 is our lead product candidate for treatment of fibrotic disease. Our preclinical data show that GR-MD-02 has a powerful</w:t>
      </w:r>
      <w:r>
        <w:rPr>
          <w:rFonts w:ascii="Arial" w:cs="Arial" w:eastAsia="Arial" w:hAnsi="Arial"/>
          <w:sz w:val="17"/>
          <w:szCs w:val="17"/>
          <w:i w:val="1"/>
          <w:iCs w:val="1"/>
          <w:color w:val="auto"/>
        </w:rPr>
        <w:t xml:space="preserve"> </w:t>
      </w:r>
      <w:r>
        <w:rPr>
          <w:rFonts w:ascii="Arial" w:cs="Arial" w:eastAsia="Arial" w:hAnsi="Arial"/>
          <w:sz w:val="17"/>
          <w:szCs w:val="17"/>
          <w:color w:val="auto"/>
        </w:rPr>
        <w:t>therapeutic effect on liver fibrosis as shown in several relevant animal models. In addition, in NASH animal models GR-MD-02 is able to reduce liver fat, inflammation, and ballooning degeneration or death of liver cells. Therefore, we chose GR-MD-02 as the lead candidate in a development program targeted initially at fibrotic liver disease associated with non-alcoholic steatohepatitis (NASH, or fatty liver disease). In January 2013, an Investigational New Drug (“IND”) was submitted to the FDA with the goal of initiating a Phase 1 study in patients with NASH and advanced liver fibrosis to evaluate the human safety of GR-MD-02 and pharmacodynamics biomarkers of disease. On March 1, 2013, the FDA indicated we could proceed with a US Phase 1 clinical trial for GR-MD-02 with a development program aimed at obtaining support for a proposed indication of GR-MD-02 for treatment of NASH with advanced fibrosis. The Phase 1 trial was completed and demonstrated that GR-MD-02 up to 8 mg/Kg, i.v. was safe and well tolerated and the human pharmacokinetic data defined a drug dose for use in the planned Phase 2 trials. Additionally, there was evidence of a pharmacodynamic effect of GR-MD-02 at the 8 mg/kg dose with a decrease in alpha 2 macroglobulin, a serum marker of fibrotic activity, and a reduction in liver stiffness. An “End of Phase 1 Meeting” was held with FDA which, amongst other items, provided guidance on the primary endpoint for the Phase 2 clinical trial.</w:t>
      </w:r>
    </w:p>
    <w:p>
      <w:pPr>
        <w:spacing w:after="0" w:line="1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Additionally, an open label drug-drug interaction study was completed during the second quarter of 2015 with GR-MD-02 and it showed that with 8 mg/kg dose of GR-MD-02 and 2 mg/kg dose of midazolam there was no drug-drug interaction and no serious adverse events or drug-related adverse events were observed. This study was required by the U.S. Food and Drug Administration (FDA) and the primary objective was to determine if single or multiple intravenous (IV) doses of GR-MD-02 affect the pharmacokinetics (PK) of midazolam. The secondary objective was to assess the safety and tolerability of GR-MD-02 when administered concomitantly with midazolam. The lack of a drug interaction in this study enables Galectin to expand the number of patients eligible for its Phase 2 clinical trial. In addition, should GR-MD-02 be approved for marketing, the success of this study supports a broader patient population for the drug label.</w:t>
      </w:r>
    </w:p>
    <w:p>
      <w:pPr>
        <w:spacing w:after="0" w:line="18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Phase 2 program in fibrotic disease consists of two separate human clinical trials. The first clinical trial is the NASH-CX study for patients with NASH with cirrhosis, which began enrolling in June 2015. This study is a randomized, placebo-controlled, double-blind, parallel-group Phase 2 trial to evaluate the safety and efficacy of GR-MD-02 for the treatment of liver fibrosis and resultant portal hypertension in patients with NASH cirrhosis. A total of 156 patients at between 45 and 60 sites will be randomized to receive either 2 mg/kg of GR-MD-02, 8 mg/kg of GR-MD-02 or placebo, with 52 patients in each arm. The primary endpoint is a reduction in change in hepatic venous pressure gradient (HVPG). Patients will receive an infusion every other week for one year, total of 26 infusions, and will be evaluated to determine the change in HVPG as compared with placebo. HVPG will be correlated with secondary endpoints of fibrosis on liver biopsy as well as with measurement of liver stiffness (FibroScan</w:t>
      </w:r>
      <w:r>
        <w:rPr>
          <w:rFonts w:ascii="Arial" w:cs="Arial" w:eastAsia="Arial" w:hAnsi="Arial"/>
          <w:sz w:val="13"/>
          <w:szCs w:val="13"/>
          <w:color w:val="auto"/>
        </w:rPr>
        <w:t>(R)</w:t>
      </w:r>
      <w:r>
        <w:rPr>
          <w:rFonts w:ascii="Arial" w:cs="Arial" w:eastAsia="Arial" w:hAnsi="Arial"/>
          <w:sz w:val="16"/>
          <w:szCs w:val="16"/>
          <w:color w:val="auto"/>
        </w:rPr>
        <w:t>) and assessment of liver metabolism (</w:t>
      </w:r>
      <w:r>
        <w:rPr>
          <w:rFonts w:ascii="Arial" w:cs="Arial" w:eastAsia="Arial" w:hAnsi="Arial"/>
          <w:sz w:val="13"/>
          <w:szCs w:val="13"/>
          <w:color w:val="auto"/>
        </w:rPr>
        <w:t>13</w:t>
      </w:r>
      <w:r>
        <w:rPr>
          <w:rFonts w:ascii="Arial" w:cs="Arial" w:eastAsia="Arial" w:hAnsi="Arial"/>
          <w:sz w:val="16"/>
          <w:szCs w:val="16"/>
          <w:color w:val="auto"/>
        </w:rPr>
        <w:t>C-methacetin breath test, Exalenz), which are non-invasive measures of the liver that may be used in future studies. Data readout is expected in the fourth quarter of 2017.</w:t>
      </w:r>
    </w:p>
    <w:p>
      <w:pPr>
        <w:spacing w:after="0" w:line="166"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second clinical trial is the NASH-FX for patients with NASH advanced fibrosis. This 30 patient study is expected to begin enrolling in August 2015, with 15 patients receiving 8 mg/kg of GR-MD-02 and 15 receiving placebo. That study will evaluate the safety and efficacy of GR-MD-02 for a four month treatment period of bi-weekly infusions on liver stiffness as assessed by magnetic resonance-elastography and FibroScan score, and on imaging of liver fibrosis using multi-parametric magnetic resonance imaging (LiverMultiScan</w:t>
      </w:r>
      <w:r>
        <w:rPr>
          <w:rFonts w:ascii="Arial" w:cs="Arial" w:eastAsia="Arial" w:hAnsi="Arial"/>
          <w:sz w:val="15"/>
          <w:szCs w:val="15"/>
          <w:color w:val="auto"/>
        </w:rPr>
        <w:t>(R)</w:t>
      </w:r>
      <w:r>
        <w:rPr>
          <w:rFonts w:ascii="Arial" w:cs="Arial" w:eastAsia="Arial" w:hAnsi="Arial"/>
          <w:sz w:val="18"/>
          <w:szCs w:val="18"/>
          <w:color w:val="auto"/>
        </w:rPr>
        <w:t>, Perspectum Diagnostics). Top-line data is expected to be available in third quarter of 2016.</w:t>
      </w:r>
    </w:p>
    <w:p>
      <w:pPr>
        <w:spacing w:after="0" w:line="18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 The goal of the therapeutic program is to stop the progression of and reverse the fibrosis in the liver and, thereby improve liver function and prevent the development of complications of fibrosis/cirrhosis and liver-related mortality.</w:t>
      </w:r>
    </w:p>
    <w:p>
      <w:pPr>
        <w:spacing w:after="0" w:line="18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Cancer Immunotherapy. </w:t>
      </w:r>
      <w:r>
        <w:rPr>
          <w:rFonts w:ascii="Arial" w:cs="Arial" w:eastAsia="Arial" w:hAnsi="Arial"/>
          <w:sz w:val="16"/>
          <w:szCs w:val="16"/>
          <w:color w:val="auto"/>
        </w:rPr>
        <w:t>We believe there is potential for galectin inhibition to play a key role in the burgeoning area of cancer immunotherapy.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example, there have been several recent approvals of drugs that enhance a patient’s immune system to fight cancer. With many additional vaccines and immune stimulatory agents in development, industry analysts forecast that this market could generate over $35 billion in sales over the next 10 years. It is our goal to use a galectin inhibitor to enhance the immune system function to fight cancer in a way that complements other approaches to this type of therapy. Our drug candidates provide a promising new therapeutic approach to enhance the activity of the immune system against cancer cells. Preclinical studies have indicated that GR-MD-02 enhances the immune response to and more specifically increased tumor shrinkage and enhanced survival in immune competent mice with prostate, breast, melanoma and sarcoma cancers when combined with one of the immune checkpoint inhibitors, anti-CTLA-4 or anti-PD-1. These preclinical data have led to the filing of an Investigator-sponsored IND and the initiation of a study of GR-MD-02 in combination with Yervoy </w:t>
      </w:r>
      <w:r>
        <w:rPr>
          <w:rFonts w:ascii="Arial" w:cs="Arial" w:eastAsia="Arial" w:hAnsi="Arial"/>
          <w:sz w:val="13"/>
          <w:szCs w:val="13"/>
          <w:color w:val="auto"/>
        </w:rPr>
        <w:t>®</w:t>
      </w:r>
      <w:r>
        <w:rPr>
          <w:rFonts w:ascii="Arial" w:cs="Arial" w:eastAsia="Arial" w:hAnsi="Arial"/>
          <w:sz w:val="16"/>
          <w:szCs w:val="16"/>
          <w:color w:val="auto"/>
        </w:rPr>
        <w:t xml:space="preserve"> (ipilimumab) in a Phase 1B study of patients with metastatic melanoma. This study is being conducted under the sponsorship of Providence Portland Medical Center’s Earle A. Chiles Research Institute (EACRI). A study with Keytruda and GRMD-02 is currently being planned by EACRI.</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September 30, 2015 Compared to Three and Nine Months Ended September 30,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4"/>
                <w:szCs w:val="14"/>
                <w:color w:val="auto"/>
                <w:w w:val="93"/>
              </w:rPr>
              <w:t>Three Months Ended</w:t>
            </w:r>
          </w:p>
        </w:tc>
        <w:tc>
          <w:tcPr>
            <w:tcW w:w="140" w:type="dxa"/>
            <w:vAlign w:val="bottom"/>
          </w:tcPr>
          <w:p>
            <w:pPr>
              <w:spacing w:after="0"/>
              <w:rPr>
                <w:sz w:val="14"/>
                <w:szCs w:val="14"/>
                <w:color w:val="auto"/>
              </w:rPr>
            </w:pPr>
          </w:p>
        </w:tc>
        <w:tc>
          <w:tcPr>
            <w:tcW w:w="1520" w:type="dxa"/>
            <w:vAlign w:val="bottom"/>
            <w:gridSpan w:val="3"/>
          </w:tcPr>
          <w:p>
            <w:pPr>
              <w:jc w:val="center"/>
              <w:ind w:right="160"/>
              <w:spacing w:after="0"/>
              <w:rPr>
                <w:sz w:val="20"/>
                <w:szCs w:val="20"/>
                <w:color w:val="auto"/>
              </w:rPr>
            </w:pPr>
            <w:r>
              <w:rPr>
                <w:rFonts w:ascii="Arial" w:cs="Arial" w:eastAsia="Arial" w:hAnsi="Arial"/>
                <w:sz w:val="14"/>
                <w:szCs w:val="14"/>
                <w:color w:val="auto"/>
                <w:w w:val="94"/>
              </w:rPr>
              <w:t>Nine Months Ended</w:t>
            </w:r>
          </w:p>
        </w:tc>
        <w:tc>
          <w:tcPr>
            <w:tcW w:w="1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w w:val="97"/>
              </w:rPr>
              <w:t>2015 as Compared to 2014</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60" w:type="dxa"/>
            <w:vAlign w:val="bottom"/>
            <w:gridSpan w:val="3"/>
          </w:tcPr>
          <w:p>
            <w:pPr>
              <w:jc w:val="center"/>
              <w:ind w:right="140"/>
              <w:spacing w:after="0" w:line="142" w:lineRule="exact"/>
              <w:rPr>
                <w:sz w:val="20"/>
                <w:szCs w:val="20"/>
                <w:color w:val="auto"/>
              </w:rPr>
            </w:pPr>
            <w:r>
              <w:rPr>
                <w:rFonts w:ascii="Arial" w:cs="Arial" w:eastAsia="Arial" w:hAnsi="Arial"/>
                <w:sz w:val="14"/>
                <w:szCs w:val="14"/>
                <w:color w:val="auto"/>
                <w:w w:val="91"/>
              </w:rPr>
              <w:t>September 30,</w:t>
            </w:r>
          </w:p>
        </w:tc>
        <w:tc>
          <w:tcPr>
            <w:tcW w:w="140" w:type="dxa"/>
            <w:vAlign w:val="bottom"/>
          </w:tcPr>
          <w:p>
            <w:pPr>
              <w:spacing w:after="0"/>
              <w:rPr>
                <w:sz w:val="12"/>
                <w:szCs w:val="12"/>
                <w:color w:val="auto"/>
              </w:rPr>
            </w:pPr>
          </w:p>
        </w:tc>
        <w:tc>
          <w:tcPr>
            <w:tcW w:w="1520" w:type="dxa"/>
            <w:vAlign w:val="bottom"/>
            <w:gridSpan w:val="3"/>
          </w:tcPr>
          <w:p>
            <w:pPr>
              <w:jc w:val="center"/>
              <w:ind w:right="160"/>
              <w:spacing w:after="0" w:line="142" w:lineRule="exact"/>
              <w:rPr>
                <w:sz w:val="20"/>
                <w:szCs w:val="20"/>
                <w:color w:val="auto"/>
              </w:rPr>
            </w:pPr>
            <w:r>
              <w:rPr>
                <w:rFonts w:ascii="Arial" w:cs="Arial" w:eastAsia="Arial" w:hAnsi="Arial"/>
                <w:sz w:val="14"/>
                <w:szCs w:val="14"/>
                <w:color w:val="auto"/>
                <w:w w:val="91"/>
              </w:rPr>
              <w:t>September 30,</w:t>
            </w:r>
          </w:p>
        </w:tc>
        <w:tc>
          <w:tcPr>
            <w:tcW w:w="140" w:type="dxa"/>
            <w:vAlign w:val="bottom"/>
          </w:tcPr>
          <w:p>
            <w:pPr>
              <w:spacing w:after="0"/>
              <w:rPr>
                <w:sz w:val="12"/>
                <w:szCs w:val="12"/>
                <w:color w:val="auto"/>
              </w:rPr>
            </w:pPr>
          </w:p>
        </w:tc>
        <w:tc>
          <w:tcPr>
            <w:tcW w:w="1840" w:type="dxa"/>
            <w:vAlign w:val="bottom"/>
            <w:gridSpan w:val="3"/>
          </w:tcPr>
          <w:p>
            <w:pPr>
              <w:ind w:left="320"/>
              <w:spacing w:after="0" w:line="142" w:lineRule="exact"/>
              <w:rPr>
                <w:sz w:val="20"/>
                <w:szCs w:val="20"/>
                <w:color w:val="auto"/>
              </w:rPr>
            </w:pPr>
            <w:r>
              <w:rPr>
                <w:rFonts w:ascii="Arial" w:cs="Arial" w:eastAsia="Arial" w:hAnsi="Arial"/>
                <w:sz w:val="14"/>
                <w:szCs w:val="14"/>
                <w:color w:val="auto"/>
              </w:rPr>
              <w:t>Three Months</w:t>
            </w:r>
          </w:p>
        </w:tc>
        <w:tc>
          <w:tcPr>
            <w:tcW w:w="1440" w:type="dxa"/>
            <w:vAlign w:val="bottom"/>
            <w:gridSpan w:val="2"/>
          </w:tcPr>
          <w:p>
            <w:pPr>
              <w:ind w:left="340"/>
              <w:spacing w:after="0" w:line="142" w:lineRule="exact"/>
              <w:rPr>
                <w:sz w:val="20"/>
                <w:szCs w:val="20"/>
                <w:color w:val="auto"/>
              </w:rPr>
            </w:pPr>
            <w:r>
              <w:rPr>
                <w:rFonts w:ascii="Arial" w:cs="Arial" w:eastAsia="Arial" w:hAnsi="Arial"/>
                <w:sz w:val="14"/>
                <w:szCs w:val="14"/>
                <w:color w:val="auto"/>
              </w:rPr>
              <w:t>Nine Months</w:t>
            </w:r>
          </w:p>
        </w:tc>
        <w:tc>
          <w:tcPr>
            <w:tcW w:w="200" w:type="dxa"/>
            <w:vAlign w:val="bottom"/>
          </w:tcPr>
          <w:p>
            <w:pPr>
              <w:spacing w:after="0"/>
              <w:rPr>
                <w:sz w:val="12"/>
                <w:szCs w:val="12"/>
                <w:color w:val="auto"/>
              </w:rPr>
            </w:pPr>
          </w:p>
        </w:tc>
      </w:tr>
      <w:tr>
        <w:trPr>
          <w:trHeight w:val="142"/>
        </w:trPr>
        <w:tc>
          <w:tcPr>
            <w:tcW w:w="3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2015</w:t>
            </w:r>
          </w:p>
        </w:tc>
        <w:tc>
          <w:tcPr>
            <w:tcW w:w="6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rPr>
              <w:t>2014</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color w:val="auto"/>
              </w:rPr>
              <w:t>2015</w:t>
            </w:r>
          </w:p>
        </w:tc>
        <w:tc>
          <w:tcPr>
            <w:tcW w:w="64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color w:val="auto"/>
              </w:rPr>
              <w:t>2014</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 Change</w:t>
            </w:r>
          </w:p>
        </w:tc>
        <w:tc>
          <w:tcPr>
            <w:tcW w:w="6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color w:val="auto"/>
                <w:w w:val="88"/>
              </w:rPr>
              <w:t>% Change</w:t>
            </w:r>
          </w:p>
        </w:tc>
        <w:tc>
          <w:tcPr>
            <w:tcW w:w="40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 Change</w:t>
            </w:r>
          </w:p>
        </w:tc>
        <w:tc>
          <w:tcPr>
            <w:tcW w:w="7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w w:val="88"/>
              </w:rPr>
              <w:t>% Change</w:t>
            </w:r>
          </w:p>
        </w:tc>
        <w:tc>
          <w:tcPr>
            <w:tcW w:w="200" w:type="dxa"/>
            <w:vAlign w:val="bottom"/>
          </w:tcPr>
          <w:p>
            <w:pPr>
              <w:spacing w:after="0"/>
              <w:rPr>
                <w:sz w:val="12"/>
                <w:szCs w:val="12"/>
                <w:color w:val="auto"/>
              </w:rPr>
            </w:pPr>
          </w:p>
        </w:tc>
      </w:tr>
      <w:tr>
        <w:trPr>
          <w:trHeight w:val="142"/>
        </w:trPr>
        <w:tc>
          <w:tcPr>
            <w:tcW w:w="3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00" w:type="dxa"/>
            <w:vAlign w:val="bottom"/>
            <w:gridSpan w:val="4"/>
          </w:tcPr>
          <w:p>
            <w:pPr>
              <w:ind w:left="220"/>
              <w:spacing w:after="0" w:line="142" w:lineRule="exact"/>
              <w:rPr>
                <w:sz w:val="20"/>
                <w:szCs w:val="20"/>
                <w:color w:val="auto"/>
              </w:rPr>
            </w:pPr>
            <w:r>
              <w:rPr>
                <w:rFonts w:ascii="Arial" w:cs="Arial" w:eastAsia="Arial" w:hAnsi="Arial"/>
                <w:sz w:val="14"/>
                <w:szCs w:val="14"/>
                <w:color w:val="auto"/>
                <w:w w:val="94"/>
              </w:rPr>
              <w:t>(In thousands, except %)</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$4,465</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$ 1,979</w:t>
            </w:r>
          </w:p>
        </w:tc>
        <w:tc>
          <w:tcPr>
            <w:tcW w:w="8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$10,200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$6,345</w:t>
            </w: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$ 2,486</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$ 3,855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r>
    </w:tbl>
    <w:p>
      <w:pPr>
        <w:spacing w:after="0" w:line="202"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7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We have two product candidates, GR-MD-02 and GM-CT-01; however only GR-MD-02 is in active development. We filed for an IND for GR-MD-02 in January 2013 and in February 2013 we entered into an agreement with CTI to conduct a Phase 1 clinical trial of GR-MD-02. In March 2013, the FDA indicated we could proceed with a Phase 1 human clinical trial of GR-MD-02, and we began enrolling patients in the third quarter of 2013. In January 2014, we completed the enrollment of the first cohort of patients in the Phase 1 trial with no serious adverse events being reported. We reported initial safety and tolerability results from the first cohort of patients on March 31, 2014. The second cohort of this Phase 1 trial began and enrollment was completed in April 2014. In July 2014, we reported the results from the second cohort of patients. Enrollment of the third cohort of Phase 1 began in July 2014 with interim results presented in November 2014 with the final report on cohort 3 presented in January 2015. The results of the Phase 1 study demonstrate that (i) GR-MD-02 was safe and well tolerated by patients with advanced NASH liver fibrosis after IV administration of four doses of 2 mg/kg, 4 mg/kg and 8mg/kg lean body weight, (ii) Pharmacokinetics revealed drug exposure in humans at the 8 mg/kg dose that was equivalent to the upper range of the targeted therapeutic dose determined from effective doses in NASH animal models, (iii) Disease Serum Marker Effect showed there was a statistically significant, dose-dependent reduction in FibroTest </w:t>
      </w:r>
      <w:r>
        <w:rPr>
          <w:rFonts w:ascii="Arial" w:cs="Arial" w:eastAsia="Arial" w:hAnsi="Arial"/>
          <w:sz w:val="13"/>
          <w:szCs w:val="13"/>
          <w:color w:val="auto"/>
        </w:rPr>
        <w:t>®</w:t>
      </w:r>
      <w:r>
        <w:rPr>
          <w:rFonts w:ascii="Arial" w:cs="Arial" w:eastAsia="Arial" w:hAnsi="Arial"/>
          <w:sz w:val="16"/>
          <w:szCs w:val="16"/>
          <w:color w:val="auto"/>
        </w:rPr>
        <w:t xml:space="preserve"> scores due to a statistically significant reduction in alpha-2 macroglobulin (A2M) serum levels, and (iv) Liver Stiffness Effect, as measured by FibroScan </w:t>
      </w:r>
      <w:r>
        <w:rPr>
          <w:rFonts w:ascii="Arial" w:cs="Arial" w:eastAsia="Arial" w:hAnsi="Arial"/>
          <w:sz w:val="13"/>
          <w:szCs w:val="13"/>
          <w:color w:val="auto"/>
        </w:rPr>
        <w:t>®</w:t>
      </w:r>
      <w:r>
        <w:rPr>
          <w:rFonts w:ascii="Arial" w:cs="Arial" w:eastAsia="Arial" w:hAnsi="Arial"/>
          <w:sz w:val="16"/>
          <w:szCs w:val="16"/>
          <w:color w:val="auto"/>
        </w:rPr>
        <w:t xml:space="preserve"> showed that there was a signal of reduced liver stiffness in patients receiving GR-MD-02. The reduction seen in A2M does </w:t>
      </w:r>
      <w:r>
        <w:rPr>
          <w:rFonts w:ascii="Arial" w:cs="Arial" w:eastAsia="Arial" w:hAnsi="Arial"/>
          <w:sz w:val="16"/>
          <w:szCs w:val="16"/>
          <w:i w:val="1"/>
          <w:iCs w:val="1"/>
          <w:color w:val="auto"/>
        </w:rPr>
        <w:t>not</w:t>
      </w:r>
      <w:r>
        <w:rPr>
          <w:rFonts w:ascii="Arial" w:cs="Arial" w:eastAsia="Arial" w:hAnsi="Arial"/>
          <w:sz w:val="16"/>
          <w:szCs w:val="16"/>
          <w:color w:val="auto"/>
        </w:rPr>
        <w:t xml:space="preserve"> necessarily mean fibrosis got better in this short study, but does suggest changes in the fibrogenic process that might lead to an improvement in fibrosis with longer-term therapy. These Phase 1 results in NASH patients with advanced fibrosis provide a firm foundation for entry into a Phase 2 development program.</w:t>
      </w:r>
    </w:p>
    <w:p>
      <w:pPr>
        <w:spacing w:after="0" w:line="17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Company held an “End of Phase 1 meeting” with the FDA and, amongst other things, received guidance on the primary endpoints for a Phase 2 trial. In Phase 2 we are exploring two indications, NASH cirrhosis and NASH with advanced fibrosis. The NASH-CX trial is designed to target a patient population with cirrhosis due to NASH. The study endpoints will include those that are closely associated with outcomes in patients with cirrhosis with the primary endpoint: chosen as hepatic venous pressure gradient (HVPG). HVPG is reflective of portal pressure and portal hypertension is responsible for most of the complications resulting from cirrhosis; a reduction in HVPG is associated with a reduction in complications of cirrhosis and reduced mortality. Planned secondary endpoints include: morphometric analysis of collagen on liver biopsies, a change in histopathological stage, and other secondary endpoints will include non-invasive tests to evaluate for correlation with HVPG and liver collagen. We have awarded the contract for the NASH-CX trial to a CRO and enrollment began in June 2015 to assess the efficacy of GR-MD-02 in patients with NASH cirrhosis. The timing of initial results from the NASH-CX are dependent upon the trial design, and, amongst other factors, the rate of patient enrollment, but we anticipate top line results by the end of 2017. In the indication of NASH with advanced fibrosis, we are initiating a single site, placebo controlled, randomized clinical trial (NASH-FX) to evaluate 4 months of treatment on patients with stage 3 bridging fibrosis. This trial was initiated in the third quarter of 2015 with top line results expected to be available by the third quarter of 2016. Our Phase 2 clinical program is designed to position the Company for a strong Phase 3 clinical trial program.</w:t>
      </w:r>
    </w:p>
    <w:p>
      <w:pPr>
        <w:spacing w:after="0" w:line="16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Additionally, during the Phase 1 clinical trial, there appeared to be a potential beneficial effect on at least one patient’s moderate to severe psoriasis. As a result, we are planning a single site, 10 patient, open label clinical trial with GR-MD-02 to determine whether more extensive studies in this indication are warranted.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Additionally, an open label drug-drug interaction study was completed with GR-MD-02 and it showed that with 8 mg/kg dose of GR-MD-02 and 2 mg/kg dose of midazolam there was no drug-drug interaction and no serious adverse events or drug-related adverse events were observed. This study was required by the FDA and the primary objective was to determine if single or multiple intravenous (IV) doses of GR-MD-02 affect the pharmacokinetics (PK) of midazolam. The secondary objective was to assess the safety and tolerability of GR-MD-02 when administered concomitantly with midazolam. The lack of a drug interaction in this study enables Galectin to expand the number of patients eligible for its Phase 2 clinical trial. In addition, should GR-MD-02 be approved for marketing, the success of this study supports a broader patient population for the drug label.</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Based on guidance from FDA and in furtherance of its understanding of the GR-MD-02 molecule, we continue to enhance its chemistry, manufacturing and control procedures on GR-MD-02 active pharmaceutical ingredient (API) as well as on the finished, sterile, pharmaceutical dosage form. Various state of the art and cutting-edge analytical technologies are being utilized, for example, to characterize and quantify the backbone vs. side-chain constituents and their quantitation, use of sophisticated linkage analysis with 2-D NMR to provide both qualitative and quantitative information on the proportion of oligomers, degree of methylation, and other monoclonal specific antibody techniques to map GR oligomer integrity and distribution. The Company has also characterized how the GR molecule behaves under conditions of forced degradation.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research and development expenses were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600" w:type="dxa"/>
            <w:vAlign w:val="bottom"/>
            <w:gridSpan w:val="5"/>
          </w:tcPr>
          <w:p>
            <w:pPr>
              <w:ind w:left="10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260"/>
              <w:spacing w:after="0"/>
              <w:rPr>
                <w:sz w:val="20"/>
                <w:szCs w:val="20"/>
                <w:color w:val="auto"/>
              </w:rPr>
            </w:pPr>
            <w:r>
              <w:rPr>
                <w:rFonts w:ascii="Arial" w:cs="Arial" w:eastAsia="Arial" w:hAnsi="Arial"/>
                <w:sz w:val="14"/>
                <w:szCs w:val="14"/>
                <w:color w:val="auto"/>
                <w:w w:val="97"/>
              </w:rPr>
              <w:t>Nine Months Ended</w:t>
            </w:r>
          </w:p>
        </w:tc>
      </w:tr>
      <w:tr>
        <w:trPr>
          <w:trHeight w:val="167"/>
        </w:trPr>
        <w:tc>
          <w:tcPr>
            <w:tcW w:w="7120" w:type="dxa"/>
            <w:vAlign w:val="bottom"/>
          </w:tcPr>
          <w:p>
            <w:pPr>
              <w:spacing w:after="0"/>
              <w:rPr>
                <w:sz w:val="14"/>
                <w:szCs w:val="14"/>
                <w:color w:val="auto"/>
              </w:rPr>
            </w:pPr>
          </w:p>
        </w:tc>
        <w:tc>
          <w:tcPr>
            <w:tcW w:w="1600" w:type="dxa"/>
            <w:vAlign w:val="bottom"/>
            <w:gridSpan w:val="5"/>
          </w:tcPr>
          <w:p>
            <w:pPr>
              <w:jc w:val="right"/>
              <w:ind w:right="480"/>
              <w:spacing w:after="0"/>
              <w:rPr>
                <w:sz w:val="20"/>
                <w:szCs w:val="20"/>
                <w:color w:val="auto"/>
              </w:rPr>
            </w:pPr>
            <w:r>
              <w:rPr>
                <w:rFonts w:ascii="Arial" w:cs="Arial" w:eastAsia="Arial" w:hAnsi="Arial"/>
                <w:sz w:val="14"/>
                <w:szCs w:val="14"/>
                <w:color w:val="auto"/>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420"/>
              <w:spacing w:after="0"/>
              <w:rPr>
                <w:sz w:val="20"/>
                <w:szCs w:val="20"/>
                <w:color w:val="auto"/>
              </w:rPr>
            </w:pPr>
            <w:r>
              <w:rPr>
                <w:rFonts w:ascii="Arial" w:cs="Arial" w:eastAsia="Arial" w:hAnsi="Arial"/>
                <w:sz w:val="14"/>
                <w:szCs w:val="14"/>
                <w:color w:val="auto"/>
              </w:rPr>
              <w:t>September 30,</w:t>
            </w:r>
          </w:p>
        </w:tc>
      </w:tr>
      <w:tr>
        <w:trPr>
          <w:trHeight w:val="142"/>
        </w:trPr>
        <w:tc>
          <w:tcPr>
            <w:tcW w:w="7120" w:type="dxa"/>
            <w:vAlign w:val="bottom"/>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2015</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color w:val="auto"/>
              </w:rPr>
              <w:t>2015</w:t>
            </w:r>
          </w:p>
        </w:tc>
        <w:tc>
          <w:tcPr>
            <w:tcW w:w="3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r>
      <w:tr>
        <w:trPr>
          <w:trHeight w:val="142"/>
        </w:trPr>
        <w:tc>
          <w:tcPr>
            <w:tcW w:w="7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6"/>
          </w:tcPr>
          <w:p>
            <w:pPr>
              <w:ind w:left="240"/>
              <w:spacing w:after="0" w:line="142" w:lineRule="exact"/>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Clinical programs</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$3,459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648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7,239</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$2,462</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Pre-clinical activities</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1,178</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2,056</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All other research and development expenses</w:t>
            </w:r>
          </w:p>
        </w:tc>
        <w:tc>
          <w:tcPr>
            <w:tcW w:w="500" w:type="dxa"/>
            <w:vAlign w:val="bottom"/>
          </w:tcPr>
          <w:p>
            <w:pPr>
              <w:jc w:val="right"/>
              <w:spacing w:after="0"/>
              <w:rPr>
                <w:sz w:val="20"/>
                <w:szCs w:val="20"/>
                <w:color w:val="auto"/>
              </w:rPr>
            </w:pPr>
            <w:r>
              <w:rPr>
                <w:rFonts w:ascii="Arial" w:cs="Arial" w:eastAsia="Arial" w:hAnsi="Arial"/>
                <w:sz w:val="18"/>
                <w:szCs w:val="18"/>
                <w:color w:val="auto"/>
              </w:rPr>
              <w:t>620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527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1,783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1,827</w:t>
            </w:r>
          </w:p>
        </w:tc>
      </w:tr>
      <w:tr>
        <w:trPr>
          <w:trHeight w:val="27"/>
        </w:trPr>
        <w:tc>
          <w:tcPr>
            <w:tcW w:w="7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4,465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1,979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10,200</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6,345</w:t>
            </w:r>
          </w:p>
        </w:tc>
      </w:tr>
      <w:tr>
        <w:trPr>
          <w:trHeight w:val="20"/>
        </w:trPr>
        <w:tc>
          <w:tcPr>
            <w:tcW w:w="7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Clinical programs expenses increased primarily due to costs related to our Phase 2 clinical trials during the three and nine months ended September 30, 2015 as compared to the same period in 2014. As we enroll patients in the Phase 2 trials we expect our clinical activities costs will increase and may fluctuate from quarter to quarter as the trial progresses. Pre-clinical activities decreased primarily because we are nearing completion of pre-clinical work directly related preparation for our anticipated Phase 2 clinical trial program. For the nine months ended September 30, 2015 compared to September 30, 2014, other research and development expenses decreased primarily due to decreased stock-based compensation expense.</w:t>
      </w:r>
    </w:p>
    <w:p>
      <w:pPr>
        <w:spacing w:after="0" w:line="158"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6"/>
          <w:szCs w:val="16"/>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products, and uncertainties as to the regulatory agency response to our trial data prior to receipt of marketing approval.</w:t>
      </w:r>
    </w:p>
    <w:p>
      <w:pPr>
        <w:spacing w:after="0" w:line="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20" w:type="dxa"/>
            <w:vAlign w:val="bottom"/>
          </w:tcPr>
          <w:p>
            <w:pPr>
              <w:spacing w:after="0"/>
              <w:rPr>
                <w:sz w:val="14"/>
                <w:szCs w:val="14"/>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4"/>
                <w:szCs w:val="14"/>
                <w:color w:val="auto"/>
                <w:w w:val="94"/>
              </w:rPr>
              <w:t>Three Months</w:t>
            </w:r>
          </w:p>
        </w:tc>
        <w:tc>
          <w:tcPr>
            <w:tcW w:w="14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Arial" w:cs="Arial" w:eastAsia="Arial" w:hAnsi="Arial"/>
                <w:sz w:val="14"/>
                <w:szCs w:val="14"/>
                <w:color w:val="auto"/>
                <w:w w:val="94"/>
              </w:rPr>
              <w:t>Nine Months</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82"/>
              <w:spacing w:after="0"/>
              <w:rPr>
                <w:sz w:val="20"/>
                <w:szCs w:val="20"/>
                <w:color w:val="auto"/>
              </w:rPr>
            </w:pPr>
            <w:r>
              <w:rPr>
                <w:rFonts w:ascii="Arial" w:cs="Arial" w:eastAsia="Arial" w:hAnsi="Arial"/>
                <w:sz w:val="14"/>
                <w:szCs w:val="14"/>
                <w:color w:val="auto"/>
                <w:w w:val="95"/>
              </w:rPr>
              <w:t>2015 as Compared to 2014</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620" w:type="dxa"/>
            <w:vAlign w:val="bottom"/>
          </w:tcPr>
          <w:p>
            <w:pPr>
              <w:spacing w:after="0"/>
              <w:rPr>
                <w:sz w:val="12"/>
                <w:szCs w:val="12"/>
                <w:color w:val="auto"/>
              </w:rPr>
            </w:pPr>
          </w:p>
        </w:tc>
        <w:tc>
          <w:tcPr>
            <w:tcW w:w="1460" w:type="dxa"/>
            <w:vAlign w:val="bottom"/>
            <w:gridSpan w:val="3"/>
          </w:tcPr>
          <w:p>
            <w:pPr>
              <w:jc w:val="center"/>
              <w:ind w:right="140"/>
              <w:spacing w:after="0" w:line="142" w:lineRule="exact"/>
              <w:rPr>
                <w:sz w:val="20"/>
                <w:szCs w:val="20"/>
                <w:color w:val="auto"/>
              </w:rPr>
            </w:pPr>
            <w:r>
              <w:rPr>
                <w:rFonts w:ascii="Arial" w:cs="Arial" w:eastAsia="Arial" w:hAnsi="Arial"/>
                <w:sz w:val="14"/>
                <w:szCs w:val="14"/>
                <w:color w:val="auto"/>
                <w:w w:val="91"/>
              </w:rPr>
              <w:t>Ended September 30,</w:t>
            </w:r>
          </w:p>
        </w:tc>
        <w:tc>
          <w:tcPr>
            <w:tcW w:w="140" w:type="dxa"/>
            <w:vAlign w:val="bottom"/>
          </w:tcPr>
          <w:p>
            <w:pPr>
              <w:spacing w:after="0"/>
              <w:rPr>
                <w:sz w:val="12"/>
                <w:szCs w:val="12"/>
                <w:color w:val="auto"/>
              </w:rPr>
            </w:pPr>
          </w:p>
        </w:tc>
        <w:tc>
          <w:tcPr>
            <w:tcW w:w="1480" w:type="dxa"/>
            <w:vAlign w:val="bottom"/>
            <w:gridSpan w:val="3"/>
          </w:tcPr>
          <w:p>
            <w:pPr>
              <w:jc w:val="center"/>
              <w:ind w:right="140"/>
              <w:spacing w:after="0" w:line="142" w:lineRule="exact"/>
              <w:rPr>
                <w:sz w:val="20"/>
                <w:szCs w:val="20"/>
                <w:color w:val="auto"/>
              </w:rPr>
            </w:pPr>
            <w:r>
              <w:rPr>
                <w:rFonts w:ascii="Arial" w:cs="Arial" w:eastAsia="Arial" w:hAnsi="Arial"/>
                <w:sz w:val="14"/>
                <w:szCs w:val="14"/>
                <w:color w:val="auto"/>
                <w:w w:val="89"/>
              </w:rPr>
              <w:t>Ended September 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tcPr>
          <w:p>
            <w:pPr>
              <w:ind w:left="220"/>
              <w:spacing w:after="0" w:line="142" w:lineRule="exact"/>
              <w:rPr>
                <w:sz w:val="20"/>
                <w:szCs w:val="20"/>
                <w:color w:val="auto"/>
              </w:rPr>
            </w:pPr>
            <w:r>
              <w:rPr>
                <w:rFonts w:ascii="Arial" w:cs="Arial" w:eastAsia="Arial" w:hAnsi="Arial"/>
                <w:sz w:val="14"/>
                <w:szCs w:val="14"/>
                <w:color w:val="auto"/>
              </w:rPr>
              <w:t>Three Months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40"/>
              <w:spacing w:after="0" w:line="142" w:lineRule="exact"/>
              <w:rPr>
                <w:sz w:val="20"/>
                <w:szCs w:val="20"/>
                <w:color w:val="auto"/>
              </w:rPr>
            </w:pPr>
            <w:r>
              <w:rPr>
                <w:rFonts w:ascii="Arial" w:cs="Arial" w:eastAsia="Arial" w:hAnsi="Arial"/>
                <w:sz w:val="14"/>
                <w:szCs w:val="14"/>
                <w:color w:val="auto"/>
              </w:rPr>
              <w:t>Nine Months</w:t>
            </w:r>
          </w:p>
        </w:tc>
        <w:tc>
          <w:tcPr>
            <w:tcW w:w="260" w:type="dxa"/>
            <w:vAlign w:val="bottom"/>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Arial" w:cs="Arial" w:eastAsia="Arial" w:hAnsi="Arial"/>
                <w:sz w:val="14"/>
                <w:szCs w:val="14"/>
                <w:color w:val="auto"/>
              </w:rPr>
              <w:t>2015</w:t>
            </w:r>
          </w:p>
        </w:tc>
        <w:tc>
          <w:tcPr>
            <w:tcW w:w="6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color w:val="auto"/>
              </w:rPr>
              <w:t>2014</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2015</w:t>
            </w:r>
          </w:p>
        </w:tc>
        <w:tc>
          <w:tcPr>
            <w:tcW w:w="68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color w:val="auto"/>
              </w:rPr>
              <w:t>2014</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Change</w:t>
            </w:r>
          </w:p>
        </w:tc>
        <w:tc>
          <w:tcPr>
            <w:tcW w:w="6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w w:val="88"/>
              </w:rPr>
              <w:t>% Change</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color w:val="auto"/>
                <w:w w:val="85"/>
              </w:rPr>
              <w:t>Change</w:t>
            </w:r>
          </w:p>
        </w:tc>
        <w:tc>
          <w:tcPr>
            <w:tcW w:w="7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color w:val="auto"/>
                <w:w w:val="88"/>
              </w:rPr>
              <w:t>% Change</w:t>
            </w:r>
          </w:p>
        </w:tc>
        <w:tc>
          <w:tcPr>
            <w:tcW w:w="260" w:type="dxa"/>
            <w:vAlign w:val="bottom"/>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60" w:type="dxa"/>
            <w:vAlign w:val="bottom"/>
            <w:gridSpan w:val="5"/>
          </w:tcPr>
          <w:p>
            <w:pPr>
              <w:ind w:left="300"/>
              <w:spacing w:after="0" w:line="142" w:lineRule="exact"/>
              <w:rPr>
                <w:sz w:val="20"/>
                <w:szCs w:val="20"/>
                <w:color w:val="auto"/>
              </w:rPr>
            </w:pPr>
            <w:r>
              <w:rPr>
                <w:rFonts w:ascii="Arial" w:cs="Arial" w:eastAsia="Arial" w:hAnsi="Arial"/>
                <w:sz w:val="14"/>
                <w:szCs w:val="14"/>
                <w:color w:val="auto"/>
                <w:w w:val="92"/>
              </w:rPr>
              <w:t>(In thousands, except %)</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w w:val="86"/>
              </w:rPr>
              <w:t>$ 1,435</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$1,498</w:t>
            </w:r>
          </w:p>
        </w:tc>
        <w:tc>
          <w:tcPr>
            <w:tcW w:w="8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$5,196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$ 5,351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(155)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bl>
    <w:p>
      <w:pPr>
        <w:spacing w:after="0" w:line="20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General and administrative expenses consist primarily of salaries including stock-based compensation, legal and accounting fees, insurance, investor relations, business development and other office related expenses. The primary reason for the decrease in general and administrative expenses in the three months ended September 30, 2015 compared to the same period in 2014 is a decrease in stock-based compensation expense of $97,000 in 2015 compared to 2014. The primary reason for the decrease in general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administrative expenses for the nine months ended September 30, 2015 as compared to the same period in 2014 is due to a decrease in stock-based compensation expense of $441,000 and decrease in legal fees of $215,000 offset somewhat by smaller increases in certain other general and administrative expenses, primarily insurance and investor and public relations expenses.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Since our inception on July 10, 2000, we have financed our operations from proceeds of public and private offerings of debt and equity. As of September 30, 2015, we raised a net total of $112 million from these offerings. We have operated at a loss since our inception and have had no significant revenues. We anticipate that losses will continue for the foreseeable future. At September 30, 2015, we had $21.3 million of unrestricted cash and cash equivalents available to fund future operations. We believe that with the cash on hand at September 30, 2015, there is sufficient cash to fund currently planned operations through September 30, 2016. Our ability to fund operations after our current cash resources are exhausted depends on our ability to obtain additional financing or achieve profitable operations, as to which no assurances can be given. Accordingly, based on the forecasts and estimates underlying our current operating plan, the financial statements do not currently include any adjustments that might be necessary if we are unable to continue as a going concern.</w:t>
      </w:r>
    </w:p>
    <w:p>
      <w:pPr>
        <w:spacing w:after="0" w:line="19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Net cash used in operations increased by $3,069,000 to $12,382,000 for the nine months ended September 30, 2015, as compared to $9,313,000 for the nine months ended September 30, 2014. Cash operating expenses increased principally due to increased research and development activities related to our Phase 2 clinical trials program with GR-MD-02.</w:t>
      </w:r>
    </w:p>
    <w:p>
      <w:pPr>
        <w:spacing w:after="0" w:line="18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Net cash provided by financing activities for the nine months ended September 30, 2015, of $4,573,000 represents net proceeds from the sale of common stock. Net cash provided by financing activities was $30,425,000 for the nine months ending September 30, 2014, consisting of $28,238,000 in net proceeds from sale of common stock and $2,187,000 from the proceeds from the exercise of stock options and warrants.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have engaged outside vendors for certain services associated with our clinical trials. These services are generally available from several providers and, accordingly, our arrangements are typically cancellable on 30 days notice.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intangible assets, accrued expenses, stock-based compensation, contingencies and litigation. We base our estimates on historical experience, terms of existing contracts,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5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2014 Annual Report on Form 10-K.</w:t>
      </w:r>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September 30, 2015, our disclosure controls and procedures were effective at a reasonable assurance level. During the quarter ended September 30, 2015, no change in our internal control over financial reporting has materially affected, or is reasonably likely to materially affect, our internal control over financial reporting.</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except as discussed in Note 8 to our condensed consolidated financial statements included in this report.</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information set forth in this report should be read in conjunction with the risk factors set forth in Item 1A, “Risk Factors,” of Part I of our Annual Report on Form 10-K for the year ended December 31, 2014, which could materially impact our business, financial condition or future results.</w:t>
      </w: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40" w:type="dxa"/>
            <w:vAlign w:val="bottom"/>
          </w:tcPr>
          <w:p>
            <w:pPr>
              <w:spacing w:after="0"/>
              <w:rPr>
                <w:sz w:val="20"/>
                <w:szCs w:val="20"/>
                <w:color w:val="auto"/>
              </w:rPr>
            </w:pPr>
          </w:p>
        </w:tc>
        <w:tc>
          <w:tcPr>
            <w:tcW w:w="956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9560" w:type="dxa"/>
            <w:vAlign w:val="bottom"/>
            <w:vMerge w:val="restart"/>
          </w:tcPr>
          <w:p>
            <w:pPr>
              <w:ind w:left="4020"/>
              <w:spacing w:after="0"/>
              <w:rPr>
                <w:sz w:val="20"/>
                <w:szCs w:val="20"/>
                <w:color w:val="auto"/>
              </w:rPr>
            </w:pPr>
            <w:r>
              <w:rPr>
                <w:rFonts w:ascii="Arial" w:cs="Arial" w:eastAsia="Arial" w:hAnsi="Arial"/>
                <w:sz w:val="14"/>
                <w:szCs w:val="14"/>
                <w:b w:val="1"/>
                <w:bCs w:val="1"/>
                <w:color w:val="auto"/>
              </w:rPr>
              <w:t>Description of Document</w:t>
            </w:r>
          </w:p>
        </w:tc>
        <w:tc>
          <w:tcPr>
            <w:tcW w:w="860" w:type="dxa"/>
            <w:vAlign w:val="bottom"/>
          </w:tcPr>
          <w:p>
            <w:pPr>
              <w:jc w:val="center"/>
              <w:ind w:left="188"/>
              <w:spacing w:after="0"/>
              <w:rPr>
                <w:sz w:val="20"/>
                <w:szCs w:val="20"/>
                <w:color w:val="auto"/>
              </w:rPr>
            </w:pPr>
            <w:r>
              <w:rPr>
                <w:rFonts w:ascii="Arial" w:cs="Arial" w:eastAsia="Arial" w:hAnsi="Arial"/>
                <w:sz w:val="14"/>
                <w:szCs w:val="14"/>
                <w:b w:val="1"/>
                <w:bCs w:val="1"/>
                <w:color w:val="auto"/>
                <w:w w:val="89"/>
              </w:rPr>
              <w:t>Note</w:t>
            </w:r>
          </w:p>
        </w:tc>
        <w:tc>
          <w:tcPr>
            <w:tcW w:w="0" w:type="dxa"/>
            <w:vAlign w:val="bottom"/>
          </w:tcPr>
          <w:p>
            <w:pPr>
              <w:spacing w:after="0"/>
              <w:rPr>
                <w:sz w:val="1"/>
                <w:szCs w:val="1"/>
                <w:color w:val="auto"/>
              </w:rPr>
            </w:pPr>
          </w:p>
        </w:tc>
      </w:tr>
      <w:tr>
        <w:trPr>
          <w:trHeight w:val="162"/>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9560" w:type="dxa"/>
            <w:vAlign w:val="bottom"/>
            <w:vMerge w:val="continue"/>
          </w:tcPr>
          <w:p>
            <w:pPr>
              <w:spacing w:after="0"/>
              <w:rPr>
                <w:sz w:val="14"/>
                <w:szCs w:val="14"/>
                <w:color w:val="auto"/>
              </w:rPr>
            </w:pPr>
          </w:p>
        </w:tc>
        <w:tc>
          <w:tcPr>
            <w:tcW w:w="860" w:type="dxa"/>
            <w:vAlign w:val="bottom"/>
          </w:tcPr>
          <w:p>
            <w:pPr>
              <w:jc w:val="center"/>
              <w:ind w:left="188"/>
              <w:spacing w:after="0"/>
              <w:rPr>
                <w:sz w:val="20"/>
                <w:szCs w:val="20"/>
                <w:color w:val="auto"/>
              </w:rPr>
            </w:pPr>
            <w:r>
              <w:rPr>
                <w:rFonts w:ascii="Arial" w:cs="Arial" w:eastAsia="Arial" w:hAnsi="Arial"/>
                <w:sz w:val="14"/>
                <w:szCs w:val="14"/>
                <w:b w:val="1"/>
                <w:bCs w:val="1"/>
                <w:color w:val="auto"/>
                <w:w w:val="88"/>
              </w:rPr>
              <w:t>Reference</w:t>
            </w:r>
          </w:p>
        </w:tc>
        <w:tc>
          <w:tcPr>
            <w:tcW w:w="0" w:type="dxa"/>
            <w:vAlign w:val="bottom"/>
          </w:tcPr>
          <w:p>
            <w:pPr>
              <w:spacing w:after="0"/>
              <w:rPr>
                <w:sz w:val="1"/>
                <w:szCs w:val="1"/>
                <w:color w:val="auto"/>
              </w:rPr>
            </w:pP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5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9700" w:type="dxa"/>
            <w:vAlign w:val="bottom"/>
            <w:gridSpan w:val="2"/>
          </w:tcPr>
          <w:p>
            <w:pPr>
              <w:ind w:left="140"/>
              <w:spacing w:after="0"/>
              <w:rPr>
                <w:sz w:val="20"/>
                <w:szCs w:val="20"/>
                <w:color w:val="auto"/>
              </w:rPr>
            </w:pPr>
            <w:r>
              <w:rPr>
                <w:rFonts w:ascii="Arial" w:cs="Arial" w:eastAsia="Arial" w:hAnsi="Arial"/>
                <w:sz w:val="18"/>
                <w:szCs w:val="18"/>
                <w:color w:val="auto"/>
              </w:rPr>
              <w:t>Certification Pursuant to Rule 13a-14(a) of the Securities Exchange Act of 1934</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9700" w:type="dxa"/>
            <w:vAlign w:val="bottom"/>
            <w:gridSpan w:val="2"/>
          </w:tcPr>
          <w:p>
            <w:pPr>
              <w:ind w:left="140"/>
              <w:spacing w:after="0"/>
              <w:rPr>
                <w:sz w:val="20"/>
                <w:szCs w:val="20"/>
                <w:color w:val="auto"/>
              </w:rPr>
            </w:pPr>
            <w:r>
              <w:rPr>
                <w:rFonts w:ascii="Arial" w:cs="Arial" w:eastAsia="Arial" w:hAnsi="Arial"/>
                <w:sz w:val="18"/>
                <w:szCs w:val="18"/>
                <w:color w:val="auto"/>
              </w:rPr>
              <w:t>Certification Pursuant to Rule 13a-14(a) of the Securities Exchange Act of 1934</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9700" w:type="dxa"/>
            <w:vAlign w:val="bottom"/>
            <w:gridSpan w:val="2"/>
          </w:tcPr>
          <w:p>
            <w:pPr>
              <w:ind w:left="140"/>
              <w:spacing w:after="0"/>
              <w:rPr>
                <w:sz w:val="20"/>
                <w:szCs w:val="20"/>
                <w:color w:val="auto"/>
              </w:rPr>
            </w:pPr>
            <w:r>
              <w:rPr>
                <w:rFonts w:ascii="Arial" w:cs="Arial" w:eastAsia="Arial" w:hAnsi="Arial"/>
                <w:sz w:val="18"/>
                <w:szCs w:val="18"/>
                <w:color w:val="auto"/>
                <w:w w:val="99"/>
              </w:rPr>
              <w:t>Certification Pursuant to 18 U.S.C. Section 1350, as Adopted Pursuant to Section 906 of the Sarbanes-Oxley Act of 2002</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24"/>
                <w:szCs w:val="24"/>
                <w:color w:val="auto"/>
              </w:rPr>
            </w:pPr>
          </w:p>
        </w:tc>
        <w:tc>
          <w:tcPr>
            <w:tcW w:w="9700" w:type="dxa"/>
            <w:vAlign w:val="bottom"/>
            <w:gridSpan w:val="2"/>
          </w:tcPr>
          <w:p>
            <w:pPr>
              <w:ind w:left="140"/>
              <w:spacing w:after="0"/>
              <w:rPr>
                <w:sz w:val="20"/>
                <w:szCs w:val="20"/>
                <w:color w:val="auto"/>
              </w:rPr>
            </w:pPr>
            <w:r>
              <w:rPr>
                <w:rFonts w:ascii="Arial" w:cs="Arial" w:eastAsia="Arial" w:hAnsi="Arial"/>
                <w:sz w:val="18"/>
                <w:szCs w:val="18"/>
                <w:color w:val="auto"/>
                <w:w w:val="99"/>
              </w:rPr>
              <w:t>Certification Pursuant to 18 U.S.C. Section 1350, as Adopted Pursuant to Section 906 of the Sarbanes-Oxley Act of 2002</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700" w:type="dxa"/>
            <w:vAlign w:val="bottom"/>
            <w:gridSpan w:val="2"/>
          </w:tcPr>
          <w:p>
            <w:pPr>
              <w:ind w:left="140"/>
              <w:spacing w:after="0"/>
              <w:rPr>
                <w:sz w:val="20"/>
                <w:szCs w:val="20"/>
                <w:color w:val="auto"/>
              </w:rPr>
            </w:pPr>
            <w:r>
              <w:rPr>
                <w:rFonts w:ascii="Arial" w:cs="Arial" w:eastAsia="Arial" w:hAnsi="Arial"/>
                <w:sz w:val="18"/>
                <w:szCs w:val="18"/>
                <w:color w:val="auto"/>
              </w:rPr>
              <w:t>XBRL Instance Document*</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70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700" w:type="dxa"/>
            <w:vAlign w:val="bottom"/>
            <w:gridSpan w:val="2"/>
          </w:tcPr>
          <w:p>
            <w:pPr>
              <w:ind w:left="140"/>
              <w:spacing w:after="0"/>
              <w:rPr>
                <w:sz w:val="20"/>
                <w:szCs w:val="20"/>
                <w:color w:val="auto"/>
              </w:rPr>
            </w:pPr>
            <w:r>
              <w:rPr>
                <w:rFonts w:ascii="Arial" w:cs="Arial" w:eastAsia="Arial" w:hAnsi="Arial"/>
                <w:sz w:val="18"/>
                <w:szCs w:val="18"/>
                <w:color w:val="auto"/>
              </w:rPr>
              <w:t>XBRL Taxonomy Calculation Linkbase Document*</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70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 Definition Linkbase Document*</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700" w:type="dxa"/>
            <w:vAlign w:val="bottom"/>
            <w:gridSpan w:val="2"/>
          </w:tcPr>
          <w:p>
            <w:pPr>
              <w:ind w:left="140"/>
              <w:spacing w:after="0"/>
              <w:rPr>
                <w:sz w:val="20"/>
                <w:szCs w:val="20"/>
                <w:color w:val="auto"/>
              </w:rPr>
            </w:pPr>
            <w:r>
              <w:rPr>
                <w:rFonts w:ascii="Arial" w:cs="Arial" w:eastAsia="Arial" w:hAnsi="Arial"/>
                <w:sz w:val="18"/>
                <w:szCs w:val="18"/>
                <w:color w:val="auto"/>
              </w:rPr>
              <w:t>XBRL Taxonomy Label Linkbase Document*</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700" w:type="dxa"/>
            <w:vAlign w:val="bottom"/>
            <w:gridSpan w:val="2"/>
          </w:tcPr>
          <w:p>
            <w:pPr>
              <w:ind w:left="140"/>
              <w:spacing w:after="0"/>
              <w:rPr>
                <w:sz w:val="20"/>
                <w:szCs w:val="20"/>
                <w:color w:val="auto"/>
              </w:rPr>
            </w:pPr>
            <w:r>
              <w:rPr>
                <w:rFonts w:ascii="Arial" w:cs="Arial" w:eastAsia="Arial" w:hAnsi="Arial"/>
                <w:sz w:val="18"/>
                <w:szCs w:val="18"/>
                <w:color w:val="auto"/>
              </w:rPr>
              <w:t>XBRL Taxonomy Presentation Linkbase Document*</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 and not “filed” for purposes of Section 18 of the Securities Exchange Act of 1934, as amended.</w:t>
      </w:r>
    </w:p>
    <w:p>
      <w:pPr>
        <w:sectPr>
          <w:pgSz w:w="11900" w:h="16838" w:orient="portrait"/>
          <w:cols w:equalWidth="0" w:num="1">
            <w:col w:w="11400"/>
          </w:cols>
          <w:pgMar w:left="240" w:top="459" w:right="259"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459" w:right="2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9, 2015.</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Jack W. Callicutt</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G. Traber, certify that:</w:t>
      </w:r>
    </w:p>
    <w:p>
      <w:pPr>
        <w:spacing w:after="0" w:line="131"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November 9, 2015</w:t>
      </w:r>
      <w:r>
        <w:rPr>
          <w:sz w:val="20"/>
          <w:szCs w:val="20"/>
          <w:color w:val="auto"/>
        </w:rPr>
        <w:tab/>
      </w:r>
      <w:r>
        <w:rPr>
          <w:rFonts w:ascii="Arial" w:cs="Arial" w:eastAsia="Arial" w:hAnsi="Arial"/>
          <w:sz w:val="15"/>
          <w:szCs w:val="15"/>
          <w:color w:val="auto"/>
        </w:rPr>
        <w:t>/s/ Peter G. Traber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Peter G. Traber, M.D.</w:t>
      </w:r>
    </w:p>
    <w:p>
      <w:pPr>
        <w:spacing w:after="0" w:line="23" w:lineRule="exact"/>
        <w:rPr>
          <w:sz w:val="20"/>
          <w:szCs w:val="20"/>
          <w:color w:val="auto"/>
        </w:rPr>
      </w:pPr>
    </w:p>
    <w:p>
      <w:pPr>
        <w:ind w:left="5480"/>
        <w:spacing w:after="0"/>
        <w:tabs>
          <w:tab w:leader="none" w:pos="6040" w:val="left"/>
        </w:tabs>
        <w:rPr>
          <w:sz w:val="20"/>
          <w:szCs w:val="20"/>
          <w:color w:val="auto"/>
        </w:rPr>
      </w:pPr>
      <w:r>
        <w:rPr>
          <w:rFonts w:ascii="Arial" w:cs="Arial" w:eastAsia="Arial" w:hAnsi="Arial"/>
          <w:sz w:val="18"/>
          <w:szCs w:val="18"/>
          <w:color w:val="auto"/>
        </w:rPr>
        <w:t>Title:</w:t>
        <w:tab/>
        <w:t>Chief Executive Officer and President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W. Callicutt, certify that:</w:t>
      </w:r>
    </w:p>
    <w:p>
      <w:pPr>
        <w:spacing w:after="0" w:line="13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November 9, 2015</w:t>
      </w:r>
      <w:r>
        <w:rPr>
          <w:sz w:val="20"/>
          <w:szCs w:val="20"/>
          <w:color w:val="auto"/>
        </w:rPr>
        <w:tab/>
      </w:r>
      <w:r>
        <w:rPr>
          <w:rFonts w:ascii="Arial" w:cs="Arial" w:eastAsia="Arial" w:hAnsi="Arial"/>
          <w:sz w:val="16"/>
          <w:szCs w:val="16"/>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Jack W. Callicutt</w:t>
      </w:r>
    </w:p>
    <w:p>
      <w:pPr>
        <w:spacing w:after="0" w:line="23" w:lineRule="exact"/>
        <w:rPr>
          <w:sz w:val="20"/>
          <w:szCs w:val="20"/>
          <w:color w:val="auto"/>
        </w:rPr>
      </w:pPr>
    </w:p>
    <w:p>
      <w:pPr>
        <w:ind w:left="5480"/>
        <w:spacing w:after="0"/>
        <w:tabs>
          <w:tab w:leader="none" w:pos="604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connection with the Quarterly Report of Galectin Therapeutics Inc. (the “Company”) on Form 10-Q for the period ended September 30, 2015 as filed with the Securities and Exchange Commission on the date hereof (the “Report”), I, Peter G. Traber, Chief Executive Officer of the Company, certify, pursuant to 18 U.S.C. § 1350, as adopted pursuant to § 906 of the Sarbanes-Oxley Act of 2002, that, to my knowledge:</w:t>
      </w:r>
    </w:p>
    <w:p>
      <w:pPr>
        <w:spacing w:after="0" w:line="8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Date: November 9, 2015</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09"/>
        </w:trPr>
        <w:tc>
          <w:tcPr>
            <w:tcW w:w="6520" w:type="dxa"/>
            <w:vAlign w:val="bottom"/>
          </w:tcPr>
          <w:p>
            <w:pPr>
              <w:ind w:left="5680"/>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16"/>
        </w:trPr>
        <w:tc>
          <w:tcPr>
            <w:tcW w:w="6520" w:type="dxa"/>
            <w:vAlign w:val="bottom"/>
          </w:tcPr>
          <w:p>
            <w:pPr>
              <w:ind w:left="568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5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15"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connection with the Quarterly Report of Galectin Therapeutics Inc. (the “Company”) on Form 10-Q for the period ended September 30, 2015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8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Date: November 9, 2015</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9"/>
        </w:trPr>
        <w:tc>
          <w:tcPr>
            <w:tcW w:w="6520" w:type="dxa"/>
            <w:vAlign w:val="bottom"/>
          </w:tcPr>
          <w:p>
            <w:pPr>
              <w:ind w:left="5740"/>
              <w:spacing w:after="0"/>
              <w:rPr>
                <w:sz w:val="20"/>
                <w:szCs w:val="20"/>
                <w:color w:val="auto"/>
              </w:rPr>
            </w:pPr>
            <w:r>
              <w:rPr>
                <w:rFonts w:ascii="Arial" w:cs="Arial" w:eastAsia="Arial" w:hAnsi="Arial"/>
                <w:sz w:val="18"/>
                <w:szCs w:val="18"/>
                <w:color w:val="auto"/>
              </w:rPr>
              <w:t>Name:</w:t>
            </w:r>
          </w:p>
        </w:tc>
        <w:tc>
          <w:tcPr>
            <w:tcW w:w="490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6520" w:type="dxa"/>
            <w:vAlign w:val="bottom"/>
          </w:tcPr>
          <w:p>
            <w:pPr>
              <w:ind w:left="574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5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15"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3"/>
    </w:lvl>
  </w:abstractNum>
  <w:abstractNum w:abstractNumId="5">
    <w:nsid w:val="1190CDE7"/>
    <w:multiLevelType w:val="hybridMultilevel"/>
    <w:lvl w:ilvl="0">
      <w:lvlJc w:val="left"/>
      <w:lvlText w:val="%1."/>
      <w:numFmt w:val="decimal"/>
      <w:start w:val="4"/>
    </w:lvl>
  </w:abstractNum>
  <w:abstractNum w:abstractNumId="6">
    <w:nsid w:val="66EF438D"/>
    <w:multiLevelType w:val="hybridMultilevel"/>
    <w:lvl w:ilvl="0">
      <w:lvlJc w:val="left"/>
      <w:lvlText w:val="%1."/>
      <w:numFmt w:val="decimal"/>
      <w:start w:val="5"/>
    </w:lvl>
  </w:abstractNum>
  <w:abstractNum w:abstractNumId="7">
    <w:nsid w:val="140E0F76"/>
    <w:multiLevelType w:val="hybridMultilevel"/>
    <w:lvl w:ilvl="0">
      <w:lvlJc w:val="left"/>
      <w:lvlText w:val="%1."/>
      <w:numFmt w:val="decimal"/>
      <w:start w:val="6"/>
    </w:lvl>
  </w:abstractNum>
  <w:abstractNum w:abstractNumId="8">
    <w:nsid w:val="3352255A"/>
    <w:multiLevelType w:val="hybridMultilevel"/>
    <w:lvl w:ilvl="0">
      <w:lvlJc w:val="left"/>
      <w:lvlText w:val="%1."/>
      <w:numFmt w:val="decimal"/>
      <w:start w:val="7"/>
    </w:lvl>
  </w:abstractNum>
  <w:abstractNum w:abstractNumId="9">
    <w:nsid w:val="109CF92E"/>
    <w:multiLevelType w:val="hybridMultilevel"/>
    <w:lvl w:ilvl="0">
      <w:lvlJc w:val="left"/>
      <w:lvlText w:val="%1."/>
      <w:numFmt w:val="decimal"/>
      <w:start w:val="8"/>
    </w:lvl>
  </w:abstractNum>
  <w:abstractNum w:abstractNumId="10">
    <w:nsid w:val="DED7263"/>
    <w:multiLevelType w:val="hybridMultilevel"/>
    <w:lvl w:ilvl="0">
      <w:lvlJc w:val="left"/>
      <w:lvlText w:val="%1."/>
      <w:numFmt w:val="decimal"/>
      <w:start w:val="9"/>
    </w:lvl>
  </w:abstractNum>
  <w:abstractNum w:abstractNumId="11">
    <w:nsid w:val="7FDCC233"/>
    <w:multiLevelType w:val="hybridMultilevel"/>
    <w:lvl w:ilvl="0">
      <w:lvlJc w:val="left"/>
      <w:lvlText w:val="%1."/>
      <w:numFmt w:val="decimal"/>
      <w:start w:val="10"/>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2019-12-29T14:18:33Z</dcterms:created>
  <dcterms:modified xsi:type="dcterms:W3CDTF">2019-12-29T14:18:33Z</dcterms:modified>
</cp:coreProperties>
</file>