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4"/>
          <w:szCs w:val="24"/>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167005</wp:posOffset>
            </wp:positionV>
            <wp:extent cx="72713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194945</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92075</wp:posOffset>
            </wp:positionV>
            <wp:extent cx="15271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698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67" w:lineRule="exact"/>
        <w:rPr>
          <w:sz w:val="24"/>
          <w:szCs w:val="24"/>
          <w:color w:val="auto"/>
        </w:rPr>
      </w:pPr>
    </w:p>
    <w:p>
      <w:pPr>
        <w:ind w:left="360" w:right="5780" w:hanging="351"/>
        <w:spacing w:after="0" w:line="321" w:lineRule="auto"/>
        <w:tabs>
          <w:tab w:leader="none" w:pos="47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2013</w:t>
      </w:r>
    </w:p>
    <w:p>
      <w:pPr>
        <w:spacing w:after="0" w:line="24" w:lineRule="exact"/>
        <w:rPr>
          <w:sz w:val="24"/>
          <w:szCs w:val="24"/>
          <w:color w:val="auto"/>
        </w:rPr>
      </w:pPr>
    </w:p>
    <w:p>
      <w:pPr>
        <w:ind w:left="460" w:hanging="451"/>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60"/>
          </w:cols>
          <w:pgMar w:left="220" w:top="214" w:right="219" w:bottom="1440" w:gutter="0" w:footer="0" w:header="0"/>
        </w:sectPr>
      </w:pPr>
    </w:p>
    <w:p>
      <w:pPr>
        <w:spacing w:after="0" w:line="6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83" w:lineRule="exact"/>
        <w:rPr>
          <w:sz w:val="24"/>
          <w:szCs w:val="24"/>
          <w:color w:val="auto"/>
        </w:rPr>
      </w:pPr>
    </w:p>
    <w:p>
      <w:pPr>
        <w:sectPr>
          <w:pgSz w:w="11900" w:h="16838" w:orient="portrait"/>
          <w:cols w:equalWidth="0" w:num="2">
            <w:col w:w="2220" w:space="500"/>
            <w:col w:w="8740"/>
          </w:cols>
          <w:pgMar w:left="220" w:top="214" w:right="2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109855</wp:posOffset>
            </wp:positionV>
            <wp:extent cx="15271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type w:val="continuous"/>
        </w:sectPr>
      </w:pP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GALECTIN THERAPEUTICS INC.</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4800" w:type="dxa"/>
            <w:vAlign w:val="bottom"/>
            <w:gridSpan w:val="4"/>
          </w:tcPr>
          <w:p>
            <w:pPr>
              <w:jc w:val="center"/>
              <w:ind w:right="3940"/>
              <w:spacing w:after="0"/>
              <w:rPr>
                <w:sz w:val="20"/>
                <w:szCs w:val="20"/>
                <w:color w:val="auto"/>
              </w:rPr>
            </w:pPr>
            <w:r>
              <w:rPr>
                <w:rFonts w:ascii="Arial" w:cs="Arial" w:eastAsia="Arial" w:hAnsi="Arial"/>
                <w:sz w:val="14"/>
                <w:szCs w:val="14"/>
                <w:b w:val="1"/>
                <w:bCs w:val="1"/>
                <w:color w:val="auto"/>
                <w:w w:val="92"/>
              </w:rPr>
              <w:t>Nevada</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jc w:val="right"/>
              <w:ind w:right="673"/>
              <w:spacing w:after="0"/>
              <w:rPr>
                <w:sz w:val="20"/>
                <w:szCs w:val="20"/>
                <w:color w:val="auto"/>
              </w:rPr>
            </w:pPr>
            <w:r>
              <w:rPr>
                <w:rFonts w:ascii="Arial" w:cs="Arial" w:eastAsia="Arial" w:hAnsi="Arial"/>
                <w:sz w:val="14"/>
                <w:szCs w:val="14"/>
                <w:b w:val="1"/>
                <w:bCs w:val="1"/>
                <w:color w:val="auto"/>
              </w:rPr>
              <w:t>04-3562325</w:t>
            </w:r>
          </w:p>
        </w:tc>
        <w:tc>
          <w:tcPr>
            <w:tcW w:w="0" w:type="dxa"/>
            <w:vAlign w:val="bottom"/>
          </w:tcPr>
          <w:p>
            <w:pPr>
              <w:spacing w:after="0"/>
              <w:rPr>
                <w:sz w:val="1"/>
                <w:szCs w:val="1"/>
                <w:color w:val="auto"/>
              </w:rPr>
            </w:pPr>
          </w:p>
        </w:tc>
      </w:tr>
      <w:tr>
        <w:trPr>
          <w:trHeight w:val="122"/>
        </w:trPr>
        <w:tc>
          <w:tcPr>
            <w:tcW w:w="7240" w:type="dxa"/>
            <w:vAlign w:val="bottom"/>
            <w:gridSpan w:val="5"/>
          </w:tcPr>
          <w:p>
            <w:pPr>
              <w:jc w:val="center"/>
              <w:ind w:right="1500"/>
              <w:spacing w:after="0" w:line="122" w:lineRule="exact"/>
              <w:rPr>
                <w:sz w:val="20"/>
                <w:szCs w:val="20"/>
                <w:color w:val="auto"/>
              </w:rPr>
            </w:pPr>
            <w:r>
              <w:rPr>
                <w:rFonts w:ascii="Arial" w:cs="Arial" w:eastAsia="Arial" w:hAnsi="Arial"/>
                <w:sz w:val="11"/>
                <w:szCs w:val="11"/>
                <w:b w:val="1"/>
                <w:bCs w:val="1"/>
                <w:color w:val="auto"/>
                <w:w w:val="91"/>
              </w:rPr>
              <w:t>(State or other jurisdiction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jc w:val="center"/>
              <w:ind w:right="13"/>
              <w:spacing w:after="0" w:line="122"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4800" w:type="dxa"/>
            <w:vAlign w:val="bottom"/>
            <w:gridSpan w:val="4"/>
          </w:tcPr>
          <w:p>
            <w:pPr>
              <w:jc w:val="center"/>
              <w:ind w:right="3940"/>
              <w:spacing w:after="0"/>
              <w:rPr>
                <w:sz w:val="20"/>
                <w:szCs w:val="20"/>
                <w:color w:val="auto"/>
              </w:rPr>
            </w:pPr>
            <w:r>
              <w:rPr>
                <w:rFonts w:ascii="Arial" w:cs="Arial" w:eastAsia="Arial" w:hAnsi="Arial"/>
                <w:sz w:val="11"/>
                <w:szCs w:val="11"/>
                <w:b w:val="1"/>
                <w:bCs w:val="1"/>
                <w:color w:val="auto"/>
                <w:w w:val="93"/>
              </w:rPr>
              <w:t>of incorporation)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jc w:val="center"/>
              <w:ind w:right="33"/>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56"/>
        </w:trPr>
        <w:tc>
          <w:tcPr>
            <w:tcW w:w="7240" w:type="dxa"/>
            <w:vAlign w:val="bottom"/>
            <w:gridSpan w:val="5"/>
          </w:tcPr>
          <w:p>
            <w:pPr>
              <w:jc w:val="center"/>
              <w:ind w:right="1480"/>
              <w:spacing w:after="0"/>
              <w:rPr>
                <w:sz w:val="20"/>
                <w:szCs w:val="20"/>
                <w:color w:val="auto"/>
              </w:rPr>
            </w:pPr>
            <w:r>
              <w:rPr>
                <w:rFonts w:ascii="Arial" w:cs="Arial" w:eastAsia="Arial" w:hAnsi="Arial"/>
                <w:sz w:val="14"/>
                <w:szCs w:val="14"/>
                <w:b w:val="1"/>
                <w:bCs w:val="1"/>
                <w:color w:val="auto"/>
                <w:w w:val="92"/>
              </w:rPr>
              <w:t>4960 Peachtree Industrial Blvd., Suite 240, Norcross, GA</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jc w:val="right"/>
              <w:ind w:right="833"/>
              <w:spacing w:after="0"/>
              <w:rPr>
                <w:sz w:val="20"/>
                <w:szCs w:val="20"/>
                <w:color w:val="auto"/>
              </w:rPr>
            </w:pPr>
            <w:r>
              <w:rPr>
                <w:rFonts w:ascii="Arial" w:cs="Arial" w:eastAsia="Arial" w:hAnsi="Arial"/>
                <w:sz w:val="14"/>
                <w:szCs w:val="14"/>
                <w:b w:val="1"/>
                <w:bCs w:val="1"/>
                <w:color w:val="auto"/>
              </w:rPr>
              <w:t>30071</w:t>
            </w:r>
          </w:p>
        </w:tc>
        <w:tc>
          <w:tcPr>
            <w:tcW w:w="0" w:type="dxa"/>
            <w:vAlign w:val="bottom"/>
          </w:tcPr>
          <w:p>
            <w:pPr>
              <w:spacing w:after="0"/>
              <w:rPr>
                <w:sz w:val="1"/>
                <w:szCs w:val="1"/>
                <w:color w:val="auto"/>
              </w:rPr>
            </w:pPr>
          </w:p>
        </w:tc>
      </w:tr>
      <w:tr>
        <w:trPr>
          <w:trHeight w:val="143"/>
        </w:trPr>
        <w:tc>
          <w:tcPr>
            <w:tcW w:w="7240" w:type="dxa"/>
            <w:vAlign w:val="bottom"/>
            <w:gridSpan w:val="5"/>
          </w:tcPr>
          <w:p>
            <w:pPr>
              <w:jc w:val="center"/>
              <w:ind w:right="1500"/>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jc w:val="center"/>
              <w:ind w:right="33"/>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01"/>
        </w:trPr>
        <w:tc>
          <w:tcPr>
            <w:tcW w:w="6940" w:type="dxa"/>
            <w:vAlign w:val="bottom"/>
            <w:gridSpan w:val="4"/>
          </w:tcPr>
          <w:p>
            <w:pPr>
              <w:jc w:val="center"/>
              <w:ind w:left="4451"/>
              <w:spacing w:after="0"/>
              <w:rPr>
                <w:sz w:val="20"/>
                <w:szCs w:val="20"/>
                <w:color w:val="auto"/>
              </w:rPr>
            </w:pPr>
            <w:r>
              <w:rPr>
                <w:rFonts w:ascii="Arial" w:cs="Arial" w:eastAsia="Arial" w:hAnsi="Arial"/>
                <w:sz w:val="14"/>
                <w:szCs w:val="14"/>
                <w:b w:val="1"/>
                <w:bCs w:val="1"/>
                <w:color w:val="auto"/>
                <w:w w:val="93"/>
              </w:rPr>
              <w:t>(678) 620-3186</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gridSpan w:val="3"/>
          </w:tcPr>
          <w:p>
            <w:pPr>
              <w:jc w:val="center"/>
              <w:ind w:left="833"/>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6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0" w:type="dxa"/>
            <w:vAlign w:val="bottom"/>
            <w:gridSpan w:val="5"/>
          </w:tcPr>
          <w:p>
            <w:pPr>
              <w:jc w:val="center"/>
              <w:ind w:left="3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7"/>
              </w:rPr>
              <w:t>Common Stock, $0.001 Par Value Per</w:t>
            </w:r>
          </w:p>
        </w:tc>
        <w:tc>
          <w:tcPr>
            <w:tcW w:w="4800" w:type="dxa"/>
            <w:vAlign w:val="bottom"/>
            <w:gridSpan w:val="4"/>
          </w:tcPr>
          <w:p>
            <w:pPr>
              <w:jc w:val="center"/>
              <w:ind w:right="3920"/>
              <w:spacing w:after="0"/>
              <w:rPr>
                <w:sz w:val="20"/>
                <w:szCs w:val="20"/>
                <w:color w:val="auto"/>
              </w:rPr>
            </w:pPr>
            <w:r>
              <w:rPr>
                <w:rFonts w:ascii="Arial" w:cs="Arial" w:eastAsia="Arial" w:hAnsi="Arial"/>
                <w:sz w:val="11"/>
                <w:szCs w:val="11"/>
                <w:b w:val="1"/>
                <w:bCs w:val="1"/>
                <w:color w:val="auto"/>
                <w:w w:val="88"/>
              </w:rPr>
              <w:t>Title of each class</w:t>
            </w:r>
          </w:p>
        </w:tc>
        <w:tc>
          <w:tcPr>
            <w:tcW w:w="38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157"/>
        </w:trPr>
        <w:tc>
          <w:tcPr>
            <w:tcW w:w="2440" w:type="dxa"/>
            <w:vAlign w:val="bottom"/>
            <w:vMerge w:val="continue"/>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Share</w:t>
            </w:r>
          </w:p>
        </w:tc>
        <w:tc>
          <w:tcPr>
            <w:tcW w:w="392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33"/>
              <w:spacing w:after="0" w:line="157" w:lineRule="exact"/>
              <w:rPr>
                <w:sz w:val="20"/>
                <w:szCs w:val="20"/>
                <w:color w:val="auto"/>
              </w:rPr>
            </w:pPr>
            <w:r>
              <w:rPr>
                <w:rFonts w:ascii="Arial" w:cs="Arial" w:eastAsia="Arial" w:hAnsi="Arial"/>
                <w:sz w:val="14"/>
                <w:szCs w:val="14"/>
                <w:b w:val="1"/>
                <w:bCs w:val="1"/>
                <w:color w:val="auto"/>
                <w:w w:val="98"/>
              </w:rPr>
              <w:t>The NASDAQ Capital Market</w:t>
            </w:r>
          </w:p>
        </w:tc>
        <w:tc>
          <w:tcPr>
            <w:tcW w:w="0" w:type="dxa"/>
            <w:vAlign w:val="bottom"/>
          </w:tcPr>
          <w:p>
            <w:pPr>
              <w:spacing w:after="0"/>
              <w:rPr>
                <w:sz w:val="1"/>
                <w:szCs w:val="1"/>
                <w:color w:val="auto"/>
              </w:rPr>
            </w:pPr>
          </w:p>
        </w:tc>
      </w:tr>
      <w:tr>
        <w:trPr>
          <w:trHeight w:val="177"/>
        </w:trPr>
        <w:tc>
          <w:tcPr>
            <w:tcW w:w="7240" w:type="dxa"/>
            <w:vAlign w:val="bottom"/>
            <w:gridSpan w:val="5"/>
          </w:tcPr>
          <w:p>
            <w:pPr>
              <w:spacing w:after="0"/>
              <w:rPr>
                <w:sz w:val="20"/>
                <w:szCs w:val="20"/>
                <w:color w:val="auto"/>
              </w:rPr>
            </w:pPr>
            <w:r>
              <w:rPr>
                <w:rFonts w:ascii="Arial" w:cs="Arial" w:eastAsia="Arial" w:hAnsi="Arial"/>
                <w:sz w:val="14"/>
                <w:szCs w:val="14"/>
                <w:b w:val="1"/>
                <w:bCs w:val="1"/>
                <w:color w:val="auto"/>
              </w:rPr>
              <w:t>Units, each consisting of two shares of Common Stock and  one Warrant to purchase one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gridSpan w:val="5"/>
          </w:tcPr>
          <w:p>
            <w:pPr>
              <w:spacing w:after="0"/>
              <w:rPr>
                <w:sz w:val="20"/>
                <w:szCs w:val="20"/>
                <w:color w:val="auto"/>
              </w:rPr>
            </w:pPr>
            <w:r>
              <w:rPr>
                <w:rFonts w:ascii="Arial" w:cs="Arial" w:eastAsia="Arial" w:hAnsi="Arial"/>
                <w:sz w:val="14"/>
                <w:szCs w:val="14"/>
                <w:b w:val="1"/>
                <w:bCs w:val="1"/>
                <w:color w:val="auto"/>
              </w:rPr>
              <w:t>share of Common Stock</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The NASDAQ Capital Market</w:t>
            </w:r>
          </w:p>
        </w:tc>
        <w:tc>
          <w:tcPr>
            <w:tcW w:w="0" w:type="dxa"/>
            <w:vAlign w:val="bottom"/>
          </w:tcPr>
          <w:p>
            <w:pPr>
              <w:spacing w:after="0"/>
              <w:rPr>
                <w:sz w:val="1"/>
                <w:szCs w:val="1"/>
                <w:color w:val="auto"/>
              </w:rPr>
            </w:pPr>
          </w:p>
        </w:tc>
      </w:tr>
      <w:tr>
        <w:trPr>
          <w:trHeight w:val="186"/>
        </w:trPr>
        <w:tc>
          <w:tcPr>
            <w:tcW w:w="7240" w:type="dxa"/>
            <w:vAlign w:val="bottom"/>
            <w:gridSpan w:val="5"/>
          </w:tcPr>
          <w:p>
            <w:pPr>
              <w:spacing w:after="0"/>
              <w:rPr>
                <w:sz w:val="20"/>
                <w:szCs w:val="20"/>
                <w:color w:val="auto"/>
              </w:rPr>
            </w:pPr>
            <w:r>
              <w:rPr>
                <w:rFonts w:ascii="Arial" w:cs="Arial" w:eastAsia="Arial" w:hAnsi="Arial"/>
                <w:sz w:val="14"/>
                <w:szCs w:val="14"/>
                <w:b w:val="1"/>
                <w:bCs w:val="1"/>
                <w:color w:val="auto"/>
              </w:rPr>
              <w:t>Common Stock Purchase Warrants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The NASDAQ Capital Market</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0" w:type="dxa"/>
            <w:vAlign w:val="bottom"/>
            <w:gridSpan w:val="5"/>
          </w:tcPr>
          <w:p>
            <w:pPr>
              <w:jc w:val="center"/>
              <w:ind w:left="373"/>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40" w:type="dxa"/>
            <w:vAlign w:val="bottom"/>
            <w:gridSpan w:val="5"/>
          </w:tcPr>
          <w:p>
            <w:pPr>
              <w:ind w:left="3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80" w:type="dxa"/>
            <w:vAlign w:val="bottom"/>
          </w:tcPr>
          <w:p>
            <w:pPr>
              <w:jc w:val="center"/>
              <w:ind w:right="1313"/>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240" w:type="dxa"/>
            <w:vAlign w:val="bottom"/>
            <w:gridSpan w:val="5"/>
          </w:tcPr>
          <w:p>
            <w:pPr>
              <w:ind w:left="3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80" w:type="dxa"/>
            <w:vAlign w:val="bottom"/>
            <w:gridSpan w:val="2"/>
          </w:tcPr>
          <w:p>
            <w:pPr>
              <w:ind w:left="140"/>
              <w:spacing w:after="0"/>
              <w:rPr>
                <w:sz w:val="20"/>
                <w:szCs w:val="20"/>
                <w:color w:val="auto"/>
              </w:rPr>
            </w:pPr>
            <w:r>
              <w:rPr>
                <w:rFonts w:ascii="Arial" w:cs="Arial" w:eastAsia="Arial" w:hAnsi="Arial"/>
                <w:sz w:val="14"/>
                <w:szCs w:val="14"/>
                <w:color w:val="auto"/>
              </w:rPr>
              <w:t>YES</w:t>
            </w:r>
          </w:p>
        </w:tc>
        <w:tc>
          <w:tcPr>
            <w:tcW w:w="2080" w:type="dxa"/>
            <w:vAlign w:val="bottom"/>
          </w:tcPr>
          <w:p>
            <w:pPr>
              <w:jc w:val="center"/>
              <w:ind w:right="1333"/>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right="40" w:firstLine="344"/>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ind w:right="60" w:firstLine="344"/>
        <w:spacing w:after="0" w:line="288"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8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6" w:lineRule="exact"/>
        <w:rPr>
          <w:sz w:val="24"/>
          <w:szCs w:val="24"/>
          <w:color w:val="auto"/>
        </w:rPr>
      </w:pPr>
    </w:p>
    <w:p>
      <w:pPr>
        <w:ind w:right="340" w:firstLine="344"/>
        <w:spacing w:after="0" w:line="18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 w:lineRule="exact"/>
        <w:rPr>
          <w:sz w:val="24"/>
          <w:szCs w:val="24"/>
          <w:color w:val="auto"/>
        </w:rPr>
      </w:pPr>
    </w:p>
    <w:p>
      <w:pPr>
        <w:ind w:right="200" w:firstLine="344"/>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360"/>
        <w:spacing w:after="0" w:line="161" w:lineRule="exact"/>
        <w:tabs>
          <w:tab w:leader="none" w:pos="1960" w:val="left"/>
          <w:tab w:leader="none" w:pos="3280" w:val="left"/>
          <w:tab w:leader="none" w:pos="48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ind w:left="360"/>
        <w:spacing w:after="0" w:line="161" w:lineRule="exact"/>
        <w:tabs>
          <w:tab w:leader="none" w:pos="7000" w:val="left"/>
          <w:tab w:leader="none" w:pos="7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ind w:firstLine="344"/>
        <w:spacing w:after="0" w:line="296"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sold, or the average bid and asked price of such common equity, as of June 30, 2013 was $55.4 million.</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number of shares outstanding of the registrant’s common stock as of March 19, 2014 was 21,932,775.</w:t>
      </w:r>
    </w:p>
    <w:p>
      <w:pPr>
        <w:spacing w:after="0" w:line="7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Portions of the definitive Proxy Statement for the 2014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7271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20" w:type="dxa"/>
            <w:vAlign w:val="bottom"/>
            <w:gridSpan w:val="6"/>
          </w:tcPr>
          <w:p>
            <w:pPr>
              <w:jc w:val="center"/>
              <w:ind w:right="4460"/>
              <w:spacing w:after="0"/>
              <w:rPr>
                <w:sz w:val="20"/>
                <w:szCs w:val="20"/>
                <w:color w:val="auto"/>
              </w:rPr>
            </w:pPr>
            <w:r>
              <w:rPr>
                <w:rFonts w:ascii="Arial" w:cs="Arial" w:eastAsia="Arial" w:hAnsi="Arial"/>
                <w:sz w:val="14"/>
                <w:szCs w:val="14"/>
                <w:b w:val="1"/>
                <w:bCs w:val="1"/>
                <w:color w:val="auto"/>
              </w:rPr>
              <w:t>INDEX TO FORM 10-K</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8"/>
          </w:tcPr>
          <w:p>
            <w:pPr>
              <w:jc w:val="center"/>
              <w:ind w:right="3620"/>
              <w:spacing w:after="0"/>
              <w:rPr>
                <w:sz w:val="20"/>
                <w:szCs w:val="20"/>
                <w:color w:val="auto"/>
              </w:rPr>
            </w:pPr>
            <w:r>
              <w:rPr>
                <w:rFonts w:ascii="Arial" w:cs="Arial" w:eastAsia="Arial" w:hAnsi="Arial"/>
                <w:sz w:val="14"/>
                <w:szCs w:val="14"/>
                <w:b w:val="1"/>
                <w:bCs w:val="1"/>
                <w:color w:val="auto"/>
              </w:rPr>
              <w:t>FOR THE YEAR ENDED DECEMBER 31, 2013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PART 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PAGE</w:t>
            </w:r>
          </w:p>
        </w:tc>
        <w:tc>
          <w:tcPr>
            <w:tcW w:w="0" w:type="dxa"/>
            <w:vAlign w:val="bottom"/>
          </w:tcPr>
          <w:p>
            <w:pPr>
              <w:spacing w:after="0"/>
              <w:rPr>
                <w:sz w:val="1"/>
                <w:szCs w:val="1"/>
                <w:color w:val="auto"/>
              </w:rPr>
            </w:pPr>
          </w:p>
        </w:tc>
      </w:tr>
      <w:tr>
        <w:trPr>
          <w:trHeight w:val="155"/>
        </w:trPr>
        <w:tc>
          <w:tcPr>
            <w:tcW w:w="13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4"/>
                <w:szCs w:val="14"/>
                <w:color w:val="auto"/>
              </w:rPr>
              <w:t>ITEM 1.</w:t>
            </w:r>
          </w:p>
        </w:tc>
        <w:tc>
          <w:tcPr>
            <w:tcW w:w="9740" w:type="dxa"/>
            <w:vAlign w:val="bottom"/>
            <w:gridSpan w:val="20"/>
          </w:tcPr>
          <w:p>
            <w:pPr>
              <w:ind w:left="20"/>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1A.</w:t>
            </w:r>
          </w:p>
        </w:tc>
        <w:tc>
          <w:tcPr>
            <w:tcW w:w="740" w:type="dxa"/>
            <w:vAlign w:val="bottom"/>
            <w:tcBorders>
              <w:bottom w:val="single" w:sz="8" w:color="0000EE"/>
            </w:tcBorders>
            <w:gridSpan w:val="3"/>
          </w:tcPr>
          <w:p>
            <w:pPr>
              <w:ind w:left="20"/>
              <w:spacing w:after="0"/>
              <w:rPr>
                <w:rFonts w:ascii="Arial" w:cs="Arial" w:eastAsia="Arial" w:hAnsi="Arial"/>
                <w:sz w:val="14"/>
                <w:szCs w:val="14"/>
                <w:color w:val="0000EE"/>
                <w:w w:val="89"/>
              </w:rPr>
            </w:pPr>
            <w:hyperlink w:anchor="page12">
              <w:r>
                <w:rPr>
                  <w:rFonts w:ascii="Arial" w:cs="Arial" w:eastAsia="Arial" w:hAnsi="Arial"/>
                  <w:sz w:val="14"/>
                  <w:szCs w:val="14"/>
                  <w:color w:val="0000EE"/>
                  <w:w w:val="89"/>
                </w:rPr>
                <w:t>Risk Factors</w:t>
              </w:r>
            </w:hyperlink>
          </w:p>
        </w:tc>
        <w:tc>
          <w:tcPr>
            <w:tcW w:w="9000" w:type="dxa"/>
            <w:vAlign w:val="bottom"/>
            <w:gridSpan w:val="17"/>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1B.</w:t>
            </w:r>
          </w:p>
        </w:tc>
        <w:tc>
          <w:tcPr>
            <w:tcW w:w="9740" w:type="dxa"/>
            <w:vAlign w:val="bottom"/>
            <w:gridSpan w:val="20"/>
          </w:tcPr>
          <w:p>
            <w:pPr>
              <w:ind w:left="20"/>
              <w:spacing w:after="0"/>
              <w:rPr>
                <w:rFonts w:ascii="Arial" w:cs="Arial" w:eastAsia="Arial" w:hAnsi="Arial"/>
                <w:sz w:val="14"/>
                <w:szCs w:val="14"/>
                <w:color w:val="0000EE"/>
              </w:rPr>
            </w:pPr>
            <w:hyperlink w:anchor="page24">
              <w:r>
                <w:rPr>
                  <w:rFonts w:ascii="Arial" w:cs="Arial" w:eastAsia="Arial" w:hAnsi="Arial"/>
                  <w:sz w:val="14"/>
                  <w:szCs w:val="14"/>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2.</w:t>
            </w:r>
          </w:p>
        </w:tc>
        <w:tc>
          <w:tcPr>
            <w:tcW w:w="600" w:type="dxa"/>
            <w:vAlign w:val="bottom"/>
            <w:tcBorders>
              <w:top w:val="single" w:sz="8" w:color="0000EE"/>
              <w:bottom w:val="single" w:sz="8" w:color="0000EE"/>
            </w:tcBorders>
            <w:gridSpan w:val="2"/>
          </w:tcPr>
          <w:p>
            <w:pPr>
              <w:ind w:left="20"/>
              <w:spacing w:after="0"/>
              <w:rPr>
                <w:rFonts w:ascii="Arial" w:cs="Arial" w:eastAsia="Arial" w:hAnsi="Arial"/>
                <w:sz w:val="14"/>
                <w:szCs w:val="14"/>
                <w:color w:val="0000EE"/>
                <w:w w:val="87"/>
              </w:rPr>
            </w:pPr>
            <w:hyperlink w:anchor="page25">
              <w:r>
                <w:rPr>
                  <w:rFonts w:ascii="Arial" w:cs="Arial" w:eastAsia="Arial" w:hAnsi="Arial"/>
                  <w:sz w:val="14"/>
                  <w:szCs w:val="14"/>
                  <w:color w:val="0000EE"/>
                  <w:w w:val="87"/>
                </w:rPr>
                <w:t>Properties</w:t>
              </w:r>
            </w:hyperlink>
          </w:p>
        </w:tc>
        <w:tc>
          <w:tcPr>
            <w:tcW w:w="1040" w:type="dxa"/>
            <w:vAlign w:val="bottom"/>
            <w:tcBorders>
              <w:top w:val="single" w:sz="8" w:color="0000EE"/>
            </w:tcBorders>
            <w:gridSpan w:val="7"/>
          </w:tcPr>
          <w:p>
            <w:pPr>
              <w:spacing w:after="0"/>
              <w:rPr>
                <w:sz w:val="21"/>
                <w:szCs w:val="21"/>
                <w:color w:val="auto"/>
              </w:rPr>
            </w:pPr>
          </w:p>
        </w:tc>
        <w:tc>
          <w:tcPr>
            <w:tcW w:w="8100" w:type="dxa"/>
            <w:vAlign w:val="bottom"/>
            <w:gridSpan w:val="11"/>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3.</w:t>
            </w:r>
          </w:p>
        </w:tc>
        <w:tc>
          <w:tcPr>
            <w:tcW w:w="1080" w:type="dxa"/>
            <w:vAlign w:val="bottom"/>
            <w:tcBorders>
              <w:bottom w:val="single" w:sz="8" w:color="0000EE"/>
            </w:tcBorders>
            <w:gridSpan w:val="5"/>
          </w:tcPr>
          <w:p>
            <w:pPr>
              <w:ind w:left="20"/>
              <w:spacing w:after="0"/>
              <w:rPr>
                <w:rFonts w:ascii="Arial" w:cs="Arial" w:eastAsia="Arial" w:hAnsi="Arial"/>
                <w:sz w:val="14"/>
                <w:szCs w:val="14"/>
                <w:color w:val="0000EE"/>
                <w:w w:val="89"/>
              </w:rPr>
            </w:pPr>
            <w:hyperlink w:anchor="page25">
              <w:r>
                <w:rPr>
                  <w:rFonts w:ascii="Arial" w:cs="Arial" w:eastAsia="Arial" w:hAnsi="Arial"/>
                  <w:sz w:val="14"/>
                  <w:szCs w:val="14"/>
                  <w:color w:val="0000EE"/>
                  <w:w w:val="89"/>
                </w:rPr>
                <w:t>Legal Proceedings</w:t>
              </w:r>
            </w:hyperlink>
          </w:p>
        </w:tc>
        <w:tc>
          <w:tcPr>
            <w:tcW w:w="8660" w:type="dxa"/>
            <w:vAlign w:val="bottom"/>
            <w:gridSpan w:val="15"/>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4.</w:t>
            </w:r>
          </w:p>
        </w:tc>
        <w:tc>
          <w:tcPr>
            <w:tcW w:w="9740" w:type="dxa"/>
            <w:vAlign w:val="bottom"/>
            <w:gridSpan w:val="20"/>
          </w:tcPr>
          <w:p>
            <w:pPr>
              <w:ind w:left="20"/>
              <w:spacing w:after="0"/>
              <w:rPr>
                <w:rFonts w:ascii="Arial" w:cs="Arial" w:eastAsia="Arial" w:hAnsi="Arial"/>
                <w:sz w:val="14"/>
                <w:szCs w:val="14"/>
                <w:color w:val="0000EE"/>
              </w:rPr>
            </w:pPr>
            <w:hyperlink w:anchor="page25">
              <w:r>
                <w:rPr>
                  <w:rFonts w:ascii="Arial" w:cs="Arial" w:eastAsia="Arial" w:hAnsi="Arial"/>
                  <w:sz w:val="14"/>
                  <w:szCs w:val="14"/>
                  <w:color w:val="0000EE"/>
                </w:rPr>
                <w:t>Mine Safety Disclosure</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66"/>
        </w:trPr>
        <w:tc>
          <w:tcPr>
            <w:tcW w:w="134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4"/>
                <w:szCs w:val="14"/>
                <w:color w:val="auto"/>
              </w:rPr>
              <w:t>ITEM 5.</w:t>
            </w:r>
          </w:p>
        </w:tc>
        <w:tc>
          <w:tcPr>
            <w:tcW w:w="6480" w:type="dxa"/>
            <w:vAlign w:val="bottom"/>
            <w:tcBorders>
              <w:bottom w:val="single" w:sz="8" w:color="0000EE"/>
            </w:tcBorders>
            <w:gridSpan w:val="19"/>
          </w:tcPr>
          <w:p>
            <w:pPr>
              <w:ind w:left="20"/>
              <w:spacing w:after="0"/>
              <w:rPr>
                <w:rFonts w:ascii="Arial" w:cs="Arial" w:eastAsia="Arial" w:hAnsi="Arial"/>
                <w:sz w:val="14"/>
                <w:szCs w:val="14"/>
                <w:color w:val="0000EE"/>
                <w:w w:val="93"/>
              </w:rPr>
            </w:pPr>
            <w:hyperlink w:anchor="page26">
              <w:r>
                <w:rPr>
                  <w:rFonts w:ascii="Arial" w:cs="Arial" w:eastAsia="Arial" w:hAnsi="Arial"/>
                  <w:sz w:val="14"/>
                  <w:szCs w:val="14"/>
                  <w:color w:val="0000EE"/>
                  <w:w w:val="93"/>
                </w:rPr>
                <w:t>Market for Registrant’s Common Equity, Related Stockholder Matters and Issuer Purchases of Equity Securities</w:t>
              </w:r>
            </w:hyperlink>
          </w:p>
        </w:tc>
        <w:tc>
          <w:tcPr>
            <w:tcW w:w="32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6.</w:t>
            </w:r>
          </w:p>
        </w:tc>
        <w:tc>
          <w:tcPr>
            <w:tcW w:w="1380" w:type="dxa"/>
            <w:vAlign w:val="bottom"/>
            <w:tcBorders>
              <w:bottom w:val="single" w:sz="8" w:color="0000EE"/>
            </w:tcBorders>
            <w:gridSpan w:val="6"/>
          </w:tcPr>
          <w:p>
            <w:pPr>
              <w:ind w:left="20"/>
              <w:spacing w:after="0"/>
              <w:rPr>
                <w:rFonts w:ascii="Arial" w:cs="Arial" w:eastAsia="Arial" w:hAnsi="Arial"/>
                <w:sz w:val="14"/>
                <w:szCs w:val="14"/>
                <w:color w:val="0000EE"/>
                <w:w w:val="90"/>
              </w:rPr>
            </w:pPr>
            <w:hyperlink w:anchor="page26">
              <w:r>
                <w:rPr>
                  <w:rFonts w:ascii="Arial" w:cs="Arial" w:eastAsia="Arial" w:hAnsi="Arial"/>
                  <w:sz w:val="14"/>
                  <w:szCs w:val="14"/>
                  <w:color w:val="0000EE"/>
                  <w:w w:val="90"/>
                </w:rPr>
                <w:t>Selected Financial Data</w:t>
              </w:r>
            </w:hyperlink>
          </w:p>
        </w:tc>
        <w:tc>
          <w:tcPr>
            <w:tcW w:w="8360" w:type="dxa"/>
            <w:vAlign w:val="bottom"/>
            <w:gridSpan w:val="14"/>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7.</w:t>
            </w:r>
          </w:p>
        </w:tc>
        <w:tc>
          <w:tcPr>
            <w:tcW w:w="9740" w:type="dxa"/>
            <w:vAlign w:val="bottom"/>
            <w:gridSpan w:val="20"/>
          </w:tcPr>
          <w:p>
            <w:pPr>
              <w:ind w:left="20"/>
              <w:spacing w:after="0"/>
              <w:rPr>
                <w:rFonts w:ascii="Arial" w:cs="Arial" w:eastAsia="Arial" w:hAnsi="Arial"/>
                <w:sz w:val="14"/>
                <w:szCs w:val="14"/>
                <w:color w:val="0000EE"/>
              </w:rPr>
            </w:pPr>
            <w:hyperlink w:anchor="page26">
              <w:r>
                <w:rPr>
                  <w:rFonts w:ascii="Arial" w:cs="Arial" w:eastAsia="Arial" w:hAnsi="Arial"/>
                  <w:sz w:val="14"/>
                  <w:szCs w:val="14"/>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7A.</w:t>
            </w:r>
          </w:p>
        </w:tc>
        <w:tc>
          <w:tcPr>
            <w:tcW w:w="3520" w:type="dxa"/>
            <w:vAlign w:val="bottom"/>
            <w:tcBorders>
              <w:top w:val="single" w:sz="8" w:color="0000EE"/>
              <w:bottom w:val="single" w:sz="8" w:color="0000EE"/>
            </w:tcBorders>
            <w:gridSpan w:val="14"/>
          </w:tcPr>
          <w:p>
            <w:pPr>
              <w:ind w:left="20"/>
              <w:spacing w:after="0"/>
              <w:rPr>
                <w:rFonts w:ascii="Arial" w:cs="Arial" w:eastAsia="Arial" w:hAnsi="Arial"/>
                <w:sz w:val="14"/>
                <w:szCs w:val="14"/>
                <w:color w:val="0000EE"/>
                <w:w w:val="94"/>
              </w:rPr>
            </w:pPr>
            <w:hyperlink w:anchor="page36">
              <w:r>
                <w:rPr>
                  <w:rFonts w:ascii="Arial" w:cs="Arial" w:eastAsia="Arial" w:hAnsi="Arial"/>
                  <w:sz w:val="14"/>
                  <w:szCs w:val="14"/>
                  <w:color w:val="0000EE"/>
                  <w:w w:val="94"/>
                </w:rPr>
                <w:t>Quantitative and Qualitative Discussions About Market Risk</w:t>
              </w:r>
            </w:hyperlink>
          </w:p>
        </w:tc>
        <w:tc>
          <w:tcPr>
            <w:tcW w:w="1660" w:type="dxa"/>
            <w:vAlign w:val="bottom"/>
            <w:tcBorders>
              <w:top w:val="single" w:sz="8" w:color="0000EE"/>
            </w:tcBorders>
            <w:gridSpan w:val="2"/>
          </w:tcPr>
          <w:p>
            <w:pPr>
              <w:spacing w:after="0"/>
              <w:rPr>
                <w:sz w:val="21"/>
                <w:szCs w:val="21"/>
                <w:color w:val="auto"/>
              </w:rPr>
            </w:pPr>
          </w:p>
        </w:tc>
        <w:tc>
          <w:tcPr>
            <w:tcW w:w="4560" w:type="dxa"/>
            <w:vAlign w:val="bottom"/>
            <w:gridSpan w:val="4"/>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8.</w:t>
            </w:r>
          </w:p>
        </w:tc>
        <w:tc>
          <w:tcPr>
            <w:tcW w:w="2680" w:type="dxa"/>
            <w:vAlign w:val="bottom"/>
            <w:tcBorders>
              <w:bottom w:val="single" w:sz="8" w:color="0000EE"/>
            </w:tcBorders>
            <w:gridSpan w:val="12"/>
          </w:tcPr>
          <w:p>
            <w:pPr>
              <w:ind w:left="20"/>
              <w:spacing w:after="0"/>
              <w:rPr>
                <w:rFonts w:ascii="Arial" w:cs="Arial" w:eastAsia="Arial" w:hAnsi="Arial"/>
                <w:sz w:val="14"/>
                <w:szCs w:val="14"/>
                <w:color w:val="0000EE"/>
                <w:w w:val="91"/>
              </w:rPr>
            </w:pPr>
            <w:hyperlink w:anchor="page36">
              <w:r>
                <w:rPr>
                  <w:rFonts w:ascii="Arial" w:cs="Arial" w:eastAsia="Arial" w:hAnsi="Arial"/>
                  <w:sz w:val="14"/>
                  <w:szCs w:val="14"/>
                  <w:color w:val="0000EE"/>
                  <w:w w:val="91"/>
                </w:rPr>
                <w:t>Financial Statements and Supplementary Data</w:t>
              </w:r>
            </w:hyperlink>
          </w:p>
        </w:tc>
        <w:tc>
          <w:tcPr>
            <w:tcW w:w="7060" w:type="dxa"/>
            <w:vAlign w:val="bottom"/>
            <w:gridSpan w:val="8"/>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9.</w:t>
            </w:r>
          </w:p>
        </w:tc>
        <w:tc>
          <w:tcPr>
            <w:tcW w:w="9740" w:type="dxa"/>
            <w:vAlign w:val="bottom"/>
            <w:gridSpan w:val="20"/>
          </w:tcPr>
          <w:p>
            <w:pPr>
              <w:ind w:left="20"/>
              <w:spacing w:after="0"/>
              <w:rPr>
                <w:rFonts w:ascii="Arial" w:cs="Arial" w:eastAsia="Arial" w:hAnsi="Arial"/>
                <w:sz w:val="14"/>
                <w:szCs w:val="14"/>
                <w:color w:val="0000EE"/>
              </w:rPr>
            </w:pPr>
            <w:hyperlink w:anchor="page36">
              <w:r>
                <w:rPr>
                  <w:rFonts w:ascii="Arial" w:cs="Arial" w:eastAsia="Arial" w:hAnsi="Arial"/>
                  <w:sz w:val="14"/>
                  <w:szCs w:val="14"/>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9A.</w:t>
            </w:r>
          </w:p>
        </w:tc>
        <w:tc>
          <w:tcPr>
            <w:tcW w:w="5220" w:type="dxa"/>
            <w:vAlign w:val="bottom"/>
            <w:tcBorders>
              <w:top w:val="single" w:sz="8" w:color="0000EE"/>
            </w:tcBorders>
            <w:gridSpan w:val="17"/>
          </w:tcPr>
          <w:p>
            <w:pPr>
              <w:ind w:left="20"/>
              <w:spacing w:after="0"/>
              <w:rPr>
                <w:rFonts w:ascii="Arial" w:cs="Arial" w:eastAsia="Arial" w:hAnsi="Arial"/>
                <w:sz w:val="14"/>
                <w:szCs w:val="14"/>
                <w:color w:val="0000EE"/>
              </w:rPr>
            </w:pPr>
            <w:hyperlink w:anchor="page36">
              <w:r>
                <w:rPr>
                  <w:rFonts w:ascii="Arial" w:cs="Arial" w:eastAsia="Arial" w:hAnsi="Arial"/>
                  <w:sz w:val="14"/>
                  <w:szCs w:val="14"/>
                  <w:color w:val="0000EE"/>
                </w:rPr>
                <w:t>Controls and Procedures</w:t>
              </w:r>
            </w:hyperlink>
          </w:p>
        </w:tc>
        <w:tc>
          <w:tcPr>
            <w:tcW w:w="4520" w:type="dxa"/>
            <w:vAlign w:val="bottom"/>
            <w:gridSpan w:val="3"/>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9B.</w:t>
            </w:r>
          </w:p>
        </w:tc>
        <w:tc>
          <w:tcPr>
            <w:tcW w:w="1420" w:type="dxa"/>
            <w:vAlign w:val="bottom"/>
            <w:tcBorders>
              <w:top w:val="single" w:sz="8" w:color="0000EE"/>
            </w:tcBorders>
            <w:gridSpan w:val="7"/>
          </w:tcPr>
          <w:p>
            <w:pPr>
              <w:ind w:left="20"/>
              <w:spacing w:after="0"/>
              <w:rPr>
                <w:rFonts w:ascii="Arial" w:cs="Arial" w:eastAsia="Arial" w:hAnsi="Arial"/>
                <w:sz w:val="14"/>
                <w:szCs w:val="14"/>
                <w:color w:val="0000EE"/>
              </w:rPr>
            </w:pPr>
            <w:hyperlink w:anchor="page37">
              <w:r>
                <w:rPr>
                  <w:rFonts w:ascii="Arial" w:cs="Arial" w:eastAsia="Arial" w:hAnsi="Arial"/>
                  <w:sz w:val="14"/>
                  <w:szCs w:val="14"/>
                  <w:color w:val="0000EE"/>
                </w:rPr>
                <w:t>Other Information</w:t>
              </w:r>
            </w:hyperlink>
          </w:p>
        </w:tc>
        <w:tc>
          <w:tcPr>
            <w:tcW w:w="8320" w:type="dxa"/>
            <w:vAlign w:val="bottom"/>
            <w:gridSpan w:val="13"/>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66"/>
        </w:trPr>
        <w:tc>
          <w:tcPr>
            <w:tcW w:w="134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4"/>
                <w:szCs w:val="14"/>
                <w:color w:val="auto"/>
              </w:rPr>
              <w:t>ITEM 10.</w:t>
            </w:r>
          </w:p>
        </w:tc>
        <w:tc>
          <w:tcPr>
            <w:tcW w:w="9740" w:type="dxa"/>
            <w:vAlign w:val="bottom"/>
            <w:gridSpan w:val="20"/>
          </w:tcPr>
          <w:p>
            <w:pPr>
              <w:ind w:left="20"/>
              <w:spacing w:after="0"/>
              <w:rPr>
                <w:rFonts w:ascii="Arial" w:cs="Arial" w:eastAsia="Arial" w:hAnsi="Arial"/>
                <w:sz w:val="14"/>
                <w:szCs w:val="14"/>
                <w:color w:val="0000EE"/>
              </w:rPr>
            </w:pPr>
            <w:hyperlink w:anchor="page38">
              <w:r>
                <w:rPr>
                  <w:rFonts w:ascii="Arial" w:cs="Arial" w:eastAsia="Arial" w:hAnsi="Arial"/>
                  <w:sz w:val="14"/>
                  <w:szCs w:val="14"/>
                  <w:color w:val="0000EE"/>
                </w:rPr>
                <w:t>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11.</w:t>
            </w:r>
          </w:p>
        </w:tc>
        <w:tc>
          <w:tcPr>
            <w:tcW w:w="1460" w:type="dxa"/>
            <w:vAlign w:val="bottom"/>
            <w:tcBorders>
              <w:top w:val="single" w:sz="8" w:color="0000EE"/>
              <w:bottom w:val="single" w:sz="8" w:color="0000EE"/>
            </w:tcBorders>
            <w:gridSpan w:val="8"/>
          </w:tcPr>
          <w:p>
            <w:pPr>
              <w:ind w:left="20"/>
              <w:spacing w:after="0"/>
              <w:rPr>
                <w:rFonts w:ascii="Arial" w:cs="Arial" w:eastAsia="Arial" w:hAnsi="Arial"/>
                <w:sz w:val="14"/>
                <w:szCs w:val="14"/>
                <w:color w:val="0000EE"/>
                <w:w w:val="91"/>
              </w:rPr>
            </w:pPr>
            <w:hyperlink w:anchor="page38">
              <w:r>
                <w:rPr>
                  <w:rFonts w:ascii="Arial" w:cs="Arial" w:eastAsia="Arial" w:hAnsi="Arial"/>
                  <w:sz w:val="14"/>
                  <w:szCs w:val="14"/>
                  <w:color w:val="0000EE"/>
                  <w:w w:val="91"/>
                </w:rPr>
                <w:t>Executive Compensation</w:t>
              </w:r>
            </w:hyperlink>
          </w:p>
        </w:tc>
        <w:tc>
          <w:tcPr>
            <w:tcW w:w="1820" w:type="dxa"/>
            <w:vAlign w:val="bottom"/>
            <w:tcBorders>
              <w:top w:val="single" w:sz="8" w:color="0000EE"/>
            </w:tcBorders>
            <w:gridSpan w:val="5"/>
          </w:tcPr>
          <w:p>
            <w:pPr>
              <w:spacing w:after="0"/>
              <w:rPr>
                <w:sz w:val="21"/>
                <w:szCs w:val="21"/>
                <w:color w:val="auto"/>
              </w:rPr>
            </w:pPr>
          </w:p>
        </w:tc>
        <w:tc>
          <w:tcPr>
            <w:tcW w:w="6460" w:type="dxa"/>
            <w:vAlign w:val="bottom"/>
            <w:gridSpan w:val="7"/>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12.</w:t>
            </w:r>
          </w:p>
        </w:tc>
        <w:tc>
          <w:tcPr>
            <w:tcW w:w="9740" w:type="dxa"/>
            <w:vAlign w:val="bottom"/>
            <w:gridSpan w:val="20"/>
          </w:tcPr>
          <w:p>
            <w:pPr>
              <w:ind w:left="20"/>
              <w:spacing w:after="0"/>
              <w:rPr>
                <w:rFonts w:ascii="Arial" w:cs="Arial" w:eastAsia="Arial" w:hAnsi="Arial"/>
                <w:sz w:val="14"/>
                <w:szCs w:val="14"/>
                <w:color w:val="0000EE"/>
              </w:rPr>
            </w:pPr>
            <w:hyperlink w:anchor="page38">
              <w:r>
                <w:rPr>
                  <w:rFonts w:ascii="Arial" w:cs="Arial" w:eastAsia="Arial" w:hAnsi="Arial"/>
                  <w:sz w:val="14"/>
                  <w:szCs w:val="14"/>
                  <w:color w:val="0000EE"/>
                </w:rPr>
                <w:t>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13.</w:t>
            </w:r>
          </w:p>
        </w:tc>
        <w:tc>
          <w:tcPr>
            <w:tcW w:w="4140" w:type="dxa"/>
            <w:vAlign w:val="bottom"/>
            <w:tcBorders>
              <w:top w:val="single" w:sz="8" w:color="0000EE"/>
              <w:bottom w:val="single" w:sz="8" w:color="0000EE"/>
            </w:tcBorders>
            <w:gridSpan w:val="15"/>
          </w:tcPr>
          <w:p>
            <w:pPr>
              <w:ind w:left="20"/>
              <w:spacing w:after="0"/>
              <w:rPr>
                <w:rFonts w:ascii="Arial" w:cs="Arial" w:eastAsia="Arial" w:hAnsi="Arial"/>
                <w:sz w:val="14"/>
                <w:szCs w:val="14"/>
                <w:color w:val="0000EE"/>
                <w:w w:val="91"/>
              </w:rPr>
            </w:pPr>
            <w:hyperlink w:anchor="page38">
              <w:r>
                <w:rPr>
                  <w:rFonts w:ascii="Arial" w:cs="Arial" w:eastAsia="Arial" w:hAnsi="Arial"/>
                  <w:sz w:val="14"/>
                  <w:szCs w:val="14"/>
                  <w:color w:val="0000EE"/>
                  <w:w w:val="91"/>
                </w:rPr>
                <w:t>Certain Relationships, Related Transactions and Director Independence</w:t>
              </w:r>
            </w:hyperlink>
          </w:p>
        </w:tc>
        <w:tc>
          <w:tcPr>
            <w:tcW w:w="1700" w:type="dxa"/>
            <w:vAlign w:val="bottom"/>
            <w:tcBorders>
              <w:top w:val="single" w:sz="8" w:color="0000EE"/>
            </w:tcBorders>
            <w:gridSpan w:val="3"/>
          </w:tcPr>
          <w:p>
            <w:pPr>
              <w:spacing w:after="0"/>
              <w:rPr>
                <w:sz w:val="21"/>
                <w:szCs w:val="21"/>
                <w:color w:val="auto"/>
              </w:rPr>
            </w:pPr>
          </w:p>
        </w:tc>
        <w:tc>
          <w:tcPr>
            <w:tcW w:w="3900" w:type="dxa"/>
            <w:vAlign w:val="bottom"/>
            <w:gridSpan w:val="2"/>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Arial" w:cs="Arial" w:eastAsia="Arial" w:hAnsi="Arial"/>
                <w:sz w:val="14"/>
                <w:szCs w:val="14"/>
                <w:color w:val="auto"/>
              </w:rPr>
              <w:t>ITEM 14.</w:t>
            </w:r>
          </w:p>
        </w:tc>
        <w:tc>
          <w:tcPr>
            <w:tcW w:w="9740" w:type="dxa"/>
            <w:vAlign w:val="bottom"/>
            <w:gridSpan w:val="20"/>
          </w:tcPr>
          <w:p>
            <w:pPr>
              <w:ind w:left="20"/>
              <w:spacing w:after="0"/>
              <w:rPr>
                <w:rFonts w:ascii="Arial" w:cs="Arial" w:eastAsia="Arial" w:hAnsi="Arial"/>
                <w:sz w:val="14"/>
                <w:szCs w:val="14"/>
                <w:color w:val="0000EE"/>
              </w:rPr>
            </w:pPr>
            <w:hyperlink w:anchor="page38">
              <w:r>
                <w:rPr>
                  <w:rFonts w:ascii="Arial" w:cs="Arial" w:eastAsia="Arial" w:hAnsi="Arial"/>
                  <w:sz w:val="14"/>
                  <w:szCs w:val="14"/>
                  <w:color w:val="0000EE"/>
                </w:rPr>
                <w:t>Principal Accountant Fees and Services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66"/>
        </w:trPr>
        <w:tc>
          <w:tcPr>
            <w:tcW w:w="134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4"/>
                <w:szCs w:val="14"/>
                <w:color w:val="auto"/>
              </w:rPr>
              <w:t>ITEM 15.</w:t>
            </w:r>
          </w:p>
        </w:tc>
        <w:tc>
          <w:tcPr>
            <w:tcW w:w="9740" w:type="dxa"/>
            <w:vAlign w:val="bottom"/>
            <w:gridSpan w:val="20"/>
          </w:tcPr>
          <w:p>
            <w:pPr>
              <w:ind w:left="20"/>
              <w:spacing w:after="0"/>
              <w:rPr>
                <w:rFonts w:ascii="Arial" w:cs="Arial" w:eastAsia="Arial" w:hAnsi="Arial"/>
                <w:sz w:val="14"/>
                <w:szCs w:val="14"/>
                <w:color w:val="0000EE"/>
              </w:rPr>
            </w:pPr>
            <w:hyperlink w:anchor="page39">
              <w:r>
                <w:rPr>
                  <w:rFonts w:ascii="Arial" w:cs="Arial" w:eastAsia="Arial" w:hAnsi="Arial"/>
                  <w:sz w:val="14"/>
                  <w:szCs w:val="14"/>
                  <w:color w:val="0000EE"/>
                </w:rPr>
                <w:t>Exhibits and Financial Statement Schedules</w:t>
              </w:r>
            </w:hyperlink>
          </w:p>
        </w:tc>
        <w:tc>
          <w:tcPr>
            <w:tcW w:w="3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66"/>
        </w:trPr>
        <w:tc>
          <w:tcPr>
            <w:tcW w:w="1340" w:type="dxa"/>
            <w:vAlign w:val="bottom"/>
          </w:tcPr>
          <w:p>
            <w:pPr>
              <w:spacing w:after="0"/>
              <w:rPr>
                <w:sz w:val="20"/>
                <w:szCs w:val="20"/>
                <w:color w:val="auto"/>
              </w:rPr>
            </w:pPr>
            <w:r>
              <w:rPr>
                <w:rFonts w:ascii="Arial" w:cs="Arial" w:eastAsia="Arial" w:hAnsi="Arial"/>
                <w:sz w:val="14"/>
                <w:szCs w:val="14"/>
                <w:color w:val="auto"/>
              </w:rPr>
              <w:t>SIGNATURES</w:t>
            </w: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ectPr>
          <w:pgSz w:w="11900" w:h="16838" w:orient="portrait"/>
          <w:cols w:equalWidth="0" w:num="1">
            <w:col w:w="11380"/>
          </w:cols>
          <w:pgMar w:left="220" w:top="402" w:right="29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7" w:lineRule="exact"/>
        <w:rPr>
          <w:sz w:val="20"/>
          <w:szCs w:val="20"/>
          <w:color w:val="auto"/>
        </w:rPr>
      </w:pPr>
    </w:p>
    <w:p>
      <w:pPr>
        <w:ind w:right="40" w:firstLine="458"/>
        <w:spacing w:after="0" w:line="269" w:lineRule="auto"/>
        <w:rPr>
          <w:sz w:val="20"/>
          <w:szCs w:val="20"/>
          <w:color w:val="auto"/>
        </w:rPr>
      </w:pPr>
      <w:r>
        <w:rPr>
          <w:rFonts w:ascii="Arial" w:cs="Arial" w:eastAsia="Arial" w:hAnsi="Arial"/>
          <w:sz w:val="14"/>
          <w:szCs w:val="14"/>
          <w:color w:val="auto"/>
        </w:rPr>
        <w:t>We are a development-stage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1"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carbohydrate molecules which bind galectin proteins and offer alternative options to larger market segments in our primary disease targets. We also have established a discovery program aimed at the targeted development of small molecules (non-carbohydrate) which bind galectin proteins and may afford options for alternative means of drug delivery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114" w:lineRule="exact"/>
        <w:rPr>
          <w:sz w:val="20"/>
          <w:szCs w:val="20"/>
          <w:color w:val="auto"/>
        </w:rPr>
      </w:pPr>
    </w:p>
    <w:p>
      <w:pPr>
        <w:ind w:right="200" w:firstLine="458"/>
        <w:spacing w:after="0" w:line="272" w:lineRule="auto"/>
        <w:rPr>
          <w:sz w:val="20"/>
          <w:szCs w:val="20"/>
          <w:color w:val="auto"/>
        </w:rPr>
      </w:pPr>
      <w:r>
        <w:rPr>
          <w:rFonts w:ascii="Arial" w:cs="Arial" w:eastAsia="Arial" w:hAnsi="Arial"/>
          <w:sz w:val="14"/>
          <w:szCs w:val="14"/>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 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contract laboratory operation in the Boston area.</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Drug Development Programs</w:t>
      </w:r>
    </w:p>
    <w:p>
      <w:pPr>
        <w:spacing w:after="0" w:line="87"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w:t>
      </w:r>
    </w:p>
    <w:p>
      <w:pPr>
        <w:spacing w:after="0" w:line="105" w:lineRule="exact"/>
        <w:rPr>
          <w:sz w:val="20"/>
          <w:szCs w:val="20"/>
          <w:color w:val="auto"/>
        </w:rPr>
      </w:pPr>
    </w:p>
    <w:p>
      <w:pPr>
        <w:ind w:right="180" w:firstLine="458"/>
        <w:spacing w:after="0" w:line="296" w:lineRule="auto"/>
        <w:rPr>
          <w:sz w:val="20"/>
          <w:szCs w:val="20"/>
          <w:color w:val="auto"/>
        </w:rPr>
      </w:pPr>
      <w:r>
        <w:rPr>
          <w:rFonts w:ascii="Arial" w:cs="Arial" w:eastAsia="Arial" w:hAnsi="Arial"/>
          <w:sz w:val="14"/>
          <w:szCs w:val="14"/>
          <w:color w:val="auto"/>
        </w:rPr>
        <w:t>We have two compounds in development, GR-MD-02 and GM-CT-01, both of which have shown promise in preclinical studies in treatment of fibrosis and in cancer therapy. However, we are currently focusing 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402"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220"/>
        <w:spacing w:after="0" w:line="280" w:lineRule="auto"/>
        <w:rPr>
          <w:sz w:val="20"/>
          <w:szCs w:val="20"/>
          <w:color w:val="auto"/>
        </w:rPr>
      </w:pPr>
      <w:r>
        <w:rPr>
          <w:rFonts w:ascii="Arial" w:cs="Arial" w:eastAsia="Arial" w:hAnsi="Arial"/>
          <w:sz w:val="14"/>
          <w:szCs w:val="14"/>
          <w:color w:val="auto"/>
        </w:rPr>
        <w:t>development of GR-MD-02 intended to be used in the treatment of liver fibrosis and fatty liver disease and in cancer therapy in combination with immune-system modifying agent(s). Both of our proprietary compounds are produced from completely different, natural, readily available, starting materials, which, following chemical processing, both exhibit the property of binding to and inhibiting galectin proteins.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product pipeline is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gridSpan w:val="2"/>
          </w:tcPr>
          <w:p>
            <w:pPr>
              <w:spacing w:after="0"/>
              <w:rPr>
                <w:sz w:val="20"/>
                <w:szCs w:val="20"/>
                <w:color w:val="auto"/>
              </w:rPr>
            </w:pPr>
            <w:r>
              <w:rPr>
                <w:rFonts w:ascii="Arial" w:cs="Arial" w:eastAsia="Arial" w:hAnsi="Arial"/>
                <w:sz w:val="11"/>
                <w:szCs w:val="11"/>
                <w:b w:val="1"/>
                <w:bCs w:val="1"/>
                <w:color w:val="auto"/>
              </w:rPr>
              <w:t>Indication</w:t>
            </w: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Drug</w:t>
            </w:r>
          </w:p>
        </w:tc>
        <w:tc>
          <w:tcPr>
            <w:tcW w:w="220" w:type="dxa"/>
            <w:vAlign w:val="bottom"/>
          </w:tcPr>
          <w:p>
            <w:pPr>
              <w:spacing w:after="0"/>
              <w:rPr>
                <w:sz w:val="13"/>
                <w:szCs w:val="13"/>
                <w:color w:val="auto"/>
              </w:rPr>
            </w:pPr>
          </w:p>
        </w:tc>
        <w:tc>
          <w:tcPr>
            <w:tcW w:w="6180" w:type="dxa"/>
            <w:vAlign w:val="bottom"/>
          </w:tcPr>
          <w:p>
            <w:pPr>
              <w:ind w:left="2940"/>
              <w:spacing w:after="0"/>
              <w:rPr>
                <w:sz w:val="20"/>
                <w:szCs w:val="20"/>
                <w:color w:val="auto"/>
              </w:rPr>
            </w:pPr>
            <w:r>
              <w:rPr>
                <w:rFonts w:ascii="Arial" w:cs="Arial" w:eastAsia="Arial" w:hAnsi="Arial"/>
                <w:sz w:val="11"/>
                <w:szCs w:val="11"/>
                <w:b w:val="1"/>
                <w:bCs w:val="1"/>
                <w:color w:val="auto"/>
              </w:rPr>
              <w:t>Status</w:t>
            </w:r>
          </w:p>
        </w:tc>
      </w:tr>
      <w:tr>
        <w:trPr>
          <w:trHeight w:val="141"/>
        </w:trPr>
        <w:tc>
          <w:tcPr>
            <w:tcW w:w="5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1"/>
              </w:rPr>
              <w:t>Fibrosis</w:t>
            </w:r>
          </w:p>
        </w:tc>
        <w:tc>
          <w:tcPr>
            <w:tcW w:w="33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180" w:type="dxa"/>
            <w:vAlign w:val="bottom"/>
            <w:tcBorders>
              <w:top w:val="single" w:sz="8" w:color="auto"/>
            </w:tcBorders>
          </w:tcPr>
          <w:p>
            <w:pPr>
              <w:spacing w:after="0"/>
              <w:rPr>
                <w:sz w:val="12"/>
                <w:szCs w:val="12"/>
                <w:color w:val="auto"/>
              </w:rPr>
            </w:pPr>
          </w:p>
        </w:tc>
      </w:tr>
      <w:tr>
        <w:trPr>
          <w:trHeight w:val="177"/>
        </w:trPr>
        <w:tc>
          <w:tcPr>
            <w:tcW w:w="3880" w:type="dxa"/>
            <w:vAlign w:val="bottom"/>
            <w:gridSpan w:val="2"/>
          </w:tcPr>
          <w:p>
            <w:pPr>
              <w:spacing w:after="0"/>
              <w:rPr>
                <w:sz w:val="20"/>
                <w:szCs w:val="20"/>
                <w:color w:val="auto"/>
              </w:rPr>
            </w:pPr>
            <w:r>
              <w:rPr>
                <w:rFonts w:ascii="Arial" w:cs="Arial" w:eastAsia="Arial" w:hAnsi="Arial"/>
                <w:sz w:val="14"/>
                <w:szCs w:val="14"/>
                <w:color w:val="auto"/>
              </w:rPr>
              <w:t>NASH with Advanced Fibrosis</w:t>
            </w:r>
          </w:p>
        </w:tc>
        <w:tc>
          <w:tcPr>
            <w:tcW w:w="1180" w:type="dxa"/>
            <w:vAlign w:val="bottom"/>
          </w:tcPr>
          <w:p>
            <w:pPr>
              <w:spacing w:after="0"/>
              <w:rPr>
                <w:sz w:val="20"/>
                <w:szCs w:val="20"/>
                <w:color w:val="auto"/>
              </w:rPr>
            </w:pPr>
            <w:r>
              <w:rPr>
                <w:rFonts w:ascii="Arial" w:cs="Arial" w:eastAsia="Arial" w:hAnsi="Arial"/>
                <w:sz w:val="14"/>
                <w:szCs w:val="14"/>
                <w:color w:val="auto"/>
              </w:rPr>
              <w:t>GR-MD-02</w:t>
            </w: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w w:val="95"/>
              </w:rPr>
              <w:t>IND submitted January 2013, FDA indicated on March 1, 2013 that we could proceed with a Phase 1 US</w:t>
            </w:r>
          </w:p>
        </w:tc>
      </w:tr>
      <w:tr>
        <w:trPr>
          <w:trHeight w:val="177"/>
        </w:trPr>
        <w:tc>
          <w:tcPr>
            <w:tcW w:w="5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w w:val="98"/>
              </w:rPr>
              <w:t>clinical trial. Phase 1 clinical trial started Q2-2013. Results from the first cohort of the Phase 1 clinical</w:t>
            </w:r>
          </w:p>
        </w:tc>
      </w:tr>
      <w:tr>
        <w:trPr>
          <w:trHeight w:val="177"/>
        </w:trPr>
        <w:tc>
          <w:tcPr>
            <w:tcW w:w="5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rPr>
              <w:t>trial are expected in April 2014.</w:t>
            </w:r>
          </w:p>
        </w:tc>
      </w:tr>
      <w:tr>
        <w:trPr>
          <w:trHeight w:val="177"/>
        </w:trPr>
        <w:tc>
          <w:tcPr>
            <w:tcW w:w="3880" w:type="dxa"/>
            <w:vAlign w:val="bottom"/>
            <w:gridSpan w:val="2"/>
          </w:tcPr>
          <w:p>
            <w:pPr>
              <w:spacing w:after="0"/>
              <w:rPr>
                <w:sz w:val="20"/>
                <w:szCs w:val="20"/>
                <w:color w:val="auto"/>
              </w:rPr>
            </w:pPr>
            <w:r>
              <w:rPr>
                <w:rFonts w:ascii="Arial" w:cs="Arial" w:eastAsia="Arial" w:hAnsi="Arial"/>
                <w:sz w:val="14"/>
                <w:szCs w:val="14"/>
                <w:color w:val="auto"/>
              </w:rPr>
              <w:t>Lung Fibrosis</w:t>
            </w:r>
          </w:p>
        </w:tc>
        <w:tc>
          <w:tcPr>
            <w:tcW w:w="1180" w:type="dxa"/>
            <w:vAlign w:val="bottom"/>
          </w:tcPr>
          <w:p>
            <w:pPr>
              <w:spacing w:after="0"/>
              <w:rPr>
                <w:sz w:val="20"/>
                <w:szCs w:val="20"/>
                <w:color w:val="auto"/>
              </w:rPr>
            </w:pPr>
            <w:r>
              <w:rPr>
                <w:rFonts w:ascii="Arial" w:cs="Arial" w:eastAsia="Arial" w:hAnsi="Arial"/>
                <w:sz w:val="14"/>
                <w:szCs w:val="14"/>
                <w:color w:val="auto"/>
              </w:rPr>
              <w:t>GR-MD-02</w:t>
            </w: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rPr>
              <w:t>In pre-clinical development</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Kidney Fibrosis</w:t>
            </w:r>
          </w:p>
        </w:tc>
        <w:tc>
          <w:tcPr>
            <w:tcW w:w="1180" w:type="dxa"/>
            <w:vAlign w:val="bottom"/>
          </w:tcPr>
          <w:p>
            <w:pPr>
              <w:spacing w:after="0"/>
              <w:rPr>
                <w:sz w:val="20"/>
                <w:szCs w:val="20"/>
                <w:color w:val="auto"/>
              </w:rPr>
            </w:pPr>
            <w:r>
              <w:rPr>
                <w:rFonts w:ascii="Arial" w:cs="Arial" w:eastAsia="Arial" w:hAnsi="Arial"/>
                <w:sz w:val="14"/>
                <w:szCs w:val="14"/>
                <w:color w:val="auto"/>
              </w:rPr>
              <w:t>GR-MD-02</w:t>
            </w: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rPr>
              <w:t>In pre-clinical development</w:t>
            </w:r>
          </w:p>
        </w:tc>
      </w:tr>
      <w:tr>
        <w:trPr>
          <w:trHeight w:val="2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Cancer Immunotherapy</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180" w:type="dxa"/>
            <w:vAlign w:val="bottom"/>
          </w:tcPr>
          <w:p>
            <w:pPr>
              <w:spacing w:after="0"/>
              <w:rPr>
                <w:sz w:val="22"/>
                <w:szCs w:val="22"/>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Melanoma</w:t>
            </w:r>
          </w:p>
        </w:tc>
        <w:tc>
          <w:tcPr>
            <w:tcW w:w="1180" w:type="dxa"/>
            <w:vAlign w:val="bottom"/>
          </w:tcPr>
          <w:p>
            <w:pPr>
              <w:spacing w:after="0"/>
              <w:rPr>
                <w:sz w:val="20"/>
                <w:szCs w:val="20"/>
                <w:color w:val="auto"/>
              </w:rPr>
            </w:pPr>
            <w:r>
              <w:rPr>
                <w:rFonts w:ascii="Arial" w:cs="Arial" w:eastAsia="Arial" w:hAnsi="Arial"/>
                <w:sz w:val="14"/>
                <w:szCs w:val="14"/>
                <w:color w:val="auto"/>
              </w:rPr>
              <w:t>GR-MD-02</w:t>
            </w:r>
          </w:p>
        </w:tc>
        <w:tc>
          <w:tcPr>
            <w:tcW w:w="6400" w:type="dxa"/>
            <w:vAlign w:val="bottom"/>
            <w:gridSpan w:val="2"/>
          </w:tcPr>
          <w:p>
            <w:pPr>
              <w:ind w:left="220"/>
              <w:spacing w:after="0"/>
              <w:rPr>
                <w:sz w:val="20"/>
                <w:szCs w:val="20"/>
                <w:color w:val="auto"/>
              </w:rPr>
            </w:pPr>
            <w:r>
              <w:rPr>
                <w:rFonts w:ascii="Arial" w:cs="Arial" w:eastAsia="Arial" w:hAnsi="Arial"/>
                <w:sz w:val="14"/>
                <w:szCs w:val="14"/>
                <w:color w:val="auto"/>
              </w:rPr>
              <w:t>Investigator IND filed in December 2013. Phase 1B study in process.</w:t>
            </w:r>
          </w:p>
        </w:tc>
      </w:tr>
    </w:tbl>
    <w:p>
      <w:pPr>
        <w:spacing w:after="0" w:line="128" w:lineRule="exact"/>
        <w:rPr>
          <w:sz w:val="20"/>
          <w:szCs w:val="20"/>
          <w:color w:val="auto"/>
        </w:rPr>
      </w:pPr>
    </w:p>
    <w:p>
      <w:pPr>
        <w:ind w:firstLine="458"/>
        <w:spacing w:after="0" w:line="269" w:lineRule="auto"/>
        <w:rPr>
          <w:sz w:val="20"/>
          <w:szCs w:val="20"/>
          <w:color w:val="auto"/>
        </w:rPr>
      </w:pPr>
      <w:r>
        <w:rPr>
          <w:rFonts w:ascii="Arial" w:cs="Arial" w:eastAsia="Arial" w:hAnsi="Arial"/>
          <w:sz w:val="14"/>
          <w:szCs w:val="14"/>
          <w:i w:val="1"/>
          <w:iCs w:val="1"/>
          <w:color w:val="auto"/>
        </w:rPr>
        <w:t xml:space="preserve">Fibrosis. </w:t>
      </w:r>
      <w:r>
        <w:rPr>
          <w:rFonts w:ascii="Arial" w:cs="Arial" w:eastAsia="Arial" w:hAnsi="Arial"/>
          <w:sz w:val="14"/>
          <w:szCs w:val="14"/>
          <w:color w:val="auto"/>
        </w:rPr>
        <w:t>GR-MD-02 is our lead product candidate for treatment of fibrotic disease. Our preclinical data show that GR-MD-02 has a powerful therapeutic effect on liver fibrosis as shown in</w:t>
      </w:r>
      <w:r>
        <w:rPr>
          <w:rFonts w:ascii="Arial" w:cs="Arial" w:eastAsia="Arial" w:hAnsi="Arial"/>
          <w:sz w:val="14"/>
          <w:szCs w:val="14"/>
          <w:i w:val="1"/>
          <w:iCs w:val="1"/>
          <w:color w:val="auto"/>
        </w:rPr>
        <w:t xml:space="preserve"> </w:t>
      </w:r>
      <w:r>
        <w:rPr>
          <w:rFonts w:ascii="Arial" w:cs="Arial" w:eastAsia="Arial" w:hAnsi="Arial"/>
          <w:sz w:val="14"/>
          <w:szCs w:val="14"/>
          <w:color w:val="auto"/>
        </w:rPr>
        <w:t>several relevant animal models.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Pre-clinical studies also show promise for the combination of GR-MD-02 with other approved immunotherapies and this additional use has been advanced into clinical trials under an Investigator-sponsored IND in the United States.</w:t>
      </w:r>
    </w:p>
    <w:p>
      <w:pPr>
        <w:spacing w:after="0" w:line="111" w:lineRule="exact"/>
        <w:rPr>
          <w:sz w:val="20"/>
          <w:szCs w:val="20"/>
          <w:color w:val="auto"/>
        </w:rPr>
      </w:pPr>
    </w:p>
    <w:p>
      <w:pPr>
        <w:ind w:right="20" w:firstLine="458"/>
        <w:spacing w:after="0" w:line="280" w:lineRule="auto"/>
        <w:rPr>
          <w:sz w:val="20"/>
          <w:szCs w:val="20"/>
          <w:color w:val="auto"/>
        </w:rPr>
      </w:pPr>
      <w:r>
        <w:rPr>
          <w:rFonts w:ascii="Arial" w:cs="Arial" w:eastAsia="Arial" w:hAnsi="Arial"/>
          <w:sz w:val="14"/>
          <w:szCs w:val="14"/>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w:t>
      </w:r>
    </w:p>
    <w:p>
      <w:pPr>
        <w:spacing w:after="0" w:line="102" w:lineRule="exact"/>
        <w:rPr>
          <w:sz w:val="20"/>
          <w:szCs w:val="20"/>
          <w:color w:val="auto"/>
        </w:rPr>
      </w:pPr>
    </w:p>
    <w:p>
      <w:pPr>
        <w:ind w:right="140" w:firstLine="458"/>
        <w:spacing w:after="0" w:line="268" w:lineRule="auto"/>
        <w:rPr>
          <w:sz w:val="20"/>
          <w:szCs w:val="20"/>
          <w:color w:val="auto"/>
        </w:rPr>
      </w:pPr>
      <w:r>
        <w:rPr>
          <w:rFonts w:ascii="Arial" w:cs="Arial" w:eastAsia="Arial" w:hAnsi="Arial"/>
          <w:sz w:val="14"/>
          <w:szCs w:val="14"/>
          <w:i w:val="1"/>
          <w:iCs w:val="1"/>
          <w:color w:val="auto"/>
        </w:rPr>
        <w:t xml:space="preserve">Cancer Immunotherapy. </w:t>
      </w:r>
      <w:r>
        <w:rPr>
          <w:rFonts w:ascii="Arial" w:cs="Arial" w:eastAsia="Arial" w:hAnsi="Arial"/>
          <w:sz w:val="14"/>
          <w:szCs w:val="14"/>
          <w:color w:val="auto"/>
        </w:rPr>
        <w:t>GM-CT-01, our initial product candidate targeted for selective cancer therapy together with a potential melanoma vaccine, initially was being studied in a 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trial in Europe. In 2012 we initiated a Phase 1/2 clinical trial of GM-CT-01 in combination with a tumor vaccine in patients with advanced melanoma, a deadly skin cancer. The intention at the beginning of the trial was that it would be conducted at three centers in Belgium and one in Luxembourg. The operational conduct of the trial was under the control of the Cancer Centre at the Cliniques Universitaires Saint-Luc and the Ludwig Institute for Cancer Research, and this was the only center that enrolled patients. Positive results from this study could have indicated that inhibiting the “Galectin Effect” could be an enabling technology for therapy in other tumor types. In January 2014, the Cancer Centre at the Cliniques universitaires Saint-Luc and the Ludwig Institute for Cancer Research (LICR), in agreement with Galectin Therapeutics, voluntarily placed on hold its Phase 1/2 trial evaluating the safety and efficacy, GM-CT-01, in combination with an experimental peptide vaccine for the treatment of advanced metastatic melanoma. The trial was placed on hold as the investigators were unable to enroll sufficient patients with advanced stage melanoma due to the high selection criteria of patient candidates for the peptide vaccine and the recent availability of Yervoy in Europe as a treatment increasing the overall survival of metastatic melanoma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402"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80"/>
        <w:spacing w:after="0" w:line="296" w:lineRule="auto"/>
        <w:rPr>
          <w:sz w:val="20"/>
          <w:szCs w:val="20"/>
          <w:color w:val="auto"/>
        </w:rPr>
      </w:pPr>
      <w:r>
        <w:rPr>
          <w:rFonts w:ascii="Arial" w:cs="Arial" w:eastAsia="Arial" w:hAnsi="Arial"/>
          <w:sz w:val="14"/>
          <w:szCs w:val="14"/>
          <w:color w:val="auto"/>
        </w:rPr>
        <w:t>patients. At the time when the trial was halted, three patients had completed the protocol with no serious adverse events. This trial was stopped because of the patient enrollment issue and not due to the perceived effects of the drugs on the disease or on safety issues.</w:t>
      </w:r>
    </w:p>
    <w:p>
      <w:pPr>
        <w:spacing w:after="0" w:line="9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4"/>
          <w:szCs w:val="14"/>
          <w:color w:val="auto"/>
        </w:rPr>
        <w:t>We continue to believe there is potential for galectin inhibition to play a key role in the burgeoning area of cancer immunotherapy. For example, there have been two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(ipilimumab) in a Phase 1B study of patients with metastatic melanoma. This study is being conducted under the sponsorship of Providence Portland Medical Center’s Earle A. Chiles Research Institute (EACRI).</w:t>
      </w:r>
    </w:p>
    <w:p>
      <w:pPr>
        <w:spacing w:after="0" w:line="112"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We believe the mechanism of action for GM-CT-01 and GR-MD-02 is based upon interaction with, and inhibition of, galectin proteins, particularly galectin-3,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 as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Liver Fibrosis: New Approach for a Significant Unmet Medical Need</w:t>
      </w:r>
    </w:p>
    <w:p>
      <w:pPr>
        <w:spacing w:after="0" w:line="87"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Scientific findings during the last few years indicate that the galectin-3 protein is critically important in this fibrotic process in multiple organs.</w:t>
      </w:r>
    </w:p>
    <w:p>
      <w:pPr>
        <w:spacing w:after="0" w:line="105" w:lineRule="exact"/>
        <w:rPr>
          <w:sz w:val="20"/>
          <w:szCs w:val="20"/>
          <w:color w:val="auto"/>
        </w:rPr>
      </w:pPr>
    </w:p>
    <w:p>
      <w:pPr>
        <w:ind w:firstLine="458"/>
        <w:spacing w:after="0" w:line="291" w:lineRule="auto"/>
        <w:rPr>
          <w:sz w:val="20"/>
          <w:szCs w:val="20"/>
          <w:color w:val="auto"/>
        </w:rPr>
      </w:pPr>
      <w:r>
        <w:rPr>
          <w:rFonts w:ascii="Arial" w:cs="Arial" w:eastAsia="Arial" w:hAnsi="Arial"/>
          <w:sz w:val="13"/>
          <w:szCs w:val="13"/>
          <w:color w:val="auto"/>
        </w:rPr>
        <w:t>In the liver, fibrosis is the end result of multiple inflammatory conditions and infections. Progressive liver fibrosis leads to scarring (cirrhosis), which results in reduction of liver function, multiple medical complications and ultimately death. Nearly 500,000 patients have cirrhosis in the United States with close to 50,000 losing their lives yearly. Only a fraction of patients’ lives have been saved by liver transplantation at a cost of approximately $350,000 per transplantation.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 of Health estimates that 9 to 15 million Americans are affected by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as, to the best of our knowledge, there are no drug therapies on the market. Organ transplantation is a difficult, risky and costly procedure as organ availability is scarce and there is the risk of developing cirrhosis in the transplanted liver from the same disease that damaged the patient’s original liver and therefore, there is a great need for other therapeutic options. All diseases that affect the liver (viral hepatitis, alcoholic liver disease, and fatty liver as examples) lead to the development of scarring of the liver.</w:t>
      </w:r>
    </w:p>
    <w:p>
      <w:pPr>
        <w:spacing w:after="0" w:line="98" w:lineRule="exact"/>
        <w:rPr>
          <w:sz w:val="20"/>
          <w:szCs w:val="20"/>
          <w:color w:val="auto"/>
        </w:rPr>
      </w:pPr>
    </w:p>
    <w:p>
      <w:pPr>
        <w:ind w:right="440" w:firstLine="458"/>
        <w:spacing w:after="0" w:line="296" w:lineRule="auto"/>
        <w:rPr>
          <w:sz w:val="20"/>
          <w:szCs w:val="20"/>
          <w:color w:val="auto"/>
        </w:rPr>
      </w:pPr>
      <w:r>
        <w:rPr>
          <w:rFonts w:ascii="Arial" w:cs="Arial" w:eastAsia="Arial" w:hAnsi="Arial"/>
          <w:sz w:val="14"/>
          <w:szCs w:val="14"/>
          <w:color w:val="auto"/>
        </w:rPr>
        <w:t>The primary focus of the company is to use galectin inhibitors to block galectin-3 and treat organ scarring or fibrosis in the liver. There are no approved therapies for treatment of liver fibrosis. We believe that our drug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402"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therapeutic indications.</w:t>
      </w:r>
    </w:p>
    <w:p>
      <w:pPr>
        <w:spacing w:after="0" w:line="108"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 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 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anticipate that initial safety and tolerability results, as well as biomarkers to evaluate for potential disease effect, from the first cohort of patients will be available by early April 2014. The second cohort of this phase 1 trial is expected to start around the end of April 2014. Depending on the results of the Phase 1 study, we expect to initiate a Phase 2 clinical trial in late 2014 to early 2015 to assess the efficacy of GR-MD-02 in patients with NASH and advanced liver fibrosis. The timing of initial results from the Phase 2 trial are dependent upon the trial design but currently are planned to be available in the first half of 2016. Our Phase 2 clinical program is likely to include additional clinical trials to fully characterize human response to GR-MD-02 and to better position the Company for a successful Phase 3 clinical trial program.</w:t>
      </w:r>
    </w:p>
    <w:p>
      <w:pPr>
        <w:spacing w:after="0" w:line="101" w:lineRule="exact"/>
        <w:rPr>
          <w:sz w:val="20"/>
          <w:szCs w:val="20"/>
          <w:color w:val="auto"/>
        </w:rPr>
      </w:pPr>
    </w:p>
    <w:p>
      <w:pPr>
        <w:ind w:right="80" w:firstLine="458"/>
        <w:spacing w:after="0" w:line="297" w:lineRule="auto"/>
        <w:rPr>
          <w:sz w:val="20"/>
          <w:szCs w:val="20"/>
          <w:color w:val="auto"/>
        </w:rPr>
      </w:pPr>
      <w:r>
        <w:rPr>
          <w:rFonts w:ascii="Arial" w:cs="Arial" w:eastAsia="Arial" w:hAnsi="Arial"/>
          <w:sz w:val="13"/>
          <w:szCs w:val="13"/>
          <w:color w:val="auto"/>
        </w:rPr>
        <w:t>GR-MD-02 is a proprietary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Similar to GM-CT-01, GR-MD-02 targets extracellular galectins. With respect to GR-MD-02, we currently have patent applications pending with respect to composition of matter, cancer immunotherapy, diabetic kidney disease, lung fibrotic disease, and inflammatory disease associated with increase in inducible nitric oxide synthase. Patents have been granted with respect to liver fibrosis, NASH, and liver fibrosis in combination with other therapeutic agents allowed. Compounds for subcutaneous administration are currently under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Galectin Inhibition in Cancer Therapy</w:t>
      </w:r>
    </w:p>
    <w:p>
      <w:pPr>
        <w:spacing w:after="0" w:line="87" w:lineRule="exact"/>
        <w:rPr>
          <w:sz w:val="20"/>
          <w:szCs w:val="20"/>
          <w:color w:val="auto"/>
        </w:rPr>
      </w:pPr>
    </w:p>
    <w:p>
      <w:pPr>
        <w:ind w:right="340" w:firstLine="458"/>
        <w:spacing w:after="0" w:line="337" w:lineRule="auto"/>
        <w:rPr>
          <w:sz w:val="20"/>
          <w:szCs w:val="20"/>
          <w:color w:val="auto"/>
        </w:rPr>
      </w:pPr>
      <w:r>
        <w:rPr>
          <w:rFonts w:ascii="Arial" w:cs="Arial" w:eastAsia="Arial" w:hAnsi="Arial"/>
          <w:sz w:val="13"/>
          <w:szCs w:val="13"/>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68" w:lineRule="exact"/>
        <w:rPr>
          <w:sz w:val="20"/>
          <w:szCs w:val="20"/>
          <w:color w:val="auto"/>
        </w:rPr>
      </w:pPr>
    </w:p>
    <w:p>
      <w:pPr>
        <w:ind w:right="320" w:firstLine="458"/>
        <w:spacing w:after="0" w:line="280" w:lineRule="auto"/>
        <w:rPr>
          <w:sz w:val="20"/>
          <w:szCs w:val="20"/>
          <w:color w:val="auto"/>
        </w:rPr>
      </w:pPr>
      <w:r>
        <w:rPr>
          <w:rFonts w:ascii="Arial" w:cs="Arial" w:eastAsia="Arial" w:hAnsi="Arial"/>
          <w:sz w:val="14"/>
          <w:szCs w:val="14"/>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402" w:right="2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demonstrating that galectin-3, which is produced by the vast majority of human cancers, binds to and blocks the actions of tumor-infiltrating T-lymphocytes, the major immune cell in the body’s defense against cancers. In addition, Dr. Will Redmond of the Earl Chiles Cancer Research Institute in Portland Oregon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08" w:lineRule="exact"/>
        <w:rPr>
          <w:sz w:val="20"/>
          <w:szCs w:val="20"/>
          <w:color w:val="auto"/>
        </w:rPr>
      </w:pPr>
    </w:p>
    <w:p>
      <w:pPr>
        <w:ind w:right="20" w:firstLine="458"/>
        <w:spacing w:after="0" w:line="268" w:lineRule="auto"/>
        <w:rPr>
          <w:sz w:val="20"/>
          <w:szCs w:val="20"/>
          <w:color w:val="auto"/>
        </w:rPr>
      </w:pPr>
      <w:r>
        <w:rPr>
          <w:rFonts w:ascii="Arial" w:cs="Arial" w:eastAsia="Arial" w:hAnsi="Arial"/>
          <w:sz w:val="14"/>
          <w:szCs w:val="14"/>
          <w:color w:val="auto"/>
        </w:rPr>
        <w:t>In May 2012, we initiated a Phase 1/2 clinical trial of GM-CT-01 in Belgium in combination with a tumor vaccine in patients with advanced melanoma, a deadly skin cancer. The Belgian Federal Agency of Medicine and Health Products, or FAMHP, granted approval for this clinical trial, which was being conducted at three centers in Belgium and one in Luxembourg. The only trial site that was initiated was at the Ludwig Cancer Institute in Belgium. In January 2014, the Cancer Centre at the Cliniques universitaires Saint-Luc and the Ludwig Institute for Cancer Research (LICR), in agreement with Galectin Therapeutics, voluntarily placed on hold its Phase 1/2 trial evaluating the safety and efficacy, GM-CT-01, in combination with an experimental peptide vaccine for the treatment of advanced metastatic melanoma. The trial was placed on hold as the investigators were unable to enroll sufficient patients with advanced stage melanoma due to the high selection criteria of patient candidates for the peptide vaccine and the recent availability of Yervoy in Europe as a treatment increasing the overall survival of metastatic melanoma patients. . At the time when the trial was halted, three patients had completed the protocol with no serious adverse events. This trial was stopped because of patient enrollment issue and not due to the perceived effects of the drugs on the disease or on safety issues.</w:t>
      </w:r>
    </w:p>
    <w:p>
      <w:pPr>
        <w:spacing w:after="0" w:line="114"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The company supported preclinical studies led by tumor immunology expert William L. Redmond, Ph.D., of the Providence Portland Medical Center’s Earle A. Chiles Research Institute (EACRI). The preclinical study found that GR-MD-02 increased tumor shrinkage and enhanced survival in immune competent mice with prostate and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 activation and memory function of CD8+ T cells in human patients. This study represents a novel approach for patients with metastatic melanoma. The IND was approved by FDA in February 2014.</w:t>
      </w:r>
    </w:p>
    <w:p>
      <w:pPr>
        <w:spacing w:after="0" w:line="110"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 study will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will provide its proprietary compound GR-MD-02 to EACRI researchers, as well as supply researchers with supporting analysis of the pharmacokinetics of GR-MD-02 and the right to reference the Company’s open IND on GR-MD-02.</w:t>
      </w:r>
    </w:p>
    <w:p>
      <w:pPr>
        <w:spacing w:after="0" w:line="105"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There are potentially additional pathways for the development of GR-MD-02 and GM-CT-01 for use in treatment of cancer. GM-CT-01 was found to be generally safe when studied in a Phase 1 clinical trial in end-stage cancer patients with multiple tumor types alone and in combination with 5-Fluorouracil (5-FU), which is an FDA-approved chemotherapy used for treatment of various types of cancer. Three Phase 2 studies were conducted, but were only partially completed due to financing issues at the time. Based on these completed Phase 1 and partially completed Phase 2 clinical trials, we are exploring additional potential indications for the use of GM-CT-01 in combination with cancer chemotherapy.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and Proprietary Rights</w:t>
      </w:r>
    </w:p>
    <w:p>
      <w:pPr>
        <w:spacing w:after="0" w:line="87" w:lineRule="exact"/>
        <w:rPr>
          <w:sz w:val="20"/>
          <w:szCs w:val="20"/>
          <w:color w:val="auto"/>
        </w:rPr>
      </w:pPr>
    </w:p>
    <w:p>
      <w:pPr>
        <w:ind w:right="100" w:firstLine="458"/>
        <w:spacing w:after="0" w:line="296" w:lineRule="auto"/>
        <w:rPr>
          <w:sz w:val="20"/>
          <w:szCs w:val="20"/>
          <w:color w:val="auto"/>
        </w:rPr>
      </w:pPr>
      <w:r>
        <w:rPr>
          <w:rFonts w:ascii="Arial" w:cs="Arial" w:eastAsia="Arial" w:hAnsi="Arial"/>
          <w:sz w:val="14"/>
          <w:szCs w:val="14"/>
          <w:color w:val="auto"/>
        </w:rPr>
        <w:t>Our development and commercial viability, and ultimately our competitiveness, depend on our ability to develop and maintain the proprietary aspects of our technology and operate without infringing on the proprietary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402" w:right="2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80"/>
        <w:spacing w:after="0" w:line="280" w:lineRule="auto"/>
        <w:rPr>
          <w:sz w:val="20"/>
          <w:szCs w:val="20"/>
          <w:color w:val="auto"/>
        </w:rPr>
      </w:pPr>
      <w:r>
        <w:rPr>
          <w:rFonts w:ascii="Arial" w:cs="Arial" w:eastAsia="Arial" w:hAnsi="Arial"/>
          <w:sz w:val="14"/>
          <w:szCs w:val="14"/>
          <w:color w:val="auto"/>
        </w:rPr>
        <w:t>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02"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TGF-b1.</w:t>
      </w:r>
    </w:p>
    <w:p>
      <w:pPr>
        <w:spacing w:after="0" w:line="105" w:lineRule="exact"/>
        <w:rPr>
          <w:sz w:val="20"/>
          <w:szCs w:val="20"/>
          <w:color w:val="auto"/>
        </w:rPr>
      </w:pPr>
    </w:p>
    <w:p>
      <w:pPr>
        <w:ind w:right="240" w:firstLine="458"/>
        <w:spacing w:after="0" w:line="311" w:lineRule="auto"/>
        <w:rPr>
          <w:sz w:val="20"/>
          <w:szCs w:val="20"/>
          <w:color w:val="auto"/>
        </w:rPr>
      </w:pPr>
      <w:r>
        <w:rPr>
          <w:rFonts w:ascii="Arial" w:cs="Arial" w:eastAsia="Arial" w:hAnsi="Arial"/>
          <w:sz w:val="13"/>
          <w:szCs w:val="13"/>
          <w:color w:val="auto"/>
        </w:rPr>
        <w:t>In September 2013, we received a notice of issuance from the U.S. Patent and Trademark Office for Patent Application Number 13/573,454 titled “Galacto-rhamnogalacturonate compositions for the treatment of non-alcoholic steatohepatitis and non-alcoholic fatty liver disease” that will issue on February 25, 2014 as U.S. Patent Number 8,658,787. The patent covers the Company’s carbohydrate-based galectin inhibitor compound GR-MD-02 for use in patients with fatty liver disease with or without fibrosis or cirrhosis.</w:t>
      </w:r>
    </w:p>
    <w:p>
      <w:pPr>
        <w:spacing w:after="0" w:line="84" w:lineRule="exact"/>
        <w:rPr>
          <w:sz w:val="20"/>
          <w:szCs w:val="20"/>
          <w:color w:val="auto"/>
        </w:rPr>
      </w:pPr>
    </w:p>
    <w:p>
      <w:pPr>
        <w:ind w:right="40" w:firstLine="458"/>
        <w:spacing w:after="0" w:line="295" w:lineRule="auto"/>
        <w:rPr>
          <w:sz w:val="20"/>
          <w:szCs w:val="20"/>
          <w:color w:val="auto"/>
        </w:rPr>
      </w:pPr>
      <w:r>
        <w:rPr>
          <w:rFonts w:ascii="Arial" w:cs="Arial" w:eastAsia="Arial" w:hAnsi="Arial"/>
          <w:sz w:val="13"/>
          <w:szCs w:val="13"/>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95"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As of January 31, 2014, we held nine granted U.S. patents, foreign granted patents (Japan, E.U., New Zealand), seven international patent applications, and have eight U.S. patent applications . Many of our patents and patent applications cover composition of matter for complex carbohydrate drugs and methods of use for reducing toxicity and enhancing chemotherapeutic drugs by co-administering a polysaccharide with a chemotherapeutic agent or for use in treatment of fibrosis. The scheduled expiration dates of our United States patents span from 2020 to 2033. We have corresponding patent applications pending in Europe, Israel, and Brazil.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w:t>
      </w:r>
    </w:p>
    <w:p>
      <w:pPr>
        <w:spacing w:after="0" w:line="87"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color w:val="auto"/>
        </w:rPr>
        <w:t>Our primary focus is on the design and testing of agents which target galectins in various in vitro and in vivo systems and which demonstrate efficacy in treatment of experimentally induced fibrosis or enhance immune system responsiveness in various tissues and in live animal models. Our prior focus was on the design and analysis of galectin targeting therapeutics to improve the clinical benefit of chemotherapeutic agents and biologics: GM-CT-01 was a result of this effort.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402" w:right="2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jc w:val="both"/>
        <w:ind w:right="40" w:firstLine="458"/>
        <w:spacing w:after="0" w:line="280" w:lineRule="auto"/>
        <w:rPr>
          <w:sz w:val="20"/>
          <w:szCs w:val="20"/>
          <w:color w:val="auto"/>
        </w:rPr>
      </w:pPr>
      <w:r>
        <w:rPr>
          <w:rFonts w:ascii="Arial" w:cs="Arial" w:eastAsia="Arial" w:hAnsi="Arial"/>
          <w:sz w:val="14"/>
          <w:szCs w:val="14"/>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02" w:lineRule="exact"/>
        <w:rPr>
          <w:sz w:val="20"/>
          <w:szCs w:val="20"/>
          <w:color w:val="auto"/>
        </w:rPr>
      </w:pPr>
    </w:p>
    <w:p>
      <w:pPr>
        <w:ind w:right="200" w:firstLine="458"/>
        <w:spacing w:after="0" w:line="272" w:lineRule="auto"/>
        <w:rPr>
          <w:sz w:val="20"/>
          <w:szCs w:val="20"/>
          <w:color w:val="auto"/>
        </w:rPr>
      </w:pPr>
      <w:r>
        <w:rPr>
          <w:rFonts w:ascii="Arial" w:cs="Arial" w:eastAsia="Arial" w:hAnsi="Arial"/>
          <w:sz w:val="14"/>
          <w:szCs w:val="14"/>
          <w:color w:val="auto"/>
        </w:rPr>
        <w:t>In February 2013, the Company established a collaborative drug discovery program with Dr. Geert-Jan Boons’ (“Dr. Boons”) laboratory located in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 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08" w:lineRule="exact"/>
        <w:rPr>
          <w:sz w:val="20"/>
          <w:szCs w:val="20"/>
          <w:color w:val="auto"/>
        </w:rPr>
      </w:pPr>
    </w:p>
    <w:p>
      <w:pPr>
        <w:ind w:firstLine="458"/>
        <w:spacing w:after="0" w:line="337" w:lineRule="auto"/>
        <w:rPr>
          <w:sz w:val="20"/>
          <w:szCs w:val="20"/>
          <w:color w:val="auto"/>
        </w:rPr>
      </w:pPr>
      <w:r>
        <w:rPr>
          <w:rFonts w:ascii="Arial" w:cs="Arial" w:eastAsia="Arial" w:hAnsi="Arial"/>
          <w:sz w:val="13"/>
          <w:szCs w:val="13"/>
          <w:color w:val="auto"/>
        </w:rPr>
        <w:t>Our research and development expenditures totaled $33.3 million for the cumulative period from inception (July 10, 2000) through December 31, 2013. During the years ended December 31, 2013 and 2012, our expenditures for research and development were $5.7 million and $4.5 million, respectively. We expense all research and development costs as they are incurred.</w:t>
      </w:r>
    </w:p>
    <w:p>
      <w:pPr>
        <w:spacing w:after="0" w:line="68" w:lineRule="exact"/>
        <w:rPr>
          <w:sz w:val="20"/>
          <w:szCs w:val="20"/>
          <w:color w:val="auto"/>
        </w:rPr>
      </w:pPr>
    </w:p>
    <w:p>
      <w:pPr>
        <w:ind w:right="460" w:firstLine="458"/>
        <w:spacing w:after="0" w:line="296" w:lineRule="auto"/>
        <w:rPr>
          <w:sz w:val="20"/>
          <w:szCs w:val="20"/>
          <w:color w:val="auto"/>
        </w:rPr>
      </w:pPr>
      <w:r>
        <w:rPr>
          <w:rFonts w:ascii="Arial" w:cs="Arial" w:eastAsia="Arial" w:hAnsi="Arial"/>
          <w:sz w:val="14"/>
          <w:szCs w:val="14"/>
          <w:color w:val="auto"/>
        </w:rPr>
        <w:t>In January, 2014 we created, with SBH Sciences, Inc. (Natick, Ma), Galectin Sciences, LLC, a collaborative joint venture to research and develop small organic molecule inhibitors of galectin-3 for oral administration.</w:t>
      </w:r>
    </w:p>
    <w:p>
      <w:pPr>
        <w:spacing w:after="0" w:line="91"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Using computer molecular modeling techniques coupled with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screening of a variety of compound libraries, SBH Sciences had identified several small organic molecules with promising galectin-3 inhibitory activity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Galectin Sciences LLC will further develop these unique organic molecule inhibitors of galectin-3 as drug candidates as well as develop additional candidates.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disease models of fibrosis and cancer in which galectins play a key role.</w:t>
      </w:r>
    </w:p>
    <w:p>
      <w:pPr>
        <w:spacing w:after="0" w:line="110" w:lineRule="exact"/>
        <w:rPr>
          <w:sz w:val="20"/>
          <w:szCs w:val="20"/>
          <w:color w:val="auto"/>
        </w:rPr>
      </w:pPr>
    </w:p>
    <w:p>
      <w:pPr>
        <w:jc w:val="both"/>
        <w:ind w:right="100" w:firstLine="458"/>
        <w:spacing w:after="0" w:line="280" w:lineRule="auto"/>
        <w:rPr>
          <w:sz w:val="20"/>
          <w:szCs w:val="20"/>
          <w:color w:val="auto"/>
        </w:rPr>
      </w:pPr>
      <w:r>
        <w:rPr>
          <w:rFonts w:ascii="Arial" w:cs="Arial" w:eastAsia="Arial" w:hAnsi="Arial"/>
          <w:sz w:val="14"/>
          <w:szCs w:val="14"/>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Marketing</w:t>
      </w:r>
    </w:p>
    <w:p>
      <w:pPr>
        <w:spacing w:after="0" w:line="87"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w:t>
      </w:r>
    </w:p>
    <w:p>
      <w:pPr>
        <w:spacing w:after="0" w:line="105" w:lineRule="exact"/>
        <w:rPr>
          <w:sz w:val="20"/>
          <w:szCs w:val="20"/>
          <w:color w:val="auto"/>
        </w:rPr>
      </w:pPr>
    </w:p>
    <w:p>
      <w:pPr>
        <w:ind w:right="20" w:firstLine="458"/>
        <w:spacing w:after="0" w:line="296" w:lineRule="auto"/>
        <w:rPr>
          <w:sz w:val="20"/>
          <w:szCs w:val="20"/>
          <w:color w:val="auto"/>
        </w:rPr>
      </w:pPr>
      <w:r>
        <w:rPr>
          <w:rFonts w:ascii="Arial" w:cs="Arial" w:eastAsia="Arial" w:hAnsi="Arial"/>
          <w:sz w:val="14"/>
          <w:szCs w:val="14"/>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402" w:right="21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partners or independent distributors to market and sell those products. Our dependence on third-party manufacturers and marketers will involve risks relating to our reduced control, and other risks including those discussed in “Risk Factors — Risks Related to our Company — There are risks associated with reliance on third parties for manufacturing, marketing, sales, managed care and distribution infrastructure channels.”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87"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Many biotechnology and pharmaceutical companies are developing new technologies for the treatment of cancer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05" w:lineRule="exact"/>
        <w:rPr>
          <w:sz w:val="20"/>
          <w:szCs w:val="20"/>
          <w:color w:val="auto"/>
        </w:rPr>
      </w:pPr>
    </w:p>
    <w:p>
      <w:pPr>
        <w:ind w:right="100" w:firstLine="458"/>
        <w:spacing w:after="0" w:line="296" w:lineRule="auto"/>
        <w:rPr>
          <w:sz w:val="20"/>
          <w:szCs w:val="20"/>
          <w:color w:val="auto"/>
        </w:rPr>
      </w:pPr>
      <w:r>
        <w:rPr>
          <w:rFonts w:ascii="Arial" w:cs="Arial" w:eastAsia="Arial" w:hAnsi="Arial"/>
          <w:sz w:val="14"/>
          <w:szCs w:val="14"/>
          <w:color w:val="auto"/>
        </w:rPr>
        <w:t>See “Risk Factors — Risks Related to Our Company — We face intense competition in the biotechnology and pharmaceutical industries” for additional discussion related to our current and potential competition.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87"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Drug Approval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Drugs may not be marketed in the U.S. until the FDA has approved them. The steps required before a drug may be marketed in the U.S. include:</w:t>
      </w:r>
    </w:p>
    <w:p>
      <w:pPr>
        <w:spacing w:after="0" w:line="83" w:lineRule="exact"/>
        <w:rPr>
          <w:sz w:val="20"/>
          <w:szCs w:val="20"/>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Pre-clinical laboratory tests, animal studies, and formulation studies,</w:t>
      </w:r>
    </w:p>
    <w:p>
      <w:pPr>
        <w:spacing w:after="0" w:line="82" w:lineRule="exact"/>
        <w:rPr>
          <w:rFonts w:ascii="Arial" w:cs="Arial" w:eastAsia="Arial" w:hAnsi="Arial"/>
          <w:sz w:val="14"/>
          <w:szCs w:val="14"/>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Submission to the FDA of an IND for human clinical testing, which must become effective before human clinical trials may begin,</w:t>
      </w:r>
    </w:p>
    <w:p>
      <w:pPr>
        <w:spacing w:after="0" w:line="82" w:lineRule="exact"/>
        <w:rPr>
          <w:rFonts w:ascii="Arial" w:cs="Arial" w:eastAsia="Arial" w:hAnsi="Arial"/>
          <w:sz w:val="14"/>
          <w:szCs w:val="14"/>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Adequate and well-controlled human clinical trials to establish the safety and efficacy of the drug for each indication,</w:t>
      </w:r>
    </w:p>
    <w:p>
      <w:pPr>
        <w:spacing w:after="0" w:line="82" w:lineRule="exact"/>
        <w:rPr>
          <w:rFonts w:ascii="Arial" w:cs="Arial" w:eastAsia="Arial" w:hAnsi="Arial"/>
          <w:sz w:val="14"/>
          <w:szCs w:val="14"/>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Submission to the FDA of a NDA,</w:t>
      </w:r>
    </w:p>
    <w:p>
      <w:pPr>
        <w:spacing w:after="0" w:line="82" w:lineRule="exact"/>
        <w:rPr>
          <w:rFonts w:ascii="Arial" w:cs="Arial" w:eastAsia="Arial" w:hAnsi="Arial"/>
          <w:sz w:val="14"/>
          <w:szCs w:val="14"/>
          <w:color w:val="auto"/>
        </w:rPr>
      </w:pPr>
    </w:p>
    <w:p>
      <w:pPr>
        <w:ind w:left="920" w:right="560" w:hanging="457"/>
        <w:spacing w:after="0" w:line="296"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at which the drug is produced to assess compliance with current good manufacturing procedures (“cGMP”) established by the FDA,</w:t>
      </w:r>
    </w:p>
    <w:p>
      <w:pPr>
        <w:spacing w:after="0" w:line="24" w:lineRule="exact"/>
        <w:rPr>
          <w:rFonts w:ascii="Arial" w:cs="Arial" w:eastAsia="Arial" w:hAnsi="Arial"/>
          <w:sz w:val="14"/>
          <w:szCs w:val="14"/>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FDA review and approval of the NDA, and</w:t>
      </w:r>
    </w:p>
    <w:p>
      <w:pPr>
        <w:spacing w:after="0" w:line="82" w:lineRule="exact"/>
        <w:rPr>
          <w:rFonts w:ascii="Arial" w:cs="Arial" w:eastAsia="Arial" w:hAnsi="Arial"/>
          <w:sz w:val="14"/>
          <w:szCs w:val="14"/>
          <w:color w:val="auto"/>
        </w:rPr>
      </w:pPr>
    </w:p>
    <w:p>
      <w:pPr>
        <w:ind w:left="920" w:hanging="4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FDA review and approval of a trademark used in connection with a pharmaceutical.</w:t>
      </w:r>
    </w:p>
    <w:p>
      <w:pPr>
        <w:spacing w:after="0" w:line="149" w:lineRule="exact"/>
        <w:rPr>
          <w:sz w:val="20"/>
          <w:szCs w:val="20"/>
          <w:color w:val="auto"/>
        </w:rPr>
      </w:pPr>
    </w:p>
    <w:p>
      <w:pPr>
        <w:ind w:right="20" w:firstLine="458"/>
        <w:spacing w:after="0" w:line="311" w:lineRule="auto"/>
        <w:rPr>
          <w:sz w:val="20"/>
          <w:szCs w:val="20"/>
          <w:color w:val="auto"/>
        </w:rPr>
      </w:pPr>
      <w:r>
        <w:rPr>
          <w:rFonts w:ascii="Arial" w:cs="Arial" w:eastAsia="Arial" w:hAnsi="Arial"/>
          <w:sz w:val="13"/>
          <w:szCs w:val="13"/>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402"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80" w:firstLine="458"/>
        <w:spacing w:after="0" w:line="280" w:lineRule="auto"/>
        <w:rPr>
          <w:sz w:val="20"/>
          <w:szCs w:val="20"/>
          <w:color w:val="auto"/>
        </w:rPr>
      </w:pPr>
      <w:r>
        <w:rPr>
          <w:rFonts w:ascii="Arial" w:cs="Arial" w:eastAsia="Arial" w:hAnsi="Arial"/>
          <w:sz w:val="14"/>
          <w:szCs w:val="14"/>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02"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10"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requires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14" w:lineRule="exact"/>
        <w:rPr>
          <w:sz w:val="20"/>
          <w:szCs w:val="20"/>
          <w:color w:val="auto"/>
        </w:rPr>
      </w:pPr>
    </w:p>
    <w:p>
      <w:pPr>
        <w:ind w:right="340" w:firstLine="458"/>
        <w:spacing w:after="0" w:line="296" w:lineRule="auto"/>
        <w:rPr>
          <w:sz w:val="20"/>
          <w:szCs w:val="20"/>
          <w:color w:val="auto"/>
        </w:rPr>
      </w:pPr>
      <w:r>
        <w:rPr>
          <w:rFonts w:ascii="Arial" w:cs="Arial" w:eastAsia="Arial" w:hAnsi="Arial"/>
          <w:sz w:val="14"/>
          <w:szCs w:val="14"/>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FDA Priority Review</w:t>
      </w:r>
    </w:p>
    <w:p>
      <w:pPr>
        <w:spacing w:after="0" w:line="83"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Post-Approval Requirements</w:t>
      </w:r>
    </w:p>
    <w:p>
      <w:pPr>
        <w:spacing w:after="0" w:line="83" w:lineRule="exact"/>
        <w:rPr>
          <w:sz w:val="20"/>
          <w:szCs w:val="20"/>
          <w:color w:val="auto"/>
        </w:rPr>
      </w:pPr>
    </w:p>
    <w:p>
      <w:pPr>
        <w:ind w:right="160" w:firstLine="458"/>
        <w:spacing w:after="0" w:line="272" w:lineRule="auto"/>
        <w:rPr>
          <w:sz w:val="20"/>
          <w:szCs w:val="20"/>
          <w:color w:val="auto"/>
        </w:rPr>
      </w:pPr>
      <w:r>
        <w:rPr>
          <w:rFonts w:ascii="Arial" w:cs="Arial" w:eastAsia="Arial" w:hAnsi="Arial"/>
          <w:sz w:val="14"/>
          <w:szCs w:val="14"/>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20" w:top="402"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80"/>
        <w:spacing w:after="0" w:line="296" w:lineRule="auto"/>
        <w:rPr>
          <w:sz w:val="20"/>
          <w:szCs w:val="20"/>
          <w:color w:val="auto"/>
        </w:rPr>
      </w:pPr>
      <w:r>
        <w:rPr>
          <w:rFonts w:ascii="Arial" w:cs="Arial" w:eastAsia="Arial" w:hAnsi="Arial"/>
          <w:sz w:val="14"/>
          <w:szCs w:val="14"/>
          <w:color w:val="auto"/>
        </w:rPr>
        <w:t>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Regulation Outside the United States</w:t>
      </w:r>
    </w:p>
    <w:p>
      <w:pPr>
        <w:spacing w:after="0" w:line="83" w:lineRule="exact"/>
        <w:rPr>
          <w:sz w:val="20"/>
          <w:szCs w:val="20"/>
          <w:color w:val="auto"/>
        </w:rPr>
      </w:pPr>
    </w:p>
    <w:p>
      <w:pPr>
        <w:ind w:firstLine="458"/>
        <w:spacing w:after="0" w:line="272" w:lineRule="auto"/>
        <w:rPr>
          <w:sz w:val="20"/>
          <w:szCs w:val="20"/>
          <w:color w:val="auto"/>
        </w:rPr>
      </w:pPr>
      <w:r>
        <w:rPr>
          <w:rFonts w:ascii="Arial" w:cs="Arial" w:eastAsia="Arial" w:hAnsi="Arial"/>
          <w:sz w:val="14"/>
          <w:szCs w:val="14"/>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Environmental Regulation</w:t>
      </w:r>
    </w:p>
    <w:p>
      <w:pPr>
        <w:spacing w:after="0" w:line="83" w:lineRule="exact"/>
        <w:rPr>
          <w:sz w:val="20"/>
          <w:szCs w:val="20"/>
          <w:color w:val="auto"/>
        </w:rPr>
      </w:pPr>
    </w:p>
    <w:p>
      <w:pPr>
        <w:ind w:right="160" w:firstLine="458"/>
        <w:spacing w:after="0" w:line="272" w:lineRule="auto"/>
        <w:rPr>
          <w:sz w:val="20"/>
          <w:szCs w:val="20"/>
          <w:color w:val="auto"/>
        </w:rPr>
      </w:pPr>
      <w:r>
        <w:rPr>
          <w:rFonts w:ascii="Arial" w:cs="Arial" w:eastAsia="Arial" w:hAnsi="Arial"/>
          <w:sz w:val="14"/>
          <w:szCs w:val="14"/>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87" w:lineRule="exact"/>
        <w:rPr>
          <w:sz w:val="20"/>
          <w:szCs w:val="20"/>
          <w:color w:val="auto"/>
        </w:rPr>
      </w:pPr>
    </w:p>
    <w:p>
      <w:pPr>
        <w:ind w:right="160" w:firstLine="458"/>
        <w:spacing w:after="0" w:line="296" w:lineRule="auto"/>
        <w:rPr>
          <w:sz w:val="20"/>
          <w:szCs w:val="20"/>
          <w:color w:val="auto"/>
        </w:rPr>
      </w:pPr>
      <w:r>
        <w:rPr>
          <w:rFonts w:ascii="Arial" w:cs="Arial" w:eastAsia="Arial" w:hAnsi="Arial"/>
          <w:sz w:val="14"/>
          <w:szCs w:val="14"/>
          <w:color w:val="auto"/>
        </w:rPr>
        <w:t>We currently have six full-time employees, two of whom are involved primarily in management of our pre-clinical research and development and clinical trials and four who were involved primarily in management and administration of our Company. We also have two contractors who provide product development, manufacture and clinical trial support.</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87"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05" w:lineRule="exact"/>
        <w:rPr>
          <w:sz w:val="20"/>
          <w:szCs w:val="20"/>
          <w:color w:val="auto"/>
        </w:rPr>
      </w:pPr>
    </w:p>
    <w:p>
      <w:pPr>
        <w:ind w:right="20" w:firstLine="458"/>
        <w:spacing w:after="0" w:line="296" w:lineRule="auto"/>
        <w:rPr>
          <w:sz w:val="20"/>
          <w:szCs w:val="20"/>
          <w:color w:val="auto"/>
        </w:rPr>
      </w:pPr>
      <w:r>
        <w:rPr>
          <w:rFonts w:ascii="Arial" w:cs="Arial" w:eastAsia="Arial" w:hAnsi="Arial"/>
          <w:sz w:val="14"/>
          <w:szCs w:val="14"/>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Company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have incurred net losses to date and must raise additional capital in order to continue to operate after 2015.</w:t>
      </w:r>
    </w:p>
    <w:p>
      <w:pPr>
        <w:spacing w:after="0" w:line="83" w:lineRule="exact"/>
        <w:rPr>
          <w:sz w:val="20"/>
          <w:szCs w:val="20"/>
          <w:color w:val="auto"/>
        </w:rPr>
      </w:pPr>
    </w:p>
    <w:p>
      <w:pPr>
        <w:ind w:right="440" w:firstLine="458"/>
        <w:spacing w:after="0" w:line="296" w:lineRule="auto"/>
        <w:rPr>
          <w:sz w:val="20"/>
          <w:szCs w:val="20"/>
          <w:color w:val="auto"/>
        </w:rPr>
      </w:pPr>
      <w:r>
        <w:rPr>
          <w:rFonts w:ascii="Arial" w:cs="Arial" w:eastAsia="Arial" w:hAnsi="Arial"/>
          <w:sz w:val="14"/>
          <w:szCs w:val="14"/>
          <w:color w:val="auto"/>
        </w:rPr>
        <w:t>We have incurred net losses in each year of operation since our inception in July 2000. Our accumulated deficit as of December 31, 2013 was $102 million and our cumulative net loss applicable to common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402" w:right="2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stockholders as of December 31, 2013 was $102.2 million. We had $10.5 million of unrestricted cash as of December 31, 2013. Additionally, in January and February 2014, the Company received approximately $28.2 million in net proceeds from the issuance of common stock at then-current market prices through its at the market (“ATM”) financing arrangement and $1.5 million from the exercise of stock purchase warrants. The Company currently believes there is sufficient cash to fund currently planned operations through 2015. We will require more cash to fund our operations after 2015. However, there can be no assurance that we will be successful in obtaining such new financing or, if available, that such financing will be obtainable on terms favorable to us. If our current clinical trials are unsuccessful or do not produce positive results, it may be particularly difficult for us to raise additional capital. If we do not raise additional cash for operations after 2015, we may not be able to continue operations and may be forced to seek bankruptcy protection.</w:t>
      </w:r>
    </w:p>
    <w:p>
      <w:pPr>
        <w:spacing w:after="0" w:line="110"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are a development stage company and have not yet generated any revenue.</w:t>
      </w:r>
    </w:p>
    <w:p>
      <w:pPr>
        <w:spacing w:after="0" w:line="83" w:lineRule="exact"/>
        <w:rPr>
          <w:sz w:val="20"/>
          <w:szCs w:val="20"/>
          <w:color w:val="auto"/>
        </w:rPr>
      </w:pPr>
    </w:p>
    <w:p>
      <w:pPr>
        <w:ind w:right="100" w:firstLine="458"/>
        <w:spacing w:after="0" w:line="337" w:lineRule="auto"/>
        <w:rPr>
          <w:sz w:val="20"/>
          <w:szCs w:val="20"/>
          <w:color w:val="auto"/>
        </w:rPr>
      </w:pPr>
      <w:r>
        <w:rPr>
          <w:rFonts w:ascii="Arial" w:cs="Arial" w:eastAsia="Arial" w:hAnsi="Arial"/>
          <w:sz w:val="13"/>
          <w:szCs w:val="13"/>
          <w:color w:val="auto"/>
        </w:rPr>
        <w:t>We are a development stage company and have not generated any revenues to date. There is no assurance that we will obtain FDA approval of GR-MD-02, GM-CT-01, or any other of our products in development and, even if we do so, that we will generate revenue sufficient to become profitable. Our failure to generate revenue and profit would likely lead to loss of your investment.</w:t>
      </w:r>
    </w:p>
    <w:p>
      <w:pPr>
        <w:spacing w:after="0" w:line="134" w:lineRule="exact"/>
        <w:rPr>
          <w:sz w:val="20"/>
          <w:szCs w:val="20"/>
          <w:color w:val="auto"/>
        </w:rPr>
      </w:pPr>
    </w:p>
    <w:p>
      <w:pPr>
        <w:ind w:left="240" w:right="400"/>
        <w:spacing w:after="0" w:line="296" w:lineRule="auto"/>
        <w:rPr>
          <w:sz w:val="20"/>
          <w:szCs w:val="20"/>
          <w:color w:val="auto"/>
        </w:rPr>
      </w:pPr>
      <w:r>
        <w:rPr>
          <w:rFonts w:ascii="Arial" w:cs="Arial" w:eastAsia="Arial" w:hAnsi="Arial"/>
          <w:sz w:val="14"/>
          <w:szCs w:val="14"/>
          <w:b w:val="1"/>
          <w:bCs w:val="1"/>
          <w:i w:val="1"/>
          <w:iCs w:val="1"/>
          <w:color w:val="auto"/>
        </w:rPr>
        <w:t>We are largely dependent on the success of our two lead product candidates, GR-MD-02 and GM-CT-01 and we cannot be certain that these product candidates will receive regulatory approval or be successfully commercialized.</w:t>
      </w:r>
    </w:p>
    <w:p>
      <w:pPr>
        <w:spacing w:after="0" w:line="24" w:lineRule="exact"/>
        <w:rPr>
          <w:sz w:val="20"/>
          <w:szCs w:val="20"/>
          <w:color w:val="auto"/>
        </w:rPr>
      </w:pPr>
    </w:p>
    <w:p>
      <w:pPr>
        <w:ind w:firstLine="458"/>
        <w:spacing w:after="0" w:line="302" w:lineRule="auto"/>
        <w:rPr>
          <w:sz w:val="20"/>
          <w:szCs w:val="20"/>
          <w:color w:val="auto"/>
        </w:rPr>
      </w:pPr>
      <w:r>
        <w:rPr>
          <w:rFonts w:ascii="Arial" w:cs="Arial" w:eastAsia="Arial" w:hAnsi="Arial"/>
          <w:sz w:val="13"/>
          <w:szCs w:val="13"/>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90" w:lineRule="exact"/>
        <w:rPr>
          <w:sz w:val="20"/>
          <w:szCs w:val="20"/>
          <w:color w:val="auto"/>
        </w:rPr>
      </w:pPr>
    </w:p>
    <w:p>
      <w:pPr>
        <w:ind w:firstLine="458"/>
        <w:spacing w:after="0" w:line="296" w:lineRule="auto"/>
        <w:rPr>
          <w:sz w:val="20"/>
          <w:szCs w:val="20"/>
          <w:color w:val="auto"/>
        </w:rPr>
      </w:pPr>
      <w:r>
        <w:rPr>
          <w:rFonts w:ascii="Arial" w:cs="Arial" w:eastAsia="Arial" w:hAnsi="Arial"/>
          <w:sz w:val="14"/>
          <w:szCs w:val="14"/>
          <w:color w:val="auto"/>
        </w:rPr>
        <w:t>Before obtaining regulatory approval for the sale of any drug candidate, we must conduct extensive pre-clinical studies and clinical trials to demonstrate the safety and efficacy of our product candidates in humans.</w:t>
      </w:r>
    </w:p>
    <w:p>
      <w:pPr>
        <w:spacing w:after="0" w:line="91" w:lineRule="exact"/>
        <w:rPr>
          <w:sz w:val="20"/>
          <w:szCs w:val="20"/>
          <w:color w:val="auto"/>
        </w:rPr>
      </w:pPr>
    </w:p>
    <w:p>
      <w:pPr>
        <w:ind w:right="80" w:firstLine="458"/>
        <w:spacing w:after="0" w:line="246" w:lineRule="auto"/>
        <w:rPr>
          <w:sz w:val="20"/>
          <w:szCs w:val="20"/>
          <w:color w:val="auto"/>
        </w:rPr>
      </w:pPr>
      <w:r>
        <w:rPr>
          <w:rFonts w:ascii="Arial" w:cs="Arial" w:eastAsia="Arial" w:hAnsi="Arial"/>
          <w:sz w:val="14"/>
          <w:szCs w:val="14"/>
          <w:color w:val="auto"/>
        </w:rPr>
        <w:t>GR-MD-02 our lead product candidate for fibrosis is in Phase 1 of the human clinical trial phase of drug development in the US. GR-MD-02 is also currently in an investigator sponsored, human clinical trial being conducted by Providence Portland Medical Center in combination with Yervoy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(ipilimumab) in patients with metastatic melanoma. We cannot assure you that these trials will yield successful results, that they will lead to the generation of revenue, or that we will obtain regulatory approval in other countries.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currently no FDA clinical trials ongoing for GM-CT-01.</w:t>
      </w:r>
    </w:p>
    <w:p>
      <w:pPr>
        <w:spacing w:after="0" w:line="149" w:lineRule="exact"/>
        <w:rPr>
          <w:sz w:val="20"/>
          <w:szCs w:val="20"/>
          <w:color w:val="auto"/>
        </w:rPr>
      </w:pPr>
    </w:p>
    <w:p>
      <w:pPr>
        <w:ind w:right="220" w:firstLine="458"/>
        <w:spacing w:after="0" w:line="296" w:lineRule="auto"/>
        <w:rPr>
          <w:sz w:val="20"/>
          <w:szCs w:val="20"/>
          <w:color w:val="auto"/>
        </w:rPr>
      </w:pPr>
      <w:r>
        <w:rPr>
          <w:rFonts w:ascii="Arial" w:cs="Arial" w:eastAsia="Arial" w:hAnsi="Arial"/>
          <w:sz w:val="14"/>
          <w:szCs w:val="14"/>
          <w:color w:val="auto"/>
        </w:rPr>
        <w:t>We filed for an IND with the FDA for GR-MD-02 in January 2013 for initiating human clinical trials in patients with NASH, and the FDA notified us in March 2013 that we may proceed with a Phase 1 clinical trial. Our Phase 1 clinical trial began in July 2013. Pre-clinical studies and clinical trials are expensive, time-consuming and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403"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even though GM-CT-01 progressed successfully through Phase 1 and was progressing successfully through Phase 2 human trials (which were only partially completed due to financing issues in 2010), it may fail in Phase 3 trials or in later stages of development. We will engage others to conduct our clinical trials, including clinical research organizations and, possibly, government-sponsored agencies. Pre-clinical studies and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Even if we receive regulatory approval, we may be unable to commercialize our product candidates.</w:t>
      </w:r>
    </w:p>
    <w:p>
      <w:pPr>
        <w:spacing w:after="0" w:line="83" w:lineRule="exact"/>
        <w:rPr>
          <w:sz w:val="20"/>
          <w:szCs w:val="20"/>
          <w:color w:val="auto"/>
        </w:rPr>
      </w:pPr>
    </w:p>
    <w:p>
      <w:pPr>
        <w:ind w:right="60" w:firstLine="458"/>
        <w:spacing w:after="0" w:line="280" w:lineRule="auto"/>
        <w:rPr>
          <w:sz w:val="20"/>
          <w:szCs w:val="20"/>
          <w:color w:val="auto"/>
        </w:rPr>
      </w:pPr>
      <w:r>
        <w:rPr>
          <w:rFonts w:ascii="Arial" w:cs="Arial" w:eastAsia="Arial" w:hAnsi="Arial"/>
          <w:sz w:val="14"/>
          <w:szCs w:val="14"/>
          <w:color w:val="auto"/>
        </w:rPr>
        <w:t>Even if GR-MD-02, GM-CT-01 and other future product candidates achieve positive results in clinical trials, we may be unable to commercialize them. The availability of government and third party payor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There are risks associated with our reliance on third parties to design trial protocols, arrange for and monitor the clinical trials, and collect and analyze data.</w:t>
      </w:r>
    </w:p>
    <w:p>
      <w:pPr>
        <w:spacing w:after="0" w:line="8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As we develop products eligible for clinical trials, we will contract with independent parties to assist us in the design of the trial protocols, arrange for and monitor the clinical trials, collect data and analyze data. For instance, in February 2013, we entered into an agreement with CTI Clinical Trial Services, Inc. and CTI Clinical Consulting Services, Inc. for the purpose of assisting us in the design, development and conduct of one or more clinical research studies from time to time. In accordance with this agreement, CTI is conducting the Phase 1 clinical trial for GR-MD-02 to evaluate the drug’s safety in subjects with NASH with advanced hepatic fibrosis. In addition, certain clinical trials for our products may be conducted by government-sponsored agencies and will be dependent on governmental participation and funding. Additionally, GR-MD-02 is being studied by Providence Portland Medical Center in an Investigator-sponsored IND to conduct a Phase 1B study to determine if GR-MD-02 enhances the probability of melanoma response with ipilimumab by inducing proliferation, activation and memory function of CD8+ T cells in human patients. This study represents a novel approach for patients with metastatic melanoma. The IND was approved by FDA in February 2014.</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dependence on independent parties and clinical sites involves risks including reduced control over the timing and other aspects of our clinical trials.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There are risks associated with our reliance on third parties for manufacturing, marketing, sales, managed care and distribution infrastructure and channels.</w:t>
      </w:r>
    </w:p>
    <w:p>
      <w:pPr>
        <w:spacing w:after="0" w:line="8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05" w:lineRule="exact"/>
        <w:rPr>
          <w:sz w:val="20"/>
          <w:szCs w:val="20"/>
          <w:color w:val="auto"/>
        </w:rPr>
      </w:pPr>
    </w:p>
    <w:p>
      <w:pPr>
        <w:ind w:right="300" w:firstLine="458"/>
        <w:spacing w:after="0" w:line="296" w:lineRule="auto"/>
        <w:rPr>
          <w:sz w:val="20"/>
          <w:szCs w:val="20"/>
          <w:color w:val="auto"/>
        </w:rPr>
      </w:pPr>
      <w:r>
        <w:rPr>
          <w:rFonts w:ascii="Arial" w:cs="Arial" w:eastAsia="Arial" w:hAnsi="Arial"/>
          <w:sz w:val="14"/>
          <w:szCs w:val="14"/>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402"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line="311" w:lineRule="auto"/>
        <w:rPr>
          <w:sz w:val="20"/>
          <w:szCs w:val="20"/>
          <w:color w:val="auto"/>
        </w:rPr>
      </w:pPr>
      <w:r>
        <w:rPr>
          <w:rFonts w:ascii="Arial" w:cs="Arial" w:eastAsia="Arial" w:hAnsi="Arial"/>
          <w:sz w:val="13"/>
          <w:szCs w:val="13"/>
          <w:color w:val="auto"/>
        </w:rPr>
        <w:t>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Even if engaged, these distributors may:</w:t>
      </w:r>
    </w:p>
    <w:p>
      <w:pPr>
        <w:spacing w:after="0" w:line="83" w:lineRule="exact"/>
        <w:rPr>
          <w:sz w:val="20"/>
          <w:szCs w:val="20"/>
          <w:color w:val="auto"/>
        </w:rPr>
      </w:pPr>
    </w:p>
    <w:p>
      <w:pPr>
        <w:ind w:left="900" w:hanging="326"/>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 to satisfy financial or contractual obligations to us;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 to adequately market our products;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cease operations with little or no notice to us; or</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offer, design, manufacture or promote competing formulations or products.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If we fail to develop sales, managed care, marketing and distribution channels, we would experience delays in generating sales and incur increased costs, which would harm our financial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results.</w:t>
      </w:r>
    </w:p>
    <w:p>
      <w:pPr>
        <w:spacing w:after="0" w:line="211" w:lineRule="exact"/>
        <w:rPr>
          <w:sz w:val="20"/>
          <w:szCs w:val="20"/>
          <w:color w:val="auto"/>
        </w:rPr>
      </w:pPr>
    </w:p>
    <w:p>
      <w:pPr>
        <w:ind w:left="240" w:right="360"/>
        <w:spacing w:after="0" w:line="296" w:lineRule="auto"/>
        <w:rPr>
          <w:sz w:val="20"/>
          <w:szCs w:val="20"/>
          <w:color w:val="auto"/>
        </w:rPr>
      </w:pPr>
      <w:r>
        <w:rPr>
          <w:rFonts w:ascii="Arial" w:cs="Arial" w:eastAsia="Arial" w:hAnsi="Arial"/>
          <w:sz w:val="14"/>
          <w:szCs w:val="14"/>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24"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05" w:lineRule="exact"/>
        <w:rPr>
          <w:sz w:val="20"/>
          <w:szCs w:val="20"/>
          <w:color w:val="auto"/>
        </w:rPr>
      </w:pPr>
    </w:p>
    <w:p>
      <w:pPr>
        <w:jc w:val="both"/>
        <w:ind w:right="120" w:firstLine="458"/>
        <w:spacing w:after="0" w:line="272" w:lineRule="auto"/>
        <w:rPr>
          <w:sz w:val="20"/>
          <w:szCs w:val="20"/>
          <w:color w:val="auto"/>
        </w:rPr>
      </w:pPr>
      <w:r>
        <w:rPr>
          <w:rFonts w:ascii="Arial" w:cs="Arial" w:eastAsia="Arial" w:hAnsi="Arial"/>
          <w:sz w:val="14"/>
          <w:szCs w:val="14"/>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face intense competition in the biotechnology and pharmaceutical industries.</w:t>
      </w:r>
    </w:p>
    <w:p>
      <w:pPr>
        <w:spacing w:after="0" w:line="83" w:lineRule="exact"/>
        <w:rPr>
          <w:sz w:val="20"/>
          <w:szCs w:val="20"/>
          <w:color w:val="auto"/>
        </w:rPr>
      </w:pPr>
    </w:p>
    <w:p>
      <w:pPr>
        <w:ind w:right="60" w:firstLine="458"/>
        <w:spacing w:after="0" w:line="269" w:lineRule="auto"/>
        <w:rPr>
          <w:sz w:val="20"/>
          <w:szCs w:val="20"/>
          <w:color w:val="auto"/>
        </w:rPr>
      </w:pPr>
      <w:r>
        <w:rPr>
          <w:rFonts w:ascii="Arial" w:cs="Arial" w:eastAsia="Arial" w:hAnsi="Arial"/>
          <w:sz w:val="14"/>
          <w:szCs w:val="14"/>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20" w:top="402" w:right="2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right="120"/>
        <w:spacing w:after="0" w:line="296" w:lineRule="auto"/>
        <w:rPr>
          <w:sz w:val="20"/>
          <w:szCs w:val="20"/>
          <w:color w:val="auto"/>
        </w:rPr>
      </w:pPr>
      <w:r>
        <w:rPr>
          <w:rFonts w:ascii="Arial" w:cs="Arial" w:eastAsia="Arial" w:hAnsi="Arial"/>
          <w:sz w:val="14"/>
          <w:szCs w:val="14"/>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24" w:lineRule="exact"/>
        <w:rPr>
          <w:sz w:val="20"/>
          <w:szCs w:val="20"/>
          <w:color w:val="auto"/>
        </w:rPr>
      </w:pPr>
    </w:p>
    <w:p>
      <w:pPr>
        <w:jc w:val="both"/>
        <w:ind w:right="200" w:firstLine="458"/>
        <w:spacing w:after="0" w:line="280" w:lineRule="auto"/>
        <w:rPr>
          <w:sz w:val="20"/>
          <w:szCs w:val="20"/>
          <w:color w:val="auto"/>
        </w:rPr>
      </w:pPr>
      <w:r>
        <w:rPr>
          <w:rFonts w:ascii="Arial" w:cs="Arial" w:eastAsia="Arial" w:hAnsi="Arial"/>
          <w:sz w:val="14"/>
          <w:szCs w:val="14"/>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02"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05"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The potential widespread acceptance of therapies that are alternatives to ours may limit market acceptance of our proposed products, even if commercialized. Many of our targeted diseases and conditions can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lack of operating experience may cause us difficulty in managing our growth.</w:t>
      </w:r>
    </w:p>
    <w:p>
      <w:pPr>
        <w:spacing w:after="0" w:line="8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have engaged a number of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depend on key individuals to develop our products and core technologies and pursue collaborative relationships.</w:t>
      </w:r>
    </w:p>
    <w:p>
      <w:pPr>
        <w:spacing w:after="0" w:line="83" w:lineRule="exact"/>
        <w:rPr>
          <w:sz w:val="20"/>
          <w:szCs w:val="20"/>
          <w:color w:val="auto"/>
        </w:rPr>
      </w:pPr>
    </w:p>
    <w:p>
      <w:pPr>
        <w:ind w:right="100" w:firstLine="458"/>
        <w:spacing w:after="0" w:line="280" w:lineRule="auto"/>
        <w:rPr>
          <w:sz w:val="20"/>
          <w:szCs w:val="20"/>
          <w:color w:val="auto"/>
        </w:rPr>
      </w:pPr>
      <w:r>
        <w:rPr>
          <w:rFonts w:ascii="Arial" w:cs="Arial" w:eastAsia="Arial" w:hAnsi="Arial"/>
          <w:sz w:val="14"/>
          <w:szCs w:val="14"/>
          <w:color w:val="auto"/>
        </w:rPr>
        <w:t>We are highly dependent on Peter G. Traber, M.D. Dr. Traber is our Chief Executive Officer and our Chief Medical Officer who, among other things, designs and leads our pre-clinical and clinical studies, as well as our U.S. and European regulatory processes. The loss of Dr. Traber or failure to attract or retain other key personnel could prevent us from developing our products and core technologies and pursuing collaborative relationships.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fail to comply with our reporting and other requirements under federal securities laws.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Regulation of our Products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will need regulatory approvals to commercialize our products.</w:t>
      </w:r>
    </w:p>
    <w:p>
      <w:pPr>
        <w:spacing w:after="0" w:line="83" w:lineRule="exact"/>
        <w:rPr>
          <w:sz w:val="20"/>
          <w:szCs w:val="20"/>
          <w:color w:val="auto"/>
        </w:rPr>
      </w:pPr>
    </w:p>
    <w:p>
      <w:pPr>
        <w:ind w:right="140" w:firstLine="458"/>
        <w:spacing w:after="0" w:line="296" w:lineRule="auto"/>
        <w:rPr>
          <w:sz w:val="20"/>
          <w:szCs w:val="20"/>
          <w:color w:val="auto"/>
        </w:rPr>
      </w:pPr>
      <w:r>
        <w:rPr>
          <w:rFonts w:ascii="Arial" w:cs="Arial" w:eastAsia="Arial" w:hAnsi="Arial"/>
          <w:sz w:val="14"/>
          <w:szCs w:val="14"/>
          <w:color w:val="auto"/>
        </w:rPr>
        <w:t>We are required to obtain approval (i) from the FDA in order to sell our products in the U.S. and (ii) from foreign regulatory authorities in order to sell our products in other countries. The FDA’s review and approval</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80"/>
          </w:cols>
          <w:pgMar w:left="220" w:top="402" w:right="29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63" w:lineRule="exact"/>
        <w:rPr>
          <w:sz w:val="20"/>
          <w:szCs w:val="20"/>
          <w:color w:val="auto"/>
        </w:rPr>
      </w:pPr>
    </w:p>
    <w:p>
      <w:pPr>
        <w:ind w:left="240" w:right="420"/>
        <w:spacing w:after="0" w:line="296" w:lineRule="auto"/>
        <w:rPr>
          <w:sz w:val="20"/>
          <w:szCs w:val="20"/>
          <w:color w:val="auto"/>
        </w:rPr>
      </w:pPr>
      <w:r>
        <w:rPr>
          <w:rFonts w:ascii="Arial" w:cs="Arial" w:eastAsia="Arial" w:hAnsi="Arial"/>
          <w:sz w:val="14"/>
          <w:szCs w:val="14"/>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24"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163" w:lineRule="exact"/>
        <w:rPr>
          <w:sz w:val="20"/>
          <w:szCs w:val="20"/>
          <w:color w:val="auto"/>
        </w:rPr>
      </w:pPr>
    </w:p>
    <w:p>
      <w:pPr>
        <w:ind w:left="240" w:right="180"/>
        <w:spacing w:after="0" w:line="296" w:lineRule="auto"/>
        <w:rPr>
          <w:sz w:val="20"/>
          <w:szCs w:val="20"/>
          <w:color w:val="auto"/>
        </w:rPr>
      </w:pPr>
      <w:r>
        <w:rPr>
          <w:rFonts w:ascii="Arial" w:cs="Arial" w:eastAsia="Arial" w:hAnsi="Arial"/>
          <w:sz w:val="14"/>
          <w:szCs w:val="14"/>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Costs and timing of clinical trials may vary significantly over the life of a project owing to the following non-exclusive reasons:</w:t>
      </w:r>
    </w:p>
    <w:p>
      <w:pPr>
        <w:spacing w:after="0" w:line="83" w:lineRule="exact"/>
        <w:rPr>
          <w:sz w:val="20"/>
          <w:szCs w:val="20"/>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duration of the clinical trial;</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sites included in the trials;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countries in which the trial is conducted;</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length of time required and ability to enroll eligible patients;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patients that participate in the trials;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doses that patients receive;</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drop-out or discontinuation rates of patients;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 patient trial costs;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third party contractors failing to comply with regulatory requirements or meet their contractual obligations to us in a timely manner;</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drug product candidates having different chemical and pharmacological properties in humans than in lab testing;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402"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need to suspend or terminate our clinical trials;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insufficient or inadequate supply or quality of drug product candidates or other necessary materials to conduct our trials;</w:t>
      </w:r>
    </w:p>
    <w:p>
      <w:pPr>
        <w:spacing w:after="0" w:line="82" w:lineRule="exact"/>
        <w:rPr>
          <w:rFonts w:ascii="Arial" w:cs="Arial" w:eastAsia="Arial" w:hAnsi="Arial"/>
          <w:sz w:val="14"/>
          <w:szCs w:val="14"/>
          <w:color w:val="auto"/>
        </w:rPr>
      </w:pPr>
    </w:p>
    <w:p>
      <w:pPr>
        <w:ind w:left="900" w:right="180" w:hanging="326"/>
        <w:spacing w:after="0" w:line="296"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24"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problems engaging IRBs to oversee trials or in obtaining and maintaining IRB approval of studies;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duration of patient follow-up;</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efficacy and safety profile of the product candidate;</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costs and timing of obtaining regulatory approvals; and</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costs involved in enforcing or defending patent claims or other intellectual property rights.</w:t>
      </w:r>
    </w:p>
    <w:p>
      <w:pPr>
        <w:spacing w:after="0" w:line="149" w:lineRule="exact"/>
        <w:rPr>
          <w:sz w:val="20"/>
          <w:szCs w:val="20"/>
          <w:color w:val="auto"/>
        </w:rPr>
      </w:pPr>
    </w:p>
    <w:p>
      <w:pPr>
        <w:ind w:left="460" w:right="120"/>
        <w:spacing w:after="0" w:line="296" w:lineRule="auto"/>
        <w:rPr>
          <w:sz w:val="20"/>
          <w:szCs w:val="20"/>
          <w:color w:val="auto"/>
        </w:rPr>
      </w:pPr>
      <w:r>
        <w:rPr>
          <w:rFonts w:ascii="Arial" w:cs="Arial" w:eastAsia="Arial" w:hAnsi="Arial"/>
          <w:sz w:val="14"/>
          <w:szCs w:val="14"/>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57" w:lineRule="exact"/>
        <w:rPr>
          <w:sz w:val="20"/>
          <w:szCs w:val="20"/>
          <w:color w:val="auto"/>
        </w:rPr>
      </w:pPr>
    </w:p>
    <w:p>
      <w:pPr>
        <w:ind w:left="240" w:right="40"/>
        <w:spacing w:after="0" w:line="296" w:lineRule="auto"/>
        <w:rPr>
          <w:sz w:val="20"/>
          <w:szCs w:val="20"/>
          <w:color w:val="auto"/>
        </w:rPr>
      </w:pPr>
      <w:r>
        <w:rPr>
          <w:rFonts w:ascii="Arial" w:cs="Arial" w:eastAsia="Arial" w:hAnsi="Arial"/>
          <w:sz w:val="14"/>
          <w:szCs w:val="14"/>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24"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At this time we cannot predict the precise impact of the Patient Protection and Affordable Care Act of 2010, as amended by the Health Care and Education Affordability Act of 2010, the comprehensive health care reform legislation passed by Congress in March 2010. It is possible that the adoption of this legislation could harm our business, financial condition and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 obtained from clinical trials may be negative or inconclusive, and are susceptible to varying interpretations, which could delay, limit or prevent regulatory clearances.</w:t>
      </w:r>
    </w:p>
    <w:p>
      <w:pPr>
        <w:spacing w:after="0" w:line="94" w:lineRule="exact"/>
        <w:rPr>
          <w:sz w:val="20"/>
          <w:szCs w:val="20"/>
          <w:color w:val="auto"/>
        </w:rPr>
      </w:pPr>
    </w:p>
    <w:p>
      <w:pPr>
        <w:ind w:right="20" w:firstLine="458"/>
        <w:spacing w:after="0" w:line="295" w:lineRule="auto"/>
        <w:rPr>
          <w:sz w:val="20"/>
          <w:szCs w:val="20"/>
          <w:color w:val="auto"/>
        </w:rPr>
      </w:pPr>
      <w:r>
        <w:rPr>
          <w:rFonts w:ascii="Arial" w:cs="Arial" w:eastAsia="Arial" w:hAnsi="Arial"/>
          <w:sz w:val="13"/>
          <w:szCs w:val="13"/>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The failure to adequately demonstrate the safety and effectiveness of a proposed formulation or product under development could delay or prevent regulatory clearance of the potential drug. The resulting delays in commercialization could materially harm our business. Our clinical trials may not demonstrate sufficient levels of safety and efficacy necessary to obtain the requisite regulatory approvals for our drugs, and thus, our proposed drugs may not be approved for marketing.</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will need to obtain FDA approval of any proposed product brand names, and any failure or delay associated with such approval may adversely impact our business.</w:t>
      </w:r>
    </w:p>
    <w:p>
      <w:pPr>
        <w:spacing w:after="0" w:line="83" w:lineRule="exact"/>
        <w:rPr>
          <w:sz w:val="20"/>
          <w:szCs w:val="20"/>
          <w:color w:val="auto"/>
        </w:rPr>
      </w:pPr>
    </w:p>
    <w:p>
      <w:pPr>
        <w:ind w:right="200" w:firstLine="458"/>
        <w:spacing w:after="0" w:line="296" w:lineRule="auto"/>
        <w:rPr>
          <w:sz w:val="20"/>
          <w:szCs w:val="20"/>
          <w:color w:val="auto"/>
        </w:rPr>
      </w:pPr>
      <w:r>
        <w:rPr>
          <w:rFonts w:ascii="Arial" w:cs="Arial" w:eastAsia="Arial" w:hAnsi="Arial"/>
          <w:sz w:val="14"/>
          <w:szCs w:val="14"/>
          <w:color w:val="auto"/>
        </w:rPr>
        <w:t>A pharmaceutical product cannot be marketed in the U.S. or other countries until it has completed rigorous and extensive regulatory review processes, including approval of a brand name. Any brand names we intend to</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403"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competitive position is contingent upon the protection of our intellectual property.</w:t>
      </w:r>
    </w:p>
    <w:p>
      <w:pPr>
        <w:spacing w:after="0" w:line="83" w:lineRule="exact"/>
        <w:rPr>
          <w:sz w:val="20"/>
          <w:szCs w:val="20"/>
          <w:color w:val="auto"/>
        </w:rPr>
      </w:pPr>
    </w:p>
    <w:p>
      <w:pPr>
        <w:ind w:right="20" w:firstLine="458"/>
        <w:spacing w:after="0" w:line="272" w:lineRule="auto"/>
        <w:rPr>
          <w:sz w:val="20"/>
          <w:szCs w:val="20"/>
          <w:color w:val="auto"/>
        </w:rPr>
      </w:pPr>
      <w:r>
        <w:rPr>
          <w:rFonts w:ascii="Arial" w:cs="Arial" w:eastAsia="Arial" w:hAnsi="Arial"/>
          <w:sz w:val="14"/>
          <w:szCs w:val="14"/>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08" w:lineRule="exact"/>
        <w:rPr>
          <w:sz w:val="20"/>
          <w:szCs w:val="20"/>
          <w:color w:val="auto"/>
        </w:rPr>
      </w:pPr>
    </w:p>
    <w:p>
      <w:pPr>
        <w:jc w:val="both"/>
        <w:ind w:right="180" w:firstLine="458"/>
        <w:spacing w:after="0" w:line="302" w:lineRule="auto"/>
        <w:rPr>
          <w:sz w:val="20"/>
          <w:szCs w:val="20"/>
          <w:color w:val="auto"/>
        </w:rPr>
      </w:pPr>
      <w:r>
        <w:rPr>
          <w:rFonts w:ascii="Arial" w:cs="Arial" w:eastAsia="Arial" w:hAnsi="Arial"/>
          <w:sz w:val="13"/>
          <w:szCs w:val="13"/>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90" w:lineRule="exact"/>
        <w:rPr>
          <w:sz w:val="20"/>
          <w:szCs w:val="20"/>
          <w:color w:val="auto"/>
        </w:rPr>
      </w:pPr>
    </w:p>
    <w:p>
      <w:pPr>
        <w:ind w:right="220" w:firstLine="458"/>
        <w:spacing w:after="0" w:line="296" w:lineRule="auto"/>
        <w:rPr>
          <w:sz w:val="20"/>
          <w:szCs w:val="20"/>
          <w:color w:val="auto"/>
        </w:rPr>
      </w:pPr>
      <w:r>
        <w:rPr>
          <w:rFonts w:ascii="Arial" w:cs="Arial" w:eastAsia="Arial" w:hAnsi="Arial"/>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24" w:lineRule="exact"/>
        <w:rPr>
          <w:sz w:val="20"/>
          <w:szCs w:val="20"/>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others may be able to make compounds that are competitive with our product candidates but are not covered by the claims of our patents;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might not have been the first to make the inventions covered by our pending patent applications;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might not have been the first to file patent applications for these inventions;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result in issued patents;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or</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49" w:lineRule="exact"/>
        <w:rPr>
          <w:sz w:val="20"/>
          <w:szCs w:val="20"/>
          <w:color w:val="auto"/>
        </w:rPr>
      </w:pPr>
    </w:p>
    <w:p>
      <w:pPr>
        <w:ind w:right="80" w:firstLine="458"/>
        <w:spacing w:after="0" w:line="311" w:lineRule="auto"/>
        <w:rPr>
          <w:sz w:val="20"/>
          <w:szCs w:val="20"/>
          <w:color w:val="auto"/>
        </w:rPr>
      </w:pPr>
      <w:r>
        <w:rPr>
          <w:rFonts w:ascii="Arial" w:cs="Arial" w:eastAsia="Arial" w:hAnsi="Arial"/>
          <w:sz w:val="13"/>
          <w:szCs w:val="13"/>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80"/>
          </w:cols>
          <w:pgMar w:left="220" w:top="402" w:right="29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80"/>
        <w:spacing w:after="0" w:line="296" w:lineRule="auto"/>
        <w:rPr>
          <w:sz w:val="20"/>
          <w:szCs w:val="20"/>
          <w:color w:val="auto"/>
        </w:rPr>
      </w:pPr>
      <w:r>
        <w:rPr>
          <w:rFonts w:ascii="Arial" w:cs="Arial" w:eastAsia="Arial" w:hAnsi="Arial"/>
          <w:sz w:val="14"/>
          <w:szCs w:val="14"/>
          <w:color w:val="auto"/>
        </w:rPr>
        <w:t>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57" w:lineRule="exact"/>
        <w:rPr>
          <w:sz w:val="20"/>
          <w:szCs w:val="20"/>
          <w:color w:val="auto"/>
        </w:rPr>
      </w:pPr>
    </w:p>
    <w:p>
      <w:pPr>
        <w:ind w:left="240" w:right="140"/>
        <w:spacing w:after="0" w:line="296" w:lineRule="auto"/>
        <w:rPr>
          <w:sz w:val="20"/>
          <w:szCs w:val="20"/>
          <w:color w:val="auto"/>
        </w:rPr>
      </w:pPr>
      <w:r>
        <w:rPr>
          <w:rFonts w:ascii="Arial" w:cs="Arial" w:eastAsia="Arial" w:hAnsi="Arial"/>
          <w:sz w:val="14"/>
          <w:szCs w:val="14"/>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24" w:lineRule="exact"/>
        <w:rPr>
          <w:sz w:val="20"/>
          <w:szCs w:val="20"/>
          <w:color w:val="auto"/>
        </w:rPr>
      </w:pPr>
    </w:p>
    <w:p>
      <w:pPr>
        <w:ind w:right="80" w:firstLine="458"/>
        <w:spacing w:after="0" w:line="280" w:lineRule="auto"/>
        <w:rPr>
          <w:sz w:val="20"/>
          <w:szCs w:val="20"/>
          <w:color w:val="auto"/>
        </w:rPr>
      </w:pPr>
      <w:r>
        <w:rPr>
          <w:rFonts w:ascii="Arial" w:cs="Arial" w:eastAsia="Arial" w:hAnsi="Arial"/>
          <w:sz w:val="14"/>
          <w:szCs w:val="14"/>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02" w:lineRule="exact"/>
        <w:rPr>
          <w:sz w:val="20"/>
          <w:szCs w:val="20"/>
          <w:color w:val="auto"/>
        </w:rPr>
      </w:pPr>
    </w:p>
    <w:p>
      <w:pPr>
        <w:ind w:right="100" w:firstLine="458"/>
        <w:spacing w:after="0" w:line="302" w:lineRule="auto"/>
        <w:rPr>
          <w:sz w:val="20"/>
          <w:szCs w:val="20"/>
          <w:color w:val="auto"/>
        </w:rPr>
      </w:pPr>
      <w:r>
        <w:rPr>
          <w:rFonts w:ascii="Arial" w:cs="Arial" w:eastAsia="Arial" w:hAnsi="Arial"/>
          <w:sz w:val="13"/>
          <w:szCs w:val="13"/>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90"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14" w:lineRule="exact"/>
        <w:rPr>
          <w:sz w:val="20"/>
          <w:szCs w:val="20"/>
          <w:color w:val="auto"/>
        </w:rPr>
      </w:pPr>
    </w:p>
    <w:p>
      <w:pPr>
        <w:ind w:right="80" w:firstLine="458"/>
        <w:spacing w:after="0" w:line="269" w:lineRule="auto"/>
        <w:rPr>
          <w:sz w:val="20"/>
          <w:szCs w:val="20"/>
          <w:color w:val="auto"/>
        </w:rPr>
      </w:pPr>
      <w:r>
        <w:rPr>
          <w:rFonts w:ascii="Arial" w:cs="Arial" w:eastAsia="Arial" w:hAnsi="Arial"/>
          <w:sz w:val="14"/>
          <w:szCs w:val="14"/>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11" w:lineRule="exact"/>
        <w:rPr>
          <w:sz w:val="20"/>
          <w:szCs w:val="20"/>
          <w:color w:val="auto"/>
        </w:rPr>
      </w:pPr>
    </w:p>
    <w:p>
      <w:pPr>
        <w:ind w:right="520" w:firstLine="458"/>
        <w:spacing w:after="0" w:line="337" w:lineRule="auto"/>
        <w:rPr>
          <w:sz w:val="20"/>
          <w:szCs w:val="20"/>
          <w:color w:val="auto"/>
        </w:rPr>
      </w:pPr>
      <w:r>
        <w:rPr>
          <w:rFonts w:ascii="Arial" w:cs="Arial" w:eastAsia="Arial" w:hAnsi="Arial"/>
          <w:sz w:val="13"/>
          <w:szCs w:val="13"/>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402"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right="120"/>
        <w:spacing w:after="0" w:line="296" w:lineRule="auto"/>
        <w:rPr>
          <w:sz w:val="20"/>
          <w:szCs w:val="20"/>
          <w:color w:val="auto"/>
        </w:rPr>
      </w:pPr>
      <w:r>
        <w:rPr>
          <w:rFonts w:ascii="Arial" w:cs="Arial" w:eastAsia="Arial" w:hAnsi="Arial"/>
          <w:sz w:val="14"/>
          <w:szCs w:val="14"/>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24" w:lineRule="exact"/>
        <w:rPr>
          <w:sz w:val="20"/>
          <w:szCs w:val="20"/>
          <w:color w:val="auto"/>
        </w:rPr>
      </w:pPr>
    </w:p>
    <w:p>
      <w:pPr>
        <w:jc w:val="both"/>
        <w:ind w:firstLine="458"/>
        <w:spacing w:after="0" w:line="280" w:lineRule="auto"/>
        <w:rPr>
          <w:sz w:val="20"/>
          <w:szCs w:val="20"/>
          <w:color w:val="auto"/>
        </w:rPr>
      </w:pPr>
      <w:r>
        <w:rPr>
          <w:rFonts w:ascii="Arial" w:cs="Arial" w:eastAsia="Arial" w:hAnsi="Arial"/>
          <w:sz w:val="14"/>
          <w:szCs w:val="14"/>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failure to secure trademark registration could adversely affect our ability to market our product candidates and our business.</w:t>
      </w:r>
    </w:p>
    <w:p>
      <w:pPr>
        <w:spacing w:after="0" w:line="83" w:lineRule="exact"/>
        <w:rPr>
          <w:sz w:val="20"/>
          <w:szCs w:val="20"/>
          <w:color w:val="auto"/>
        </w:rPr>
      </w:pPr>
    </w:p>
    <w:p>
      <w:pPr>
        <w:ind w:right="120" w:firstLine="458"/>
        <w:spacing w:after="0" w:line="297" w:lineRule="auto"/>
        <w:rPr>
          <w:sz w:val="20"/>
          <w:szCs w:val="20"/>
          <w:color w:val="auto"/>
        </w:rPr>
      </w:pPr>
      <w:r>
        <w:rPr>
          <w:rFonts w:ascii="Arial" w:cs="Arial" w:eastAsia="Arial" w:hAnsi="Arial"/>
          <w:sz w:val="13"/>
          <w:szCs w:val="13"/>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61" w:lineRule="exact"/>
        <w:rPr>
          <w:sz w:val="20"/>
          <w:szCs w:val="20"/>
          <w:color w:val="auto"/>
        </w:rPr>
      </w:pPr>
    </w:p>
    <w:p>
      <w:pPr>
        <w:ind w:left="240" w:right="300"/>
        <w:spacing w:after="0" w:line="296" w:lineRule="auto"/>
        <w:rPr>
          <w:sz w:val="20"/>
          <w:szCs w:val="20"/>
          <w:color w:val="auto"/>
        </w:rPr>
      </w:pPr>
      <w:r>
        <w:rPr>
          <w:rFonts w:ascii="Arial" w:cs="Arial" w:eastAsia="Arial" w:hAnsi="Arial"/>
          <w:sz w:val="14"/>
          <w:szCs w:val="14"/>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24" w:lineRule="exact"/>
        <w:rPr>
          <w:sz w:val="20"/>
          <w:szCs w:val="20"/>
          <w:color w:val="auto"/>
        </w:rPr>
      </w:pPr>
    </w:p>
    <w:p>
      <w:pPr>
        <w:ind w:right="100" w:firstLine="458"/>
        <w:spacing w:after="0" w:line="292" w:lineRule="auto"/>
        <w:rPr>
          <w:sz w:val="20"/>
          <w:szCs w:val="20"/>
          <w:color w:val="auto"/>
        </w:rPr>
      </w:pPr>
      <w:r>
        <w:rPr>
          <w:rFonts w:ascii="Arial" w:cs="Arial" w:eastAsia="Arial" w:hAnsi="Arial"/>
          <w:sz w:val="13"/>
          <w:szCs w:val="13"/>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be subject to claims that our employees have wrongfully used or disclosed alleged trade secrets of their former employers.</w:t>
      </w:r>
    </w:p>
    <w:p>
      <w:pPr>
        <w:spacing w:after="0" w:line="8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20" w:top="402" w:right="25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market price of our common stock may be volatile and adversely affected by several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market price of our common stock could fluctuate significantly in response to various factors and events, including but not limited to:</w:t>
      </w:r>
    </w:p>
    <w:p>
      <w:pPr>
        <w:spacing w:after="0" w:line="83" w:lineRule="exact"/>
        <w:rPr>
          <w:sz w:val="20"/>
          <w:szCs w:val="20"/>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results of our pre-clinical studies and clinical trials, including interim result</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integrate operations, technology, products and services;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execute our business plan;</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results below expectations;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issuance of additional securities, including debt or equity or a combination thereof, which may be necessary to fund our operating expenses;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announcements of technological innovations or new products by us or our competitors;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loss of any strategic relationship;</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industry developments, including, without limitation, changes in healthcare policies or practices or third-party reimbursement policies;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economic and other external factors;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period-to-period fluctuations in our financial results; and</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whether an active trading market in our common stock develops and is maintained.</w:t>
      </w:r>
    </w:p>
    <w:p>
      <w:pPr>
        <w:spacing w:after="0" w:line="149" w:lineRule="exact"/>
        <w:rPr>
          <w:sz w:val="20"/>
          <w:szCs w:val="20"/>
          <w:color w:val="auto"/>
        </w:rPr>
      </w:pPr>
    </w:p>
    <w:p>
      <w:pPr>
        <w:ind w:right="280" w:firstLine="458"/>
        <w:spacing w:after="0" w:line="280" w:lineRule="auto"/>
        <w:rPr>
          <w:sz w:val="20"/>
          <w:szCs w:val="20"/>
          <w:color w:val="auto"/>
        </w:rPr>
      </w:pPr>
      <w:r>
        <w:rPr>
          <w:rFonts w:ascii="Arial" w:cs="Arial" w:eastAsia="Arial" w:hAnsi="Arial"/>
          <w:sz w:val="14"/>
          <w:szCs w:val="14"/>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02" w:lineRule="exact"/>
        <w:rPr>
          <w:sz w:val="20"/>
          <w:szCs w:val="20"/>
          <w:color w:val="auto"/>
        </w:rPr>
      </w:pPr>
    </w:p>
    <w:p>
      <w:pPr>
        <w:ind w:right="20" w:firstLine="458"/>
        <w:spacing w:after="0" w:line="280"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materially and adversely affect our business.</w:t>
      </w:r>
    </w:p>
    <w:p>
      <w:pPr>
        <w:spacing w:after="0" w:line="102" w:lineRule="exact"/>
        <w:rPr>
          <w:sz w:val="20"/>
          <w:szCs w:val="20"/>
          <w:color w:val="auto"/>
        </w:rPr>
      </w:pPr>
    </w:p>
    <w:p>
      <w:pPr>
        <w:ind w:right="260" w:firstLine="458"/>
        <w:spacing w:after="0" w:line="296" w:lineRule="auto"/>
        <w:rPr>
          <w:sz w:val="20"/>
          <w:szCs w:val="20"/>
          <w:color w:val="auto"/>
        </w:rPr>
      </w:pPr>
      <w:r>
        <w:rPr>
          <w:rFonts w:ascii="Arial" w:cs="Arial" w:eastAsia="Arial" w:hAnsi="Arial"/>
          <w:sz w:val="14"/>
          <w:szCs w:val="14"/>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7" w:lineRule="exact"/>
        <w:rPr>
          <w:sz w:val="20"/>
          <w:szCs w:val="20"/>
          <w:color w:val="auto"/>
        </w:rPr>
      </w:pPr>
    </w:p>
    <w:p>
      <w:pPr>
        <w:ind w:left="240" w:right="440"/>
        <w:spacing w:after="0" w:line="296" w:lineRule="auto"/>
        <w:rPr>
          <w:sz w:val="20"/>
          <w:szCs w:val="20"/>
          <w:color w:val="auto"/>
        </w:rPr>
      </w:pPr>
      <w:r>
        <w:rPr>
          <w:rFonts w:ascii="Arial" w:cs="Arial" w:eastAsia="Arial" w:hAnsi="Arial"/>
          <w:sz w:val="14"/>
          <w:szCs w:val="14"/>
          <w:b w:val="1"/>
          <w:bCs w:val="1"/>
          <w:i w:val="1"/>
          <w:iCs w:val="1"/>
          <w:color w:val="auto"/>
        </w:rPr>
        <w:t>Our board of directors has the power to designate, without stockholder approval, additional series of preferred stock, the shares of which could be senior to our common stock and be entitled to conversion or voting rights that adversely affect the holders of our common stock.</w:t>
      </w:r>
    </w:p>
    <w:p>
      <w:pPr>
        <w:spacing w:after="0" w:line="24"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Our articles of incorporation authorize the issuance of capital stock including 20,000,000 authorized undesignated shares (8,001,000 designated as of December 31, 2013),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402"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06"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One investor and certain directors, by virtue of ownership of our securities and related rights, may be able to control the Company.</w:t>
      </w:r>
    </w:p>
    <w:p>
      <w:pPr>
        <w:spacing w:after="0" w:line="83" w:lineRule="exact"/>
        <w:rPr>
          <w:sz w:val="20"/>
          <w:szCs w:val="20"/>
          <w:color w:val="auto"/>
        </w:rPr>
      </w:pPr>
    </w:p>
    <w:p>
      <w:pPr>
        <w:ind w:firstLine="458"/>
        <w:spacing w:after="0" w:line="291" w:lineRule="auto"/>
        <w:rPr>
          <w:sz w:val="20"/>
          <w:szCs w:val="20"/>
          <w:color w:val="auto"/>
        </w:rPr>
      </w:pPr>
      <w:r>
        <w:rPr>
          <w:rFonts w:ascii="Arial" w:cs="Arial" w:eastAsia="Arial" w:hAnsi="Arial"/>
          <w:sz w:val="13"/>
          <w:szCs w:val="13"/>
          <w:color w:val="auto"/>
        </w:rPr>
        <w:t>The 10X Fund owns all of our issued and outstanding Series B Preferred Stock, which are convertible into 2,000,000 shares of our common stock. The 10X Fund owns related warrants exercisable to purchase an aggregate of 5,000,000 shares of our common stock. As of December 31, 2013, we have issued 988,186 shares of our common stock as dividends on the Series B Preferred Stock and 1,500,000 shares of our common stock on the exercise of warrants by 10X Fund. In addition, (i) James C. Czirr, a managing partner of the 10X Fund and Executive Chairman of our board of directors, owns or controls approximately 862,000 shares of our common stock, including shares of Series A on an as converted basis, and has the right to acquire 666,667 additional shares of our common stock upon the exercise of outstanding stock options (416,667 of which are exercisable as of December 31, 2013); and (ii) Rod D. Martin, a managing partner of the 10X Fund and Vice Chairman of our board of directors, owns or controls approximately 91,000 shares of our common stock and has the right to acquire 114,236 additional shares of our common stock upon the exercise of outstanding stock options (103,791 of which are exercisable as of December 31, 2013). As of December 31, 2013, on a fully diluted basis, assuming conversion of all Series B Preferred Stock and exercise of all outstanding warrants, the 10X Fund would own approximately 29% of our then outstanding shares of common stock, which, together with the shares of our common stock that would be owned by Mr. Czirr and Mr. Martin (assuming exercise of all vested options at that date), would constitute approximately 34% of the then outstanding shares.</w:t>
      </w:r>
    </w:p>
    <w:p>
      <w:pPr>
        <w:spacing w:after="0" w:line="98" w:lineRule="exact"/>
        <w:rPr>
          <w:sz w:val="20"/>
          <w:szCs w:val="20"/>
          <w:color w:val="auto"/>
        </w:rPr>
      </w:pPr>
    </w:p>
    <w:p>
      <w:pPr>
        <w:ind w:right="100" w:firstLine="458"/>
        <w:spacing w:after="0" w:line="311" w:lineRule="auto"/>
        <w:rPr>
          <w:sz w:val="20"/>
          <w:szCs w:val="20"/>
          <w:color w:val="auto"/>
        </w:rPr>
      </w:pPr>
      <w:r>
        <w:rPr>
          <w:rFonts w:ascii="Arial" w:cs="Arial" w:eastAsia="Arial" w:hAnsi="Arial"/>
          <w:sz w:val="13"/>
          <w:szCs w:val="13"/>
          <w:color w:val="auto"/>
        </w:rPr>
        <w:t>As holder of Series B Preferred Stock, the 10X Fund is entitled to elect three directors in a separate class vote, nominate three directors for election by all shares entitled to vote, and provide or withhold consent to a range of fundamental corporate actions we may wish to undertake, such as recapitalization, sale of our company, and other matters. Such concentration of stock ownership and related rights could have the effect of delaying, deterring or preventing corporate events that our other security holders may desire or consider beneficial to the company.</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issue additional common stock, which might dilute the net tangible book value per share of our common stock.</w:t>
      </w:r>
    </w:p>
    <w:p>
      <w:pPr>
        <w:spacing w:after="0" w:line="83" w:lineRule="exact"/>
        <w:rPr>
          <w:sz w:val="20"/>
          <w:szCs w:val="20"/>
          <w:color w:val="auto"/>
        </w:rPr>
      </w:pPr>
    </w:p>
    <w:p>
      <w:pPr>
        <w:ind w:right="120" w:firstLine="458"/>
        <w:spacing w:after="0" w:line="295" w:lineRule="auto"/>
        <w:rPr>
          <w:sz w:val="20"/>
          <w:szCs w:val="20"/>
          <w:color w:val="auto"/>
        </w:rPr>
      </w:pPr>
      <w:r>
        <w:rPr>
          <w:rFonts w:ascii="Arial" w:cs="Arial" w:eastAsia="Arial" w:hAnsi="Arial"/>
          <w:sz w:val="13"/>
          <w:szCs w:val="13"/>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warrant holders exercise their warrants to purchase shares of our common stock.</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402"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 sale of a substantial number of shares of the common stock may cause the price of our common stock to decline.</w:t>
      </w:r>
    </w:p>
    <w:p>
      <w:pPr>
        <w:spacing w:after="0" w:line="83" w:lineRule="exact"/>
        <w:rPr>
          <w:sz w:val="20"/>
          <w:szCs w:val="20"/>
          <w:color w:val="auto"/>
        </w:rPr>
      </w:pPr>
    </w:p>
    <w:p>
      <w:pPr>
        <w:ind w:right="100" w:firstLine="458"/>
        <w:spacing w:after="0" w:line="293" w:lineRule="auto"/>
        <w:rPr>
          <w:sz w:val="20"/>
          <w:szCs w:val="20"/>
          <w:color w:val="auto"/>
        </w:rPr>
      </w:pPr>
      <w:r>
        <w:rPr>
          <w:rFonts w:ascii="Arial" w:cs="Arial" w:eastAsia="Arial" w:hAnsi="Arial"/>
          <w:sz w:val="13"/>
          <w:szCs w:val="13"/>
          <w:color w:val="auto"/>
        </w:rPr>
        <w:t>Our common stock is currently traded on The NASDAQ Capital Market and, despite certain increases of trading volume from time to time, there have been periods when it could be considered “thinly-traded,” meaning that the number of persons interested in purchasing our common stock at or near bid prices at any given time may be relatively small or non-existent. 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of up to 9.7 million shares by these shareholders. We may consider additional capital raising transactions within the next twelve months, which would likely result in issuances of additional shares which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97" w:lineRule="exact"/>
        <w:rPr>
          <w:sz w:val="20"/>
          <w:szCs w:val="20"/>
          <w:color w:val="auto"/>
        </w:rPr>
      </w:pPr>
    </w:p>
    <w:p>
      <w:pPr>
        <w:ind w:right="80" w:firstLine="458"/>
        <w:spacing w:after="0" w:line="302" w:lineRule="auto"/>
        <w:rPr>
          <w:sz w:val="20"/>
          <w:szCs w:val="20"/>
          <w:color w:val="auto"/>
        </w:rPr>
      </w:pPr>
      <w:r>
        <w:rPr>
          <w:rFonts w:ascii="Arial" w:cs="Arial" w:eastAsia="Arial" w:hAnsi="Arial"/>
          <w:sz w:val="13"/>
          <w:szCs w:val="13"/>
          <w:color w:val="auto"/>
        </w:rPr>
        <w:t>If our stockholders sell, or the market perceives that our stockholders intend to sell for various reasons, including the ending of restriction on resale or the expiration of lock-up agreements such as those entered into in connection with this offering,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have not paid cash dividends in the past and do not expect to pay cash dividends in the foreseeable future.</w:t>
      </w:r>
    </w:p>
    <w:p>
      <w:pPr>
        <w:spacing w:after="0" w:line="83" w:lineRule="exact"/>
        <w:rPr>
          <w:sz w:val="20"/>
          <w:szCs w:val="20"/>
          <w:color w:val="auto"/>
        </w:rPr>
      </w:pPr>
    </w:p>
    <w:p>
      <w:pPr>
        <w:ind w:right="140" w:firstLine="458"/>
        <w:spacing w:after="0" w:line="280" w:lineRule="auto"/>
        <w:rPr>
          <w:sz w:val="20"/>
          <w:szCs w:val="20"/>
          <w:color w:val="auto"/>
        </w:rPr>
      </w:pPr>
      <w:r>
        <w:rPr>
          <w:rFonts w:ascii="Arial" w:cs="Arial" w:eastAsia="Arial" w:hAnsi="Arial"/>
          <w:sz w:val="14"/>
          <w:szCs w:val="14"/>
          <w:color w:val="auto"/>
        </w:rPr>
        <w:t>We have never paid cash dividends on our capital stock and do not anticipate paying cash dividends on our capital stock in the foreseeable future. The payment of dividends on our capital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168" w:lineRule="exact"/>
        <w:rPr>
          <w:sz w:val="20"/>
          <w:szCs w:val="20"/>
          <w:color w:val="auto"/>
        </w:rPr>
      </w:pPr>
    </w:p>
    <w:p>
      <w:pPr>
        <w:ind w:left="240" w:right="260"/>
        <w:spacing w:after="0" w:line="296" w:lineRule="auto"/>
        <w:rPr>
          <w:sz w:val="20"/>
          <w:szCs w:val="20"/>
          <w:color w:val="auto"/>
        </w:rPr>
      </w:pPr>
      <w:r>
        <w:rPr>
          <w:rFonts w:ascii="Arial" w:cs="Arial" w:eastAsia="Arial" w:hAnsi="Arial"/>
          <w:sz w:val="14"/>
          <w:szCs w:val="14"/>
          <w:b w:val="1"/>
          <w:bCs w:val="1"/>
          <w:i w:val="1"/>
          <w:iCs w:val="1"/>
          <w:color w:val="auto"/>
        </w:rPr>
        <w:t>At times, our shares of common stock and warrants have been thinly traded, so you may be unable to sell at or near ask prices or even at all if you need to sell your shares or warrants to raise money or otherwise desire to liquidate your shares or warrants.</w:t>
      </w:r>
    </w:p>
    <w:p>
      <w:pPr>
        <w:spacing w:after="0" w:line="24"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We cannot predict the extent to which an active public market for our common stock and warrants will develop or be sustained. Our common stock is currently traded on The NASDAQ Capital Market and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402"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87" w:lineRule="exact"/>
        <w:rPr>
          <w:sz w:val="20"/>
          <w:szCs w:val="20"/>
          <w:color w:val="auto"/>
        </w:rPr>
      </w:pPr>
    </w:p>
    <w:p>
      <w:pPr>
        <w:ind w:firstLine="458"/>
        <w:spacing w:after="0" w:line="337" w:lineRule="auto"/>
        <w:rPr>
          <w:sz w:val="20"/>
          <w:szCs w:val="20"/>
          <w:color w:val="auto"/>
        </w:rPr>
      </w:pPr>
      <w:r>
        <w:rPr>
          <w:rFonts w:ascii="Arial" w:cs="Arial" w:eastAsia="Arial" w:hAnsi="Arial"/>
          <w:sz w:val="13"/>
          <w:szCs w:val="13"/>
          <w:color w:val="auto"/>
        </w:rPr>
        <w:t>We lease 3,610 square feet for our executive offices located at 4960 Peachtree Industrial Blvd., Norcross, GA. We also lease approximately 300 square feet in Natick, MA, for use by research and development consultants and which is collocated with one of our research and development service vendors. We believe these spaces are suitable for our present operations.</w:t>
      </w:r>
    </w:p>
    <w:p>
      <w:pPr>
        <w:spacing w:after="0" w:line="16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87" w:lineRule="exact"/>
        <w:rPr>
          <w:sz w:val="20"/>
          <w:szCs w:val="20"/>
          <w:color w:val="auto"/>
        </w:rPr>
      </w:pPr>
    </w:p>
    <w:p>
      <w:pPr>
        <w:ind w:right="260" w:firstLine="458"/>
        <w:spacing w:after="0" w:line="296" w:lineRule="auto"/>
        <w:rPr>
          <w:sz w:val="20"/>
          <w:szCs w:val="20"/>
          <w:color w:val="auto"/>
        </w:rPr>
      </w:pPr>
      <w:r>
        <w:rPr>
          <w:rFonts w:ascii="Arial" w:cs="Arial" w:eastAsia="Arial" w:hAnsi="Arial"/>
          <w:sz w:val="14"/>
          <w:szCs w:val="14"/>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 except as noted below:</w:t>
      </w:r>
    </w:p>
    <w:p>
      <w:pPr>
        <w:spacing w:after="0" w:line="91"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On October 12, 2012, David Platt, Ph.D., the Company’s former Chief Executive Officer and Chairman of the Board of Directors, commenced a lawsuit under the Massachusetts Wage Act against Dr. Traber and Thomas McGauley, who in their capacities as the Company’s Chief Executive Officer and the Company’s former Chief Financial Officer, respectively, can be held individually liable under the Wage Act for non-payment of wages. The lawsuit is based on the facts and issues raised in a previous arbitration proceeding between Dr. Platt and the Company regarding payment of a $1.0 million separation payment under Dr. Platt’s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 On April 29, 2013, the Court allowed Dr. Traber’s and Mr. McGauley’s motion to dismiss. On May 28, 2013, Dr. Platt filed a Notice of Appeal to appeal the Court’s order allowing the defendants’ motion to dismiss.</w:t>
      </w:r>
    </w:p>
    <w:p>
      <w:pPr>
        <w:spacing w:after="0" w:line="97" w:lineRule="exact"/>
        <w:rPr>
          <w:sz w:val="20"/>
          <w:szCs w:val="20"/>
          <w:color w:val="auto"/>
        </w:rPr>
      </w:pPr>
    </w:p>
    <w:p>
      <w:pPr>
        <w:ind w:firstLine="458"/>
        <w:spacing w:after="0" w:line="272" w:lineRule="auto"/>
        <w:rPr>
          <w:sz w:val="20"/>
          <w:szCs w:val="20"/>
          <w:color w:val="auto"/>
        </w:rPr>
      </w:pPr>
      <w:r>
        <w:rPr>
          <w:rFonts w:ascii="Arial" w:cs="Arial" w:eastAsia="Arial" w:hAnsi="Arial"/>
          <w:sz w:val="14"/>
          <w:szCs w:val="14"/>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May 2014; however, the ultimate outcome is uncertain and there is no guarantee that the Company will be successful in this demand.</w:t>
      </w:r>
    </w:p>
    <w:p>
      <w:pPr>
        <w:spacing w:after="0" w:line="108"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color w:val="auto"/>
        </w:rPr>
        <w:t>On October 1, 2013, the Company received a letter dated October 1, 2013 from Dr. Platt demanding payment of the $1 million in accordance with the terms of the Separation Agreement. As described in the preceding paragraph, the Company had previously instituted an arbitration proceeding against Dr. Platt seeking to rescind the Separation Agreement, including the milestone payment provision upon which his demand is based. The Company expects to delay payment for at least six months from the date of his demand under the terms of the Separation Agreement.</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403" w:right="2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Price Range of Common Stock</w:t>
      </w:r>
    </w:p>
    <w:p>
      <w:pPr>
        <w:spacing w:after="0" w:line="8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Our common stock began trading on The NASDAQ Capital Market under the symbol GALT effective March 23, 2012. Following the delisting of our common stock from the NYSE Alternext US as of the close of trading on January 9, 2009, our common stock had been quoted on the OTC Bulletin Board since January 21, 2009 under the symbol “PRWP.OB” and since June 16, 2011 under the symbol “GALT.OB”. The high and low sale prices for our common stock as reported on the OTC Bulletin Board and the NASDAQ Capital Market, for the periods indicated as shown below. All share prices reflect the one-for-six reverse split, which was effective March 23, 2012.</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33"/>
        </w:trPr>
        <w:tc>
          <w:tcPr>
            <w:tcW w:w="8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High</w:t>
            </w:r>
          </w:p>
        </w:tc>
        <w:tc>
          <w:tcPr>
            <w:tcW w:w="4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Low</w:t>
            </w:r>
          </w:p>
        </w:tc>
      </w:tr>
      <w:tr>
        <w:trPr>
          <w:trHeight w:val="157"/>
        </w:trPr>
        <w:tc>
          <w:tcPr>
            <w:tcW w:w="824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Fiscal Year Ended December 31, 2013</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4"/>
                <w:szCs w:val="14"/>
                <w:color w:val="auto"/>
              </w:rPr>
              <w:t>First Quarter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4.55</w:t>
            </w:r>
          </w:p>
        </w:tc>
        <w:tc>
          <w:tcPr>
            <w:tcW w:w="5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$1.96</w:t>
            </w:r>
          </w:p>
        </w:tc>
        <w:tc>
          <w:tcPr>
            <w:tcW w:w="80" w:type="dxa"/>
            <w:vAlign w:val="bottom"/>
          </w:tcPr>
          <w:p>
            <w:pPr>
              <w:spacing w:after="0"/>
              <w:rPr>
                <w:sz w:val="15"/>
                <w:szCs w:val="15"/>
                <w:color w:val="auto"/>
              </w:rPr>
            </w:pPr>
          </w:p>
        </w:tc>
      </w:tr>
      <w:tr>
        <w:trPr>
          <w:trHeight w:val="17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$3.19</w:t>
            </w:r>
          </w:p>
        </w:tc>
        <w:tc>
          <w:tcPr>
            <w:tcW w:w="80" w:type="dxa"/>
            <w:vAlign w:val="bottom"/>
            <w:shd w:val="clear" w:color="auto" w:fill="CCEEFF"/>
          </w:tcPr>
          <w:p>
            <w:pPr>
              <w:spacing w:after="0"/>
              <w:rPr>
                <w:sz w:val="15"/>
                <w:szCs w:val="15"/>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4"/>
                <w:szCs w:val="14"/>
                <w:color w:val="auto"/>
              </w:rPr>
              <w:t>Third Quarter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13.21</w:t>
            </w:r>
          </w:p>
        </w:tc>
        <w:tc>
          <w:tcPr>
            <w:tcW w:w="5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$3.96</w:t>
            </w:r>
          </w:p>
        </w:tc>
        <w:tc>
          <w:tcPr>
            <w:tcW w:w="80" w:type="dxa"/>
            <w:vAlign w:val="bottom"/>
          </w:tcPr>
          <w:p>
            <w:pPr>
              <w:spacing w:after="0"/>
              <w:rPr>
                <w:sz w:val="15"/>
                <w:szCs w:val="15"/>
                <w:color w:val="auto"/>
              </w:rPr>
            </w:pPr>
          </w:p>
        </w:tc>
      </w:tr>
      <w:tr>
        <w:trPr>
          <w:trHeight w:val="17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12.75</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$5.35</w:t>
            </w:r>
          </w:p>
        </w:tc>
        <w:tc>
          <w:tcPr>
            <w:tcW w:w="80" w:type="dxa"/>
            <w:vAlign w:val="bottom"/>
            <w:shd w:val="clear" w:color="auto" w:fill="CCEEFF"/>
          </w:tcPr>
          <w:p>
            <w:pPr>
              <w:spacing w:after="0"/>
              <w:rPr>
                <w:sz w:val="15"/>
                <w:szCs w:val="15"/>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4"/>
                <w:szCs w:val="14"/>
                <w:b w:val="1"/>
                <w:bCs w:val="1"/>
                <w:color w:val="auto"/>
              </w:rPr>
              <w:t>Fiscal Year Ended December 31, 2012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$3.75</w:t>
            </w:r>
          </w:p>
        </w:tc>
        <w:tc>
          <w:tcPr>
            <w:tcW w:w="80" w:type="dxa"/>
            <w:vAlign w:val="bottom"/>
            <w:shd w:val="clear" w:color="auto" w:fill="CCEEFF"/>
          </w:tcPr>
          <w:p>
            <w:pPr>
              <w:spacing w:after="0"/>
              <w:rPr>
                <w:sz w:val="15"/>
                <w:szCs w:val="15"/>
                <w:color w:val="auto"/>
              </w:rPr>
            </w:pPr>
          </w:p>
        </w:tc>
      </w:tr>
      <w:tr>
        <w:trPr>
          <w:trHeight w:val="177"/>
        </w:trPr>
        <w:tc>
          <w:tcPr>
            <w:tcW w:w="8240" w:type="dxa"/>
            <w:vAlign w:val="bottom"/>
          </w:tcPr>
          <w:p>
            <w:pPr>
              <w:spacing w:after="0"/>
              <w:rPr>
                <w:sz w:val="20"/>
                <w:szCs w:val="20"/>
                <w:color w:val="auto"/>
              </w:rPr>
            </w:pPr>
            <w:r>
              <w:rPr>
                <w:rFonts w:ascii="Arial" w:cs="Arial" w:eastAsia="Arial" w:hAnsi="Arial"/>
                <w:sz w:val="14"/>
                <w:szCs w:val="14"/>
                <w:color w:val="auto"/>
              </w:rPr>
              <w:t>Second Quarter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4.40</w:t>
            </w:r>
          </w:p>
        </w:tc>
        <w:tc>
          <w:tcPr>
            <w:tcW w:w="5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$1.89</w:t>
            </w:r>
          </w:p>
        </w:tc>
        <w:tc>
          <w:tcPr>
            <w:tcW w:w="80" w:type="dxa"/>
            <w:vAlign w:val="bottom"/>
          </w:tcPr>
          <w:p>
            <w:pPr>
              <w:spacing w:after="0"/>
              <w:rPr>
                <w:sz w:val="15"/>
                <w:szCs w:val="15"/>
                <w:color w:val="auto"/>
              </w:rPr>
            </w:pPr>
          </w:p>
        </w:tc>
      </w:tr>
      <w:tr>
        <w:trPr>
          <w:trHeight w:val="177"/>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$1.61</w:t>
            </w:r>
          </w:p>
        </w:tc>
        <w:tc>
          <w:tcPr>
            <w:tcW w:w="80" w:type="dxa"/>
            <w:vAlign w:val="bottom"/>
            <w:shd w:val="clear" w:color="auto" w:fill="CCEEFF"/>
          </w:tcPr>
          <w:p>
            <w:pPr>
              <w:spacing w:after="0"/>
              <w:rPr>
                <w:sz w:val="15"/>
                <w:szCs w:val="15"/>
                <w:color w:val="auto"/>
              </w:rPr>
            </w:pPr>
          </w:p>
        </w:tc>
      </w:tr>
      <w:tr>
        <w:trPr>
          <w:trHeight w:val="182"/>
        </w:trPr>
        <w:tc>
          <w:tcPr>
            <w:tcW w:w="8240" w:type="dxa"/>
            <w:vAlign w:val="bottom"/>
          </w:tcPr>
          <w:p>
            <w:pPr>
              <w:spacing w:after="0"/>
              <w:rPr>
                <w:sz w:val="20"/>
                <w:szCs w:val="20"/>
                <w:color w:val="auto"/>
              </w:rPr>
            </w:pPr>
            <w:r>
              <w:rPr>
                <w:rFonts w:ascii="Arial" w:cs="Arial" w:eastAsia="Arial" w:hAnsi="Arial"/>
                <w:sz w:val="14"/>
                <w:szCs w:val="14"/>
                <w:color w:val="auto"/>
              </w:rPr>
              <w:t>Fourth Quarter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2.24</w:t>
            </w:r>
          </w:p>
        </w:tc>
        <w:tc>
          <w:tcPr>
            <w:tcW w:w="5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$1.60</w:t>
            </w:r>
          </w:p>
        </w:tc>
        <w:tc>
          <w:tcPr>
            <w:tcW w:w="80" w:type="dxa"/>
            <w:vAlign w:val="bottom"/>
          </w:tcPr>
          <w:p>
            <w:pPr>
              <w:spacing w:after="0"/>
              <w:rPr>
                <w:sz w:val="15"/>
                <w:szCs w:val="15"/>
                <w:color w:val="auto"/>
              </w:rPr>
            </w:pPr>
          </w:p>
        </w:tc>
      </w:tr>
    </w:tbl>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Holders of Common Stock</w:t>
      </w:r>
    </w:p>
    <w:p>
      <w:pPr>
        <w:spacing w:after="0" w:line="83" w:lineRule="exact"/>
        <w:rPr>
          <w:sz w:val="20"/>
          <w:szCs w:val="20"/>
          <w:color w:val="auto"/>
        </w:rPr>
      </w:pPr>
    </w:p>
    <w:p>
      <w:pPr>
        <w:ind w:right="40" w:firstLine="458"/>
        <w:spacing w:after="0" w:line="280" w:lineRule="auto"/>
        <w:rPr>
          <w:sz w:val="20"/>
          <w:szCs w:val="20"/>
          <w:color w:val="auto"/>
        </w:rPr>
      </w:pPr>
      <w:r>
        <w:rPr>
          <w:rFonts w:ascii="Arial" w:cs="Arial" w:eastAsia="Arial" w:hAnsi="Arial"/>
          <w:sz w:val="14"/>
          <w:szCs w:val="14"/>
          <w:color w:val="auto"/>
        </w:rPr>
        <w:t>As of March 19, 2014, there were 123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7,486 non-objecting beneficial owners of our shares of our common stock in addition to the record holders.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Dividends</w:t>
      </w:r>
    </w:p>
    <w:p>
      <w:pPr>
        <w:spacing w:after="0" w:line="83" w:lineRule="exact"/>
        <w:rPr>
          <w:sz w:val="20"/>
          <w:szCs w:val="20"/>
          <w:color w:val="auto"/>
        </w:rPr>
      </w:pPr>
    </w:p>
    <w:p>
      <w:pPr>
        <w:ind w:firstLine="458"/>
        <w:spacing w:after="0" w:line="296" w:lineRule="auto"/>
        <w:rPr>
          <w:sz w:val="20"/>
          <w:szCs w:val="20"/>
          <w:color w:val="auto"/>
        </w:rPr>
      </w:pPr>
      <w:r>
        <w:rPr>
          <w:rFonts w:ascii="Arial" w:cs="Arial" w:eastAsia="Arial" w:hAnsi="Arial"/>
          <w:sz w:val="14"/>
          <w:szCs w:val="14"/>
          <w:color w:val="auto"/>
        </w:rPr>
        <w:t>There have been no cash dividends declared on our common stock since our company was formed. Dividends are declared at the sole discretion of our Board of Directors. Our intention is not to declare cash dividends and retain all cash for our operations.</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called for by this Item is not applicable to us because we are a smaller reporting company.</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7" w:lineRule="exact"/>
        <w:rPr>
          <w:sz w:val="20"/>
          <w:szCs w:val="20"/>
          <w:color w:val="auto"/>
        </w:rPr>
      </w:pPr>
    </w:p>
    <w:p>
      <w:pPr>
        <w:ind w:right="40" w:firstLine="458"/>
        <w:spacing w:after="0" w:line="311" w:lineRule="auto"/>
        <w:rPr>
          <w:sz w:val="20"/>
          <w:szCs w:val="20"/>
          <w:color w:val="auto"/>
        </w:rPr>
      </w:pPr>
      <w:r>
        <w:rPr>
          <w:rFonts w:ascii="Arial" w:cs="Arial" w:eastAsia="Arial" w:hAnsi="Arial"/>
          <w:sz w:val="13"/>
          <w:szCs w:val="13"/>
          <w:color w:val="auto"/>
        </w:rPr>
        <w:t>We are a development-stage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402"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formulated into acceptable pharmaceutical formulations. Using these unique carbohydrate-based candidate compounds that bind and inhibit galectin proteins,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05" w:lineRule="exact"/>
        <w:rPr>
          <w:sz w:val="20"/>
          <w:szCs w:val="20"/>
          <w:color w:val="auto"/>
        </w:rPr>
      </w:pPr>
    </w:p>
    <w:p>
      <w:pPr>
        <w:ind w:right="60" w:firstLine="458"/>
        <w:spacing w:after="0" w:line="295" w:lineRule="auto"/>
        <w:rPr>
          <w:sz w:val="20"/>
          <w:szCs w:val="20"/>
          <w:color w:val="auto"/>
        </w:rPr>
      </w:pPr>
      <w:r>
        <w:rPr>
          <w:rFonts w:ascii="Arial" w:cs="Arial" w:eastAsia="Arial" w:hAnsi="Arial"/>
          <w:sz w:val="13"/>
          <w:szCs w:val="13"/>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molecules which bind galectin proteins and offer alternative options to larger market segments in our primary disease targets. We are pursuing a development pathway to clinical enhancement and commercialization for our lead compounds in liver fibrosis and fatty liver disease as well as in immune enhancement for cancer therapy. All of our proposed products are presently in development, including pre-clinical and clinical trials.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2012 Common Stock and Warrant Offering with Reverse Split and 2013 At Market Issuance Agreement</w:t>
      </w:r>
    </w:p>
    <w:p>
      <w:pPr>
        <w:spacing w:after="0" w:line="87" w:lineRule="exact"/>
        <w:rPr>
          <w:sz w:val="20"/>
          <w:szCs w:val="20"/>
          <w:color w:val="auto"/>
        </w:rPr>
      </w:pPr>
    </w:p>
    <w:p>
      <w:pPr>
        <w:ind w:firstLine="458"/>
        <w:spacing w:after="0" w:line="311" w:lineRule="auto"/>
        <w:rPr>
          <w:sz w:val="20"/>
          <w:szCs w:val="20"/>
          <w:color w:val="auto"/>
        </w:rPr>
      </w:pPr>
      <w:r>
        <w:rPr>
          <w:rFonts w:ascii="Arial" w:cs="Arial" w:eastAsia="Arial" w:hAnsi="Arial"/>
          <w:sz w:val="13"/>
          <w:szCs w:val="13"/>
          <w:color w:val="auto"/>
        </w:rPr>
        <w:t>On March 22, 2012, in anticipation of completing a public offering of securities, we effected a one-for-six reverse stock split of our common stock. All common share and per unit amounts in this report, including the financial statements, have been adjusted to reflect the reverse split. Our common stock began trading on The NASDAQ Capital Market under the symbol GALT on March 23, 2012, and the units and warrants that we sold in the offering began trading on that exchange under the symbols GALTU and GALTW, respectively, on March 28, 2012.</w:t>
      </w:r>
    </w:p>
    <w:p>
      <w:pPr>
        <w:spacing w:after="0" w:line="84" w:lineRule="exact"/>
        <w:rPr>
          <w:sz w:val="20"/>
          <w:szCs w:val="20"/>
          <w:color w:val="auto"/>
        </w:rPr>
      </w:pPr>
    </w:p>
    <w:p>
      <w:pPr>
        <w:ind w:right="320" w:firstLine="458"/>
        <w:spacing w:after="0" w:line="296" w:lineRule="auto"/>
        <w:rPr>
          <w:sz w:val="20"/>
          <w:szCs w:val="20"/>
          <w:color w:val="auto"/>
        </w:rPr>
      </w:pPr>
      <w:r>
        <w:rPr>
          <w:rFonts w:ascii="Arial" w:cs="Arial" w:eastAsia="Arial" w:hAnsi="Arial"/>
          <w:sz w:val="14"/>
          <w:szCs w:val="14"/>
          <w:color w:val="auto"/>
        </w:rPr>
        <w:t>On March 28, 2012, we completed the public offering in which we issued 2,666,722 shares of common stock and related warrants exercisable until March 28, 2017, at $5.63 per share to purchase 1,333,361 shares of common stock for gross proceeds of $12.0 million (net cash proceeds of 10.4 million).</w:t>
      </w:r>
    </w:p>
    <w:p>
      <w:pPr>
        <w:spacing w:after="0" w:line="91"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On October 25, 2013, the Company entered into an At Market Issuance Sales Agreement (the “At Market Agreement”) under which the Company could issue and sell shares of its common stock having an aggregate offering price of up to $30.0 million from time to time. As of December 31, 2013, the Company had issued 99,942 shares of its common stock through its At Market issuance program resulting in gross proceeds of approximately $944,000. In January and February 2014, the Company issued 2,663,647 shares of common stock for gross proceeds of approximately $29,051,000 which completed the At Market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Drug Development Programs</w:t>
      </w:r>
    </w:p>
    <w:p>
      <w:pPr>
        <w:spacing w:after="0" w:line="87" w:lineRule="exact"/>
        <w:rPr>
          <w:sz w:val="20"/>
          <w:szCs w:val="20"/>
          <w:color w:val="auto"/>
        </w:rPr>
      </w:pPr>
    </w:p>
    <w:p>
      <w:pPr>
        <w:jc w:val="both"/>
        <w:ind w:right="20" w:firstLine="458"/>
        <w:spacing w:after="0" w:line="311" w:lineRule="auto"/>
        <w:rPr>
          <w:sz w:val="20"/>
          <w:szCs w:val="20"/>
          <w:color w:val="auto"/>
        </w:rPr>
      </w:pPr>
      <w:r>
        <w:rPr>
          <w:rFonts w:ascii="Arial" w:cs="Arial" w:eastAsia="Arial" w:hAnsi="Arial"/>
          <w:sz w:val="13"/>
          <w:szCs w:val="13"/>
          <w:color w:val="auto"/>
        </w:rPr>
        <w:t>Galectins are a class of proteins that are made by many cells in the body. As a group, these proteins are able to bind to sugar molecules that are part of other proteins in and on the cells of our body. Galectin proteins act as a kind of glue, bringing together molecules that have sugars on them. Galectin proteins are known to be markedly increased in a number of important diseases including scaring of organs (e.g. liver, lung, kidney, and heart) and cancers of many kinds. The increase in galectin protein promotes the disease and is detrimental to the patient.</w:t>
      </w:r>
    </w:p>
    <w:p>
      <w:pPr>
        <w:spacing w:after="0" w:line="84" w:lineRule="exact"/>
        <w:rPr>
          <w:sz w:val="20"/>
          <w:szCs w:val="20"/>
          <w:color w:val="auto"/>
        </w:rPr>
      </w:pPr>
    </w:p>
    <w:p>
      <w:pPr>
        <w:jc w:val="both"/>
        <w:ind w:right="40" w:firstLine="458"/>
        <w:spacing w:after="0" w:line="280" w:lineRule="auto"/>
        <w:rPr>
          <w:sz w:val="20"/>
          <w:szCs w:val="20"/>
          <w:color w:val="auto"/>
        </w:rPr>
      </w:pPr>
      <w:r>
        <w:rPr>
          <w:rFonts w:ascii="Arial" w:cs="Arial" w:eastAsia="Arial" w:hAnsi="Arial"/>
          <w:sz w:val="14"/>
          <w:szCs w:val="14"/>
          <w:color w:val="auto"/>
        </w:rPr>
        <w:t>We have two compounds in development that are intended to be used in the treatment of liver fibrosis and fatty liver disease and in cancer therapy. These two compounds are produced from completely different, natural, readily available, starting materials, which, following chemical processing, both exhibit the property of binding to and inhibiting galectin proteins. GR-MD-02, our lead product for treatment of liver fibrosis and fatty liver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402"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disease with inflammation and fibrosis and in cancer therapy, is a proprietary complex polysaccharide polymer possessing both linear and globular structures, which is derived from a plant source.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GM-CT-01 is a proprietary linear polysaccharide polymer comprised of mannose and galactose that has a precisely defined chemical structure and which is also derived from a plant source.</w:t>
      </w:r>
    </w:p>
    <w:p>
      <w:pPr>
        <w:spacing w:after="0" w:line="156" w:lineRule="exact"/>
        <w:rPr>
          <w:sz w:val="20"/>
          <w:szCs w:val="20"/>
          <w:color w:val="auto"/>
        </w:rPr>
      </w:pPr>
    </w:p>
    <w:p>
      <w:pPr>
        <w:ind w:right="60" w:firstLine="458"/>
        <w:spacing w:after="0" w:line="311" w:lineRule="auto"/>
        <w:rPr>
          <w:sz w:val="20"/>
          <w:szCs w:val="20"/>
          <w:color w:val="auto"/>
        </w:rPr>
      </w:pPr>
      <w:r>
        <w:rPr>
          <w:rFonts w:ascii="Arial" w:cs="Arial" w:eastAsia="Arial" w:hAnsi="Arial"/>
          <w:sz w:val="13"/>
          <w:szCs w:val="13"/>
          <w:color w:val="auto"/>
        </w:rPr>
        <w:t>We believe the mechanism of action for GR-MD-02 and GM-CT-01 is based upon interaction with, and inhibition of, galectin proteins, which are expressed at high levels in certain pathological states including inflammation, fibrosis and cancer. While GR-MD-02 and GM-CT-01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 as discussed below.</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Liver Fibrosis</w:t>
      </w:r>
    </w:p>
    <w:p>
      <w:pPr>
        <w:spacing w:after="0" w:line="8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The main initiative in our development strategy is the application of galectin inhibition in connection with liver fibrosis, a condition that leads to cirrhosis. We believe that GR-MD-02 has the potential to treat nonalcoholic steatohepatitis (NASH) and other forms of liver fibrosis. The driving factor for our commitment to galectin inhibition for fibrosis is scientific evidence that strongly suggests that galectin-3 is essential for the development of liver fibrosis in animals. Published data show that mice lacking the galectin-3 gene are incapable of developing liver fibrosis in response to toxin insult to the liver and in fatty liver disease. Moreover, mice that do not have the galectin-3 gene are resistant to lung and kidney fibrosis.</w:t>
      </w:r>
    </w:p>
    <w:p>
      <w:pPr>
        <w:spacing w:after="0" w:line="105"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 In January 2013, an Investigational New Drug (“IND”) was submitted to the FDA with the goal of initiating a Phase 1 study in patients with NASH and advanced liver fibrosis to primarily evaluate the human safety of GR-MD-02 and pharmacodynamics biomarkers of disease are also included in the trial design. On March 1, 2013, the FDA indicated we could proceed with a U.S. Phase 1 clinical trial for GR-MD-02 with a development program aimed at obtaining support for a proposed indication of GR-MD-02 for treatment of NASH with advanced fibrosis. In February 2013 we entered into an agreement with Clinical Trial Services Inc. (“CTI”) to conduct a Phase 1 clinical trial of GR-MD-02 to assess safety and preliminary evidence of efficacy in humans. In June 2013, we submitted a Fast Track application to the FDA to help expedite its clinical development program of GR-MD-02 in the treatment of NASH with advanced fibrosis. FDA grants Fast Track designation to help expedite review and approval of drugs in development that treat serious or life threatening diseases and fill an unmet medical need. On August 7, 2013, FDA concluded that the development program for GR-MD-02 meets the criteria for Fast Track designation, and FDA has designated the investigation of GR-MD-02 for non-alcoholic steatohepatitis with hepatic fibrosis as a Fast Track development program. We began enrolling patients in this trial in July 2013 and we expect top line of the first cohort of patients (total of 8 patients) around the end of the first quarter of 2014. Results of cohort 2 and cohort 3, if needed, are expected be available by August 2014 and November 2014, respectively. Near the end of 2014 or early 2015, depending on the results of the Phase 1 study, we expect to initiate a Phase 2 clinical trial to assess the efficacy of GR-MD-02 in patients with NASH and advanced liver fibrosis and based on that timing we would expect top-line clinical results in the first half of 2016, depending on the final design of the Phase 2 study.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Galectin Inhibition in Cancer Therapy</w:t>
      </w:r>
    </w:p>
    <w:p>
      <w:pPr>
        <w:spacing w:after="0" w:line="83" w:lineRule="exact"/>
        <w:rPr>
          <w:sz w:val="20"/>
          <w:szCs w:val="20"/>
          <w:color w:val="auto"/>
        </w:rPr>
      </w:pPr>
    </w:p>
    <w:p>
      <w:pPr>
        <w:ind w:right="360" w:firstLine="458"/>
        <w:spacing w:after="0" w:line="337" w:lineRule="auto"/>
        <w:rPr>
          <w:sz w:val="20"/>
          <w:szCs w:val="20"/>
          <w:color w:val="auto"/>
        </w:rPr>
      </w:pPr>
      <w:r>
        <w:rPr>
          <w:rFonts w:ascii="Arial" w:cs="Arial" w:eastAsia="Arial" w:hAnsi="Arial"/>
          <w:sz w:val="13"/>
          <w:szCs w:val="13"/>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402"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GM-CT-01, our initial candidate targeted for selective cancer therapy together with a potential melanoma vaccine, initially was being studied in a clinical trial in Europe. In 2012 we initiated a Phase 1/2 clinical trial of GM-CT-01 in combination with a tumor vaccine in patients with advanced melanoma, a deadly skin cancer. The trial was being conducted at three centers in Belgium and one in Luxembourg. The operational conduct of the trial was under the control of the Cancer Centre at the Cliniques Universitaires Saint-Luc and the Ludwig Institute for Cancer Research. Positive results from this study could have indicated that inhibiting the “Galectin Effect” could be an enabling technology for therapy in other tumor types. In January 2014, the Cancer Centre at the Cliniques universitaires Saint-Luc and the Ludwig Institute for Cancer Research (LICR), in agreement with Galectin Therapeutics, voluntarily placed on hold its Phase 1/2 trial evaluating the safety and efficacy, GM-CT-01, in combination with an experimental peptide vaccine for the treatment of advanced metastatic melanoma. The trial was placed on hold as the investigators were unable to enroll sufficient patients with advanced stage melanoma due to the high selection criteria of patient candidates for the peptide vaccine and the recent availability of Yervoy in Europe as a treatment increasing the overall survival of metastatic melanoma patients.</w:t>
      </w:r>
    </w:p>
    <w:p>
      <w:pPr>
        <w:spacing w:after="0" w:line="114" w:lineRule="exact"/>
        <w:rPr>
          <w:sz w:val="20"/>
          <w:szCs w:val="20"/>
          <w:color w:val="auto"/>
        </w:rPr>
      </w:pPr>
    </w:p>
    <w:p>
      <w:pPr>
        <w:ind w:firstLine="458"/>
        <w:spacing w:after="0" w:line="259" w:lineRule="auto"/>
        <w:rPr>
          <w:sz w:val="20"/>
          <w:szCs w:val="20"/>
          <w:color w:val="auto"/>
        </w:rPr>
      </w:pPr>
      <w:r>
        <w:rPr>
          <w:rFonts w:ascii="Arial" w:cs="Arial" w:eastAsia="Arial" w:hAnsi="Arial"/>
          <w:sz w:val="14"/>
          <w:szCs w:val="14"/>
          <w:color w:val="auto"/>
        </w:rPr>
        <w:t>We continue to believe there is potential for galectin inhibition to play a key role in the burgeoning area of cancer immunotherapy. For example, there have been two recent approvals of drugs that enhance a patient’s immune system to fight cancer. With many additional vaccines and immune stimulatory agents in development, industry analysts forecast that this market could grow to over $7 billion by 2015. It is our goal to use a galectin inhibitor to enhance the immune system function to fight cancer and, most important, that complements other approaches to this type of therapy. Our drug candidates provide a promising new therapeutic approach to enhance the activity of the immune system against cancer cells. Preclinical studies have indicated that GR-MD-02 and GM-CT-01 enhance the immune response to and more specifically increased tumor shrinkage and enhanced survival in immune competent mice with prostate and breast cancers when combined with one of the immune checkpoint inhibitors, anti-CTLA-4 or anti-PD-1. These preclinical data have led to the filing of an Investigator-sponsored IND and the initiation of a study of GR-MD-02 in combination with Yervoy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(ipilimumab) in a Phase 1B study of patients with metastatic melanoma. This study is being conducted under the sponsorship of Providence Portland Medical Center’s Earle A. Chiles Research Institute (EACRI).</w:t>
      </w:r>
    </w:p>
    <w:p>
      <w:pPr>
        <w:spacing w:after="0" w:line="112"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We previously attempted to gain regulatory approval of GM-CT-01 for use in combination with 5-FU (5-Fluorouracil, an anti-cancer chemotherapy drug) containing chemotherapy regiments for metastatic colorectal cancer in Colombia. This approach had been recommended to the Company by key oncology opinion leaders in Colombia and by PROCAPS S.A. (“PROCAPS”), a Colombia-based pharmaceutical company. There has been no approval of GM-CT-01 in a major region such as the U.S. or Europe and it was determined that approval from the regulatory authority in Columbia (INVIMA) would require additional clinical trial data. Although the Company worked with PROCAPS to design a Phase 3 clinical trial, a satisfactory plan could not be agreed upon and we terminated the Agreement with PROCAPS (as described below), effective September 29, 2012, and have no current plans to continue attempts to gain approval of GM-CT-01 in Columbia. We had not taken into account projections for any potential revenues from this agreement in our financing plans.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Agreement with PROCAPS S.A.</w:t>
      </w:r>
    </w:p>
    <w:p>
      <w:pPr>
        <w:spacing w:after="0" w:line="83"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On March 25, 2010, we granted PROCAPS S.A. (in the form of a definitive term sheet) exclusive rights to market and sell GM-CT-01 to treat cancer in Colombia, South America. PROCAPS is an international, privately held pharmaceutical company based in Barranquilla, Colombia. In October 2010, we received a payment of $200,000 and shipped GM-CT-01 to PROCAPS to be used by PROCAPS to undertake initial steps contemplated by the term sheet. We recorded the $200,000 payment from PROCAPS as deferred revenue on the consolidated balance sheet as of December 31, 2011, to be recognized when the remaining deliverables of the agreement were completed.</w:t>
      </w:r>
    </w:p>
    <w:p>
      <w:pPr>
        <w:spacing w:after="0" w:line="105" w:lineRule="exact"/>
        <w:rPr>
          <w:sz w:val="20"/>
          <w:szCs w:val="20"/>
          <w:color w:val="auto"/>
        </w:rPr>
      </w:pPr>
    </w:p>
    <w:p>
      <w:pPr>
        <w:ind w:right="640" w:firstLine="458"/>
        <w:spacing w:after="0" w:line="296" w:lineRule="auto"/>
        <w:rPr>
          <w:sz w:val="20"/>
          <w:szCs w:val="20"/>
          <w:color w:val="auto"/>
        </w:rPr>
      </w:pPr>
      <w:r>
        <w:rPr>
          <w:rFonts w:ascii="Arial" w:cs="Arial" w:eastAsia="Arial" w:hAnsi="Arial"/>
          <w:sz w:val="14"/>
          <w:szCs w:val="14"/>
          <w:color w:val="auto"/>
        </w:rPr>
        <w:t>On October 18, 2011, we entered into a Collaboration, Supply, Marketing and Distribution Agreement (the “Agreement”) with PROCAPS. The Agreement granted PROCAPS first negotiation rights to enter into similar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402"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agreements in other Central and South American countries. We were to be the sole manufacturer and supplier of GM-CT-01 to PROCAPS. The Agreement obligated PROCAPS to procure regulatory approvals necessary for the marketing and sale of GM-CT-01 naming us as the owner of such approvals to the extent permitted by law, or alternatively hold the approvals for our benefit. PROCAPS was required to pay us a stated fee for each dose it purchases and royalties at an incremental rate determined by annual net sales of GM-CT-01. We retained all intellectual property rights to GM-CT-01 and related products and PROCAPS may not produce, modify, reverse engineer, or otherwise interfere with the GM-CT-01 compound. PROCAPS may not manufacture or sell products that compete with GM-CT-01 during the term of the Agreement and for five years thereafter.</w:t>
      </w:r>
    </w:p>
    <w:p>
      <w:pPr>
        <w:spacing w:after="0" w:line="108" w:lineRule="exact"/>
        <w:rPr>
          <w:sz w:val="20"/>
          <w:szCs w:val="20"/>
          <w:color w:val="auto"/>
        </w:rPr>
      </w:pPr>
    </w:p>
    <w:p>
      <w:pPr>
        <w:ind w:right="260" w:firstLine="458"/>
        <w:spacing w:after="0" w:line="280" w:lineRule="auto"/>
        <w:rPr>
          <w:sz w:val="20"/>
          <w:szCs w:val="20"/>
          <w:color w:val="auto"/>
        </w:rPr>
      </w:pPr>
      <w:r>
        <w:rPr>
          <w:rFonts w:ascii="Arial" w:cs="Arial" w:eastAsia="Arial" w:hAnsi="Arial"/>
          <w:sz w:val="14"/>
          <w:szCs w:val="14"/>
          <w:color w:val="auto"/>
        </w:rPr>
        <w:t>PROCAPS had not obtained approval to sell GM-CT-01 in Columbia as required by the Agreement and, as they were in material breach of the Agreement, we terminated the Agreement, effective September 29, 2012. With no further obligations under the Agreement, we recognized the $200,000 payment as Other Income in the Statement of Operations during the year ended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from the Years Ended December 31, 2013 and 2012</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60" w:type="dxa"/>
            <w:vAlign w:val="bottom"/>
          </w:tcPr>
          <w:p>
            <w:pPr>
              <w:jc w:val="center"/>
              <w:ind w:left="365"/>
              <w:spacing w:after="0"/>
              <w:rPr>
                <w:sz w:val="20"/>
                <w:szCs w:val="20"/>
                <w:color w:val="auto"/>
              </w:rPr>
            </w:pPr>
            <w:r>
              <w:rPr>
                <w:rFonts w:ascii="Arial" w:cs="Arial" w:eastAsia="Arial" w:hAnsi="Arial"/>
                <w:sz w:val="11"/>
                <w:szCs w:val="11"/>
                <w:b w:val="1"/>
                <w:bCs w:val="1"/>
                <w:color w:val="auto"/>
                <w:w w:val="87"/>
              </w:rPr>
              <w:t>Year ended</w:t>
            </w: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Pr>
          <w:p>
            <w:pPr>
              <w:jc w:val="center"/>
              <w:ind w:left="365"/>
              <w:spacing w:after="0"/>
              <w:rPr>
                <w:sz w:val="20"/>
                <w:szCs w:val="20"/>
                <w:color w:val="auto"/>
              </w:rPr>
            </w:pPr>
            <w:r>
              <w:rPr>
                <w:rFonts w:ascii="Arial" w:cs="Arial" w:eastAsia="Arial" w:hAnsi="Arial"/>
                <w:sz w:val="11"/>
                <w:szCs w:val="11"/>
                <w:b w:val="1"/>
                <w:bCs w:val="1"/>
                <w:color w:val="auto"/>
                <w:w w:val="89"/>
              </w:rPr>
              <w:t>December 31,</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2013 as Compared to 2012</w:t>
            </w:r>
          </w:p>
        </w:tc>
      </w:tr>
      <w:tr>
        <w:trPr>
          <w:trHeight w:val="113"/>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Borders>
              <w:top w:val="single" w:sz="8" w:color="auto"/>
              <w:bottom w:val="single" w:sz="8" w:color="auto"/>
            </w:tcBorders>
          </w:tcPr>
          <w:p>
            <w:pPr>
              <w:jc w:val="right"/>
              <w:ind w:right="685"/>
              <w:spacing w:after="0" w:line="113" w:lineRule="exact"/>
              <w:rPr>
                <w:sz w:val="20"/>
                <w:szCs w:val="20"/>
                <w:color w:val="auto"/>
              </w:rPr>
            </w:pPr>
            <w:r>
              <w:rPr>
                <w:rFonts w:ascii="Arial" w:cs="Arial" w:eastAsia="Arial" w:hAnsi="Arial"/>
                <w:sz w:val="11"/>
                <w:szCs w:val="11"/>
                <w:b w:val="1"/>
                <w:bCs w:val="1"/>
                <w:color w:val="auto"/>
              </w:rPr>
              <w:t>2013</w:t>
            </w:r>
          </w:p>
        </w:tc>
        <w:tc>
          <w:tcPr>
            <w:tcW w:w="420" w:type="dxa"/>
            <w:vAlign w:val="bottom"/>
            <w:tcBorders>
              <w:top w:val="single" w:sz="8" w:color="auto"/>
              <w:bottom w:val="single" w:sz="8" w:color="auto"/>
            </w:tcBorders>
          </w:tcPr>
          <w:p>
            <w:pPr>
              <w:jc w:val="right"/>
              <w:ind w:right="39"/>
              <w:spacing w:after="0" w:line="113" w:lineRule="exact"/>
              <w:rPr>
                <w:sz w:val="20"/>
                <w:szCs w:val="20"/>
                <w:color w:val="auto"/>
              </w:rPr>
            </w:pPr>
            <w:r>
              <w:rPr>
                <w:rFonts w:ascii="Arial" w:cs="Arial" w:eastAsia="Arial" w:hAnsi="Arial"/>
                <w:sz w:val="11"/>
                <w:szCs w:val="11"/>
                <w:b w:val="1"/>
                <w:bCs w:val="1"/>
                <w:color w:val="auto"/>
              </w:rPr>
              <w:t>2012</w:t>
            </w:r>
          </w:p>
        </w:tc>
        <w:tc>
          <w:tcPr>
            <w:tcW w:w="680" w:type="dxa"/>
            <w:vAlign w:val="bottom"/>
            <w:tcBorders>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center"/>
              <w:ind w:right="325"/>
              <w:spacing w:after="0" w:line="113" w:lineRule="exact"/>
              <w:rPr>
                <w:sz w:val="20"/>
                <w:szCs w:val="20"/>
                <w:color w:val="auto"/>
              </w:rPr>
            </w:pPr>
            <w:r>
              <w:rPr>
                <w:rFonts w:ascii="Arial" w:cs="Arial" w:eastAsia="Arial" w:hAnsi="Arial"/>
                <w:sz w:val="11"/>
                <w:szCs w:val="11"/>
                <w:b w:val="1"/>
                <w:bCs w:val="1"/>
                <w:color w:val="auto"/>
                <w:w w:val="88"/>
              </w:rPr>
              <w:t>$ Change</w:t>
            </w: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 Change</w:t>
            </w:r>
          </w:p>
        </w:tc>
        <w:tc>
          <w:tcPr>
            <w:tcW w:w="160" w:type="dxa"/>
            <w:vAlign w:val="bottom"/>
          </w:tcPr>
          <w:p>
            <w:pPr>
              <w:spacing w:after="0"/>
              <w:rPr>
                <w:sz w:val="9"/>
                <w:szCs w:val="9"/>
                <w:color w:val="auto"/>
              </w:rPr>
            </w:pPr>
          </w:p>
        </w:tc>
      </w:tr>
      <w:tr>
        <w:trPr>
          <w:trHeight w:val="113"/>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60" w:type="dxa"/>
            <w:vAlign w:val="bottom"/>
            <w:gridSpan w:val="3"/>
          </w:tcPr>
          <w:p>
            <w:pPr>
              <w:ind w:left="320"/>
              <w:spacing w:after="0" w:line="113" w:lineRule="exact"/>
              <w:rPr>
                <w:sz w:val="20"/>
                <w:szCs w:val="20"/>
                <w:color w:val="auto"/>
              </w:rPr>
            </w:pPr>
            <w:r>
              <w:rPr>
                <w:rFonts w:ascii="Arial" w:cs="Arial" w:eastAsia="Arial" w:hAnsi="Arial"/>
                <w:sz w:val="11"/>
                <w:szCs w:val="11"/>
                <w:b w:val="1"/>
                <w:bCs w:val="1"/>
                <w:color w:val="auto"/>
              </w:rPr>
              <w:t>(in thousands, except %)</w:t>
            </w: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77"/>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500" w:type="dxa"/>
            <w:vAlign w:val="bottom"/>
            <w:gridSpan w:val="2"/>
            <w:shd w:val="clear" w:color="auto" w:fill="CCEEFF"/>
          </w:tcPr>
          <w:p>
            <w:pPr>
              <w:jc w:val="right"/>
              <w:ind w:right="605"/>
              <w:spacing w:after="0"/>
              <w:rPr>
                <w:sz w:val="20"/>
                <w:szCs w:val="20"/>
                <w:color w:val="auto"/>
              </w:rPr>
            </w:pPr>
            <w:r>
              <w:rPr>
                <w:rFonts w:ascii="Arial" w:cs="Arial" w:eastAsia="Arial" w:hAnsi="Arial"/>
                <w:sz w:val="14"/>
                <w:szCs w:val="14"/>
                <w:color w:val="auto"/>
              </w:rPr>
              <w:t>$5,688</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$4,527</w:t>
            </w:r>
          </w:p>
        </w:tc>
        <w:tc>
          <w:tcPr>
            <w:tcW w:w="1540" w:type="dxa"/>
            <w:vAlign w:val="bottom"/>
            <w:gridSpan w:val="2"/>
            <w:shd w:val="clear" w:color="auto" w:fill="CCEEFF"/>
          </w:tcPr>
          <w:p>
            <w:pPr>
              <w:jc w:val="right"/>
              <w:ind w:right="305"/>
              <w:spacing w:after="0"/>
              <w:rPr>
                <w:sz w:val="20"/>
                <w:szCs w:val="20"/>
                <w:color w:val="auto"/>
              </w:rPr>
            </w:pPr>
            <w:r>
              <w:rPr>
                <w:rFonts w:ascii="Arial" w:cs="Arial" w:eastAsia="Arial" w:hAnsi="Arial"/>
                <w:sz w:val="14"/>
                <w:szCs w:val="14"/>
                <w:color w:val="auto"/>
              </w:rPr>
              <w:t>$  1,161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r>
    </w:tbl>
    <w:p>
      <w:pPr>
        <w:spacing w:after="0" w:line="126" w:lineRule="exact"/>
        <w:rPr>
          <w:sz w:val="20"/>
          <w:szCs w:val="20"/>
          <w:color w:val="auto"/>
        </w:rPr>
      </w:pPr>
    </w:p>
    <w:p>
      <w:pPr>
        <w:ind w:right="140" w:firstLine="458"/>
        <w:spacing w:after="0" w:line="295" w:lineRule="auto"/>
        <w:rPr>
          <w:sz w:val="20"/>
          <w:szCs w:val="20"/>
          <w:color w:val="auto"/>
        </w:rPr>
      </w:pPr>
      <w:r>
        <w:rPr>
          <w:rFonts w:ascii="Arial" w:cs="Arial" w:eastAsia="Arial" w:hAnsi="Arial"/>
          <w:sz w:val="13"/>
          <w:szCs w:val="13"/>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95" w:lineRule="exact"/>
        <w:rPr>
          <w:sz w:val="20"/>
          <w:szCs w:val="20"/>
          <w:color w:val="auto"/>
        </w:rPr>
      </w:pPr>
    </w:p>
    <w:p>
      <w:pPr>
        <w:ind w:right="40" w:firstLine="458"/>
        <w:spacing w:after="0" w:line="268" w:lineRule="auto"/>
        <w:rPr>
          <w:sz w:val="20"/>
          <w:szCs w:val="20"/>
          <w:color w:val="auto"/>
        </w:rPr>
      </w:pPr>
      <w:r>
        <w:rPr>
          <w:rFonts w:ascii="Arial" w:cs="Arial" w:eastAsia="Arial" w:hAnsi="Arial"/>
          <w:sz w:val="14"/>
          <w:szCs w:val="14"/>
          <w:color w:val="auto"/>
        </w:rPr>
        <w:t>We have two product candidates, GR-MD-02 and GM-CT-01.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anticipate that initial safety and tolerability results, as well as biomarkers to evaluate for potential disease effect, from the first cohort of patients will be available by early April 2014. The second cohort of this Phase 1 trial is expected to start around the end of April 2014. Depending on the results of the Phase 1 study, we expect to initiate a Phase 2 clinical trial in late 2014 to early 2015 to assess the efficacy of GR-MD-02 in patients with NASH and advanced liver fibrosis. The timing of initial results from the Phase 2 trial are dependent upon the trial design but currently are planned to be available in the first half of 2016. Our Phase 2 clinical program is likely to include additional clinical trials to fully characterize human response to GR-MD-02 and to better position the Company for a successful Phase 3 clinical trial program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20" w:top="402"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research and development expenses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160" w:type="dxa"/>
            <w:vAlign w:val="bottom"/>
          </w:tcPr>
          <w:p>
            <w:pPr>
              <w:spacing w:after="0"/>
              <w:rPr>
                <w:sz w:val="10"/>
                <w:szCs w:val="10"/>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2"/>
              </w:rPr>
              <w:t>Year Ended</w:t>
            </w:r>
          </w:p>
        </w:tc>
      </w:tr>
      <w:tr>
        <w:trPr>
          <w:trHeight w:val="133"/>
        </w:trPr>
        <w:tc>
          <w:tcPr>
            <w:tcW w:w="10160" w:type="dxa"/>
            <w:vAlign w:val="bottom"/>
          </w:tcPr>
          <w:p>
            <w:pPr>
              <w:spacing w:after="0"/>
              <w:rPr>
                <w:sz w:val="11"/>
                <w:szCs w:val="11"/>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December 31,</w:t>
            </w:r>
          </w:p>
        </w:tc>
      </w:tr>
      <w:tr>
        <w:trPr>
          <w:trHeight w:val="113"/>
        </w:trPr>
        <w:tc>
          <w:tcPr>
            <w:tcW w:w="1016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ind w:right="36"/>
              <w:spacing w:after="0" w:line="113" w:lineRule="exact"/>
              <w:rPr>
                <w:sz w:val="20"/>
                <w:szCs w:val="20"/>
                <w:color w:val="auto"/>
              </w:rPr>
            </w:pPr>
            <w:r>
              <w:rPr>
                <w:rFonts w:ascii="Arial" w:cs="Arial" w:eastAsia="Arial" w:hAnsi="Arial"/>
                <w:sz w:val="11"/>
                <w:szCs w:val="11"/>
                <w:b w:val="1"/>
                <w:bCs w:val="1"/>
                <w:color w:val="auto"/>
              </w:rPr>
              <w:t>2013</w:t>
            </w:r>
          </w:p>
        </w:tc>
        <w:tc>
          <w:tcPr>
            <w:tcW w:w="820" w:type="dxa"/>
            <w:vAlign w:val="bottom"/>
            <w:tcBorders>
              <w:top w:val="single" w:sz="8" w:color="auto"/>
              <w:bottom w:val="single" w:sz="8" w:color="auto"/>
            </w:tcBorders>
            <w:gridSpan w:val="2"/>
          </w:tcPr>
          <w:p>
            <w:pPr>
              <w:jc w:val="right"/>
              <w:ind w:right="28"/>
              <w:spacing w:after="0" w:line="113" w:lineRule="exact"/>
              <w:rPr>
                <w:sz w:val="20"/>
                <w:szCs w:val="20"/>
                <w:color w:val="auto"/>
              </w:rPr>
            </w:pPr>
            <w:r>
              <w:rPr>
                <w:rFonts w:ascii="Arial" w:cs="Arial" w:eastAsia="Arial" w:hAnsi="Arial"/>
                <w:sz w:val="11"/>
                <w:szCs w:val="11"/>
                <w:b w:val="1"/>
                <w:bCs w:val="1"/>
                <w:color w:val="auto"/>
              </w:rPr>
              <w:t>2012</w:t>
            </w:r>
          </w:p>
        </w:tc>
        <w:tc>
          <w:tcPr>
            <w:tcW w:w="80" w:type="dxa"/>
            <w:vAlign w:val="bottom"/>
          </w:tcPr>
          <w:p>
            <w:pPr>
              <w:spacing w:after="0"/>
              <w:rPr>
                <w:sz w:val="9"/>
                <w:szCs w:val="9"/>
                <w:color w:val="auto"/>
              </w:rPr>
            </w:pPr>
          </w:p>
        </w:tc>
      </w:tr>
      <w:tr>
        <w:trPr>
          <w:trHeight w:val="113"/>
        </w:trPr>
        <w:tc>
          <w:tcPr>
            <w:tcW w:w="10160" w:type="dxa"/>
            <w:vAlign w:val="bottom"/>
          </w:tcPr>
          <w:p>
            <w:pPr>
              <w:spacing w:after="0"/>
              <w:rPr>
                <w:sz w:val="9"/>
                <w:szCs w:val="9"/>
                <w:color w:val="auto"/>
              </w:rPr>
            </w:pPr>
          </w:p>
        </w:tc>
        <w:tc>
          <w:tcPr>
            <w:tcW w:w="1220" w:type="dxa"/>
            <w:vAlign w:val="bottom"/>
            <w:gridSpan w:val="3"/>
          </w:tcPr>
          <w:p>
            <w:pPr>
              <w:jc w:val="center"/>
              <w:spacing w:after="0" w:line="113" w:lineRule="exact"/>
              <w:rPr>
                <w:sz w:val="20"/>
                <w:szCs w:val="20"/>
                <w:color w:val="auto"/>
              </w:rPr>
            </w:pPr>
            <w:r>
              <w:rPr>
                <w:rFonts w:ascii="Arial" w:cs="Arial" w:eastAsia="Arial" w:hAnsi="Arial"/>
                <w:sz w:val="11"/>
                <w:szCs w:val="11"/>
                <w:b w:val="1"/>
                <w:bCs w:val="1"/>
                <w:color w:val="auto"/>
                <w:w w:val="89"/>
              </w:rPr>
              <w:t>(in thousands)</w:t>
            </w:r>
          </w:p>
        </w:tc>
        <w:tc>
          <w:tcPr>
            <w:tcW w:w="80" w:type="dxa"/>
            <w:vAlign w:val="bottom"/>
          </w:tcPr>
          <w:p>
            <w:pPr>
              <w:spacing w:after="0"/>
              <w:rPr>
                <w:sz w:val="9"/>
                <w:szCs w:val="9"/>
                <w:color w:val="auto"/>
              </w:rPr>
            </w:pPr>
          </w:p>
        </w:tc>
      </w:tr>
      <w:tr>
        <w:trPr>
          <w:trHeight w:val="177"/>
        </w:trPr>
        <w:tc>
          <w:tcPr>
            <w:tcW w:w="10160" w:type="dxa"/>
            <w:vAlign w:val="bottom"/>
            <w:shd w:val="clear" w:color="auto" w:fill="CCEEFF"/>
          </w:tcPr>
          <w:p>
            <w:pPr>
              <w:spacing w:after="0"/>
              <w:rPr>
                <w:sz w:val="20"/>
                <w:szCs w:val="20"/>
                <w:color w:val="auto"/>
              </w:rPr>
            </w:pPr>
            <w:r>
              <w:rPr>
                <w:rFonts w:ascii="Arial" w:cs="Arial" w:eastAsia="Arial" w:hAnsi="Arial"/>
                <w:sz w:val="14"/>
                <w:szCs w:val="14"/>
                <w:color w:val="auto"/>
              </w:rPr>
              <w:t>Direct external expenses:</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10160" w:type="dxa"/>
            <w:vAlign w:val="bottom"/>
          </w:tcPr>
          <w:p>
            <w:pPr>
              <w:ind w:left="360"/>
              <w:spacing w:after="0"/>
              <w:rPr>
                <w:sz w:val="20"/>
                <w:szCs w:val="20"/>
                <w:color w:val="auto"/>
              </w:rPr>
            </w:pPr>
            <w:r>
              <w:rPr>
                <w:rFonts w:ascii="Arial" w:cs="Arial" w:eastAsia="Arial" w:hAnsi="Arial"/>
                <w:sz w:val="14"/>
                <w:szCs w:val="14"/>
                <w:color w:val="auto"/>
              </w:rPr>
              <w:t>Clinical programs and pre-clinical activities</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$3,936</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$2,999</w:t>
            </w:r>
          </w:p>
        </w:tc>
      </w:tr>
      <w:tr>
        <w:trPr>
          <w:trHeight w:val="177"/>
        </w:trPr>
        <w:tc>
          <w:tcPr>
            <w:tcW w:w="10160" w:type="dxa"/>
            <w:vAlign w:val="bottom"/>
            <w:shd w:val="clear" w:color="auto" w:fill="CCEEFF"/>
          </w:tcPr>
          <w:p>
            <w:pPr>
              <w:spacing w:after="0"/>
              <w:rPr>
                <w:sz w:val="20"/>
                <w:szCs w:val="20"/>
                <w:color w:val="auto"/>
              </w:rPr>
            </w:pPr>
            <w:r>
              <w:rPr>
                <w:rFonts w:ascii="Arial" w:cs="Arial" w:eastAsia="Arial" w:hAnsi="Arial"/>
                <w:sz w:val="14"/>
                <w:szCs w:val="14"/>
                <w:color w:val="auto"/>
              </w:rPr>
              <w:t>Other research and development expenses:</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10160" w:type="dxa"/>
            <w:vAlign w:val="bottom"/>
          </w:tcPr>
          <w:p>
            <w:pPr>
              <w:ind w:left="360"/>
              <w:spacing w:after="0"/>
              <w:rPr>
                <w:sz w:val="20"/>
                <w:szCs w:val="20"/>
                <w:color w:val="auto"/>
              </w:rPr>
            </w:pPr>
            <w:r>
              <w:rPr>
                <w:rFonts w:ascii="Arial" w:cs="Arial" w:eastAsia="Arial" w:hAnsi="Arial"/>
                <w:sz w:val="14"/>
                <w:szCs w:val="14"/>
                <w:color w:val="auto"/>
              </w:rPr>
              <w:t>Payroll and other</w:t>
            </w:r>
          </w:p>
        </w:tc>
        <w:tc>
          <w:tcPr>
            <w:tcW w:w="400" w:type="dxa"/>
            <w:vAlign w:val="bottom"/>
          </w:tcPr>
          <w:p>
            <w:pPr>
              <w:jc w:val="right"/>
              <w:spacing w:after="0"/>
              <w:rPr>
                <w:sz w:val="20"/>
                <w:szCs w:val="20"/>
                <w:color w:val="auto"/>
              </w:rPr>
            </w:pPr>
            <w:r>
              <w:rPr>
                <w:rFonts w:ascii="Arial" w:cs="Arial" w:eastAsia="Arial" w:hAnsi="Arial"/>
                <w:sz w:val="14"/>
                <w:szCs w:val="14"/>
                <w:color w:val="auto"/>
              </w:rPr>
              <w:t>761</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606</w:t>
            </w:r>
          </w:p>
        </w:tc>
      </w:tr>
      <w:tr>
        <w:trPr>
          <w:trHeight w:val="177"/>
        </w:trPr>
        <w:tc>
          <w:tcPr>
            <w:tcW w:w="10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based compensation</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4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922</w:t>
            </w:r>
          </w:p>
        </w:tc>
      </w:tr>
      <w:tr>
        <w:trPr>
          <w:trHeight w:val="20"/>
        </w:trPr>
        <w:tc>
          <w:tcPr>
            <w:tcW w:w="10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10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5,688</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4,527</w:t>
            </w:r>
          </w:p>
        </w:tc>
      </w:tr>
      <w:tr>
        <w:trPr>
          <w:trHeight w:val="20"/>
        </w:trPr>
        <w:tc>
          <w:tcPr>
            <w:tcW w:w="10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right="120" w:firstLine="458"/>
        <w:spacing w:after="0" w:line="280" w:lineRule="auto"/>
        <w:rPr>
          <w:sz w:val="20"/>
          <w:szCs w:val="20"/>
          <w:color w:val="auto"/>
        </w:rPr>
      </w:pPr>
      <w:r>
        <w:rPr>
          <w:rFonts w:ascii="Arial" w:cs="Arial" w:eastAsia="Arial" w:hAnsi="Arial"/>
          <w:sz w:val="14"/>
          <w:szCs w:val="14"/>
          <w:color w:val="auto"/>
        </w:rPr>
        <w:t>Clinical programs and pre-clinical expenses for the year ended December 31, 2013, increased compared to the same period in 2012, due primarily to costs of $1,892,000 related our Phase 1 clinical trial which began in 2013 offset by decreases in expenses for pre-clinical and drug manufacturing totaling $956,000. We expect as we continue our Phase 1 trial for GR-MD-02 in 2014 and prepare for our Phase 2 program, our clinical and pre-clinical program costs will increase substantially.</w:t>
      </w:r>
    </w:p>
    <w:p>
      <w:pPr>
        <w:spacing w:after="0" w:line="102"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 However, we expect to continue to have substantial research and development expenses for the foreseeable future as we continue to develop our products.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60" w:type="dxa"/>
            <w:vAlign w:val="bottom"/>
          </w:tcPr>
          <w:p>
            <w:pPr>
              <w:jc w:val="center"/>
              <w:ind w:left="365"/>
              <w:spacing w:after="0"/>
              <w:rPr>
                <w:sz w:val="20"/>
                <w:szCs w:val="20"/>
                <w:color w:val="auto"/>
              </w:rPr>
            </w:pPr>
            <w:r>
              <w:rPr>
                <w:rFonts w:ascii="Arial" w:cs="Arial" w:eastAsia="Arial" w:hAnsi="Arial"/>
                <w:sz w:val="11"/>
                <w:szCs w:val="11"/>
                <w:b w:val="1"/>
                <w:bCs w:val="1"/>
                <w:color w:val="auto"/>
                <w:w w:val="87"/>
              </w:rPr>
              <w:t>Year ended</w:t>
            </w: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Pr>
          <w:p>
            <w:pPr>
              <w:jc w:val="center"/>
              <w:ind w:left="365"/>
              <w:spacing w:after="0"/>
              <w:rPr>
                <w:sz w:val="20"/>
                <w:szCs w:val="20"/>
                <w:color w:val="auto"/>
              </w:rPr>
            </w:pPr>
            <w:r>
              <w:rPr>
                <w:rFonts w:ascii="Arial" w:cs="Arial" w:eastAsia="Arial" w:hAnsi="Arial"/>
                <w:sz w:val="11"/>
                <w:szCs w:val="11"/>
                <w:b w:val="1"/>
                <w:bCs w:val="1"/>
                <w:color w:val="auto"/>
                <w:w w:val="89"/>
              </w:rPr>
              <w:t>December 31,</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2013 as Compared to 2012</w:t>
            </w:r>
          </w:p>
        </w:tc>
      </w:tr>
      <w:tr>
        <w:trPr>
          <w:trHeight w:val="113"/>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Borders>
              <w:top w:val="single" w:sz="8" w:color="auto"/>
              <w:bottom w:val="single" w:sz="8" w:color="auto"/>
            </w:tcBorders>
          </w:tcPr>
          <w:p>
            <w:pPr>
              <w:jc w:val="right"/>
              <w:ind w:right="685"/>
              <w:spacing w:after="0" w:line="113" w:lineRule="exact"/>
              <w:rPr>
                <w:sz w:val="20"/>
                <w:szCs w:val="20"/>
                <w:color w:val="auto"/>
              </w:rPr>
            </w:pPr>
            <w:r>
              <w:rPr>
                <w:rFonts w:ascii="Arial" w:cs="Arial" w:eastAsia="Arial" w:hAnsi="Arial"/>
                <w:sz w:val="11"/>
                <w:szCs w:val="11"/>
                <w:b w:val="1"/>
                <w:bCs w:val="1"/>
                <w:color w:val="auto"/>
              </w:rPr>
              <w:t>2013</w:t>
            </w:r>
          </w:p>
        </w:tc>
        <w:tc>
          <w:tcPr>
            <w:tcW w:w="420" w:type="dxa"/>
            <w:vAlign w:val="bottom"/>
            <w:tcBorders>
              <w:top w:val="single" w:sz="8" w:color="auto"/>
              <w:bottom w:val="single" w:sz="8" w:color="auto"/>
            </w:tcBorders>
          </w:tcPr>
          <w:p>
            <w:pPr>
              <w:jc w:val="right"/>
              <w:ind w:right="39"/>
              <w:spacing w:after="0" w:line="113" w:lineRule="exact"/>
              <w:rPr>
                <w:sz w:val="20"/>
                <w:szCs w:val="20"/>
                <w:color w:val="auto"/>
              </w:rPr>
            </w:pPr>
            <w:r>
              <w:rPr>
                <w:rFonts w:ascii="Arial" w:cs="Arial" w:eastAsia="Arial" w:hAnsi="Arial"/>
                <w:sz w:val="11"/>
                <w:szCs w:val="11"/>
                <w:b w:val="1"/>
                <w:bCs w:val="1"/>
                <w:color w:val="auto"/>
              </w:rPr>
              <w:t>2012</w:t>
            </w:r>
          </w:p>
        </w:tc>
        <w:tc>
          <w:tcPr>
            <w:tcW w:w="680" w:type="dxa"/>
            <w:vAlign w:val="bottom"/>
            <w:tcBorders>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center"/>
              <w:ind w:right="325"/>
              <w:spacing w:after="0" w:line="113" w:lineRule="exact"/>
              <w:rPr>
                <w:sz w:val="20"/>
                <w:szCs w:val="20"/>
                <w:color w:val="auto"/>
              </w:rPr>
            </w:pPr>
            <w:r>
              <w:rPr>
                <w:rFonts w:ascii="Arial" w:cs="Arial" w:eastAsia="Arial" w:hAnsi="Arial"/>
                <w:sz w:val="11"/>
                <w:szCs w:val="11"/>
                <w:b w:val="1"/>
                <w:bCs w:val="1"/>
                <w:color w:val="auto"/>
                <w:w w:val="88"/>
              </w:rPr>
              <w:t>$ Change</w:t>
            </w: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 Change</w:t>
            </w:r>
          </w:p>
        </w:tc>
        <w:tc>
          <w:tcPr>
            <w:tcW w:w="160" w:type="dxa"/>
            <w:vAlign w:val="bottom"/>
          </w:tcPr>
          <w:p>
            <w:pPr>
              <w:spacing w:after="0"/>
              <w:rPr>
                <w:sz w:val="9"/>
                <w:szCs w:val="9"/>
                <w:color w:val="auto"/>
              </w:rPr>
            </w:pPr>
          </w:p>
        </w:tc>
      </w:tr>
      <w:tr>
        <w:trPr>
          <w:trHeight w:val="113"/>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60" w:type="dxa"/>
            <w:vAlign w:val="bottom"/>
            <w:gridSpan w:val="3"/>
          </w:tcPr>
          <w:p>
            <w:pPr>
              <w:ind w:left="320"/>
              <w:spacing w:after="0" w:line="113" w:lineRule="exact"/>
              <w:rPr>
                <w:sz w:val="20"/>
                <w:szCs w:val="20"/>
                <w:color w:val="auto"/>
              </w:rPr>
            </w:pPr>
            <w:r>
              <w:rPr>
                <w:rFonts w:ascii="Arial" w:cs="Arial" w:eastAsia="Arial" w:hAnsi="Arial"/>
                <w:sz w:val="11"/>
                <w:szCs w:val="11"/>
                <w:b w:val="1"/>
                <w:bCs w:val="1"/>
                <w:color w:val="auto"/>
              </w:rPr>
              <w:t>(in thousands, except %)</w:t>
            </w: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77"/>
        </w:trPr>
        <w:tc>
          <w:tcPr>
            <w:tcW w:w="2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3500" w:type="dxa"/>
            <w:vAlign w:val="bottom"/>
            <w:gridSpan w:val="2"/>
            <w:shd w:val="clear" w:color="auto" w:fill="CCEEFF"/>
          </w:tcPr>
          <w:p>
            <w:pPr>
              <w:jc w:val="right"/>
              <w:ind w:right="605"/>
              <w:spacing w:after="0"/>
              <w:rPr>
                <w:sz w:val="20"/>
                <w:szCs w:val="20"/>
                <w:color w:val="auto"/>
              </w:rPr>
            </w:pPr>
            <w:r>
              <w:rPr>
                <w:rFonts w:ascii="Arial" w:cs="Arial" w:eastAsia="Arial" w:hAnsi="Arial"/>
                <w:sz w:val="14"/>
                <w:szCs w:val="14"/>
                <w:color w:val="auto"/>
              </w:rPr>
              <w:t>$6,416</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$5,372</w:t>
            </w:r>
          </w:p>
        </w:tc>
        <w:tc>
          <w:tcPr>
            <w:tcW w:w="1540" w:type="dxa"/>
            <w:vAlign w:val="bottom"/>
            <w:gridSpan w:val="2"/>
            <w:shd w:val="clear" w:color="auto" w:fill="CCEEFF"/>
          </w:tcPr>
          <w:p>
            <w:pPr>
              <w:jc w:val="right"/>
              <w:ind w:right="305"/>
              <w:spacing w:after="0"/>
              <w:rPr>
                <w:sz w:val="20"/>
                <w:szCs w:val="20"/>
                <w:color w:val="auto"/>
              </w:rPr>
            </w:pPr>
            <w:r>
              <w:rPr>
                <w:rFonts w:ascii="Arial" w:cs="Arial" w:eastAsia="Arial" w:hAnsi="Arial"/>
                <w:sz w:val="14"/>
                <w:szCs w:val="14"/>
                <w:color w:val="auto"/>
              </w:rPr>
              <w:t>$  1,044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r>
    </w:tbl>
    <w:p>
      <w:pPr>
        <w:spacing w:after="0" w:line="126" w:lineRule="exact"/>
        <w:rPr>
          <w:sz w:val="20"/>
          <w:szCs w:val="20"/>
          <w:color w:val="auto"/>
        </w:rPr>
      </w:pPr>
    </w:p>
    <w:p>
      <w:pPr>
        <w:ind w:right="80" w:firstLine="458"/>
        <w:spacing w:after="0" w:line="297" w:lineRule="auto"/>
        <w:rPr>
          <w:sz w:val="20"/>
          <w:szCs w:val="20"/>
          <w:color w:val="auto"/>
        </w:rPr>
      </w:pPr>
      <w:r>
        <w:rPr>
          <w:rFonts w:ascii="Arial" w:cs="Arial" w:eastAsia="Arial" w:hAnsi="Arial"/>
          <w:sz w:val="13"/>
          <w:szCs w:val="13"/>
          <w:color w:val="auto"/>
        </w:rPr>
        <w:t>General and administrative expenses consist primarily of salaries including stock based compensation, legal and accounting fees, insurance, investor relations, business development and other office related expenses. The primary reasons for the increase for the year ended December 31, 2013 as compared to the same period for 2012 are due to increased stock-based compensation of $928,000, increased legal expenses of $49,000 related to our ongoing litigation with Dr. Platt, increased insurance expense of $92,000 and increased investor relations expense of $66,000, offset by decreased rent expense of $177,000. The primary reason for the increase in stock-based compensation for the year ended December 31, 2013 was due to a modification in September 2013 of certain vested options held by a former board member to extend the contractual exercise period through the original expiration dates as opposed to 90 days after service on the board ended.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402"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Income and Expense</w:t>
      </w:r>
    </w:p>
    <w:p>
      <w:pPr>
        <w:spacing w:after="0" w:line="83" w:lineRule="exact"/>
        <w:rPr>
          <w:sz w:val="20"/>
          <w:szCs w:val="20"/>
          <w:color w:val="auto"/>
        </w:rPr>
      </w:pPr>
    </w:p>
    <w:p>
      <w:pPr>
        <w:ind w:right="100" w:firstLine="458"/>
        <w:spacing w:after="0" w:line="296" w:lineRule="auto"/>
        <w:rPr>
          <w:sz w:val="20"/>
          <w:szCs w:val="20"/>
          <w:color w:val="auto"/>
        </w:rPr>
      </w:pPr>
      <w:r>
        <w:rPr>
          <w:rFonts w:ascii="Arial" w:cs="Arial" w:eastAsia="Arial" w:hAnsi="Arial"/>
          <w:sz w:val="14"/>
          <w:szCs w:val="14"/>
          <w:color w:val="auto"/>
        </w:rPr>
        <w:t>During the year ended December 31, 2012, other income and expense consisted primarily of the $200,000 payment from PROCAPS which was previously accounted for as deferred income and recognized upon the termination of the PROCAPS Agreement, as previously described.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87"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2013, we raised a net total of $77.4 million from these offerings. At December 31, 2013, the Company had $10,489,000 of unrestricted cash and cash equivalents available to fund future operations. Additionally, in January and February 2014, the Company received $28,178,000 in net proceeds from the issuance of common stock at then-current market prices through its at the market (“ATM”) financing arrangement and $1,500,000 from the exercise of stock purchase warrants. The Company currently believes there is sufficient cash to fund currently planned operations through 2015. We will require more cash to fund our operations after 2015 and believe we will be able to obtain additional financing. However, there can be no assurance that we will be successful in obtaining such new financing or, if available, that such financing will be on terms favorable to us. If we are unsuccessful in raising additional capital to fund operations after 2015, we may be required to cease operations or seek bankruptcy protection.</w:t>
      </w:r>
    </w:p>
    <w:p>
      <w:pPr>
        <w:spacing w:after="0" w:line="97" w:lineRule="exact"/>
        <w:rPr>
          <w:sz w:val="20"/>
          <w:szCs w:val="20"/>
          <w:color w:val="auto"/>
        </w:rPr>
      </w:pPr>
    </w:p>
    <w:p>
      <w:pPr>
        <w:ind w:right="80" w:firstLine="458"/>
        <w:spacing w:after="0" w:line="302" w:lineRule="auto"/>
        <w:rPr>
          <w:sz w:val="20"/>
          <w:szCs w:val="20"/>
          <w:color w:val="auto"/>
        </w:rPr>
      </w:pPr>
      <w:r>
        <w:rPr>
          <w:rFonts w:ascii="Arial" w:cs="Arial" w:eastAsia="Arial" w:hAnsi="Arial"/>
          <w:sz w:val="13"/>
          <w:szCs w:val="13"/>
          <w:color w:val="auto"/>
        </w:rPr>
        <w:t>We have accrued an expense of $1,000,000 that is payable to David Platt, Ph.D., the Company’s former Chief Executive Officer and Chairman of the Board of Directors, upon certain company milestone events occurring in 2013 pursuant to his Separation Agreement with the Company; however, on March 29, 2013, we instituted arbitration before the American Arbitration Association, seeking to rescind or reform the Separation Agreement. Depending on the outcome of the arbitration, the accrual could be reversed. The timing and ultimate outcome of this arbitration, though, is uncertain and there is no guarantee that we will be successful in this demand. See “Item 3. Legal Proceedings” for further description of the arbitration.</w:t>
      </w:r>
    </w:p>
    <w:p>
      <w:pPr>
        <w:spacing w:after="0" w:line="90" w:lineRule="exact"/>
        <w:rPr>
          <w:sz w:val="20"/>
          <w:szCs w:val="20"/>
          <w:color w:val="auto"/>
        </w:rPr>
      </w:pPr>
    </w:p>
    <w:p>
      <w:pPr>
        <w:ind w:right="140" w:firstLine="458"/>
        <w:spacing w:after="0" w:line="280" w:lineRule="auto"/>
        <w:rPr>
          <w:sz w:val="20"/>
          <w:szCs w:val="20"/>
          <w:color w:val="auto"/>
        </w:rPr>
      </w:pPr>
      <w:r>
        <w:rPr>
          <w:rFonts w:ascii="Arial" w:cs="Arial" w:eastAsia="Arial" w:hAnsi="Arial"/>
          <w:sz w:val="14"/>
          <w:szCs w:val="14"/>
          <w:color w:val="auto"/>
        </w:rPr>
        <w:t>Net cash used in operations decreased by $16,000 to $7,484,000 for 2013, as compared to $7,500,000 for 2012. Cash operating expenses increased principally due to increased research and development activities primarily related to our fibrosis development and Phase 1 clinical trial for GR-MD-02 begun in 2013, offset by an increase in accounts payable and accrued expenses at December 31, 2013 over December 31, 2012.</w:t>
      </w:r>
    </w:p>
    <w:p>
      <w:pPr>
        <w:spacing w:after="0" w:line="102" w:lineRule="exact"/>
        <w:rPr>
          <w:sz w:val="20"/>
          <w:szCs w:val="20"/>
          <w:color w:val="auto"/>
        </w:rPr>
      </w:pPr>
    </w:p>
    <w:p>
      <w:pPr>
        <w:ind w:right="180" w:firstLine="458"/>
        <w:spacing w:after="0" w:line="296" w:lineRule="auto"/>
        <w:rPr>
          <w:sz w:val="20"/>
          <w:szCs w:val="20"/>
          <w:color w:val="auto"/>
        </w:rPr>
      </w:pPr>
      <w:r>
        <w:rPr>
          <w:rFonts w:ascii="Arial" w:cs="Arial" w:eastAsia="Arial" w:hAnsi="Arial"/>
          <w:sz w:val="14"/>
          <w:szCs w:val="14"/>
          <w:color w:val="auto"/>
        </w:rPr>
        <w:t>Cash provided by investing activities during 2012 consisted of a decrease in restricted cash by $64,000 as our $59,000 secured letter of credit for office space and $10,000 of secured credit cards were released, offset by equipment purchases of $5,000. There were no equipment purchases or other investing activities in 2013.</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cash provided by financing activities was $8,609,000 during 2013 as compared to $10,403,000 during 2012, due primarily to the transaction described below.</w:t>
      </w:r>
    </w:p>
    <w:p>
      <w:pPr>
        <w:spacing w:after="0" w:line="149" w:lineRule="exact"/>
        <w:rPr>
          <w:sz w:val="20"/>
          <w:szCs w:val="20"/>
          <w:color w:val="auto"/>
        </w:rPr>
      </w:pPr>
    </w:p>
    <w:p>
      <w:pPr>
        <w:jc w:val="both"/>
        <w:ind w:firstLine="458"/>
        <w:spacing w:after="0" w:line="280" w:lineRule="auto"/>
        <w:rPr>
          <w:sz w:val="20"/>
          <w:szCs w:val="20"/>
          <w:color w:val="auto"/>
        </w:rPr>
      </w:pPr>
      <w:r>
        <w:rPr>
          <w:rFonts w:ascii="Arial" w:cs="Arial" w:eastAsia="Arial" w:hAnsi="Arial"/>
          <w:sz w:val="14"/>
          <w:szCs w:val="14"/>
          <w:color w:val="auto"/>
        </w:rPr>
        <w:t>In 2013, we received $4,776,000 from the exercise of stock options and warrants. Additionally, in 2013, we received $3,000,000 from a private placement of unregistered common stock and received $833,000 in net proceeds from our at the market stock issuance program. On March 28, 2012, we issued 2,666,722 shares of common stock and related $5.63 warrants to purchase 1,333,361 shares of common stock, resulting in gross proceeds of $12,000,000 (net proceeds of $10,403,000).</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Operating leases.</w:t>
      </w:r>
    </w:p>
    <w:p>
      <w:pPr>
        <w:spacing w:after="0" w:line="83" w:lineRule="exact"/>
        <w:rPr>
          <w:sz w:val="20"/>
          <w:szCs w:val="20"/>
          <w:color w:val="auto"/>
        </w:rPr>
      </w:pPr>
    </w:p>
    <w:p>
      <w:pPr>
        <w:ind w:right="180" w:firstLine="458"/>
        <w:spacing w:after="0" w:line="296" w:lineRule="auto"/>
        <w:rPr>
          <w:sz w:val="20"/>
          <w:szCs w:val="20"/>
          <w:color w:val="auto"/>
        </w:rPr>
      </w:pPr>
      <w:r>
        <w:rPr>
          <w:rFonts w:ascii="Arial" w:cs="Arial" w:eastAsia="Arial" w:hAnsi="Arial"/>
          <w:sz w:val="14"/>
          <w:szCs w:val="14"/>
          <w:color w:val="auto"/>
        </w:rPr>
        <w:t>In September 2012, we entered into an operating lease for office space in Norcross, GA for a term of twenty-six months, beginning on October 1, 2012 and ending November 30, 2014 at a rate of $3,000 per month.</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402"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100"/>
        <w:spacing w:after="0" w:line="296" w:lineRule="auto"/>
        <w:rPr>
          <w:sz w:val="20"/>
          <w:szCs w:val="20"/>
          <w:color w:val="auto"/>
        </w:rPr>
      </w:pPr>
      <w:r>
        <w:rPr>
          <w:rFonts w:ascii="Arial" w:cs="Arial" w:eastAsia="Arial" w:hAnsi="Arial"/>
          <w:sz w:val="14"/>
          <w:szCs w:val="14"/>
          <w:color w:val="auto"/>
        </w:rPr>
        <w:t>The lease provides for free rent for the first two months of the lease and required a security deposit of $6,000. In addition to base rental payments included in the contractual obligations table above, we are responsible for our pro-rata share of the operating expenses for the building.</w:t>
      </w:r>
    </w:p>
    <w:p>
      <w:pPr>
        <w:spacing w:after="0" w:line="91" w:lineRule="exact"/>
        <w:rPr>
          <w:sz w:val="20"/>
          <w:szCs w:val="20"/>
          <w:color w:val="auto"/>
        </w:rPr>
      </w:pPr>
    </w:p>
    <w:p>
      <w:pPr>
        <w:ind w:right="100" w:firstLine="458"/>
        <w:spacing w:after="0" w:line="337" w:lineRule="auto"/>
        <w:rPr>
          <w:sz w:val="20"/>
          <w:szCs w:val="20"/>
          <w:color w:val="auto"/>
        </w:rPr>
      </w:pPr>
      <w:r>
        <w:rPr>
          <w:rFonts w:ascii="Arial" w:cs="Arial" w:eastAsia="Arial" w:hAnsi="Arial"/>
          <w:sz w:val="13"/>
          <w:szCs w:val="13"/>
          <w:color w:val="auto"/>
        </w:rPr>
        <w:t>In October 2012, we entered into an operating lease for office space collocated with lab space for research and development activities in Massachusetts. The lease is for a period of one year, beginning on October 1, 2012, for a rate of $15,000 for the term, payable in equal monthly increments. This lease was continued on a month to month basis from October 1, 2013.</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Separation agreement.</w:t>
      </w:r>
    </w:p>
    <w:p>
      <w:pPr>
        <w:spacing w:after="0" w:line="83" w:lineRule="exact"/>
        <w:rPr>
          <w:sz w:val="20"/>
          <w:szCs w:val="20"/>
          <w:color w:val="auto"/>
        </w:rPr>
      </w:pPr>
    </w:p>
    <w:p>
      <w:pPr>
        <w:ind w:firstLine="458"/>
        <w:spacing w:after="0" w:line="268" w:lineRule="auto"/>
        <w:rPr>
          <w:sz w:val="20"/>
          <w:szCs w:val="20"/>
          <w:color w:val="auto"/>
        </w:rPr>
      </w:pPr>
      <w:r>
        <w:rPr>
          <w:rFonts w:ascii="Arial" w:cs="Arial" w:eastAsia="Arial" w:hAnsi="Arial"/>
          <w:sz w:val="14"/>
          <w:szCs w:val="14"/>
          <w:color w:val="auto"/>
        </w:rPr>
        <w:t>As described above under “Legal Proceedings,” the Company has recognized a $1.0 million severance payment due to David Platt, Ph.D., its former Chief Executive Officer and Chairman of the Board of Directors, and the amount is included in accrued expenses at September 30, 2013 and December 31, 2012. On May 2, 2012, Dr. Platt instituted an arbitration proceeding with the American Arbitration Association seeking a $1 million payment pursuant to the terms of his Separation Agreement with the Company. While his demand was denied by the arbitrator in November 2012, Dr. Platt commenced a lawsuit under the Massachusetts Wage Act against Dr. Traber and Thomas McGauley, who in their capacities as the Company’s Chief Executive Officer and the Company’s former Chief Financial Officer, respectively, can be held individually liable under the Wage Act for non-payment of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On April 29, 2013, the Court allowed Dr. Traber’s and Mr. McGauley’s motion to dismiss. On May 28, 2013, Dr. Platt filed a Notice of Appeal to appeal the Court’s order allowing the defendants’ motion to dismiss.</w:t>
      </w:r>
    </w:p>
    <w:p>
      <w:pPr>
        <w:spacing w:after="0" w:line="114" w:lineRule="exact"/>
        <w:rPr>
          <w:sz w:val="20"/>
          <w:szCs w:val="20"/>
          <w:color w:val="auto"/>
        </w:rPr>
      </w:pPr>
    </w:p>
    <w:p>
      <w:pPr>
        <w:jc w:val="both"/>
        <w:ind w:right="80" w:firstLine="458"/>
        <w:spacing w:after="0" w:line="280" w:lineRule="auto"/>
        <w:rPr>
          <w:sz w:val="20"/>
          <w:szCs w:val="20"/>
          <w:color w:val="auto"/>
        </w:rPr>
      </w:pPr>
      <w:r>
        <w:rPr>
          <w:rFonts w:ascii="Arial" w:cs="Arial" w:eastAsia="Arial" w:hAnsi="Arial"/>
          <w:sz w:val="14"/>
          <w:szCs w:val="14"/>
          <w:color w:val="auto"/>
        </w:rPr>
        <w:t>On March 29, 2013, the Company instituted arbitration before the American Arbitration Association, seeking to rescind or reform the Separation Agreement. On August 1, 2013 the market capitalization of the Company’s common stock exceeded $100 million and the Company received a letter from Dr. Platt dated October 1, 2013, demanding payment of the $1 million. The Company expects to delay payment pending the outcome of the arbitration instituted against Dr. Platt.</w:t>
      </w:r>
    </w:p>
    <w:p>
      <w:pPr>
        <w:spacing w:after="0" w:line="102" w:lineRule="exact"/>
        <w:rPr>
          <w:sz w:val="20"/>
          <w:szCs w:val="20"/>
          <w:color w:val="auto"/>
        </w:rPr>
      </w:pPr>
    </w:p>
    <w:p>
      <w:pPr>
        <w:ind w:right="20" w:firstLine="458"/>
        <w:spacing w:after="0" w:line="296" w:lineRule="auto"/>
        <w:rPr>
          <w:sz w:val="20"/>
          <w:szCs w:val="20"/>
          <w:color w:val="auto"/>
        </w:rPr>
      </w:pPr>
      <w:r>
        <w:rPr>
          <w:rFonts w:ascii="Arial" w:cs="Arial" w:eastAsia="Arial" w:hAnsi="Arial"/>
          <w:sz w:val="14"/>
          <w:szCs w:val="14"/>
          <w:color w:val="auto"/>
        </w:rPr>
        <w:t>Depending on the outcome of the arbitration and litigation, the Company could be required to pay Dr. Platt the $1.0 million, and possibly multiple damages, interest and attorney’s fees, or the previously accrued $1.0 million could be reversed, See “Legal Proceedings” for further description.</w:t>
      </w:r>
    </w:p>
    <w:p>
      <w:pPr>
        <w:spacing w:after="0" w:line="87" w:lineRule="exact"/>
        <w:rPr>
          <w:sz w:val="20"/>
          <w:szCs w:val="20"/>
          <w:color w:val="auto"/>
        </w:rPr>
      </w:pPr>
    </w:p>
    <w:p>
      <w:pPr>
        <w:ind w:right="600" w:firstLine="458"/>
        <w:spacing w:after="0" w:line="302" w:lineRule="auto"/>
        <w:rPr>
          <w:sz w:val="20"/>
          <w:szCs w:val="20"/>
          <w:color w:val="auto"/>
        </w:rPr>
      </w:pPr>
      <w:r>
        <w:rPr>
          <w:rFonts w:ascii="Arial" w:cs="Arial" w:eastAsia="Arial" w:hAnsi="Arial"/>
          <w:sz w:val="14"/>
          <w:szCs w:val="14"/>
          <w:b w:val="1"/>
          <w:bCs w:val="1"/>
          <w:i w:val="1"/>
          <w:iCs w:val="1"/>
          <w:color w:val="auto"/>
        </w:rPr>
        <w:t>Other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have engaged outside vendors for certain services associated with our clinical trials. These services are generally available from several providers and, accordingly,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arrangements are typically cancellable on 30 days notice.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83" w:lineRule="exact"/>
        <w:rPr>
          <w:sz w:val="20"/>
          <w:szCs w:val="20"/>
          <w:color w:val="auto"/>
        </w:rPr>
      </w:pPr>
    </w:p>
    <w:p>
      <w:pPr>
        <w:ind w:right="240" w:firstLine="458"/>
        <w:spacing w:after="0" w:line="280" w:lineRule="auto"/>
        <w:rPr>
          <w:sz w:val="20"/>
          <w:szCs w:val="20"/>
          <w:color w:val="auto"/>
        </w:rPr>
      </w:pPr>
      <w:r>
        <w:rPr>
          <w:rFonts w:ascii="Arial" w:cs="Arial" w:eastAsia="Arial" w:hAnsi="Arial"/>
          <w:sz w:val="14"/>
          <w:szCs w:val="14"/>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7" w:lineRule="exact"/>
        <w:rPr>
          <w:sz w:val="20"/>
          <w:szCs w:val="20"/>
          <w:color w:val="auto"/>
        </w:rPr>
      </w:pPr>
    </w:p>
    <w:p>
      <w:pPr>
        <w:ind w:right="240" w:firstLine="458"/>
        <w:spacing w:after="0" w:line="280" w:lineRule="auto"/>
        <w:rPr>
          <w:sz w:val="20"/>
          <w:szCs w:val="20"/>
          <w:color w:val="auto"/>
        </w:rPr>
      </w:pPr>
      <w:r>
        <w:rPr>
          <w:rFonts w:ascii="Arial" w:cs="Arial" w:eastAsia="Arial" w:hAnsi="Arial"/>
          <w:sz w:val="14"/>
          <w:szCs w:val="14"/>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402"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80"/>
        <w:spacing w:after="0" w:line="327" w:lineRule="auto"/>
        <w:rPr>
          <w:sz w:val="20"/>
          <w:szCs w:val="20"/>
          <w:color w:val="auto"/>
        </w:rPr>
      </w:pPr>
      <w:r>
        <w:rPr>
          <w:rFonts w:ascii="Arial" w:cs="Arial" w:eastAsia="Arial" w:hAnsi="Arial"/>
          <w:sz w:val="12"/>
          <w:szCs w:val="12"/>
          <w:color w:val="auto"/>
        </w:rPr>
        <w:t>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useful lives and potential impairment of property and equipment and intangible assets, accrued liabilities, deferred income taxes and cash flow.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80" w:lineRule="exact"/>
        <w:rPr>
          <w:sz w:val="20"/>
          <w:szCs w:val="20"/>
          <w:color w:val="auto"/>
        </w:rPr>
      </w:pPr>
    </w:p>
    <w:p>
      <w:pPr>
        <w:ind w:right="60" w:firstLine="458"/>
        <w:spacing w:after="0" w:line="268" w:lineRule="auto"/>
        <w:rPr>
          <w:sz w:val="20"/>
          <w:szCs w:val="20"/>
          <w:color w:val="auto"/>
        </w:rPr>
      </w:pPr>
      <w:r>
        <w:rPr>
          <w:rFonts w:ascii="Arial" w:cs="Arial" w:eastAsia="Arial" w:hAnsi="Arial"/>
          <w:sz w:val="14"/>
          <w:szCs w:val="14"/>
          <w:i w:val="1"/>
          <w:iCs w:val="1"/>
          <w:color w:val="auto"/>
        </w:rPr>
        <w:t>Accrued Expenses</w:t>
      </w:r>
      <w:r>
        <w:rPr>
          <w:rFonts w:ascii="Arial" w:cs="Arial" w:eastAsia="Arial" w:hAnsi="Arial"/>
          <w:sz w:val="14"/>
          <w:szCs w:val="14"/>
          <w:color w:val="auto"/>
        </w:rPr>
        <w:t>. As part of the process of preparing our consolidated financial statements, we are required to estimate accrued expenses. This process involves identifying services that</w:t>
      </w:r>
      <w:r>
        <w:rPr>
          <w:rFonts w:ascii="Arial" w:cs="Arial" w:eastAsia="Arial" w:hAnsi="Arial"/>
          <w:sz w:val="14"/>
          <w:szCs w:val="14"/>
          <w:i w:val="1"/>
          <w:iCs w:val="1"/>
          <w:color w:val="auto"/>
        </w:rPr>
        <w:t xml:space="preserve"> </w:t>
      </w:r>
      <w:r>
        <w:rPr>
          <w:rFonts w:ascii="Arial" w:cs="Arial" w:eastAsia="Arial" w:hAnsi="Arial"/>
          <w:sz w:val="14"/>
          <w:szCs w:val="14"/>
          <w:color w:val="auto"/>
        </w:rPr>
        <w:t>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14"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Warrants</w:t>
      </w:r>
      <w:r>
        <w:rPr>
          <w:rFonts w:ascii="Arial" w:cs="Arial" w:eastAsia="Arial" w:hAnsi="Arial"/>
          <w:sz w:val="14"/>
          <w:szCs w:val="14"/>
          <w:color w:val="auto"/>
        </w:rPr>
        <w:t>. We have issued common stock warrants in connection with the execution of certain equity and debt financings and consulting agreements. Certain warrants, no longer</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had been accounted for as derivative liabilities at fair value. Such warrants did not meet the criteria that a contract should not be considered a derivative instrument if it is (1) indexed to its own stock and (2) classified in stockholders’ equity. Changes in fair value of derivative liabilities were recorded in the consolidated statement of operations under the caption “Change in fair value of warrant liabilities.” Warrants that are not considered derivative liabilities are accounted for at fair value at the date of issuance in additional paid-in capital. The fair value of warrants is determined using the Black-Scholes option-pricing model using assumptions regarding volatility of our common share price, remaining life of the warrant, and risk-free interest rates at each period end. There were no warrant liabilities as of December 31, 2013 or 2012.</w:t>
      </w:r>
    </w:p>
    <w:p>
      <w:pPr>
        <w:spacing w:after="0" w:line="110"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i w:val="1"/>
          <w:iCs w:val="1"/>
          <w:color w:val="auto"/>
        </w:rPr>
        <w:t>Stock-Based Compensation</w:t>
      </w:r>
      <w:r>
        <w:rPr>
          <w:rFonts w:ascii="Arial" w:cs="Arial" w:eastAsia="Arial" w:hAnsi="Arial"/>
          <w:sz w:val="13"/>
          <w:szCs w:val="13"/>
          <w:color w:val="auto"/>
        </w:rPr>
        <w:t>. Stock-based compensation cost is measured at the grant date based on the fair value of the award and is recognized as expense over the service period, which</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97" w:lineRule="exact"/>
        <w:rPr>
          <w:sz w:val="20"/>
          <w:szCs w:val="20"/>
          <w:color w:val="auto"/>
        </w:rPr>
      </w:pPr>
    </w:p>
    <w:p>
      <w:pPr>
        <w:ind w:right="160" w:firstLine="458"/>
        <w:spacing w:after="0" w:line="296" w:lineRule="auto"/>
        <w:rPr>
          <w:sz w:val="20"/>
          <w:szCs w:val="20"/>
          <w:color w:val="auto"/>
        </w:rPr>
      </w:pPr>
      <w:r>
        <w:rPr>
          <w:rFonts w:ascii="Arial" w:cs="Arial" w:eastAsia="Arial" w:hAnsi="Arial"/>
          <w:sz w:val="14"/>
          <w:szCs w:val="14"/>
          <w:i w:val="1"/>
          <w:iCs w:val="1"/>
          <w:color w:val="auto"/>
        </w:rPr>
        <w:t xml:space="preserve">Research and Development Expenses. </w:t>
      </w:r>
      <w:r>
        <w:rPr>
          <w:rFonts w:ascii="Arial" w:cs="Arial" w:eastAsia="Arial" w:hAnsi="Arial"/>
          <w:sz w:val="14"/>
          <w:szCs w:val="14"/>
          <w:color w:val="auto"/>
        </w:rPr>
        <w:t>Costs associated with research and development are expensed as incurred. Research and development expenses include, among other costs, salaries</w:t>
      </w:r>
      <w:r>
        <w:rPr>
          <w:rFonts w:ascii="Arial" w:cs="Arial" w:eastAsia="Arial" w:hAnsi="Arial"/>
          <w:sz w:val="14"/>
          <w:szCs w:val="14"/>
          <w:i w:val="1"/>
          <w:iCs w:val="1"/>
          <w:color w:val="auto"/>
        </w:rPr>
        <w:t xml:space="preserve"> </w:t>
      </w:r>
      <w:r>
        <w:rPr>
          <w:rFonts w:ascii="Arial" w:cs="Arial" w:eastAsia="Arial" w:hAnsi="Arial"/>
          <w:sz w:val="14"/>
          <w:szCs w:val="14"/>
          <w:color w:val="auto"/>
        </w:rPr>
        <w:t>and other personnel-related costs, and costs incurred by outside laboratories and other accredited facilities in connection with clinical trials and preclinical studies.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402"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Forward-Looking Statements</w:t>
      </w:r>
    </w:p>
    <w:p>
      <w:pPr>
        <w:spacing w:after="0" w:line="87"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Certain statements made herein that look forward in time or express management’s expectations or beliefs with respect to the occurrence of future events are forward-looking statements as defined under Section 21E of the Securities Exchange Act of 1934, as amended, and are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operations through 2015;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30" w:lineRule="exact"/>
        <w:rPr>
          <w:sz w:val="20"/>
          <w:szCs w:val="20"/>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early stage of development,</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have incurred significant operating losses since our inception and cannot assure you that we will generate revenue or profit,</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dependence on outside capital,</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be unable to enter into strategic partnerships for the development, commercialization, manufacturing and distribution of our proposed product candidates,</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uncertainties related to our technology and clinical trials,</w:t>
      </w:r>
    </w:p>
    <w:p>
      <w:pPr>
        <w:spacing w:after="0" w:line="82" w:lineRule="exact"/>
        <w:rPr>
          <w:rFonts w:ascii="Arial" w:cs="Arial" w:eastAsia="Arial" w:hAnsi="Arial"/>
          <w:sz w:val="14"/>
          <w:szCs w:val="14"/>
          <w:color w:val="auto"/>
        </w:rPr>
      </w:pPr>
    </w:p>
    <w:p>
      <w:pPr>
        <w:ind w:left="900" w:right="120" w:hanging="326"/>
        <w:spacing w:after="0" w:line="296"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be unable to demonstrate the efficacy and safety of our developmental product candidates in human trials, intellectual property protection, and we may be unable to improve upon, protect and/or enforce our intellectual property,</w:t>
      </w:r>
    </w:p>
    <w:p>
      <w:pPr>
        <w:spacing w:after="0" w:line="24" w:lineRule="exact"/>
        <w:rPr>
          <w:rFonts w:ascii="Arial" w:cs="Arial" w:eastAsia="Arial" w:hAnsi="Arial"/>
          <w:sz w:val="14"/>
          <w:szCs w:val="14"/>
          <w:color w:val="auto"/>
        </w:rPr>
      </w:pPr>
    </w:p>
    <w:p>
      <w:pPr>
        <w:ind w:left="900" w:right="100" w:hanging="326"/>
        <w:spacing w:after="0" w:line="296"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4"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competition and stock price volatility in the biotechnology industry,</w:t>
      </w:r>
    </w:p>
    <w:p>
      <w:pPr>
        <w:spacing w:after="0" w:line="82" w:lineRule="exact"/>
        <w:rPr>
          <w:rFonts w:ascii="Arial" w:cs="Arial" w:eastAsia="Arial" w:hAnsi="Arial"/>
          <w:sz w:val="14"/>
          <w:szCs w:val="14"/>
          <w:color w:val="auto"/>
        </w:rPr>
      </w:pPr>
    </w:p>
    <w:p>
      <w:pPr>
        <w:ind w:left="900" w:hanging="326"/>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limited trading volume for our stock, concentration of ownership of our stock, and other risks detailed herein and from time to time in our SEC reports.</w:t>
      </w:r>
    </w:p>
    <w:p>
      <w:pPr>
        <w:spacing w:after="0" w:line="14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402" w:right="21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called for by this Item is not applicable to us because we are a smaller reporting company.</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financial statements required by this item are attached to this Annual Report on Form 10-K beginning on Page F-1.</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 Evaluation of Disclosure Controls and Procedures</w:t>
      </w:r>
    </w:p>
    <w:p>
      <w:pPr>
        <w:spacing w:after="0" w:line="83" w:lineRule="exact"/>
        <w:rPr>
          <w:sz w:val="20"/>
          <w:szCs w:val="20"/>
          <w:color w:val="auto"/>
        </w:rPr>
      </w:pPr>
    </w:p>
    <w:p>
      <w:pPr>
        <w:ind w:firstLine="458"/>
        <w:spacing w:after="0" w:line="272" w:lineRule="auto"/>
        <w:rPr>
          <w:sz w:val="20"/>
          <w:szCs w:val="20"/>
          <w:color w:val="auto"/>
        </w:rPr>
      </w:pPr>
      <w:r>
        <w:rPr>
          <w:rFonts w:ascii="Arial" w:cs="Arial" w:eastAsia="Arial" w:hAnsi="Arial"/>
          <w:sz w:val="14"/>
          <w:szCs w:val="14"/>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2013. Our management has concluded, based on their evaluation, that our disclosure controls and procedures were effective as of December 31, 2013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(b) Management’s Annual Report on Internal Control Over Financial Reporting</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05" w:lineRule="exact"/>
        <w:rPr>
          <w:sz w:val="20"/>
          <w:szCs w:val="20"/>
          <w:color w:val="auto"/>
        </w:rPr>
      </w:pPr>
    </w:p>
    <w:p>
      <w:pPr>
        <w:ind w:left="620" w:hanging="153"/>
        <w:spacing w:after="0"/>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a company;</w:t>
      </w:r>
    </w:p>
    <w:p>
      <w:pPr>
        <w:spacing w:after="0" w:line="149" w:lineRule="exact"/>
        <w:rPr>
          <w:rFonts w:ascii="Arial" w:cs="Arial" w:eastAsia="Arial" w:hAnsi="Arial"/>
          <w:sz w:val="14"/>
          <w:szCs w:val="14"/>
          <w:color w:val="auto"/>
        </w:rPr>
      </w:pPr>
    </w:p>
    <w:p>
      <w:pPr>
        <w:ind w:firstLine="467"/>
        <w:spacing w:after="0" w:line="296" w:lineRule="auto"/>
        <w:tabs>
          <w:tab w:leader="none" w:pos="6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90" w:lineRule="exact"/>
        <w:rPr>
          <w:rFonts w:ascii="Arial" w:cs="Arial" w:eastAsia="Arial" w:hAnsi="Arial"/>
          <w:sz w:val="14"/>
          <w:szCs w:val="14"/>
          <w:color w:val="auto"/>
        </w:rPr>
      </w:pPr>
    </w:p>
    <w:p>
      <w:pPr>
        <w:ind w:firstLine="467"/>
        <w:spacing w:after="0" w:line="296" w:lineRule="auto"/>
        <w:tabs>
          <w:tab w:leader="none" w:pos="6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a company’s assets that could have a material effect on its financial statements.</w:t>
      </w:r>
    </w:p>
    <w:p>
      <w:pPr>
        <w:spacing w:after="0" w:line="91" w:lineRule="exact"/>
        <w:rPr>
          <w:sz w:val="20"/>
          <w:szCs w:val="20"/>
          <w:color w:val="auto"/>
        </w:rPr>
      </w:pPr>
    </w:p>
    <w:p>
      <w:pPr>
        <w:ind w:right="20" w:firstLine="458"/>
        <w:spacing w:after="0" w:line="296" w:lineRule="auto"/>
        <w:rPr>
          <w:sz w:val="20"/>
          <w:szCs w:val="20"/>
          <w:color w:val="auto"/>
        </w:rPr>
      </w:pPr>
      <w:r>
        <w:rPr>
          <w:rFonts w:ascii="Arial" w:cs="Arial" w:eastAsia="Arial" w:hAnsi="Arial"/>
          <w:sz w:val="14"/>
          <w:szCs w:val="14"/>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402"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right="60" w:firstLine="458"/>
        <w:spacing w:after="0" w:line="302" w:lineRule="auto"/>
        <w:rPr>
          <w:sz w:val="20"/>
          <w:szCs w:val="20"/>
          <w:color w:val="auto"/>
        </w:rPr>
      </w:pPr>
      <w:r>
        <w:rPr>
          <w:rFonts w:ascii="Arial" w:cs="Arial" w:eastAsia="Arial" w:hAnsi="Arial"/>
          <w:sz w:val="13"/>
          <w:szCs w:val="13"/>
          <w:color w:val="auto"/>
        </w:rPr>
        <w:t>The Company’s management has used the criteria established in “Internal Control-Integrated Framework” issued by the Committee of Sponsoring Organizations of the Treadway Commission (1992 framework), or COSO, to evaluate the effectiveness of the Company’s internal control over financial reporting. Management has selected the COSO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w:t>
      </w:r>
    </w:p>
    <w:p>
      <w:pPr>
        <w:spacing w:after="0" w:line="90" w:lineRule="exact"/>
        <w:rPr>
          <w:sz w:val="20"/>
          <w:szCs w:val="20"/>
          <w:color w:val="auto"/>
        </w:rPr>
      </w:pPr>
    </w:p>
    <w:p>
      <w:pPr>
        <w:ind w:firstLine="458"/>
        <w:spacing w:after="0" w:line="280" w:lineRule="auto"/>
        <w:rPr>
          <w:sz w:val="20"/>
          <w:szCs w:val="20"/>
          <w:color w:val="auto"/>
        </w:rPr>
      </w:pPr>
      <w:r>
        <w:rPr>
          <w:rFonts w:ascii="Arial" w:cs="Arial" w:eastAsia="Arial" w:hAnsi="Arial"/>
          <w:sz w:val="14"/>
          <w:szCs w:val="14"/>
          <w:color w:val="auto"/>
        </w:rPr>
        <w:t>Management conducted an evaluation of internal controls based on the COSO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2013.</w:t>
      </w:r>
    </w:p>
    <w:p>
      <w:pPr>
        <w:spacing w:after="0" w:line="102" w:lineRule="exact"/>
        <w:rPr>
          <w:sz w:val="20"/>
          <w:szCs w:val="20"/>
          <w:color w:val="auto"/>
        </w:rPr>
      </w:pPr>
    </w:p>
    <w:p>
      <w:pPr>
        <w:ind w:right="200" w:firstLine="458"/>
        <w:spacing w:after="0" w:line="296" w:lineRule="auto"/>
        <w:rPr>
          <w:sz w:val="20"/>
          <w:szCs w:val="20"/>
          <w:color w:val="auto"/>
        </w:rPr>
      </w:pPr>
      <w:r>
        <w:rPr>
          <w:rFonts w:ascii="Arial" w:cs="Arial" w:eastAsia="Arial" w:hAnsi="Arial"/>
          <w:sz w:val="14"/>
          <w:szCs w:val="14"/>
          <w:color w:val="auto"/>
        </w:rPr>
        <w:t>As we are neither a large accelerated filer nor an accelerated filer, as defined in Rule 12b-2 under the Exchange Act, we are exempt from the requirement to include an attestation report of our independent registered public accounting firm regarding internal control over financial reporting.</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(c) Changes in Internal Control Over Financial Reporting</w:t>
      </w:r>
    </w:p>
    <w:p>
      <w:pPr>
        <w:spacing w:after="0" w:line="83" w:lineRule="exact"/>
        <w:rPr>
          <w:sz w:val="20"/>
          <w:szCs w:val="20"/>
          <w:color w:val="auto"/>
        </w:rPr>
      </w:pPr>
    </w:p>
    <w:p>
      <w:pPr>
        <w:ind w:firstLine="458"/>
        <w:spacing w:after="0" w:line="296" w:lineRule="auto"/>
        <w:rPr>
          <w:sz w:val="20"/>
          <w:szCs w:val="20"/>
          <w:color w:val="auto"/>
        </w:rPr>
      </w:pPr>
      <w:r>
        <w:rPr>
          <w:rFonts w:ascii="Arial" w:cs="Arial" w:eastAsia="Arial" w:hAnsi="Arial"/>
          <w:sz w:val="14"/>
          <w:szCs w:val="14"/>
          <w:color w:val="auto"/>
        </w:rPr>
        <w:t>There was no change in our internal control over financial reporting that occurred during the fourth quarter of 2013 that has materially affected, or is reasonably likely to materially affect, our internal control over financial reporting.</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402"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87" w:lineRule="exact"/>
        <w:rPr>
          <w:sz w:val="20"/>
          <w:szCs w:val="20"/>
          <w:color w:val="auto"/>
        </w:rPr>
      </w:pPr>
    </w:p>
    <w:p>
      <w:pPr>
        <w:jc w:val="both"/>
        <w:ind w:right="100" w:firstLine="458"/>
        <w:spacing w:after="0" w:line="280" w:lineRule="auto"/>
        <w:rPr>
          <w:sz w:val="20"/>
          <w:szCs w:val="20"/>
          <w:color w:val="auto"/>
        </w:rPr>
      </w:pPr>
      <w:r>
        <w:rPr>
          <w:rFonts w:ascii="Arial" w:cs="Arial" w:eastAsia="Arial" w:hAnsi="Arial"/>
          <w:sz w:val="14"/>
          <w:szCs w:val="14"/>
          <w:color w:val="auto"/>
        </w:rPr>
        <w:t>The information required by this Item will be contained in our definitive Proxy Statement to be filed with the Securities and Exchange Commission, or SEC, in connection with our Annual Meeting of Stockholders which is scheduled to be held on May 13, 2014 (the “2014 Proxy Statement”) under the captions “Election of Directors,” “Board of Directors Meetings and Committees of the Board,” “Executive Officers” and “Section 16(a) Beneficial Ownership Reporting Compliance” and is incorporated herein by reference.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have adopted a Code of Ethics that applies to all our directors, officers and employees. The Code of Ethics is publicly available on our website at www.galectintherapeutics.com.</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Amendments to the Code of Ethics and any grant of a waiver from a provision of the Code of Ethics requiring disclosure under applicable SEC rules will be disclosed on our website.</w:t>
      </w:r>
    </w:p>
    <w:p>
      <w:pPr>
        <w:spacing w:after="0" w:line="24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87" w:lineRule="exact"/>
        <w:rPr>
          <w:sz w:val="20"/>
          <w:szCs w:val="20"/>
          <w:color w:val="auto"/>
        </w:rPr>
      </w:pPr>
    </w:p>
    <w:p>
      <w:pPr>
        <w:ind w:right="160" w:firstLine="458"/>
        <w:spacing w:after="0" w:line="296" w:lineRule="auto"/>
        <w:rPr>
          <w:sz w:val="20"/>
          <w:szCs w:val="20"/>
          <w:color w:val="auto"/>
        </w:rPr>
      </w:pPr>
      <w:r>
        <w:rPr>
          <w:rFonts w:ascii="Arial" w:cs="Arial" w:eastAsia="Arial" w:hAnsi="Arial"/>
          <w:sz w:val="14"/>
          <w:szCs w:val="14"/>
          <w:color w:val="auto"/>
        </w:rPr>
        <w:t>The information required by this Item will be incorporated by reference from the information under the caption “Compensation of Named Executive Officers” contained in our 2014 Proxy Statement.</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87" w:lineRule="exact"/>
        <w:rPr>
          <w:sz w:val="20"/>
          <w:szCs w:val="20"/>
          <w:color w:val="auto"/>
        </w:rPr>
      </w:pPr>
    </w:p>
    <w:p>
      <w:pPr>
        <w:ind w:right="500" w:firstLine="458"/>
        <w:spacing w:after="0" w:line="296" w:lineRule="auto"/>
        <w:rPr>
          <w:sz w:val="20"/>
          <w:szCs w:val="20"/>
          <w:color w:val="auto"/>
        </w:rPr>
      </w:pPr>
      <w:r>
        <w:rPr>
          <w:rFonts w:ascii="Arial" w:cs="Arial" w:eastAsia="Arial" w:hAnsi="Arial"/>
          <w:sz w:val="14"/>
          <w:szCs w:val="14"/>
          <w:color w:val="auto"/>
        </w:rPr>
        <w:t>The information required by this item will be incorporated by reference from the information under the caption “Security Ownership of Certain Beneficial Owners and Management” contained in our 2014 Proxy Statement.</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Related Transactions and Director Independence</w:t>
      </w:r>
    </w:p>
    <w:p>
      <w:pPr>
        <w:spacing w:after="0" w:line="87" w:lineRule="exact"/>
        <w:rPr>
          <w:sz w:val="20"/>
          <w:szCs w:val="20"/>
          <w:color w:val="auto"/>
        </w:rPr>
      </w:pPr>
    </w:p>
    <w:p>
      <w:pPr>
        <w:ind w:firstLine="458"/>
        <w:spacing w:after="0" w:line="296" w:lineRule="auto"/>
        <w:rPr>
          <w:sz w:val="20"/>
          <w:szCs w:val="20"/>
          <w:color w:val="auto"/>
        </w:rPr>
      </w:pPr>
      <w:r>
        <w:rPr>
          <w:rFonts w:ascii="Arial" w:cs="Arial" w:eastAsia="Arial" w:hAnsi="Arial"/>
          <w:sz w:val="14"/>
          <w:szCs w:val="14"/>
          <w:color w:val="auto"/>
        </w:rPr>
        <w:t>The information required by this item will be incorporated by reference from the information under the caption “Certain Relationships and Related Transactions” contained in our 2014 Proxy Statement.</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87" w:lineRule="exact"/>
        <w:rPr>
          <w:sz w:val="20"/>
          <w:szCs w:val="20"/>
          <w:color w:val="auto"/>
        </w:rPr>
      </w:pPr>
    </w:p>
    <w:p>
      <w:pPr>
        <w:ind w:right="60" w:firstLine="458"/>
        <w:spacing w:after="0" w:line="296" w:lineRule="auto"/>
        <w:rPr>
          <w:sz w:val="20"/>
          <w:szCs w:val="20"/>
          <w:color w:val="auto"/>
        </w:rPr>
      </w:pPr>
      <w:r>
        <w:rPr>
          <w:rFonts w:ascii="Arial" w:cs="Arial" w:eastAsia="Arial" w:hAnsi="Arial"/>
          <w:sz w:val="14"/>
          <w:szCs w:val="14"/>
          <w:color w:val="auto"/>
        </w:rPr>
        <w:t>The information required by this item will be incorporated by reference from the information under the captions “Audit Fees”, “Audit-Related Fees,” “Tax Fees,” “All Other Fees” and “Pre-Approval Policies and Procedures” contained in our 2014 Proxy Statement.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40"/>
          </w:cols>
          <w:pgMar w:left="220" w:top="403"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8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4"/>
          <w:szCs w:val="14"/>
          <w:color w:val="auto"/>
        </w:rPr>
        <w:t>(a) 1.</w:t>
      </w:r>
      <w:r>
        <w:rPr>
          <w:sz w:val="20"/>
          <w:szCs w:val="20"/>
          <w:color w:val="auto"/>
        </w:rPr>
        <w:tab/>
      </w:r>
      <w:r>
        <w:rPr>
          <w:rFonts w:ascii="Arial" w:cs="Arial" w:eastAsia="Arial" w:hAnsi="Arial"/>
          <w:sz w:val="12"/>
          <w:szCs w:val="12"/>
          <w:color w:val="auto"/>
        </w:rPr>
        <w:t>Consolidated Financial Statement Schedules</w:t>
      </w:r>
    </w:p>
    <w:p>
      <w:pPr>
        <w:spacing w:after="0" w:line="8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The Consolidated Financial Statements are filed as part of this report.</w:t>
      </w:r>
    </w:p>
    <w:p>
      <w:pPr>
        <w:spacing w:after="0" w:line="83" w:lineRule="exact"/>
        <w:rPr>
          <w:sz w:val="20"/>
          <w:szCs w:val="20"/>
          <w:color w:val="auto"/>
        </w:rPr>
      </w:pPr>
    </w:p>
    <w:p>
      <w:pPr>
        <w:ind w:left="1140" w:hanging="386"/>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Financial Statement Schedules</w:t>
      </w:r>
    </w:p>
    <w:p>
      <w:pPr>
        <w:spacing w:after="0" w:line="82" w:lineRule="exact"/>
        <w:rPr>
          <w:rFonts w:ascii="Arial" w:cs="Arial" w:eastAsia="Arial" w:hAnsi="Arial"/>
          <w:sz w:val="14"/>
          <w:szCs w:val="14"/>
          <w:color w:val="auto"/>
        </w:rPr>
      </w:pPr>
    </w:p>
    <w:p>
      <w:pPr>
        <w:ind w:left="1140" w:right="440"/>
        <w:spacing w:after="0" w:line="296" w:lineRule="auto"/>
        <w:rPr>
          <w:rFonts w:ascii="Arial" w:cs="Arial" w:eastAsia="Arial" w:hAnsi="Arial"/>
          <w:sz w:val="14"/>
          <w:szCs w:val="14"/>
          <w:color w:val="auto"/>
        </w:rPr>
      </w:pPr>
      <w:r>
        <w:rPr>
          <w:rFonts w:ascii="Arial" w:cs="Arial" w:eastAsia="Arial" w:hAnsi="Arial"/>
          <w:sz w:val="14"/>
          <w:szCs w:val="14"/>
          <w:color w:val="auto"/>
        </w:rPr>
        <w:t>All schedules are omitted because of the absence of conditions under which they are required or because the required information is included in the Consolidated Financial Statements or notes thereto.</w:t>
      </w:r>
    </w:p>
    <w:p>
      <w:pPr>
        <w:spacing w:after="0" w:line="24" w:lineRule="exact"/>
        <w:rPr>
          <w:rFonts w:ascii="Arial" w:cs="Arial" w:eastAsia="Arial" w:hAnsi="Arial"/>
          <w:sz w:val="14"/>
          <w:szCs w:val="14"/>
          <w:color w:val="auto"/>
        </w:rPr>
      </w:pPr>
    </w:p>
    <w:p>
      <w:pPr>
        <w:ind w:left="1140" w:hanging="386"/>
        <w:spacing w:after="0"/>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Exhibit</w:t>
            </w:r>
          </w:p>
        </w:tc>
        <w:tc>
          <w:tcPr>
            <w:tcW w:w="5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Number</w:t>
            </w:r>
          </w:p>
        </w:tc>
        <w:tc>
          <w:tcPr>
            <w:tcW w:w="5280" w:type="dxa"/>
            <w:vAlign w:val="bottom"/>
            <w:vMerge w:val="restart"/>
          </w:tcPr>
          <w:p>
            <w:pPr>
              <w:ind w:left="800"/>
              <w:spacing w:after="0"/>
              <w:rPr>
                <w:sz w:val="20"/>
                <w:szCs w:val="20"/>
                <w:color w:val="auto"/>
              </w:rPr>
            </w:pPr>
            <w:r>
              <w:rPr>
                <w:rFonts w:ascii="Arial" w:cs="Arial" w:eastAsia="Arial" w:hAnsi="Arial"/>
                <w:sz w:val="14"/>
                <w:szCs w:val="14"/>
                <w:color w:val="auto"/>
                <w:w w:val="92"/>
              </w:rPr>
              <w:t>Amended and Restated Articles of Incorporation of Galectin Therapeutics Inc.</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1"/>
              </w:rPr>
              <w:t>Description of Document</w:t>
            </w: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3.1</w:t>
            </w:r>
          </w:p>
        </w:tc>
        <w:tc>
          <w:tcPr>
            <w:tcW w:w="5280" w:type="dxa"/>
            <w:vAlign w:val="bottom"/>
            <w:vMerge w:val="continue"/>
          </w:tcPr>
          <w:p>
            <w:pPr>
              <w:spacing w:after="0"/>
              <w:rPr>
                <w:sz w:val="14"/>
                <w:szCs w:val="14"/>
                <w:color w:val="auto"/>
              </w:rPr>
            </w:pPr>
          </w:p>
        </w:tc>
        <w:tc>
          <w:tcPr>
            <w:tcW w:w="5740" w:type="dxa"/>
            <w:vAlign w:val="bottom"/>
            <w:gridSpan w:val="2"/>
          </w:tcPr>
          <w:p>
            <w:pPr>
              <w:ind w:left="80"/>
              <w:spacing w:after="0"/>
              <w:rPr>
                <w:sz w:val="20"/>
                <w:szCs w:val="20"/>
                <w:color w:val="auto"/>
              </w:rPr>
            </w:pPr>
            <w:r>
              <w:rPr>
                <w:rFonts w:ascii="Arial" w:cs="Arial" w:eastAsia="Arial" w:hAnsi="Arial"/>
                <w:sz w:val="14"/>
                <w:szCs w:val="14"/>
                <w:color w:val="auto"/>
              </w:rPr>
              <w:t>(Incorporated by reference to the Company’s Current Report on Form 8-K filed with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Commission on May 30, 2012.)</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3.2</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5"/>
              </w:rPr>
              <w:t>Amended and Restated Bylaws of Galectin Therapeutics Inc. (Incorporated by reference to the Company’s Current Report on Form 8-K filed with the Commission on May 30,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5280" w:type="dxa"/>
            <w:vAlign w:val="bottom"/>
          </w:tcPr>
          <w:p>
            <w:pPr>
              <w:ind w:left="980"/>
              <w:spacing w:after="0"/>
              <w:rPr>
                <w:sz w:val="20"/>
                <w:szCs w:val="20"/>
                <w:color w:val="auto"/>
              </w:rPr>
            </w:pPr>
            <w:r>
              <w:rPr>
                <w:rFonts w:ascii="Arial" w:cs="Arial" w:eastAsia="Arial" w:hAnsi="Arial"/>
                <w:sz w:val="14"/>
                <w:szCs w:val="14"/>
                <w:color w:val="auto"/>
              </w:rPr>
              <w:t>2012.)</w:t>
            </w:r>
          </w:p>
        </w:tc>
        <w:tc>
          <w:tcPr>
            <w:tcW w:w="12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3.3</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4"/>
              </w:rPr>
              <w:t>Certificate of Designation of Preferences, Rights and Limitations of Series A 12% Convertible Preferred Stock of Pro Pharmaceuticals, Inc., as filed with the Secretary of State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8"/>
              </w:rPr>
              <w:t>of the State of Nevada on October 5, 2007. (Incorporated by reference to the Company’s Current Report on Form 8-K filed with the Commission on October 9, 2007.)</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3.4</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4"/>
              </w:rPr>
              <w:t>Certificate of Designation of Preferences, Rights and Limitations of Series B-1 Convertible Preferred Stock and Series B-2 Convertible Preferred Stock of Pro Pharmaceuticals,</w:t>
            </w: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3"/>
              </w:rPr>
              <w:t>Inc., as filed with the Secretary of State of the State of Nevada on February 11, 2009. (Incorporated by reference to the Company’s Current Report on Form 8-K filed with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Commission on February 18, 2009.)</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3.5</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9"/>
              </w:rPr>
              <w:t>Certificate of Amendment to the Certificate of Designation of Preferences, Rights and Limitations of Series B-1 Convertible Preferred Stock and Series B-2 Convertible</w:t>
            </w: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5"/>
              </w:rPr>
              <w:t>Preferred Stock of Pro-Pharmaceuticals, Inc., as filed with the secretary of State of the State of Nevada on August 12, 2009. (Incorporated by reference to the Company’s</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Quarterly Report on Form 10-Q for the period ended June 30, 2009 as filed with the Commission on August 14, 2009.)</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3.6</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5"/>
              </w:rPr>
              <w:t>Certificate of Amendment No. 2 to the Certificate of Designation of Preferences, Rights and Limitations of Series B-1 Convertible Preferred Stock and Series B-2 Convertible</w:t>
            </w: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9"/>
              </w:rPr>
              <w:t>Preferred Stock, as filed with the State of Nevada, on February 17, 2010. (Incorporated by reference to the Company’s Current Report on Form 8-K as filed with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Commission on February 17, 2010.)</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3.7</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4"/>
              </w:rPr>
              <w:t>Certificate of Amendment with respect to the Amended and Restated Certificate of Designation of Preferences, Rights and Limitation of Series B-1 Convertible Preferred Stock</w:t>
            </w: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5"/>
              </w:rPr>
              <w:t>and Series B-2 Convertible Preferred Stock of Pro-Pharmaceuticals, Inc., as filed with the Secretary of State of the State of Nevada on January 26, 2011. (Incorporated by</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reference to the Company’s Current Report on Form 8-K as filed with the Commission on January 27, 2011.)</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3.8</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3"/>
              </w:rPr>
              <w:t>Certificate of Designation of Preferences, Rights and Limitation of Series C Super Dividend Convertible Preferred Stock of Pro-Pharmaceuticals, Inc., as filed with the Secretary</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w w:val="96"/>
              </w:rPr>
              <w:t>of State of Nevada on December 30, 2010. (Incorporated by reference to the Company’s Current Report on Form 8-K as filed with the Commission on January 6, 2011.)</w:t>
            </w:r>
          </w:p>
        </w:tc>
        <w:tc>
          <w:tcPr>
            <w:tcW w:w="0" w:type="dxa"/>
            <w:vAlign w:val="bottom"/>
          </w:tcPr>
          <w:p>
            <w:pPr>
              <w:spacing w:after="0"/>
              <w:rPr>
                <w:sz w:val="1"/>
                <w:szCs w:val="1"/>
                <w:color w:val="auto"/>
              </w:rPr>
            </w:pPr>
          </w:p>
        </w:tc>
      </w:tr>
      <w:tr>
        <w:trPr>
          <w:trHeight w:val="261"/>
        </w:trPr>
        <w:tc>
          <w:tcPr>
            <w:tcW w:w="420" w:type="dxa"/>
            <w:vAlign w:val="bottom"/>
          </w:tcPr>
          <w:p>
            <w:pPr>
              <w:jc w:val="right"/>
              <w:ind w:right="91"/>
              <w:spacing w:after="0"/>
              <w:rPr>
                <w:sz w:val="20"/>
                <w:szCs w:val="20"/>
                <w:color w:val="auto"/>
              </w:rPr>
            </w:pPr>
            <w:r>
              <w:rPr>
                <w:rFonts w:ascii="Arial" w:cs="Arial" w:eastAsia="Arial" w:hAnsi="Arial"/>
                <w:sz w:val="14"/>
                <w:szCs w:val="14"/>
                <w:color w:val="auto"/>
              </w:rPr>
              <w:t>3.9</w:t>
            </w:r>
          </w:p>
        </w:tc>
        <w:tc>
          <w:tcPr>
            <w:tcW w:w="11020" w:type="dxa"/>
            <w:vAlign w:val="bottom"/>
            <w:gridSpan w:val="3"/>
          </w:tcPr>
          <w:p>
            <w:pPr>
              <w:ind w:left="800"/>
              <w:spacing w:after="0"/>
              <w:rPr>
                <w:sz w:val="20"/>
                <w:szCs w:val="20"/>
                <w:color w:val="auto"/>
              </w:rPr>
            </w:pPr>
            <w:r>
              <w:rPr>
                <w:rFonts w:ascii="Arial" w:cs="Arial" w:eastAsia="Arial" w:hAnsi="Arial"/>
                <w:sz w:val="14"/>
                <w:szCs w:val="14"/>
                <w:color w:val="auto"/>
                <w:w w:val="94"/>
              </w:rPr>
              <w:t>Certificate of Change as filed with the Nevada Secretary of State on March 1, 2012. (Incorporated by reference to the Company’s Current Report on Form 8-K as filed with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1020" w:type="dxa"/>
            <w:vAlign w:val="bottom"/>
            <w:gridSpan w:val="3"/>
          </w:tcPr>
          <w:p>
            <w:pPr>
              <w:ind w:left="980"/>
              <w:spacing w:after="0"/>
              <w:rPr>
                <w:sz w:val="20"/>
                <w:szCs w:val="20"/>
                <w:color w:val="auto"/>
              </w:rPr>
            </w:pPr>
            <w:r>
              <w:rPr>
                <w:rFonts w:ascii="Arial" w:cs="Arial" w:eastAsia="Arial" w:hAnsi="Arial"/>
                <w:sz w:val="14"/>
                <w:szCs w:val="14"/>
                <w:color w:val="auto"/>
              </w:rPr>
              <w:t>Commission on March 23, 2012.)</w:t>
            </w:r>
          </w:p>
        </w:tc>
        <w:tc>
          <w:tcPr>
            <w:tcW w:w="0" w:type="dxa"/>
            <w:vAlign w:val="bottom"/>
          </w:tcPr>
          <w:p>
            <w:pPr>
              <w:spacing w:after="0"/>
              <w:rPr>
                <w:sz w:val="1"/>
                <w:szCs w:val="1"/>
                <w:color w:val="auto"/>
              </w:rPr>
            </w:pPr>
          </w:p>
        </w:tc>
      </w:tr>
      <w:tr>
        <w:trPr>
          <w:trHeight w:val="299"/>
        </w:trPr>
        <w:tc>
          <w:tcPr>
            <w:tcW w:w="420" w:type="dxa"/>
            <w:vAlign w:val="bottom"/>
          </w:tcPr>
          <w:p>
            <w:pPr>
              <w:spacing w:after="0"/>
              <w:rPr>
                <w:sz w:val="24"/>
                <w:szCs w:val="24"/>
                <w:color w:val="auto"/>
              </w:rPr>
            </w:pPr>
          </w:p>
        </w:tc>
        <w:tc>
          <w:tcPr>
            <w:tcW w:w="6540" w:type="dxa"/>
            <w:vAlign w:val="bottom"/>
            <w:gridSpan w:val="2"/>
          </w:tcPr>
          <w:p>
            <w:pPr>
              <w:ind w:left="5240"/>
              <w:spacing w:after="0"/>
              <w:rPr>
                <w:sz w:val="20"/>
                <w:szCs w:val="20"/>
                <w:color w:val="auto"/>
              </w:rPr>
            </w:pPr>
            <w:r>
              <w:rPr>
                <w:rFonts w:ascii="Arial" w:cs="Arial" w:eastAsia="Arial" w:hAnsi="Arial"/>
                <w:sz w:val="14"/>
                <w:szCs w:val="14"/>
                <w:color w:val="auto"/>
              </w:rPr>
              <w:t>37</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402"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8"/>
              </w:rPr>
              <w:t>Exhibit</w:t>
            </w:r>
          </w:p>
        </w:tc>
        <w:tc>
          <w:tcPr>
            <w:tcW w:w="5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500" w:type="dxa"/>
            <w:vAlign w:val="bottom"/>
          </w:tcPr>
          <w:p>
            <w:pPr>
              <w:spacing w:after="0"/>
              <w:rPr>
                <w:sz w:val="10"/>
                <w:szCs w:val="10"/>
                <w:color w:val="auto"/>
              </w:rPr>
            </w:pPr>
          </w:p>
        </w:tc>
      </w:tr>
      <w:tr>
        <w:trPr>
          <w:trHeight w:val="133"/>
        </w:trPr>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1"/>
              </w:rPr>
              <w:t>Number</w:t>
            </w:r>
          </w:p>
        </w:tc>
        <w:tc>
          <w:tcPr>
            <w:tcW w:w="5220" w:type="dxa"/>
            <w:vAlign w:val="bottom"/>
          </w:tcPr>
          <w:p>
            <w:pPr>
              <w:spacing w:after="0"/>
              <w:rPr>
                <w:sz w:val="11"/>
                <w:szCs w:val="11"/>
                <w:color w:val="auto"/>
              </w:rPr>
            </w:pPr>
          </w:p>
        </w:tc>
        <w:tc>
          <w:tcPr>
            <w:tcW w:w="5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Description of Document</w:t>
            </w:r>
          </w:p>
        </w:tc>
      </w:tr>
      <w:tr>
        <w:trPr>
          <w:trHeight w:val="161"/>
        </w:trPr>
        <w:tc>
          <w:tcPr>
            <w:tcW w:w="40" w:type="dxa"/>
            <w:vAlign w:val="bottom"/>
          </w:tcPr>
          <w:p>
            <w:pPr>
              <w:spacing w:after="0"/>
              <w:rPr>
                <w:sz w:val="14"/>
                <w:szCs w:val="14"/>
                <w:color w:val="auto"/>
              </w:rPr>
            </w:pPr>
          </w:p>
        </w:tc>
        <w:tc>
          <w:tcPr>
            <w:tcW w:w="42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color w:val="auto"/>
                <w:w w:val="92"/>
              </w:rPr>
              <w:t>4.1</w:t>
            </w:r>
          </w:p>
        </w:tc>
        <w:tc>
          <w:tcPr>
            <w:tcW w:w="5220" w:type="dxa"/>
            <w:vAlign w:val="bottom"/>
          </w:tcPr>
          <w:p>
            <w:pPr>
              <w:ind w:left="700"/>
              <w:spacing w:after="0"/>
              <w:rPr>
                <w:sz w:val="20"/>
                <w:szCs w:val="20"/>
                <w:color w:val="auto"/>
              </w:rPr>
            </w:pPr>
            <w:r>
              <w:rPr>
                <w:rFonts w:ascii="Arial" w:cs="Arial" w:eastAsia="Arial" w:hAnsi="Arial"/>
                <w:sz w:val="14"/>
                <w:szCs w:val="14"/>
                <w:color w:val="auto"/>
                <w:w w:val="90"/>
              </w:rPr>
              <w:t>Form of Class A-1 Common Stock Purchase Warrant (Incorporated by reference</w:t>
            </w:r>
          </w:p>
        </w:tc>
        <w:tc>
          <w:tcPr>
            <w:tcW w:w="126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w w:val="99"/>
              </w:rPr>
              <w:t>to the Company’s</w:t>
            </w:r>
          </w:p>
        </w:tc>
        <w:tc>
          <w:tcPr>
            <w:tcW w:w="4500" w:type="dxa"/>
            <w:vAlign w:val="bottom"/>
          </w:tcPr>
          <w:p>
            <w:pPr>
              <w:spacing w:after="0"/>
              <w:rPr>
                <w:sz w:val="20"/>
                <w:szCs w:val="20"/>
                <w:color w:val="auto"/>
              </w:rPr>
            </w:pPr>
            <w:r>
              <w:rPr>
                <w:rFonts w:ascii="Arial" w:cs="Arial" w:eastAsia="Arial" w:hAnsi="Arial"/>
                <w:sz w:val="14"/>
                <w:szCs w:val="14"/>
                <w:color w:val="auto"/>
              </w:rPr>
              <w:t>Current Report on Form 8-K filed with the Commission on February 18,</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20" w:type="dxa"/>
            <w:vAlign w:val="bottom"/>
          </w:tcPr>
          <w:p>
            <w:pPr>
              <w:ind w:left="880"/>
              <w:spacing w:after="0"/>
              <w:rPr>
                <w:sz w:val="20"/>
                <w:szCs w:val="20"/>
                <w:color w:val="auto"/>
              </w:rPr>
            </w:pPr>
            <w:r>
              <w:rPr>
                <w:rFonts w:ascii="Arial" w:cs="Arial" w:eastAsia="Arial" w:hAnsi="Arial"/>
                <w:sz w:val="14"/>
                <w:szCs w:val="14"/>
                <w:color w:val="auto"/>
              </w:rPr>
              <w:t>2009.)</w:t>
            </w:r>
          </w:p>
        </w:tc>
        <w:tc>
          <w:tcPr>
            <w:tcW w:w="126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4.2</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7"/>
              </w:rPr>
              <w:t>Form of Class A-2 Common Stock Purchase Warrant (Incorporated by reference to the Company’s Current Report on Form 8-K filed with the Commission on February 18,</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20" w:type="dxa"/>
            <w:vAlign w:val="bottom"/>
          </w:tcPr>
          <w:p>
            <w:pPr>
              <w:ind w:left="880"/>
              <w:spacing w:after="0"/>
              <w:rPr>
                <w:sz w:val="20"/>
                <w:szCs w:val="20"/>
                <w:color w:val="auto"/>
              </w:rPr>
            </w:pPr>
            <w:r>
              <w:rPr>
                <w:rFonts w:ascii="Arial" w:cs="Arial" w:eastAsia="Arial" w:hAnsi="Arial"/>
                <w:sz w:val="14"/>
                <w:szCs w:val="14"/>
                <w:color w:val="auto"/>
              </w:rPr>
              <w:t>2009.)</w:t>
            </w:r>
          </w:p>
        </w:tc>
        <w:tc>
          <w:tcPr>
            <w:tcW w:w="126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66"/>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4.3</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4"/>
              </w:rPr>
              <w:t>Form of Class B Common Stock Purchase Warrant (Incorporated by reference to the Company’s Current Report on Form 8-K filed with the Commission on February 18, 2009.)</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4.4</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7"/>
              </w:rPr>
              <w:t>Amended Form of Class A-1 Common Stock Purchase Warrant (Incorporated by reference to the Company’s Current Report on Form 8-K as filed with the Commission on</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January 27, 2011.)</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4.5</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7"/>
              </w:rPr>
              <w:t>Amended Form of Class A-2 Common Stock Purchase Warrant (Incorporated by reference to the Company’s Current Report on Form 8-K as filed with the Commission on</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January 27, 2011.)</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4.6</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8"/>
              </w:rPr>
              <w:t>Amended Form of Class B Common Stock Purchase Warrant (Incorporated by reference to the Company’s Current Report on Form 8-K as filed with the Commission on</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January 27, 2011.)</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2"/>
              </w:rPr>
              <w:t>4.7</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6"/>
              </w:rPr>
              <w:t>Form of Warrant Agreement between Galectin Theapeitucs Inc. and Continental Stock Transfer and Trust Company, as warrant agent (including form of warrant certificate)</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(Incorporated by reference to the Company’s Current Report on Form 8-K as filed with the Commission on March 23, 2012.)</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10.1†</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3"/>
              </w:rPr>
              <w:t>Pro-Pharmaceuticals, Inc. 2001 Stock Incentive Plan. (Incorporated by reference to the Company’s Quarterly Report on Form 10-QSB for the quarter ended September 30, 2001</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filed with the Commission on November 14, 2001.)</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10.2†</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3"/>
              </w:rPr>
              <w:t>Pro-Pharmaceuticals, Inc. 2003 Non-employee Director Stock Incentive Plan. (Incorporated by reference to the Company’s Registration Statement on Form S-8, as filed with the</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Commission on October 22, 2003.)</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10.3†</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3"/>
              </w:rPr>
              <w:t>Employment Agreement, effective January 2, 2004, between Pro Pharmaceuticals, Inc. and David Platt. (Incorporated by reference to the Company’s Annual Report on Form 10-</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K for the fiscal year ended December 31, 2003, as filed with the Commission on March 30, 2004.)</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10.4†</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5"/>
              </w:rPr>
              <w:t>Form of Incentive Stock Option Agreement (under the 2001 Stock Incentive Plan). (Incorporated by reference to the Company’s Quarterly Report on Form 10-Q for the period</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ended September 30, 2004 as filed with the Commission on November 19, 2004.)</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10.5†</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6"/>
              </w:rPr>
              <w:t>Form of Non-Qualified Stock Option Agreement (under the 2001 Stock Incentive Plan). (Incorporated by reference to the Company’s Quarterly Report on Form 10-Q for the</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period ended September 30, 2004 as filed with the Commission on November 19, 2004.)</w:t>
            </w:r>
          </w:p>
        </w:tc>
      </w:tr>
      <w:tr>
        <w:trPr>
          <w:trHeight w:val="261"/>
        </w:trPr>
        <w:tc>
          <w:tcPr>
            <w:tcW w:w="460" w:type="dxa"/>
            <w:vAlign w:val="bottom"/>
            <w:gridSpan w:val="2"/>
          </w:tcPr>
          <w:p>
            <w:pPr>
              <w:jc w:val="center"/>
              <w:ind w:right="59"/>
              <w:spacing w:after="0"/>
              <w:rPr>
                <w:sz w:val="20"/>
                <w:szCs w:val="20"/>
                <w:color w:val="auto"/>
              </w:rPr>
            </w:pPr>
            <w:r>
              <w:rPr>
                <w:rFonts w:ascii="Arial" w:cs="Arial" w:eastAsia="Arial" w:hAnsi="Arial"/>
                <w:sz w:val="14"/>
                <w:szCs w:val="14"/>
                <w:color w:val="auto"/>
                <w:w w:val="96"/>
              </w:rPr>
              <w:t>10.6†</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5"/>
              </w:rPr>
              <w:t>Form of Non-Qualified Stock Option Agreement (under the 2003 Non-Employee Director Stock Incentive Plan). (Incorporated by reference to the Company’s Quarterly Report</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on Form 10-Q for the period ended September 30, 2004 as filed with the Commission on November 19, 2004.)</w:t>
            </w:r>
          </w:p>
        </w:tc>
      </w:tr>
      <w:tr>
        <w:trPr>
          <w:trHeight w:val="266"/>
        </w:trPr>
        <w:tc>
          <w:tcPr>
            <w:tcW w:w="460" w:type="dxa"/>
            <w:vAlign w:val="bottom"/>
            <w:gridSpan w:val="2"/>
          </w:tcPr>
          <w:p>
            <w:pPr>
              <w:jc w:val="right"/>
              <w:ind w:right="139"/>
              <w:spacing w:after="0"/>
              <w:rPr>
                <w:sz w:val="20"/>
                <w:szCs w:val="20"/>
                <w:color w:val="auto"/>
              </w:rPr>
            </w:pPr>
            <w:r>
              <w:rPr>
                <w:rFonts w:ascii="Arial" w:cs="Arial" w:eastAsia="Arial" w:hAnsi="Arial"/>
                <w:sz w:val="14"/>
                <w:szCs w:val="14"/>
                <w:color w:val="auto"/>
                <w:w w:val="87"/>
              </w:rPr>
              <w:t>10.7</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7"/>
              </w:rPr>
              <w:t>Form of Common Stock Purchase Warrant. (Incorporated by reference to the Company’s Current Report on Form 8-K as filed with the Commission on February 15, 2008.)</w:t>
            </w:r>
          </w:p>
        </w:tc>
      </w:tr>
      <w:tr>
        <w:trPr>
          <w:trHeight w:val="261"/>
        </w:trPr>
        <w:tc>
          <w:tcPr>
            <w:tcW w:w="460" w:type="dxa"/>
            <w:vAlign w:val="bottom"/>
            <w:gridSpan w:val="2"/>
          </w:tcPr>
          <w:p>
            <w:pPr>
              <w:jc w:val="right"/>
              <w:ind w:right="139"/>
              <w:spacing w:after="0"/>
              <w:rPr>
                <w:sz w:val="20"/>
                <w:szCs w:val="20"/>
                <w:color w:val="auto"/>
              </w:rPr>
            </w:pPr>
            <w:r>
              <w:rPr>
                <w:rFonts w:ascii="Arial" w:cs="Arial" w:eastAsia="Arial" w:hAnsi="Arial"/>
                <w:sz w:val="14"/>
                <w:szCs w:val="14"/>
                <w:color w:val="auto"/>
                <w:w w:val="87"/>
              </w:rPr>
              <w:t>10.8</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3"/>
              </w:rPr>
              <w:t>Promissory Note dated February 12, 2009 issued by Pro Pharmaceuticals, Inc. in favor of 10X Fund, L.P. (Incorporated by reference to the Company’s Current Report on Form 8-</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K filed with the Commission on February 18, 2009.)</w:t>
            </w:r>
          </w:p>
        </w:tc>
      </w:tr>
      <w:tr>
        <w:trPr>
          <w:trHeight w:val="261"/>
        </w:trPr>
        <w:tc>
          <w:tcPr>
            <w:tcW w:w="460" w:type="dxa"/>
            <w:vAlign w:val="bottom"/>
            <w:gridSpan w:val="2"/>
          </w:tcPr>
          <w:p>
            <w:pPr>
              <w:jc w:val="right"/>
              <w:ind w:right="139"/>
              <w:spacing w:after="0"/>
              <w:rPr>
                <w:sz w:val="20"/>
                <w:szCs w:val="20"/>
                <w:color w:val="auto"/>
              </w:rPr>
            </w:pPr>
            <w:r>
              <w:rPr>
                <w:rFonts w:ascii="Arial" w:cs="Arial" w:eastAsia="Arial" w:hAnsi="Arial"/>
                <w:sz w:val="14"/>
                <w:szCs w:val="14"/>
                <w:color w:val="auto"/>
                <w:w w:val="87"/>
              </w:rPr>
              <w:t>10.9</w:t>
            </w:r>
          </w:p>
        </w:tc>
        <w:tc>
          <w:tcPr>
            <w:tcW w:w="10980" w:type="dxa"/>
            <w:vAlign w:val="bottom"/>
            <w:gridSpan w:val="3"/>
          </w:tcPr>
          <w:p>
            <w:pPr>
              <w:ind w:left="700"/>
              <w:spacing w:after="0"/>
              <w:rPr>
                <w:sz w:val="20"/>
                <w:szCs w:val="20"/>
                <w:color w:val="auto"/>
              </w:rPr>
            </w:pPr>
            <w:r>
              <w:rPr>
                <w:rFonts w:ascii="Arial" w:cs="Arial" w:eastAsia="Arial" w:hAnsi="Arial"/>
                <w:sz w:val="14"/>
                <w:szCs w:val="14"/>
                <w:color w:val="auto"/>
                <w:w w:val="94"/>
              </w:rPr>
              <w:t>Security Agreement dated February 12, 2009 between Pro Pharmaceuticals, Inc. and 10X Fund, L.P. (Incorporated by reference to the Company’s Current Report on Form 8-K</w:t>
            </w: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980" w:type="dxa"/>
            <w:vAlign w:val="bottom"/>
            <w:gridSpan w:val="3"/>
          </w:tcPr>
          <w:p>
            <w:pPr>
              <w:ind w:left="880"/>
              <w:spacing w:after="0"/>
              <w:rPr>
                <w:sz w:val="20"/>
                <w:szCs w:val="20"/>
                <w:color w:val="auto"/>
              </w:rPr>
            </w:pPr>
            <w:r>
              <w:rPr>
                <w:rFonts w:ascii="Arial" w:cs="Arial" w:eastAsia="Arial" w:hAnsi="Arial"/>
                <w:sz w:val="14"/>
                <w:szCs w:val="14"/>
                <w:color w:val="auto"/>
              </w:rPr>
              <w:t>filed with the Commission on February 18, 2009.)</w:t>
            </w:r>
          </w:p>
        </w:tc>
      </w:tr>
      <w:tr>
        <w:trPr>
          <w:trHeight w:val="299"/>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2"/>
          </w:tcPr>
          <w:p>
            <w:pPr>
              <w:ind w:left="5200"/>
              <w:spacing w:after="0"/>
              <w:rPr>
                <w:sz w:val="20"/>
                <w:szCs w:val="20"/>
                <w:color w:val="auto"/>
              </w:rPr>
            </w:pPr>
            <w:r>
              <w:rPr>
                <w:rFonts w:ascii="Arial" w:cs="Arial" w:eastAsia="Arial" w:hAnsi="Arial"/>
                <w:sz w:val="14"/>
                <w:szCs w:val="14"/>
                <w:color w:val="auto"/>
              </w:rPr>
              <w:t>38</w:t>
            </w:r>
          </w:p>
        </w:tc>
        <w:tc>
          <w:tcPr>
            <w:tcW w:w="4500" w:type="dxa"/>
            <w:vAlign w:val="bottom"/>
          </w:tcPr>
          <w:p>
            <w:pPr>
              <w:spacing w:after="0"/>
              <w:rPr>
                <w:sz w:val="24"/>
                <w:szCs w:val="24"/>
                <w:color w:val="auto"/>
              </w:rPr>
            </w:pPr>
          </w:p>
        </w:tc>
      </w:tr>
    </w:tbl>
    <w:p>
      <w:pPr>
        <w:sectPr>
          <w:pgSz w:w="11900" w:h="16838" w:orient="portrait"/>
          <w:cols w:equalWidth="0" w:num="1">
            <w:col w:w="11440"/>
          </w:cols>
          <w:pgMar w:left="220" w:top="403" w:right="2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w w:val="98"/>
              </w:rPr>
              <w:t>Exhibit</w:t>
            </w:r>
          </w:p>
        </w:tc>
        <w:tc>
          <w:tcPr>
            <w:tcW w:w="5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80" w:type="dxa"/>
            <w:vAlign w:val="bottom"/>
          </w:tcPr>
          <w:p>
            <w:pPr>
              <w:spacing w:after="0"/>
              <w:rPr>
                <w:sz w:val="10"/>
                <w:szCs w:val="10"/>
                <w:color w:val="auto"/>
              </w:rPr>
            </w:pPr>
          </w:p>
        </w:tc>
      </w:tr>
      <w:tr>
        <w:trPr>
          <w:trHeight w:val="133"/>
        </w:trPr>
        <w:tc>
          <w:tcPr>
            <w:tcW w:w="16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w w:val="91"/>
              </w:rPr>
              <w:t>Number</w:t>
            </w:r>
          </w:p>
        </w:tc>
        <w:tc>
          <w:tcPr>
            <w:tcW w:w="5120" w:type="dxa"/>
            <w:vAlign w:val="bottom"/>
          </w:tcPr>
          <w:p>
            <w:pPr>
              <w:spacing w:after="0"/>
              <w:rPr>
                <w:sz w:val="11"/>
                <w:szCs w:val="11"/>
                <w:color w:val="auto"/>
              </w:rPr>
            </w:pPr>
          </w:p>
        </w:tc>
        <w:tc>
          <w:tcPr>
            <w:tcW w:w="5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Description of Document</w:t>
            </w:r>
          </w:p>
        </w:tc>
      </w:tr>
      <w:tr>
        <w:trPr>
          <w:trHeight w:val="161"/>
        </w:trPr>
        <w:tc>
          <w:tcPr>
            <w:tcW w:w="160" w:type="dxa"/>
            <w:vAlign w:val="bottom"/>
          </w:tcPr>
          <w:p>
            <w:pPr>
              <w:spacing w:after="0"/>
              <w:rPr>
                <w:sz w:val="20"/>
                <w:szCs w:val="20"/>
                <w:color w:val="auto"/>
              </w:rPr>
            </w:pPr>
            <w:r>
              <w:rPr>
                <w:rFonts w:ascii="Arial" w:cs="Arial" w:eastAsia="Arial" w:hAnsi="Arial"/>
                <w:sz w:val="14"/>
                <w:szCs w:val="14"/>
                <w:color w:val="auto"/>
                <w:w w:val="71"/>
              </w:rPr>
              <w:t>10.</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10</w:t>
            </w:r>
          </w:p>
        </w:tc>
        <w:tc>
          <w:tcPr>
            <w:tcW w:w="5120" w:type="dxa"/>
            <w:vAlign w:val="bottom"/>
          </w:tcPr>
          <w:p>
            <w:pPr>
              <w:ind w:left="600"/>
              <w:spacing w:after="0"/>
              <w:rPr>
                <w:sz w:val="20"/>
                <w:szCs w:val="20"/>
                <w:color w:val="auto"/>
              </w:rPr>
            </w:pPr>
            <w:r>
              <w:rPr>
                <w:rFonts w:ascii="Arial" w:cs="Arial" w:eastAsia="Arial" w:hAnsi="Arial"/>
                <w:sz w:val="14"/>
                <w:szCs w:val="14"/>
                <w:color w:val="auto"/>
                <w:w w:val="91"/>
              </w:rPr>
              <w:t>Escrow Agreement dated February 12, 2009 among Pro Pharmaceuticals, Inc.,</w:t>
            </w:r>
          </w:p>
        </w:tc>
        <w:tc>
          <w:tcPr>
            <w:tcW w:w="12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99"/>
              </w:rPr>
              <w:t>10X Fund, L.P. and</w:t>
            </w:r>
          </w:p>
        </w:tc>
        <w:tc>
          <w:tcPr>
            <w:tcW w:w="4480" w:type="dxa"/>
            <w:vAlign w:val="bottom"/>
          </w:tcPr>
          <w:p>
            <w:pPr>
              <w:spacing w:after="0"/>
              <w:rPr>
                <w:sz w:val="20"/>
                <w:szCs w:val="20"/>
                <w:color w:val="auto"/>
              </w:rPr>
            </w:pPr>
            <w:r>
              <w:rPr>
                <w:rFonts w:ascii="Arial" w:cs="Arial" w:eastAsia="Arial" w:hAnsi="Arial"/>
                <w:sz w:val="14"/>
                <w:szCs w:val="14"/>
                <w:color w:val="auto"/>
                <w:w w:val="96"/>
              </w:rPr>
              <w:t>Investment Law Group of Gillett, Mottern &amp; Walker, LLP, as Escrow Agent.</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(Incorporated by reference to the Company’s Current Report on Form 8-K filed with the Commission on February 18,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10.11</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3"/>
              </w:rPr>
              <w:t>Registration Rights Agreement dated February 12, 2009 between Pro Pharmaceuticals, Inc. and 10X Fund, L.P. (Incorporated by reference to the Company’s Current Report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Form 8-K filed with the Commission on February 18,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10.12†</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3"/>
              </w:rPr>
              <w:t>Separation Agreement dated February 12, 2009 between Pro Pharmaceuticals, Inc. and David Platt, Ph.D. (Incorporated by reference to the Company’s Current Report on Form</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8-K filed with the Commission on February 18,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10.13†</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9"/>
              </w:rPr>
              <w:t>Pro-Pharmaceuticals, Inc. 2009 Incentive Compensation Plan. (Incorporated by reference to the Company’s Current Report on Form 8-K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February 18,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10.14†</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5"/>
              </w:rPr>
              <w:t>Form of Restricted Stock Grant Agreement (under the 2009 Incentive Compensation Plan). (Incorporated by reference to the Company’s Annual Report on Form 10-K as filed</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with the Commission on March 30,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10.15†</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4"/>
              </w:rPr>
              <w:t>Form of Non-Qualified Stock Option Grant Agreement (under the 2009 Incentive Compensation Plan). (Incorporated by reference to the Company’s Annual Report on Form 10-</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K as filed with the Commission on March 30,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10.16†</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4"/>
              </w:rPr>
              <w:t>Form of Incentive Stock Option Grant Agreement (under the 2009 Incentive Compensation Plan). (Incorporated by reference to the Company’s Annual Report on Form 10-K as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filed with the Commission on March 30, 2009.)</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10.17</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8"/>
              </w:rPr>
              <w:t>Agreement with the 10X Fund L.P., dated February 11, 2010. (Incorporated by reference to the Company’s Current Report on Form 8-K as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February 17, 2010.)</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10.18†</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5"/>
              </w:rPr>
              <w:t>Common Stock Purchase Warrant dated August 3, 2010 issued to Peter Traber. (Incorporated by reference to the Company’s Quarterly Report on Form 10-Q as filed with the</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Commission on August 13, 2010.)</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10.19</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8"/>
              </w:rPr>
              <w:t>Letter Agreement Between 10X Fund, L.P. and Pro-Pharmaceuticals, Inc. (Incorporated by reference to the Company’s Quarterly Report on Form 10-Q as filed with the</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Commission on August 13, 2010.)</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10.20</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4"/>
              </w:rPr>
              <w:t>Form of Securities Purchase Agreement for Series C Super Dividend Convertible Preferred Stock (Incorporated by reference to the Company’s Current Report on Form 8-K as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filed with the Commission on January 6,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10.21</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2"/>
              </w:rPr>
              <w:t>Agreement dated January 21, 2011, between Pro-Pharmaceuticals, Inc. and 10X Fund L.P. (Incorporated by reference to the Company’s Current Report on Form 8-K as filed with</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the Commission on January 27,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10.22†</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8"/>
              </w:rPr>
              <w:t>Non-Qualified Stock Option Agreement dated March 7, 2011 (Incorporated by reference to the Company’s Current Report on Form 8-K as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March 9,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10.23†</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6"/>
              </w:rPr>
              <w:t>Amended Employment Agreement dated March 8, 2011 between Anthony D. Squeglia, and Pro-Pharmaceuticals, Inc. (Incorporated by reference to the Company’s Current</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Report on Form 8-K as filed with the Commission on March 14,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10.24†</w:t>
            </w:r>
          </w:p>
        </w:tc>
        <w:tc>
          <w:tcPr>
            <w:tcW w:w="10860" w:type="dxa"/>
            <w:vAlign w:val="bottom"/>
            <w:gridSpan w:val="3"/>
          </w:tcPr>
          <w:p>
            <w:pPr>
              <w:ind w:left="600"/>
              <w:spacing w:after="0"/>
              <w:rPr>
                <w:sz w:val="20"/>
                <w:szCs w:val="20"/>
                <w:color w:val="auto"/>
              </w:rPr>
            </w:pPr>
            <w:r>
              <w:rPr>
                <w:rFonts w:ascii="Arial" w:cs="Arial" w:eastAsia="Arial" w:hAnsi="Arial"/>
                <w:sz w:val="14"/>
                <w:szCs w:val="14"/>
                <w:color w:val="auto"/>
                <w:w w:val="93"/>
              </w:rPr>
              <w:t>Amended Employment Agreement dated March 8, 2011 between Maureen Foley, and Pro-Pharmaceuticals, Inc. (Incorporated by reference to the Company’s Current Report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60" w:type="dxa"/>
            <w:vAlign w:val="bottom"/>
            <w:gridSpan w:val="3"/>
          </w:tcPr>
          <w:p>
            <w:pPr>
              <w:ind w:left="780"/>
              <w:spacing w:after="0"/>
              <w:rPr>
                <w:sz w:val="20"/>
                <w:szCs w:val="20"/>
                <w:color w:val="auto"/>
              </w:rPr>
            </w:pPr>
            <w:r>
              <w:rPr>
                <w:rFonts w:ascii="Arial" w:cs="Arial" w:eastAsia="Arial" w:hAnsi="Arial"/>
                <w:sz w:val="14"/>
                <w:szCs w:val="14"/>
                <w:color w:val="auto"/>
              </w:rPr>
              <w:t>Form 8-K as filed with the Commission on March 14, 2011.)</w:t>
            </w:r>
          </w:p>
        </w:tc>
      </w:tr>
      <w:tr>
        <w:trPr>
          <w:trHeight w:val="299"/>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gridSpan w:val="2"/>
          </w:tcPr>
          <w:p>
            <w:pPr>
              <w:ind w:left="5100"/>
              <w:spacing w:after="0"/>
              <w:rPr>
                <w:sz w:val="20"/>
                <w:szCs w:val="20"/>
                <w:color w:val="auto"/>
              </w:rPr>
            </w:pPr>
            <w:r>
              <w:rPr>
                <w:rFonts w:ascii="Arial" w:cs="Arial" w:eastAsia="Arial" w:hAnsi="Arial"/>
                <w:sz w:val="14"/>
                <w:szCs w:val="14"/>
                <w:color w:val="auto"/>
              </w:rPr>
              <w:t>39</w:t>
            </w:r>
          </w:p>
        </w:tc>
        <w:tc>
          <w:tcPr>
            <w:tcW w:w="4480" w:type="dxa"/>
            <w:vAlign w:val="bottom"/>
          </w:tcPr>
          <w:p>
            <w:pPr>
              <w:spacing w:after="0"/>
              <w:rPr>
                <w:sz w:val="24"/>
                <w:szCs w:val="24"/>
                <w:color w:val="auto"/>
              </w:rPr>
            </w:pPr>
          </w:p>
        </w:tc>
      </w:tr>
    </w:tbl>
    <w:p>
      <w:pPr>
        <w:sectPr>
          <w:pgSz w:w="11900" w:h="16838" w:orient="portrait"/>
          <w:cols w:equalWidth="0" w:num="1">
            <w:col w:w="11420"/>
          </w:cols>
          <w:pgMar w:left="220" w:top="403" w:right="2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w w:val="98"/>
              </w:rPr>
              <w:t>Exhibit</w:t>
            </w:r>
          </w:p>
        </w:tc>
        <w:tc>
          <w:tcPr>
            <w:tcW w:w="5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500" w:type="dxa"/>
            <w:vAlign w:val="bottom"/>
          </w:tcPr>
          <w:p>
            <w:pPr>
              <w:spacing w:after="0"/>
              <w:rPr>
                <w:sz w:val="10"/>
                <w:szCs w:val="10"/>
                <w:color w:val="auto"/>
              </w:rPr>
            </w:pPr>
          </w:p>
        </w:tc>
      </w:tr>
      <w:tr>
        <w:trPr>
          <w:trHeight w:val="133"/>
        </w:trPr>
        <w:tc>
          <w:tcPr>
            <w:tcW w:w="160" w:type="dxa"/>
            <w:vAlign w:val="bottom"/>
          </w:tcPr>
          <w:p>
            <w:pPr>
              <w:spacing w:after="0"/>
              <w:rPr>
                <w:sz w:val="11"/>
                <w:szCs w:val="11"/>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1"/>
              </w:rPr>
              <w:t>Number</w:t>
            </w:r>
          </w:p>
        </w:tc>
        <w:tc>
          <w:tcPr>
            <w:tcW w:w="5120" w:type="dxa"/>
            <w:vAlign w:val="bottom"/>
          </w:tcPr>
          <w:p>
            <w:pPr>
              <w:spacing w:after="0"/>
              <w:rPr>
                <w:sz w:val="11"/>
                <w:szCs w:val="11"/>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1"/>
              </w:rPr>
              <w:t>Description of Document</w:t>
            </w:r>
          </w:p>
        </w:tc>
        <w:tc>
          <w:tcPr>
            <w:tcW w:w="4500" w:type="dxa"/>
            <w:vAlign w:val="bottom"/>
          </w:tcPr>
          <w:p>
            <w:pPr>
              <w:spacing w:after="0"/>
              <w:rPr>
                <w:sz w:val="11"/>
                <w:szCs w:val="11"/>
                <w:color w:val="auto"/>
              </w:rPr>
            </w:pPr>
          </w:p>
        </w:tc>
      </w:tr>
      <w:tr>
        <w:trPr>
          <w:trHeight w:val="161"/>
        </w:trPr>
        <w:tc>
          <w:tcPr>
            <w:tcW w:w="160" w:type="dxa"/>
            <w:vAlign w:val="bottom"/>
          </w:tcPr>
          <w:p>
            <w:pPr>
              <w:spacing w:after="0"/>
              <w:rPr>
                <w:sz w:val="20"/>
                <w:szCs w:val="20"/>
                <w:color w:val="auto"/>
              </w:rPr>
            </w:pPr>
            <w:r>
              <w:rPr>
                <w:rFonts w:ascii="Arial" w:cs="Arial" w:eastAsia="Arial" w:hAnsi="Arial"/>
                <w:sz w:val="14"/>
                <w:szCs w:val="14"/>
                <w:color w:val="auto"/>
                <w:w w:val="71"/>
              </w:rPr>
              <w:t>10.</w:t>
            </w:r>
          </w:p>
        </w:tc>
        <w:tc>
          <w:tcPr>
            <w:tcW w:w="400" w:type="dxa"/>
            <w:vAlign w:val="bottom"/>
          </w:tcPr>
          <w:p>
            <w:pPr>
              <w:ind w:left="20"/>
              <w:spacing w:after="0"/>
              <w:rPr>
                <w:sz w:val="20"/>
                <w:szCs w:val="20"/>
                <w:color w:val="auto"/>
              </w:rPr>
            </w:pPr>
            <w:r>
              <w:rPr>
                <w:rFonts w:ascii="Arial" w:cs="Arial" w:eastAsia="Arial" w:hAnsi="Arial"/>
                <w:sz w:val="14"/>
                <w:szCs w:val="14"/>
                <w:color w:val="auto"/>
              </w:rPr>
              <w:t>25†</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4"/>
              </w:rPr>
              <w:t>Amended Employment Agreement dated March 31, 2011 between Anatole Klyosov, and Pro-Pharmaceuticals, Inc. (Incorporated by reference to the Company’s Current Report</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on Form 8-K as filed with the Commission on April 6,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10.26†</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4"/>
              </w:rPr>
              <w:t>Employment Agreement dated March 31, 2011 between Eli Zomer and Pro-Pharmaceuticals, Inc. (Incorporated by reference to the Company’s Current Report on Form 8-K as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filed with the Commission on April 6,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10.27†</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3"/>
              </w:rPr>
              <w:t>Separation Agreement dated March 31, 2011 between Pro-Pharmaceuticals, Inc. and Theodore D. Zucconi (Incorporated by reference to the Company’s Current Report on Form</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8-K as filed with the Commission on April 6,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10.28</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5"/>
              </w:rPr>
              <w:t>Agreement dated April 22, 2011, between Pro-Pharmaceuticals, Inc. and Sigma-Aldrich, Inc. (Incorporated by reference to the Company’s Current Report on Form 8-K as filed</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with the Commission on April 28,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10.29†</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2"/>
              </w:rPr>
              <w:t>Employment Agreement dated March 31, 2011 between Peter Traber, and Galectin Therapeutics Inc. (Incorporated by reference to the Company’s Current Report on Form 8-K as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filed with the Commission on June 2,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10.30†</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3"/>
              </w:rPr>
              <w:t>Employment Agreement dated June 28, 2011 between James C. Czirr, and Galectin Therapeutics Inc. (Incorporated by reference to the Company’s Current Report on Form 8-K</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as filed with the Commission on July 5,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10.31†</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6"/>
              </w:rPr>
              <w:t>Non-Qualified Stock Option Agreement for Peter G. Traber, M.D. (Incorporated by reference to the Company’s Current Report on Form 8-K as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August 15, 2011.)</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10.32†</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rPr>
              <w:t>Non-Qualified Stock Option Agreement for James C. Czirr (Incorporated by reference to the Company’s Current Report on Form 8-K as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August 15, 2011. )</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10.33†</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5"/>
              </w:rPr>
              <w:t>Consulting Agreement, dated March 2, 2012 between Galectin Therapeutics Inc. and Thomas A. McGauley (Incorporated by reference to the Company’s Quarterly Report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Form 10-Q as filed with the Commission on May 11, 2012.)</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10.34†</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8"/>
              </w:rPr>
              <w:t>Independent Consulting Agreement dated April 30, 2012, between Scott L. Friedman, M.D. and Galectin Therapeutics Inc. (Incorporated by reference to the Company’s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Quarterly Report on Form 10-Q as filed with the Commission on November 9, 2012.)</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10.35†</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3"/>
              </w:rPr>
              <w:t>Amended Employment Agreement dated July 19, 2012 between Maureen Foley and Galectin Therapeutics Inc. (Incorporated by reference to the Company’s Quarterly Report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Form 10-Q as filed with the Commission on November 9, 2012.)</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10.36†</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4"/>
              </w:rPr>
              <w:t>Employment Agreement dated August 27, 2012, 2012 between Harold H. Shlevin and Galectin Therapeutics Inc. (Incorporated by reference to the Company’s Quarterly Report</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on Form 10-Q as filed with the Commission on November 9, 2012.)</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10.37†</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6"/>
              </w:rPr>
              <w:t>Independent Consulting Agreement dated September 19, 2012 between Thomas A. McGauley and Galectin Therapeutics Inc. (Incorporated by reference to the Company’s</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Quarterly Report on Form 10-Q as filed with the Commission on November 9, 2012.)</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10.38</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4"/>
              </w:rPr>
              <w:t>Amended and Restated Master Services Agreement dated February 1, 2013 between Galectin Therapeutics Inc. and CTI Clinical Trial Services, Inc. and CTI Clinical Consulting</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Services Inc. (Incorporated by reference to the Company’s Quarterly Report on Form 10-Q as filed with the Commission on May 10, 2013.)</w:t>
            </w:r>
          </w:p>
        </w:tc>
      </w:tr>
      <w:tr>
        <w:trPr>
          <w:trHeight w:val="261"/>
        </w:trPr>
        <w:tc>
          <w:tcPr>
            <w:tcW w:w="560" w:type="dxa"/>
            <w:vAlign w:val="bottom"/>
            <w:gridSpan w:val="2"/>
          </w:tcPr>
          <w:p>
            <w:pPr>
              <w:spacing w:after="0"/>
              <w:rPr>
                <w:sz w:val="20"/>
                <w:szCs w:val="20"/>
                <w:color w:val="auto"/>
              </w:rPr>
            </w:pPr>
            <w:r>
              <w:rPr>
                <w:rFonts w:ascii="Arial" w:cs="Arial" w:eastAsia="Arial" w:hAnsi="Arial"/>
                <w:sz w:val="14"/>
                <w:szCs w:val="14"/>
                <w:color w:val="auto"/>
              </w:rPr>
              <w:t>10.39</w:t>
            </w:r>
          </w:p>
        </w:tc>
        <w:tc>
          <w:tcPr>
            <w:tcW w:w="10880" w:type="dxa"/>
            <w:vAlign w:val="bottom"/>
            <w:gridSpan w:val="3"/>
          </w:tcPr>
          <w:p>
            <w:pPr>
              <w:ind w:left="600"/>
              <w:spacing w:after="0"/>
              <w:rPr>
                <w:sz w:val="20"/>
                <w:szCs w:val="20"/>
                <w:color w:val="auto"/>
              </w:rPr>
            </w:pPr>
            <w:r>
              <w:rPr>
                <w:rFonts w:ascii="Arial" w:cs="Arial" w:eastAsia="Arial" w:hAnsi="Arial"/>
                <w:sz w:val="14"/>
                <w:szCs w:val="14"/>
                <w:color w:val="auto"/>
                <w:w w:val="95"/>
              </w:rPr>
              <w:t>Amended Form of Class A-2 Common Stock Purchase Warrant (Incorporated by reference to the Company’s Quarterly Report on Form 10-Q as filed with the Commission on</w:t>
            </w:r>
          </w:p>
        </w:tc>
      </w:t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80" w:type="dxa"/>
            <w:vAlign w:val="bottom"/>
            <w:gridSpan w:val="3"/>
          </w:tcPr>
          <w:p>
            <w:pPr>
              <w:ind w:left="780"/>
              <w:spacing w:after="0"/>
              <w:rPr>
                <w:sz w:val="20"/>
                <w:szCs w:val="20"/>
                <w:color w:val="auto"/>
              </w:rPr>
            </w:pPr>
            <w:r>
              <w:rPr>
                <w:rFonts w:ascii="Arial" w:cs="Arial" w:eastAsia="Arial" w:hAnsi="Arial"/>
                <w:sz w:val="14"/>
                <w:szCs w:val="14"/>
                <w:color w:val="auto"/>
              </w:rPr>
              <w:t>August 14, 2013.)</w:t>
            </w:r>
          </w:p>
        </w:tc>
      </w:tr>
      <w:tr>
        <w:trPr>
          <w:trHeight w:val="299"/>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gridSpan w:val="2"/>
          </w:tcPr>
          <w:p>
            <w:pPr>
              <w:ind w:left="5100"/>
              <w:spacing w:after="0"/>
              <w:rPr>
                <w:sz w:val="20"/>
                <w:szCs w:val="20"/>
                <w:color w:val="auto"/>
              </w:rPr>
            </w:pPr>
            <w:r>
              <w:rPr>
                <w:rFonts w:ascii="Arial" w:cs="Arial" w:eastAsia="Arial" w:hAnsi="Arial"/>
                <w:sz w:val="14"/>
                <w:szCs w:val="14"/>
                <w:color w:val="auto"/>
              </w:rPr>
              <w:t>40</w:t>
            </w:r>
          </w:p>
        </w:tc>
        <w:tc>
          <w:tcPr>
            <w:tcW w:w="4500" w:type="dxa"/>
            <w:vAlign w:val="bottom"/>
          </w:tcPr>
          <w:p>
            <w:pPr>
              <w:spacing w:after="0"/>
              <w:rPr>
                <w:sz w:val="24"/>
                <w:szCs w:val="24"/>
                <w:color w:val="auto"/>
              </w:rPr>
            </w:pPr>
          </w:p>
        </w:tc>
      </w:tr>
    </w:tbl>
    <w:p>
      <w:pPr>
        <w:sectPr>
          <w:pgSz w:w="11900" w:h="16838" w:orient="portrait"/>
          <w:cols w:equalWidth="0" w:num="1">
            <w:col w:w="11440"/>
          </w:cols>
          <w:pgMar w:left="220" w:top="402" w:right="2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4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20" w:type="dxa"/>
            <w:vAlign w:val="bottom"/>
          </w:tcPr>
          <w:p>
            <w:pPr>
              <w:spacing w:after="0"/>
              <w:rPr>
                <w:sz w:val="10"/>
                <w:szCs w:val="10"/>
                <w:color w:val="auto"/>
              </w:rPr>
            </w:pPr>
          </w:p>
        </w:tc>
      </w:tr>
      <w:tr>
        <w:trPr>
          <w:trHeight w:val="133"/>
        </w:trPr>
        <w:tc>
          <w:tcPr>
            <w:tcW w:w="4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Number</w:t>
            </w:r>
          </w:p>
        </w:tc>
        <w:tc>
          <w:tcPr>
            <w:tcW w:w="6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1"/>
              </w:rPr>
              <w:t>Description of Document</w:t>
            </w:r>
          </w:p>
        </w:tc>
        <w:tc>
          <w:tcPr>
            <w:tcW w:w="4420" w:type="dxa"/>
            <w:vAlign w:val="bottom"/>
          </w:tcPr>
          <w:p>
            <w:pPr>
              <w:spacing w:after="0"/>
              <w:rPr>
                <w:sz w:val="11"/>
                <w:szCs w:val="11"/>
                <w:color w:val="auto"/>
              </w:rPr>
            </w:pPr>
          </w:p>
        </w:tc>
      </w:tr>
      <w:tr>
        <w:trPr>
          <w:trHeight w:val="161"/>
        </w:trPr>
        <w:tc>
          <w:tcPr>
            <w:tcW w:w="420" w:type="dxa"/>
            <w:vAlign w:val="bottom"/>
          </w:tcPr>
          <w:p>
            <w:pPr>
              <w:spacing w:after="0"/>
              <w:rPr>
                <w:sz w:val="20"/>
                <w:szCs w:val="20"/>
                <w:color w:val="auto"/>
              </w:rPr>
            </w:pPr>
            <w:r>
              <w:rPr>
                <w:rFonts w:ascii="Arial" w:cs="Arial" w:eastAsia="Arial" w:hAnsi="Arial"/>
                <w:sz w:val="14"/>
                <w:szCs w:val="14"/>
                <w:color w:val="auto"/>
              </w:rPr>
              <w:t>10.40</w:t>
            </w:r>
          </w:p>
        </w:tc>
        <w:tc>
          <w:tcPr>
            <w:tcW w:w="620" w:type="dxa"/>
            <w:vAlign w:val="bottom"/>
          </w:tcPr>
          <w:p>
            <w:pPr>
              <w:spacing w:after="0"/>
              <w:rPr>
                <w:sz w:val="14"/>
                <w:szCs w:val="14"/>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w w:val="95"/>
              </w:rPr>
              <w:t>Amended Form of Class B Common Stock Purchase Warrant (Incorporated by reference to the Company’s Quarterly Report on Form 10-Q as filed with the Commission on</w:t>
            </w: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0" w:type="dxa"/>
            <w:vAlign w:val="bottom"/>
            <w:gridSpan w:val="3"/>
          </w:tcPr>
          <w:p>
            <w:pPr>
              <w:ind w:left="460"/>
              <w:spacing w:after="0"/>
              <w:rPr>
                <w:sz w:val="20"/>
                <w:szCs w:val="20"/>
                <w:color w:val="auto"/>
              </w:rPr>
            </w:pPr>
            <w:r>
              <w:rPr>
                <w:rFonts w:ascii="Arial" w:cs="Arial" w:eastAsia="Arial" w:hAnsi="Arial"/>
                <w:sz w:val="14"/>
                <w:szCs w:val="14"/>
                <w:color w:val="auto"/>
              </w:rPr>
              <w:t>August 14, 2013.)</w:t>
            </w:r>
          </w:p>
        </w:tc>
      </w:tr>
      <w:tr>
        <w:trPr>
          <w:trHeight w:val="261"/>
        </w:trPr>
        <w:tc>
          <w:tcPr>
            <w:tcW w:w="1040" w:type="dxa"/>
            <w:vAlign w:val="bottom"/>
            <w:gridSpan w:val="2"/>
          </w:tcPr>
          <w:p>
            <w:pPr>
              <w:spacing w:after="0"/>
              <w:rPr>
                <w:sz w:val="20"/>
                <w:szCs w:val="20"/>
                <w:color w:val="auto"/>
              </w:rPr>
            </w:pPr>
            <w:r>
              <w:rPr>
                <w:rFonts w:ascii="Arial" w:cs="Arial" w:eastAsia="Arial" w:hAnsi="Arial"/>
                <w:sz w:val="14"/>
                <w:szCs w:val="14"/>
                <w:color w:val="auto"/>
              </w:rPr>
              <w:t>10.41†</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w w:val="93"/>
              </w:rPr>
              <w:t>Employment Agreement dated June 20, 2013 between Jack W. Callicutt and Galectin Therapeutics Inc. (Incorporated by reference to the Company’s Quarterly Report on Form</w:t>
            </w: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0" w:type="dxa"/>
            <w:vAlign w:val="bottom"/>
            <w:gridSpan w:val="3"/>
          </w:tcPr>
          <w:p>
            <w:pPr>
              <w:ind w:left="460"/>
              <w:spacing w:after="0"/>
              <w:rPr>
                <w:sz w:val="20"/>
                <w:szCs w:val="20"/>
                <w:color w:val="auto"/>
              </w:rPr>
            </w:pPr>
            <w:r>
              <w:rPr>
                <w:rFonts w:ascii="Arial" w:cs="Arial" w:eastAsia="Arial" w:hAnsi="Arial"/>
                <w:sz w:val="14"/>
                <w:szCs w:val="14"/>
                <w:color w:val="auto"/>
              </w:rPr>
              <w:t>10-Q as filed with the Commission on August 14, 2013.)</w:t>
            </w:r>
          </w:p>
        </w:tc>
      </w:tr>
      <w:tr>
        <w:trPr>
          <w:trHeight w:val="261"/>
        </w:trPr>
        <w:tc>
          <w:tcPr>
            <w:tcW w:w="1040" w:type="dxa"/>
            <w:vAlign w:val="bottom"/>
            <w:gridSpan w:val="2"/>
          </w:tcPr>
          <w:p>
            <w:pPr>
              <w:spacing w:after="0"/>
              <w:rPr>
                <w:sz w:val="20"/>
                <w:szCs w:val="20"/>
                <w:color w:val="auto"/>
              </w:rPr>
            </w:pPr>
            <w:r>
              <w:rPr>
                <w:rFonts w:ascii="Arial" w:cs="Arial" w:eastAsia="Arial" w:hAnsi="Arial"/>
                <w:sz w:val="14"/>
                <w:szCs w:val="14"/>
                <w:color w:val="auto"/>
              </w:rPr>
              <w:t>10.42†</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w w:val="96"/>
              </w:rPr>
              <w:t>Amendment to Independent Consulting Agreement dated June 19, 2013 between Thomas A. McGauley and Galectin Therapeutics Inc. (Incorporated by reference to the</w:t>
            </w: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0" w:type="dxa"/>
            <w:vAlign w:val="bottom"/>
            <w:gridSpan w:val="3"/>
          </w:tcPr>
          <w:p>
            <w:pPr>
              <w:ind w:left="460"/>
              <w:spacing w:after="0"/>
              <w:rPr>
                <w:sz w:val="20"/>
                <w:szCs w:val="20"/>
                <w:color w:val="auto"/>
              </w:rPr>
            </w:pPr>
            <w:r>
              <w:rPr>
                <w:rFonts w:ascii="Arial" w:cs="Arial" w:eastAsia="Arial" w:hAnsi="Arial"/>
                <w:sz w:val="14"/>
                <w:szCs w:val="14"/>
                <w:color w:val="auto"/>
              </w:rPr>
              <w:t>Company’s Quarterly Report on Form 10-Q as filed with the Commission on August 14, 2013.)</w:t>
            </w:r>
          </w:p>
        </w:tc>
      </w:tr>
      <w:tr>
        <w:trPr>
          <w:trHeight w:val="261"/>
        </w:trPr>
        <w:tc>
          <w:tcPr>
            <w:tcW w:w="1040" w:type="dxa"/>
            <w:vAlign w:val="bottom"/>
            <w:gridSpan w:val="2"/>
          </w:tcPr>
          <w:p>
            <w:pPr>
              <w:spacing w:after="0"/>
              <w:rPr>
                <w:sz w:val="20"/>
                <w:szCs w:val="20"/>
                <w:color w:val="auto"/>
              </w:rPr>
            </w:pPr>
            <w:r>
              <w:rPr>
                <w:rFonts w:ascii="Arial" w:cs="Arial" w:eastAsia="Arial" w:hAnsi="Arial"/>
                <w:sz w:val="14"/>
                <w:szCs w:val="14"/>
                <w:color w:val="auto"/>
              </w:rPr>
              <w:t>10.43†</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w w:val="97"/>
              </w:rPr>
              <w:t>Stock Option Agreement with Thomas A. McGauley dated June 19, 2013 (Incorporated by reference to the Company’s Quarterly Report on Form 10-Q as filed with the</w:t>
            </w: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0" w:type="dxa"/>
            <w:vAlign w:val="bottom"/>
            <w:gridSpan w:val="3"/>
          </w:tcPr>
          <w:p>
            <w:pPr>
              <w:ind w:left="460"/>
              <w:spacing w:after="0"/>
              <w:rPr>
                <w:sz w:val="20"/>
                <w:szCs w:val="20"/>
                <w:color w:val="auto"/>
              </w:rPr>
            </w:pPr>
            <w:r>
              <w:rPr>
                <w:rFonts w:ascii="Arial" w:cs="Arial" w:eastAsia="Arial" w:hAnsi="Arial"/>
                <w:sz w:val="14"/>
                <w:szCs w:val="14"/>
                <w:color w:val="auto"/>
              </w:rPr>
              <w:t>Commission on August 14, 2013.)</w:t>
            </w:r>
          </w:p>
        </w:tc>
      </w:tr>
      <w:tr>
        <w:trPr>
          <w:trHeight w:val="261"/>
        </w:trPr>
        <w:tc>
          <w:tcPr>
            <w:tcW w:w="420" w:type="dxa"/>
            <w:vAlign w:val="bottom"/>
          </w:tcPr>
          <w:p>
            <w:pPr>
              <w:spacing w:after="0"/>
              <w:rPr>
                <w:sz w:val="20"/>
                <w:szCs w:val="20"/>
                <w:color w:val="auto"/>
              </w:rPr>
            </w:pPr>
            <w:r>
              <w:rPr>
                <w:rFonts w:ascii="Arial" w:cs="Arial" w:eastAsia="Arial" w:hAnsi="Arial"/>
                <w:sz w:val="14"/>
                <w:szCs w:val="14"/>
                <w:color w:val="auto"/>
              </w:rPr>
              <w:t>10.44</w:t>
            </w:r>
          </w:p>
        </w:tc>
        <w:tc>
          <w:tcPr>
            <w:tcW w:w="620" w:type="dxa"/>
            <w:vAlign w:val="bottom"/>
          </w:tcPr>
          <w:p>
            <w:pPr>
              <w:spacing w:after="0"/>
              <w:rPr>
                <w:sz w:val="22"/>
                <w:szCs w:val="22"/>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w w:val="94"/>
              </w:rPr>
              <w:t>At Market Issuance Sales Agreement, dated October 25, 2013, by and between Galectin Therapeutics Inc. and MLV &amp; Co. LLC (Incorporated by reference to the Company’s</w:t>
            </w:r>
          </w:p>
        </w:tc>
      </w:tr>
      <w:tr>
        <w:trPr>
          <w:trHeight w:val="182"/>
        </w:trPr>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0" w:type="dxa"/>
            <w:vAlign w:val="bottom"/>
            <w:gridSpan w:val="3"/>
          </w:tcPr>
          <w:p>
            <w:pPr>
              <w:ind w:left="460"/>
              <w:spacing w:after="0"/>
              <w:rPr>
                <w:sz w:val="20"/>
                <w:szCs w:val="20"/>
                <w:color w:val="auto"/>
              </w:rPr>
            </w:pPr>
            <w:r>
              <w:rPr>
                <w:rFonts w:ascii="Arial" w:cs="Arial" w:eastAsia="Arial" w:hAnsi="Arial"/>
                <w:sz w:val="14"/>
                <w:szCs w:val="14"/>
                <w:color w:val="auto"/>
              </w:rPr>
              <w:t>Current Report on Form 8-K as filed with the Commission on October 25, 2013.)</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rPr>
              <w:t>21.1*</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Subsidiaries of Galectin Therapeutics Inc.</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rPr>
              <w:t>23.1*</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Consent of McGladrey LLP, an independent registered public accounting firm.</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rPr>
              <w:t>31.1*</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Certification Pursuant to Rule 13a-14(a) of the Securities Exchange Act of 1934.</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rPr>
              <w:t>31.2*</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Certification Pursuant to Rule 13a-14(a) of the Securities Exchange Act of 1934.</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w w:val="98"/>
              </w:rPr>
              <w:t>32.1*#</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tc>
      </w:tr>
      <w:tr>
        <w:trPr>
          <w:trHeight w:val="266"/>
        </w:trPr>
        <w:tc>
          <w:tcPr>
            <w:tcW w:w="420" w:type="dxa"/>
            <w:vAlign w:val="bottom"/>
          </w:tcPr>
          <w:p>
            <w:pPr>
              <w:spacing w:after="0"/>
              <w:rPr>
                <w:sz w:val="20"/>
                <w:szCs w:val="20"/>
                <w:color w:val="auto"/>
              </w:rPr>
            </w:pPr>
            <w:r>
              <w:rPr>
                <w:rFonts w:ascii="Arial" w:cs="Arial" w:eastAsia="Arial" w:hAnsi="Arial"/>
                <w:sz w:val="14"/>
                <w:szCs w:val="14"/>
                <w:color w:val="auto"/>
                <w:w w:val="98"/>
              </w:rPr>
              <w:t>32.2*#</w:t>
            </w:r>
          </w:p>
        </w:tc>
        <w:tc>
          <w:tcPr>
            <w:tcW w:w="620" w:type="dxa"/>
            <w:vAlign w:val="bottom"/>
          </w:tcPr>
          <w:p>
            <w:pPr>
              <w:spacing w:after="0"/>
              <w:rPr>
                <w:sz w:val="23"/>
                <w:szCs w:val="23"/>
                <w:color w:val="auto"/>
              </w:rPr>
            </w:pP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Certification Pursuant to 18 U.S.C. Section 1350, as Adopted Pursuant to Section 906 of the Sarbanes-Oxley Act of 2002.</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Instance document.</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Taxonomy Extension Schema Document.</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Taxonomy Calculation Linkbase Document.</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Taxonomy Definition Linkbase Document.</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Taxonomy Label Linkbase Document.</w:t>
            </w:r>
          </w:p>
        </w:tc>
      </w:tr>
      <w:tr>
        <w:trPr>
          <w:trHeight w:val="266"/>
        </w:trPr>
        <w:tc>
          <w:tcPr>
            <w:tcW w:w="104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00" w:type="dxa"/>
            <w:vAlign w:val="bottom"/>
            <w:gridSpan w:val="3"/>
          </w:tcPr>
          <w:p>
            <w:pPr>
              <w:ind w:left="280"/>
              <w:spacing w:after="0"/>
              <w:rPr>
                <w:sz w:val="20"/>
                <w:szCs w:val="20"/>
                <w:color w:val="auto"/>
              </w:rPr>
            </w:pPr>
            <w:r>
              <w:rPr>
                <w:rFonts w:ascii="Arial" w:cs="Arial" w:eastAsia="Arial" w:hAnsi="Arial"/>
                <w:sz w:val="14"/>
                <w:szCs w:val="14"/>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7251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70" cy="6985"/>
                    </a:xfrm>
                    <a:prstGeom prst="rect">
                      <a:avLst/>
                    </a:prstGeom>
                    <a:noFill/>
                  </pic:spPr>
                </pic:pic>
              </a:graphicData>
            </a:graphic>
          </wp:anchor>
        </w:drawing>
      </w:r>
    </w:p>
    <w:p>
      <w:pPr>
        <w:spacing w:after="0" w:line="86" w:lineRule="exact"/>
        <w:rPr>
          <w:sz w:val="20"/>
          <w:szCs w:val="20"/>
          <w:color w:val="auto"/>
        </w:rPr>
      </w:pPr>
    </w:p>
    <w:p>
      <w:pPr>
        <w:ind w:left="460" w:hanging="451"/>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 w:lineRule="exact"/>
        <w:rPr>
          <w:sz w:val="20"/>
          <w:szCs w:val="20"/>
          <w:color w:val="auto"/>
        </w:rPr>
      </w:pPr>
    </w:p>
    <w:p>
      <w:pPr>
        <w:ind w:left="460" w:hanging="451"/>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 and not “filed” for purposes of Section 18 of the Securities Exchange Act of 1934, as amended.</w:t>
      </w:r>
    </w:p>
    <w:p>
      <w:pPr>
        <w:spacing w:after="0" w:line="1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Submitted electronically herewith.</w:t>
      </w:r>
    </w:p>
    <w:p>
      <w:pPr>
        <w:spacing w:after="0" w:line="1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Executive Compensation Arrangement pursuant to 601(b)(10)(iii)(A) of Regulation S-K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40"/>
          </w:cols>
          <w:pgMar w:left="220" w:top="403" w:right="2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3" w:lineRule="exact"/>
        <w:rPr>
          <w:sz w:val="20"/>
          <w:szCs w:val="20"/>
          <w:color w:val="auto"/>
        </w:rPr>
      </w:pPr>
    </w:p>
    <w:p>
      <w:pPr>
        <w:ind w:right="260"/>
        <w:spacing w:after="0" w:line="29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March 21, 2014.</w:t>
      </w:r>
    </w:p>
    <w:p>
      <w:pPr>
        <w:spacing w:after="0" w:line="124"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GALECTIN THERAPEUTICS INC.</w:t>
      </w:r>
    </w:p>
    <w:p>
      <w:pPr>
        <w:spacing w:after="0" w:line="194" w:lineRule="exact"/>
        <w:rPr>
          <w:sz w:val="20"/>
          <w:szCs w:val="20"/>
          <w:color w:val="auto"/>
        </w:rPr>
      </w:pPr>
    </w:p>
    <w:tbl>
      <w:tblPr>
        <w:tblLayout w:type="fixed"/>
        <w:tblInd w:w="6880" w:type="dxa"/>
        <w:tblCellMar>
          <w:top w:w="0" w:type="dxa"/>
          <w:left w:w="0" w:type="dxa"/>
          <w:bottom w:w="0" w:type="dxa"/>
          <w:right w:w="0" w:type="dxa"/>
        </w:tblCellMar>
      </w:tblPr>
      <w:tr>
        <w:trPr>
          <w:trHeight w:val="184"/>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  P</w:t>
            </w:r>
            <w:r>
              <w:rPr>
                <w:rFonts w:ascii="Arial" w:cs="Arial" w:eastAsia="Arial" w:hAnsi="Arial"/>
                <w:sz w:val="12"/>
                <w:szCs w:val="12"/>
                <w:color w:val="auto"/>
              </w:rPr>
              <w:t>ETER</w:t>
            </w:r>
            <w:r>
              <w:rPr>
                <w:rFonts w:ascii="Arial" w:cs="Arial" w:eastAsia="Arial" w:hAnsi="Arial"/>
                <w:sz w:val="14"/>
                <w:szCs w:val="14"/>
                <w:color w:val="auto"/>
              </w:rPr>
              <w:t xml:space="preserve"> G. T</w:t>
            </w:r>
            <w:r>
              <w:rPr>
                <w:rFonts w:ascii="Arial" w:cs="Arial" w:eastAsia="Arial" w:hAnsi="Arial"/>
                <w:sz w:val="12"/>
                <w:szCs w:val="12"/>
                <w:color w:val="auto"/>
              </w:rPr>
              <w:t>RABER</w:t>
            </w:r>
          </w:p>
        </w:tc>
      </w:tr>
      <w:tr>
        <w:trPr>
          <w:trHeight w:val="173"/>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Name: Peter G. Traber, M.D.</w:t>
            </w:r>
          </w:p>
        </w:tc>
      </w:tr>
      <w:tr>
        <w:trPr>
          <w:trHeight w:val="182"/>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Title: Chief Executive Officer and President</w:t>
            </w:r>
          </w:p>
        </w:tc>
      </w:tr>
    </w:tbl>
    <w:p>
      <w:pPr>
        <w:spacing w:after="0" w:line="128" w:lineRule="exact"/>
        <w:rPr>
          <w:sz w:val="20"/>
          <w:szCs w:val="20"/>
          <w:color w:val="auto"/>
        </w:rPr>
      </w:pPr>
    </w:p>
    <w:p>
      <w:pPr>
        <w:ind w:right="340"/>
        <w:spacing w:after="0" w:line="296"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0"/>
              </w:rPr>
              <w:t>Signature</w:t>
            </w:r>
          </w:p>
        </w:tc>
        <w:tc>
          <w:tcPr>
            <w:tcW w:w="2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88"/>
              </w:rPr>
              <w:t>Title</w:t>
            </w:r>
          </w:p>
        </w:tc>
        <w:tc>
          <w:tcPr>
            <w:tcW w:w="1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340" w:type="dxa"/>
            <w:vAlign w:val="bottom"/>
          </w:tcPr>
          <w:p>
            <w:pPr>
              <w:spacing w:after="0"/>
              <w:rPr>
                <w:sz w:val="11"/>
                <w:szCs w:val="11"/>
                <w:color w:val="auto"/>
              </w:rPr>
            </w:pPr>
          </w:p>
        </w:tc>
      </w:tr>
      <w:tr>
        <w:trPr>
          <w:trHeight w:val="343"/>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P</w:t>
            </w:r>
            <w:r>
              <w:rPr>
                <w:rFonts w:ascii="Arial" w:cs="Arial" w:eastAsia="Arial" w:hAnsi="Arial"/>
                <w:sz w:val="12"/>
                <w:szCs w:val="12"/>
                <w:color w:val="auto"/>
              </w:rPr>
              <w:t>ETER</w:t>
            </w:r>
            <w:r>
              <w:rPr>
                <w:rFonts w:ascii="Arial" w:cs="Arial" w:eastAsia="Arial" w:hAnsi="Arial"/>
                <w:sz w:val="14"/>
                <w:szCs w:val="14"/>
                <w:color w:val="auto"/>
              </w:rPr>
              <w:t xml:space="preserve"> G. T</w:t>
            </w:r>
            <w:r>
              <w:rPr>
                <w:rFonts w:ascii="Arial" w:cs="Arial" w:eastAsia="Arial" w:hAnsi="Arial"/>
                <w:sz w:val="12"/>
                <w:szCs w:val="12"/>
                <w:color w:val="auto"/>
              </w:rPr>
              <w:t>RABER</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Chief Executive Officer, President and 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6"/>
        </w:trPr>
        <w:tc>
          <w:tcPr>
            <w:tcW w:w="2800" w:type="dxa"/>
            <w:vAlign w:val="bottom"/>
            <w:gridSpan w:val="3"/>
          </w:tcPr>
          <w:p>
            <w:pPr>
              <w:spacing w:after="0"/>
              <w:rPr>
                <w:sz w:val="20"/>
                <w:szCs w:val="20"/>
                <w:color w:val="auto"/>
              </w:rPr>
            </w:pPr>
            <w:r>
              <w:rPr>
                <w:rFonts w:ascii="Arial" w:cs="Arial" w:eastAsia="Arial" w:hAnsi="Arial"/>
                <w:sz w:val="14"/>
                <w:szCs w:val="14"/>
                <w:color w:val="auto"/>
              </w:rPr>
              <w:t>Peter G. Traber, M.D.</w:t>
            </w:r>
          </w:p>
        </w:tc>
        <w:tc>
          <w:tcPr>
            <w:tcW w:w="2300" w:type="dxa"/>
            <w:vAlign w:val="bottom"/>
          </w:tcPr>
          <w:p>
            <w:pPr>
              <w:spacing w:after="0"/>
              <w:rPr>
                <w:sz w:val="15"/>
                <w:szCs w:val="15"/>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(principal executive officer)</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58"/>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w:t>
            </w:r>
            <w:r>
              <w:rPr>
                <w:rFonts w:ascii="Arial" w:cs="Arial" w:eastAsia="Arial" w:hAnsi="Arial"/>
                <w:sz w:val="12"/>
                <w:szCs w:val="12"/>
                <w:color w:val="auto"/>
              </w:rPr>
              <w:t>ACK</w:t>
            </w:r>
            <w:r>
              <w:rPr>
                <w:rFonts w:ascii="Arial" w:cs="Arial" w:eastAsia="Arial" w:hAnsi="Arial"/>
                <w:sz w:val="14"/>
                <w:szCs w:val="14"/>
                <w:color w:val="auto"/>
              </w:rPr>
              <w:t xml:space="preserve"> W. C</w:t>
            </w:r>
            <w:r>
              <w:rPr>
                <w:rFonts w:ascii="Arial" w:cs="Arial" w:eastAsia="Arial" w:hAnsi="Arial"/>
                <w:sz w:val="12"/>
                <w:szCs w:val="12"/>
                <w:color w:val="auto"/>
              </w:rPr>
              <w:t>ALLICUTT</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Chief Financial Officer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6"/>
        </w:trPr>
        <w:tc>
          <w:tcPr>
            <w:tcW w:w="2800" w:type="dxa"/>
            <w:vAlign w:val="bottom"/>
            <w:gridSpan w:val="3"/>
          </w:tcPr>
          <w:p>
            <w:pPr>
              <w:spacing w:after="0"/>
              <w:rPr>
                <w:sz w:val="20"/>
                <w:szCs w:val="20"/>
                <w:color w:val="auto"/>
              </w:rPr>
            </w:pPr>
            <w:r>
              <w:rPr>
                <w:rFonts w:ascii="Arial" w:cs="Arial" w:eastAsia="Arial" w:hAnsi="Arial"/>
                <w:sz w:val="14"/>
                <w:szCs w:val="14"/>
                <w:color w:val="auto"/>
              </w:rPr>
              <w:t>Jack W. Callicutt</w:t>
            </w:r>
          </w:p>
        </w:tc>
        <w:tc>
          <w:tcPr>
            <w:tcW w:w="2300" w:type="dxa"/>
            <w:vAlign w:val="bottom"/>
          </w:tcPr>
          <w:p>
            <w:pPr>
              <w:spacing w:after="0"/>
              <w:rPr>
                <w:sz w:val="15"/>
                <w:szCs w:val="15"/>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(principal financial and accounting officer)</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w:t>
            </w:r>
            <w:r>
              <w:rPr>
                <w:rFonts w:ascii="Arial" w:cs="Arial" w:eastAsia="Arial" w:hAnsi="Arial"/>
                <w:sz w:val="12"/>
                <w:szCs w:val="12"/>
                <w:color w:val="auto"/>
              </w:rPr>
              <w:t>AMES</w:t>
            </w:r>
            <w:r>
              <w:rPr>
                <w:rFonts w:ascii="Arial" w:cs="Arial" w:eastAsia="Arial" w:hAnsi="Arial"/>
                <w:sz w:val="14"/>
                <w:szCs w:val="14"/>
                <w:color w:val="auto"/>
              </w:rPr>
              <w:t xml:space="preserve"> C. C</w:t>
            </w:r>
            <w:r>
              <w:rPr>
                <w:rFonts w:ascii="Arial" w:cs="Arial" w:eastAsia="Arial" w:hAnsi="Arial"/>
                <w:sz w:val="12"/>
                <w:szCs w:val="12"/>
                <w:color w:val="auto"/>
              </w:rPr>
              <w:t>ZIRR</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Executive Chairman and 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James C. Czirr</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R</w:t>
            </w:r>
            <w:r>
              <w:rPr>
                <w:rFonts w:ascii="Arial" w:cs="Arial" w:eastAsia="Arial" w:hAnsi="Arial"/>
                <w:sz w:val="12"/>
                <w:szCs w:val="12"/>
                <w:color w:val="auto"/>
              </w:rPr>
              <w:t>OD</w:t>
            </w:r>
            <w:r>
              <w:rPr>
                <w:rFonts w:ascii="Arial" w:cs="Arial" w:eastAsia="Arial" w:hAnsi="Arial"/>
                <w:sz w:val="14"/>
                <w:szCs w:val="14"/>
                <w:color w:val="auto"/>
              </w:rPr>
              <w:t xml:space="preserve"> D. M</w:t>
            </w:r>
            <w:r>
              <w:rPr>
                <w:rFonts w:ascii="Arial" w:cs="Arial" w:eastAsia="Arial" w:hAnsi="Arial"/>
                <w:sz w:val="12"/>
                <w:szCs w:val="12"/>
                <w:color w:val="auto"/>
              </w:rPr>
              <w:t>ARTIN</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Vice-Chairman and 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Rod D. Martin</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G</w:t>
            </w:r>
            <w:r>
              <w:rPr>
                <w:rFonts w:ascii="Arial" w:cs="Arial" w:eastAsia="Arial" w:hAnsi="Arial"/>
                <w:sz w:val="12"/>
                <w:szCs w:val="12"/>
                <w:color w:val="auto"/>
              </w:rPr>
              <w:t>ILBERT</w:t>
            </w:r>
            <w:r>
              <w:rPr>
                <w:rFonts w:ascii="Arial" w:cs="Arial" w:eastAsia="Arial" w:hAnsi="Arial"/>
                <w:sz w:val="14"/>
                <w:szCs w:val="14"/>
                <w:color w:val="auto"/>
              </w:rPr>
              <w:t xml:space="preserve"> F. A</w:t>
            </w:r>
            <w:r>
              <w:rPr>
                <w:rFonts w:ascii="Arial" w:cs="Arial" w:eastAsia="Arial" w:hAnsi="Arial"/>
                <w:sz w:val="12"/>
                <w:szCs w:val="12"/>
                <w:color w:val="auto"/>
              </w:rPr>
              <w:t>MELIO</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Gilbert F. Amelio</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w:t>
            </w:r>
            <w:r>
              <w:rPr>
                <w:rFonts w:ascii="Arial" w:cs="Arial" w:eastAsia="Arial" w:hAnsi="Arial"/>
                <w:sz w:val="12"/>
                <w:szCs w:val="12"/>
                <w:color w:val="auto"/>
              </w:rPr>
              <w:t>RTHUR</w:t>
            </w:r>
            <w:r>
              <w:rPr>
                <w:rFonts w:ascii="Arial" w:cs="Arial" w:eastAsia="Arial" w:hAnsi="Arial"/>
                <w:sz w:val="14"/>
                <w:szCs w:val="14"/>
                <w:color w:val="auto"/>
              </w:rPr>
              <w:t xml:space="preserve"> R. G</w:t>
            </w:r>
            <w:r>
              <w:rPr>
                <w:rFonts w:ascii="Arial" w:cs="Arial" w:eastAsia="Arial" w:hAnsi="Arial"/>
                <w:sz w:val="12"/>
                <w:szCs w:val="12"/>
                <w:color w:val="auto"/>
              </w:rPr>
              <w:t>REENBERG</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Arthur R. Greenberg</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K</w:t>
            </w:r>
            <w:r>
              <w:rPr>
                <w:rFonts w:ascii="Arial" w:cs="Arial" w:eastAsia="Arial" w:hAnsi="Arial"/>
                <w:sz w:val="12"/>
                <w:szCs w:val="12"/>
                <w:color w:val="auto"/>
              </w:rPr>
              <w:t>EVIN</w:t>
            </w:r>
            <w:r>
              <w:rPr>
                <w:rFonts w:ascii="Arial" w:cs="Arial" w:eastAsia="Arial" w:hAnsi="Arial"/>
                <w:sz w:val="14"/>
                <w:szCs w:val="14"/>
                <w:color w:val="auto"/>
              </w:rPr>
              <w:t xml:space="preserve"> D. F</w:t>
            </w:r>
            <w:r>
              <w:rPr>
                <w:rFonts w:ascii="Arial" w:cs="Arial" w:eastAsia="Arial" w:hAnsi="Arial"/>
                <w:sz w:val="12"/>
                <w:szCs w:val="12"/>
                <w:color w:val="auto"/>
              </w:rPr>
              <w:t>REEMAN</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Kevin D. Freeman</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w:t>
            </w:r>
            <w:r>
              <w:rPr>
                <w:rFonts w:ascii="Arial" w:cs="Arial" w:eastAsia="Arial" w:hAnsi="Arial"/>
                <w:sz w:val="12"/>
                <w:szCs w:val="12"/>
                <w:color w:val="auto"/>
              </w:rPr>
              <w:t>OHN</w:t>
            </w:r>
            <w:r>
              <w:rPr>
                <w:rFonts w:ascii="Arial" w:cs="Arial" w:eastAsia="Arial" w:hAnsi="Arial"/>
                <w:sz w:val="14"/>
                <w:szCs w:val="14"/>
                <w:color w:val="auto"/>
              </w:rPr>
              <w:t xml:space="preserve"> M</w:t>
            </w:r>
            <w:r>
              <w:rPr>
                <w:rFonts w:ascii="Arial" w:cs="Arial" w:eastAsia="Arial" w:hAnsi="Arial"/>
                <w:sz w:val="12"/>
                <w:szCs w:val="12"/>
                <w:color w:val="auto"/>
              </w:rPr>
              <w:t>AULDIN</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John Mauldin.</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w:t>
            </w:r>
            <w:r>
              <w:rPr>
                <w:rFonts w:ascii="Arial" w:cs="Arial" w:eastAsia="Arial" w:hAnsi="Arial"/>
                <w:sz w:val="12"/>
                <w:szCs w:val="12"/>
                <w:color w:val="auto"/>
              </w:rPr>
              <w:t>TEVEN</w:t>
            </w:r>
            <w:r>
              <w:rPr>
                <w:rFonts w:ascii="Arial" w:cs="Arial" w:eastAsia="Arial" w:hAnsi="Arial"/>
                <w:sz w:val="14"/>
                <w:szCs w:val="14"/>
                <w:color w:val="auto"/>
              </w:rPr>
              <w:t xml:space="preserve"> P</w:t>
            </w:r>
            <w:r>
              <w:rPr>
                <w:rFonts w:ascii="Arial" w:cs="Arial" w:eastAsia="Arial" w:hAnsi="Arial"/>
                <w:sz w:val="12"/>
                <w:szCs w:val="12"/>
                <w:color w:val="auto"/>
              </w:rPr>
              <w:t>RELACK</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Steven Prelack</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H. P</w:t>
            </w:r>
            <w:r>
              <w:rPr>
                <w:rFonts w:ascii="Arial" w:cs="Arial" w:eastAsia="Arial" w:hAnsi="Arial"/>
                <w:sz w:val="12"/>
                <w:szCs w:val="12"/>
                <w:color w:val="auto"/>
              </w:rPr>
              <w:t>AUL</w:t>
            </w:r>
            <w:r>
              <w:rPr>
                <w:rFonts w:ascii="Arial" w:cs="Arial" w:eastAsia="Arial" w:hAnsi="Arial"/>
                <w:sz w:val="14"/>
                <w:szCs w:val="14"/>
                <w:color w:val="auto"/>
              </w:rPr>
              <w:t xml:space="preserve"> P</w:t>
            </w:r>
            <w:r>
              <w:rPr>
                <w:rFonts w:ascii="Arial" w:cs="Arial" w:eastAsia="Arial" w:hAnsi="Arial"/>
                <w:sz w:val="12"/>
                <w:szCs w:val="12"/>
                <w:color w:val="auto"/>
              </w:rPr>
              <w:t>RESSLER</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H. Paul Pressler</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M</w:t>
            </w:r>
            <w:r>
              <w:rPr>
                <w:rFonts w:ascii="Arial" w:cs="Arial" w:eastAsia="Arial" w:hAnsi="Arial"/>
                <w:sz w:val="12"/>
                <w:szCs w:val="12"/>
                <w:color w:val="auto"/>
              </w:rPr>
              <w:t>ARC</w:t>
            </w:r>
            <w:r>
              <w:rPr>
                <w:rFonts w:ascii="Arial" w:cs="Arial" w:eastAsia="Arial" w:hAnsi="Arial"/>
                <w:sz w:val="14"/>
                <w:szCs w:val="14"/>
                <w:color w:val="auto"/>
              </w:rPr>
              <w:t xml:space="preserve"> R</w:t>
            </w:r>
            <w:r>
              <w:rPr>
                <w:rFonts w:ascii="Arial" w:cs="Arial" w:eastAsia="Arial" w:hAnsi="Arial"/>
                <w:sz w:val="12"/>
                <w:szCs w:val="12"/>
                <w:color w:val="auto"/>
              </w:rPr>
              <w:t>UBIN</w:t>
            </w:r>
          </w:p>
        </w:tc>
        <w:tc>
          <w:tcPr>
            <w:tcW w:w="2300" w:type="dxa"/>
            <w:vAlign w:val="bottom"/>
            <w:tcBorders>
              <w:bottom w:val="single" w:sz="8" w:color="auto"/>
            </w:tcBorders>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920" w:type="dxa"/>
            <w:vAlign w:val="bottom"/>
            <w:gridSpan w:val="3"/>
          </w:tcPr>
          <w:p>
            <w:pPr>
              <w:jc w:val="center"/>
              <w:ind w:left="928"/>
              <w:spacing w:after="0"/>
              <w:rPr>
                <w:sz w:val="20"/>
                <w:szCs w:val="20"/>
                <w:color w:val="auto"/>
              </w:rPr>
            </w:pPr>
            <w:r>
              <w:rPr>
                <w:rFonts w:ascii="Arial" w:cs="Arial" w:eastAsia="Arial" w:hAnsi="Arial"/>
                <w:sz w:val="14"/>
                <w:szCs w:val="14"/>
                <w:color w:val="auto"/>
                <w:w w:val="94"/>
              </w:rPr>
              <w:t>March 21, 2014</w:t>
            </w:r>
          </w:p>
        </w:tc>
      </w:tr>
      <w:tr>
        <w:trPr>
          <w:trHeight w:val="175"/>
        </w:trPr>
        <w:tc>
          <w:tcPr>
            <w:tcW w:w="2800" w:type="dxa"/>
            <w:vAlign w:val="bottom"/>
            <w:gridSpan w:val="3"/>
          </w:tcPr>
          <w:p>
            <w:pPr>
              <w:spacing w:after="0"/>
              <w:rPr>
                <w:sz w:val="20"/>
                <w:szCs w:val="20"/>
                <w:color w:val="auto"/>
              </w:rPr>
            </w:pPr>
            <w:r>
              <w:rPr>
                <w:rFonts w:ascii="Arial" w:cs="Arial" w:eastAsia="Arial" w:hAnsi="Arial"/>
                <w:sz w:val="14"/>
                <w:szCs w:val="14"/>
                <w:color w:val="auto"/>
              </w:rPr>
              <w:t>Marc Rubin, M.D.</w:t>
            </w:r>
          </w:p>
        </w:tc>
        <w:tc>
          <w:tcPr>
            <w:tcW w:w="2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03"/>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60" w:type="dxa"/>
            <w:vAlign w:val="bottom"/>
            <w:gridSpan w:val="2"/>
          </w:tcPr>
          <w:p>
            <w:pPr>
              <w:jc w:val="right"/>
              <w:ind w:right="1188"/>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60"/>
          </w:cols>
          <w:pgMar w:left="220" w:top="403"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Galectin Therapeutics Inc.</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 Development Stage Company)</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0000EE"/>
            </w:tcBorders>
          </w:tcPr>
          <w:p>
            <w:pPr>
              <w:jc w:val="right"/>
              <w:ind w:right="28"/>
              <w:spacing w:after="0"/>
              <w:rPr>
                <w:rFonts w:ascii="Arial" w:cs="Arial" w:eastAsia="Arial" w:hAnsi="Arial"/>
                <w:sz w:val="14"/>
                <w:szCs w:val="14"/>
                <w:color w:val="0000EE"/>
                <w:w w:val="85"/>
              </w:rPr>
            </w:pPr>
            <w:hyperlink w:anchor="page46">
              <w:r>
                <w:rPr>
                  <w:rFonts w:ascii="Arial" w:cs="Arial" w:eastAsia="Arial" w:hAnsi="Arial"/>
                  <w:sz w:val="14"/>
                  <w:szCs w:val="14"/>
                  <w:color w:val="0000EE"/>
                  <w:w w:val="85"/>
                </w:rPr>
                <w:t>1.</w:t>
              </w:r>
            </w:hyperlink>
          </w:p>
        </w:tc>
        <w:tc>
          <w:tcPr>
            <w:tcW w:w="3500" w:type="dxa"/>
            <w:vAlign w:val="bottom"/>
            <w:tcBorders>
              <w:bottom w:val="single" w:sz="8" w:color="0000EE"/>
            </w:tcBorders>
          </w:tcPr>
          <w:p>
            <w:pPr>
              <w:ind w:left="120"/>
              <w:spacing w:after="0"/>
              <w:rPr>
                <w:rFonts w:ascii="Arial" w:cs="Arial" w:eastAsia="Arial" w:hAnsi="Arial"/>
                <w:sz w:val="14"/>
                <w:szCs w:val="14"/>
                <w:color w:val="0000EE"/>
                <w:w w:val="93"/>
              </w:rPr>
            </w:pPr>
            <w:hyperlink w:anchor="page46">
              <w:r>
                <w:rPr>
                  <w:rFonts w:ascii="Arial" w:cs="Arial" w:eastAsia="Arial" w:hAnsi="Arial"/>
                  <w:sz w:val="14"/>
                  <w:szCs w:val="14"/>
                  <w:color w:val="0000EE"/>
                  <w:w w:val="93"/>
                </w:rPr>
                <w:t>Report of Independent Registered Public Accounting Firm</w:t>
              </w:r>
            </w:hyperlink>
          </w:p>
        </w:tc>
        <w:tc>
          <w:tcPr>
            <w:tcW w:w="6640" w:type="dxa"/>
            <w:vAlign w:val="bottom"/>
            <w:gridSpan w:val="2"/>
          </w:tcPr>
          <w:p>
            <w:pPr>
              <w:spacing w:after="0"/>
              <w:rPr>
                <w:sz w:val="14"/>
                <w:szCs w:val="14"/>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w w:val="85"/>
              </w:rPr>
              <w:t>F-1</w:t>
            </w:r>
          </w:p>
        </w:tc>
      </w:tr>
      <w:tr>
        <w:trPr>
          <w:trHeight w:val="246"/>
        </w:trPr>
        <w:tc>
          <w:tcPr>
            <w:tcW w:w="220" w:type="dxa"/>
            <w:vAlign w:val="bottom"/>
            <w:tcBorders>
              <w:bottom w:val="single" w:sz="8" w:color="0000EE"/>
            </w:tcBorders>
          </w:tcPr>
          <w:p>
            <w:pPr>
              <w:jc w:val="right"/>
              <w:ind w:right="28"/>
              <w:spacing w:after="0"/>
              <w:rPr>
                <w:rFonts w:ascii="Arial" w:cs="Arial" w:eastAsia="Arial" w:hAnsi="Arial"/>
                <w:sz w:val="14"/>
                <w:szCs w:val="14"/>
                <w:color w:val="0000EE"/>
                <w:w w:val="85"/>
              </w:rPr>
            </w:pPr>
            <w:hyperlink w:anchor="page47">
              <w:r>
                <w:rPr>
                  <w:rFonts w:ascii="Arial" w:cs="Arial" w:eastAsia="Arial" w:hAnsi="Arial"/>
                  <w:sz w:val="14"/>
                  <w:szCs w:val="14"/>
                  <w:color w:val="0000EE"/>
                  <w:w w:val="85"/>
                </w:rPr>
                <w:t>2.</w:t>
              </w:r>
            </w:hyperlink>
          </w:p>
        </w:tc>
        <w:tc>
          <w:tcPr>
            <w:tcW w:w="3840" w:type="dxa"/>
            <w:vAlign w:val="bottom"/>
            <w:tcBorders>
              <w:bottom w:val="single" w:sz="8" w:color="0000EE"/>
            </w:tcBorders>
            <w:gridSpan w:val="2"/>
          </w:tcPr>
          <w:p>
            <w:pPr>
              <w:ind w:left="120"/>
              <w:spacing w:after="0"/>
              <w:rPr>
                <w:rFonts w:ascii="Arial" w:cs="Arial" w:eastAsia="Arial" w:hAnsi="Arial"/>
                <w:sz w:val="14"/>
                <w:szCs w:val="14"/>
                <w:color w:val="0000EE"/>
                <w:w w:val="90"/>
              </w:rPr>
            </w:pPr>
            <w:hyperlink w:anchor="page47">
              <w:r>
                <w:rPr>
                  <w:rFonts w:ascii="Arial" w:cs="Arial" w:eastAsia="Arial" w:hAnsi="Arial"/>
                  <w:sz w:val="14"/>
                  <w:szCs w:val="14"/>
                  <w:color w:val="0000EE"/>
                  <w:w w:val="90"/>
                </w:rPr>
                <w:t>Consolidated Balance Sheets as of December 31, 2013 and 2012</w:t>
              </w:r>
            </w:hyperlink>
          </w:p>
        </w:tc>
        <w:tc>
          <w:tcPr>
            <w:tcW w:w="6300" w:type="dxa"/>
            <w:vAlign w:val="bottom"/>
          </w:tcPr>
          <w:p>
            <w:pPr>
              <w:spacing w:after="0"/>
              <w:rPr>
                <w:sz w:val="21"/>
                <w:szCs w:val="21"/>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w w:val="85"/>
              </w:rPr>
              <w:t>F-2</w:t>
            </w:r>
          </w:p>
        </w:tc>
      </w:tr>
      <w:tr>
        <w:trPr>
          <w:trHeight w:val="246"/>
        </w:trPr>
        <w:tc>
          <w:tcPr>
            <w:tcW w:w="220" w:type="dxa"/>
            <w:vAlign w:val="bottom"/>
            <w:tcBorders>
              <w:bottom w:val="single" w:sz="8" w:color="0000EE"/>
            </w:tcBorders>
          </w:tcPr>
          <w:p>
            <w:pPr>
              <w:jc w:val="right"/>
              <w:ind w:right="28"/>
              <w:spacing w:after="0"/>
              <w:rPr>
                <w:rFonts w:ascii="Arial" w:cs="Arial" w:eastAsia="Arial" w:hAnsi="Arial"/>
                <w:sz w:val="14"/>
                <w:szCs w:val="14"/>
                <w:color w:val="0000EE"/>
                <w:w w:val="85"/>
              </w:rPr>
            </w:pPr>
            <w:hyperlink w:anchor="page48">
              <w:r>
                <w:rPr>
                  <w:rFonts w:ascii="Arial" w:cs="Arial" w:eastAsia="Arial" w:hAnsi="Arial"/>
                  <w:sz w:val="14"/>
                  <w:szCs w:val="14"/>
                  <w:color w:val="0000EE"/>
                  <w:w w:val="85"/>
                </w:rPr>
                <w:t>3.</w:t>
              </w:r>
            </w:hyperlink>
          </w:p>
        </w:tc>
        <w:tc>
          <w:tcPr>
            <w:tcW w:w="10140" w:type="dxa"/>
            <w:vAlign w:val="bottom"/>
            <w:tcBorders>
              <w:bottom w:val="single" w:sz="8" w:color="0000EE"/>
            </w:tcBorders>
            <w:gridSpan w:val="3"/>
          </w:tcPr>
          <w:p>
            <w:pPr>
              <w:ind w:left="140"/>
              <w:spacing w:after="0"/>
              <w:rPr>
                <w:rFonts w:ascii="Arial" w:cs="Arial" w:eastAsia="Arial" w:hAnsi="Arial"/>
                <w:sz w:val="14"/>
                <w:szCs w:val="14"/>
                <w:color w:val="0000EE"/>
                <w:w w:val="92"/>
              </w:rPr>
            </w:pPr>
            <w:hyperlink w:anchor="page48">
              <w:r>
                <w:rPr>
                  <w:rFonts w:ascii="Arial" w:cs="Arial" w:eastAsia="Arial" w:hAnsi="Arial"/>
                  <w:sz w:val="14"/>
                  <w:szCs w:val="14"/>
                  <w:color w:val="0000EE"/>
                  <w:w w:val="92"/>
                </w:rPr>
                <w:t>Consolidated Statements of Operations for the years ended December 31, 2013 and 2012 and for the cumulative period from inception (July 10, 2000) to December 31, 2013</w:t>
              </w:r>
            </w:hyperlink>
          </w:p>
        </w:tc>
        <w:tc>
          <w:tcPr>
            <w:tcW w:w="1000" w:type="dxa"/>
            <w:vAlign w:val="bottom"/>
          </w:tcPr>
          <w:p>
            <w:pPr>
              <w:ind w:left="800"/>
              <w:spacing w:after="0"/>
              <w:rPr>
                <w:sz w:val="20"/>
                <w:szCs w:val="20"/>
                <w:color w:val="auto"/>
              </w:rPr>
            </w:pPr>
            <w:r>
              <w:rPr>
                <w:rFonts w:ascii="Arial" w:cs="Arial" w:eastAsia="Arial" w:hAnsi="Arial"/>
                <w:sz w:val="14"/>
                <w:szCs w:val="14"/>
                <w:color w:val="auto"/>
                <w:w w:val="85"/>
              </w:rPr>
              <w:t>F-3</w:t>
            </w:r>
          </w:p>
        </w:tc>
      </w:tr>
    </w:tbl>
    <w:p>
      <w:pPr>
        <w:spacing w:after="0" w:line="103" w:lineRule="exact"/>
        <w:rPr>
          <w:sz w:val="20"/>
          <w:szCs w:val="20"/>
          <w:color w:val="auto"/>
        </w:rPr>
      </w:pPr>
    </w:p>
    <w:p>
      <w:pPr>
        <w:ind w:left="360" w:hanging="351"/>
        <w:spacing w:after="0"/>
        <w:tabs>
          <w:tab w:leader="none" w:pos="360" w:val="left"/>
        </w:tabs>
        <w:numPr>
          <w:ilvl w:val="0"/>
          <w:numId w:val="14"/>
        </w:numPr>
        <w:rPr>
          <w:rFonts w:ascii="Arial" w:cs="Arial" w:eastAsia="Arial" w:hAnsi="Arial"/>
          <w:sz w:val="13"/>
          <w:szCs w:val="13"/>
          <w:u w:val="single" w:color="auto"/>
          <w:color w:val="0000EE"/>
        </w:rPr>
      </w:pPr>
      <w:hyperlink w:anchor="page49">
        <w:r>
          <w:rPr>
            <w:rFonts w:ascii="Arial" w:cs="Arial" w:eastAsia="Arial" w:hAnsi="Arial"/>
            <w:sz w:val="13"/>
            <w:szCs w:val="13"/>
            <w:u w:val="single" w:color="auto"/>
            <w:color w:val="0000EE"/>
          </w:rPr>
          <w:t>Consolidated Statements of Changes in Redeemable Convertible Preferred Stock and Stockholders’ Equity (Deficit) for the years ended December 31, 2013 and 2012 and for the</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380" w:type="dxa"/>
            <w:vAlign w:val="bottom"/>
            <w:gridSpan w:val="4"/>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cumulative period from inception (July 10, 2000) to December 31, 2013</w:t>
              </w:r>
            </w:hyperlink>
          </w:p>
        </w:tc>
        <w:tc>
          <w:tcPr>
            <w:tcW w:w="62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6"/>
        </w:trPr>
        <w:tc>
          <w:tcPr>
            <w:tcW w:w="220" w:type="dxa"/>
            <w:vAlign w:val="bottom"/>
            <w:tcBorders>
              <w:bottom w:val="single" w:sz="8" w:color="0000EE"/>
            </w:tcBorders>
          </w:tcPr>
          <w:p>
            <w:pPr>
              <w:jc w:val="right"/>
              <w:ind w:right="28"/>
              <w:spacing w:after="0"/>
              <w:rPr>
                <w:rFonts w:ascii="Arial" w:cs="Arial" w:eastAsia="Arial" w:hAnsi="Arial"/>
                <w:sz w:val="14"/>
                <w:szCs w:val="14"/>
                <w:color w:val="0000EE"/>
                <w:w w:val="85"/>
              </w:rPr>
            </w:pPr>
            <w:hyperlink w:anchor="page61">
              <w:r>
                <w:rPr>
                  <w:rFonts w:ascii="Arial" w:cs="Arial" w:eastAsia="Arial" w:hAnsi="Arial"/>
                  <w:sz w:val="14"/>
                  <w:szCs w:val="14"/>
                  <w:color w:val="0000EE"/>
                  <w:w w:val="85"/>
                </w:rPr>
                <w:t>5.</w:t>
              </w:r>
            </w:hyperlink>
          </w:p>
        </w:tc>
        <w:tc>
          <w:tcPr>
            <w:tcW w:w="140" w:type="dxa"/>
            <w:vAlign w:val="bottom"/>
            <w:tcBorders>
              <w:bottom w:val="single" w:sz="8" w:color="0000EE"/>
            </w:tcBorders>
          </w:tcPr>
          <w:p>
            <w:pPr>
              <w:spacing w:after="0"/>
              <w:rPr>
                <w:sz w:val="21"/>
                <w:szCs w:val="21"/>
                <w:color w:val="auto"/>
              </w:rPr>
            </w:pPr>
          </w:p>
        </w:tc>
        <w:tc>
          <w:tcPr>
            <w:tcW w:w="10040" w:type="dxa"/>
            <w:vAlign w:val="bottom"/>
            <w:tcBorders>
              <w:bottom w:val="single" w:sz="8" w:color="0000EE"/>
            </w:tcBorders>
            <w:gridSpan w:val="3"/>
          </w:tcPr>
          <w:p>
            <w:pPr>
              <w:spacing w:after="0"/>
              <w:rPr>
                <w:rFonts w:ascii="Arial" w:cs="Arial" w:eastAsia="Arial" w:hAnsi="Arial"/>
                <w:sz w:val="14"/>
                <w:szCs w:val="14"/>
                <w:color w:val="0000EE"/>
                <w:w w:val="92"/>
              </w:rPr>
            </w:pPr>
            <w:hyperlink w:anchor="page61">
              <w:r>
                <w:rPr>
                  <w:rFonts w:ascii="Arial" w:cs="Arial" w:eastAsia="Arial" w:hAnsi="Arial"/>
                  <w:sz w:val="14"/>
                  <w:szCs w:val="14"/>
                  <w:color w:val="0000EE"/>
                  <w:w w:val="92"/>
                </w:rPr>
                <w:t>Consolidated Statements of Cash Flows for the years ended December 31, 2013 and 2012 and for the cumulative period from inception (July 10, 2000) to December 31, 2013</w:t>
              </w:r>
            </w:hyperlink>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F-16</w:t>
            </w:r>
          </w:p>
        </w:tc>
      </w:tr>
      <w:tr>
        <w:trPr>
          <w:trHeight w:val="246"/>
        </w:trPr>
        <w:tc>
          <w:tcPr>
            <w:tcW w:w="220" w:type="dxa"/>
            <w:vAlign w:val="bottom"/>
            <w:tcBorders>
              <w:bottom w:val="single" w:sz="8" w:color="0000EE"/>
            </w:tcBorders>
          </w:tcPr>
          <w:p>
            <w:pPr>
              <w:jc w:val="right"/>
              <w:ind w:right="28"/>
              <w:spacing w:after="0"/>
              <w:rPr>
                <w:rFonts w:ascii="Arial" w:cs="Arial" w:eastAsia="Arial" w:hAnsi="Arial"/>
                <w:sz w:val="14"/>
                <w:szCs w:val="14"/>
                <w:color w:val="0000EE"/>
                <w:w w:val="85"/>
              </w:rPr>
            </w:pPr>
            <w:hyperlink w:anchor="page62">
              <w:r>
                <w:rPr>
                  <w:rFonts w:ascii="Arial" w:cs="Arial" w:eastAsia="Arial" w:hAnsi="Arial"/>
                  <w:sz w:val="14"/>
                  <w:szCs w:val="14"/>
                  <w:color w:val="0000EE"/>
                  <w:w w:val="85"/>
                </w:rPr>
                <w:t>6.</w:t>
              </w:r>
            </w:hyperlink>
          </w:p>
        </w:tc>
        <w:tc>
          <w:tcPr>
            <w:tcW w:w="2640" w:type="dxa"/>
            <w:vAlign w:val="bottom"/>
            <w:tcBorders>
              <w:bottom w:val="single" w:sz="8" w:color="0000EE"/>
            </w:tcBorders>
            <w:gridSpan w:val="2"/>
          </w:tcPr>
          <w:p>
            <w:pPr>
              <w:ind w:left="120"/>
              <w:spacing w:after="0"/>
              <w:rPr>
                <w:rFonts w:ascii="Arial" w:cs="Arial" w:eastAsia="Arial" w:hAnsi="Arial"/>
                <w:sz w:val="14"/>
                <w:szCs w:val="14"/>
                <w:color w:val="0000EE"/>
                <w:w w:val="91"/>
              </w:rPr>
            </w:pPr>
            <w:hyperlink w:anchor="page62">
              <w:r>
                <w:rPr>
                  <w:rFonts w:ascii="Arial" w:cs="Arial" w:eastAsia="Arial" w:hAnsi="Arial"/>
                  <w:sz w:val="14"/>
                  <w:szCs w:val="14"/>
                  <w:color w:val="0000EE"/>
                  <w:w w:val="91"/>
                </w:rPr>
                <w:t>Notes to Consolidated Financial Statements</w:t>
              </w:r>
            </w:hyperlink>
          </w:p>
        </w:tc>
        <w:tc>
          <w:tcPr>
            <w:tcW w:w="7880" w:type="dxa"/>
            <w:vAlign w:val="bottom"/>
            <w:gridSpan w:val="3"/>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F-17</w:t>
            </w:r>
          </w:p>
        </w:tc>
      </w:tr>
    </w:tbl>
    <w:p>
      <w:pPr>
        <w:sectPr>
          <w:pgSz w:w="11900" w:h="16838" w:orient="portrait"/>
          <w:cols w:equalWidth="0" w:num="1">
            <w:col w:w="11360"/>
          </w:cols>
          <w:pgMar w:left="220" w:top="403" w:right="3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Norcross, Georgia</w:t>
      </w:r>
    </w:p>
    <w:p>
      <w:pPr>
        <w:spacing w:after="0" w:line="78"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We have audited the accompanying consolidated balance sheets of Galectin Therapeutics, Inc. (a development stage company, the “Company”) as of December 31, 2013 and 2012, and the related consolidated statements of operations, changes in redeemable convertible preferred stock and stockholders’ equity (deficit), and cash flows for the years then ended and for the period from inception (July 10, 2000) to December 31, 2013. These financial statements are the responsibility of the Company’s management. Our responsibility is to express an opinion on these financial statements based on our audits. The financial statements for the period from inception (July 10, 2000) to December 31, 2009 were audited by other auditors and our opinion, insofar as it relates to cumulative amounts included for such prior periods, is based solely on the report of other such auditors.</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5"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Galectin Therapeutics as of December 31, 2013 and 2012, and the results of its operations and its cash flows for the years then ended, and for the period from inception (July 10, 2000) to December 31, 2013,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March 21, 2014</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460"/>
          </w:cols>
          <w:pgMar w:left="220" w:top="403"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Development-Stage Company)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727138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7271385" cy="112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7271385" cy="112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Prepaid expenses and other current assets</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7271385" cy="112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security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7271385" cy="112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Intangible assets, net</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7271385" cy="112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7271385" cy="112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Accounts payable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7271385" cy="112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1123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Accrued dividends payable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405"/>
              <w:spacing w:after="0"/>
              <w:rPr>
                <w:sz w:val="20"/>
                <w:szCs w:val="20"/>
                <w:color w:val="auto"/>
              </w:rPr>
            </w:pPr>
            <w:r>
              <w:rPr>
                <w:rFonts w:ascii="Arial" w:cs="Arial" w:eastAsia="Arial" w:hAnsi="Arial"/>
                <w:sz w:val="11"/>
                <w:szCs w:val="11"/>
                <w:b w:val="1"/>
                <w:bCs w:val="1"/>
                <w:color w:val="auto"/>
                <w:w w:val="89"/>
              </w:rPr>
              <w:t>December 31,</w:t>
            </w:r>
          </w:p>
        </w:tc>
      </w:tr>
      <w:tr>
        <w:trPr>
          <w:trHeight w:val="113"/>
        </w:trPr>
        <w:tc>
          <w:tcPr>
            <w:tcW w:w="4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2013</w:t>
            </w:r>
          </w:p>
        </w:tc>
        <w:tc>
          <w:tcPr>
            <w:tcW w:w="1220" w:type="dxa"/>
            <w:vAlign w:val="bottom"/>
            <w:tcBorders>
              <w:bottom w:val="single" w:sz="8" w:color="auto"/>
            </w:tcBorders>
          </w:tcPr>
          <w:p>
            <w:pPr>
              <w:jc w:val="right"/>
              <w:ind w:right="105"/>
              <w:spacing w:after="0" w:line="113" w:lineRule="exact"/>
              <w:rPr>
                <w:sz w:val="20"/>
                <w:szCs w:val="20"/>
                <w:color w:val="auto"/>
              </w:rPr>
            </w:pPr>
            <w:r>
              <w:rPr>
                <w:rFonts w:ascii="Arial" w:cs="Arial" w:eastAsia="Arial" w:hAnsi="Arial"/>
                <w:sz w:val="11"/>
                <w:szCs w:val="11"/>
                <w:b w:val="1"/>
                <w:bCs w:val="1"/>
                <w:color w:val="auto"/>
              </w:rPr>
              <w:t>2012</w:t>
            </w:r>
          </w:p>
        </w:tc>
      </w:tr>
      <w:tr>
        <w:trPr>
          <w:trHeight w:val="113"/>
        </w:trPr>
        <w:tc>
          <w:tcPr>
            <w:tcW w:w="4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center"/>
              <w:ind w:right="405"/>
              <w:spacing w:after="0" w:line="113" w:lineRule="exact"/>
              <w:rPr>
                <w:sz w:val="20"/>
                <w:szCs w:val="20"/>
                <w:color w:val="auto"/>
              </w:rPr>
            </w:pPr>
            <w:r>
              <w:rPr>
                <w:rFonts w:ascii="Arial" w:cs="Arial" w:eastAsia="Arial" w:hAnsi="Arial"/>
                <w:sz w:val="11"/>
                <w:szCs w:val="11"/>
                <w:b w:val="1"/>
                <w:bCs w:val="1"/>
                <w:color w:val="auto"/>
                <w:w w:val="89"/>
              </w:rPr>
              <w:t>(in thousands)</w:t>
            </w:r>
          </w:p>
        </w:tc>
      </w:tr>
    </w:tbl>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0" w:type="dxa"/>
            <w:vAlign w:val="bottom"/>
          </w:tcPr>
          <w:p>
            <w:pPr>
              <w:jc w:val="right"/>
              <w:spacing w:after="0"/>
              <w:rPr>
                <w:sz w:val="20"/>
                <w:szCs w:val="20"/>
                <w:color w:val="auto"/>
              </w:rPr>
            </w:pPr>
            <w:r>
              <w:rPr>
                <w:rFonts w:ascii="Arial" w:cs="Arial" w:eastAsia="Arial" w:hAnsi="Arial"/>
                <w:sz w:val="14"/>
                <w:szCs w:val="14"/>
                <w:color w:val="auto"/>
                <w:w w:val="99"/>
              </w:rPr>
              <w:t>$  10,489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  9,364</w:t>
            </w:r>
          </w:p>
        </w:tc>
      </w:tr>
      <w:tr>
        <w:trPr>
          <w:trHeight w:val="184"/>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54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78"/>
        </w:trPr>
        <w:tc>
          <w:tcPr>
            <w:tcW w:w="600" w:type="dxa"/>
            <w:vAlign w:val="bottom"/>
          </w:tcPr>
          <w:p>
            <w:pPr>
              <w:jc w:val="right"/>
              <w:spacing w:after="0"/>
              <w:rPr>
                <w:sz w:val="20"/>
                <w:szCs w:val="20"/>
                <w:color w:val="auto"/>
              </w:rPr>
            </w:pPr>
            <w:r>
              <w:rPr>
                <w:rFonts w:ascii="Arial" w:cs="Arial" w:eastAsia="Arial" w:hAnsi="Arial"/>
                <w:sz w:val="14"/>
                <w:szCs w:val="14"/>
                <w:color w:val="auto"/>
              </w:rPr>
              <w:t>10,687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8036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365" cy="698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1270</wp:posOffset>
            </wp:positionV>
            <wp:extent cx="33782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820" cy="6985"/>
                    </a:xfrm>
                    <a:prstGeom prst="rect">
                      <a:avLst/>
                    </a:prstGeom>
                    <a:noFill/>
                  </pic:spPr>
                </pic:pic>
              </a:graphicData>
            </a:graphic>
          </wp:anchor>
        </w:drawing>
      </w:r>
    </w:p>
    <w:p>
      <w:pPr>
        <w:ind w:left="1600" w:hanging="1066"/>
        <w:spacing w:after="0"/>
        <w:tabs>
          <w:tab w:leader="none" w:pos="16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8</w:t>
      </w:r>
    </w:p>
    <w:p>
      <w:pPr>
        <w:spacing w:after="0" w:line="21"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78"/>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10,713</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9,561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762</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177"/>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1,651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1,161</w:t>
            </w:r>
          </w:p>
        </w:tc>
      </w:tr>
      <w:tr>
        <w:trPr>
          <w:trHeight w:val="182"/>
        </w:trPr>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80</w:t>
            </w:r>
          </w:p>
        </w:tc>
      </w:tr>
    </w:tbl>
    <w:p>
      <w:pPr>
        <w:spacing w:after="0" w:line="1" w:lineRule="exact"/>
        <w:rPr>
          <w:sz w:val="20"/>
          <w:szCs w:val="20"/>
          <w:color w:val="auto"/>
        </w:rPr>
      </w:pPr>
    </w:p>
    <w:p>
      <w:pPr>
        <w:sectPr>
          <w:pgSz w:w="11900" w:h="16838" w:orient="portrait"/>
          <w:cols w:equalWidth="0" w:num="2">
            <w:col w:w="8980" w:space="720"/>
            <w:col w:w="1760"/>
          </w:cols>
          <w:pgMar w:left="220" w:top="403" w:right="2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current liabilities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540" w:type="dxa"/>
            <w:vAlign w:val="bottom"/>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70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114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540" w:type="dxa"/>
            <w:vAlign w:val="bottom"/>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700" w:type="dxa"/>
            <w:vAlign w:val="bottom"/>
            <w:gridSpan w:val="2"/>
          </w:tcPr>
          <w:p>
            <w:pPr>
              <w:spacing w:after="0"/>
              <w:rPr>
                <w:sz w:val="20"/>
                <w:szCs w:val="20"/>
                <w:color w:val="auto"/>
              </w:rPr>
            </w:pPr>
            <w:r>
              <w:rPr>
                <w:rFonts w:ascii="Arial" w:cs="Arial" w:eastAsia="Arial" w:hAnsi="Arial"/>
                <w:sz w:val="14"/>
                <w:szCs w:val="14"/>
                <w:color w:val="auto"/>
              </w:rPr>
              <w:t>Commitments and contingencies (Note 11)</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w w:val="97"/>
              </w:rPr>
              <w:t>Series B-1 12% redeemable convertible preferred stock; 900,000 shares authorized, issued and outstanding at December 31, 2013 and 2012, redemption value</w:t>
            </w: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liquidation value: $1,800,000, at December 31, 2013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80" w:type="dxa"/>
            <w:vAlign w:val="bottom"/>
          </w:tcPr>
          <w:p>
            <w:pPr>
              <w:spacing w:after="0"/>
              <w:rPr>
                <w:sz w:val="20"/>
                <w:szCs w:val="20"/>
                <w:color w:val="auto"/>
              </w:rPr>
            </w:pPr>
            <w:r>
              <w:rPr>
                <w:rFonts w:ascii="Arial" w:cs="Arial" w:eastAsia="Arial" w:hAnsi="Arial"/>
                <w:sz w:val="14"/>
                <w:szCs w:val="14"/>
                <w:color w:val="auto"/>
                <w:w w:val="96"/>
              </w:rPr>
              <w:t>Series B-2 12% redeemable convertible preferred stock; 2,100,000 shares authorized, issued and outstanding at December 31, 2013 and 2012, redemption value</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80" w:type="dxa"/>
            <w:vAlign w:val="bottom"/>
          </w:tcPr>
          <w:p>
            <w:pPr>
              <w:ind w:left="160"/>
              <w:spacing w:after="0"/>
              <w:rPr>
                <w:sz w:val="20"/>
                <w:szCs w:val="20"/>
                <w:color w:val="auto"/>
              </w:rPr>
            </w:pPr>
            <w:r>
              <w:rPr>
                <w:rFonts w:ascii="Arial" w:cs="Arial" w:eastAsia="Arial" w:hAnsi="Arial"/>
                <w:sz w:val="14"/>
                <w:szCs w:val="14"/>
                <w:color w:val="auto"/>
              </w:rPr>
              <w:t>and liquidation value: $4,200,000, at December 31, 2013</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rPr>
              <w:t>3,112</w:t>
            </w:r>
          </w:p>
        </w:tc>
        <w:tc>
          <w:tcPr>
            <w:tcW w:w="540" w:type="dxa"/>
            <w:vAlign w:val="bottom"/>
          </w:tcPr>
          <w:p>
            <w:pPr>
              <w:jc w:val="right"/>
              <w:spacing w:after="0"/>
              <w:rPr>
                <w:sz w:val="20"/>
                <w:szCs w:val="20"/>
                <w:color w:val="auto"/>
              </w:rPr>
            </w:pPr>
            <w:r>
              <w:rPr>
                <w:rFonts w:ascii="Arial" w:cs="Arial" w:eastAsia="Arial" w:hAnsi="Arial"/>
                <w:sz w:val="14"/>
                <w:szCs w:val="14"/>
                <w:color w:val="auto"/>
              </w:rPr>
              <w:t>2,900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w w:val="96"/>
              </w:rPr>
              <w:t>Series C super dividend convertible preferred stock; 1,000 shares authorized, 196 and 220 issued and outstanding at December 31, 2013 and 2012, respectively,</w:t>
            </w: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redemption value: $5,547,000, liquidation value: $1,989,400 at December 31, 2013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8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7"/>
              </w:rPr>
              <w:t>Undesignated stock, $0.01 par value; 20,000,000 shares authorized at December 31, 2013 and 2012, 8,001,000 shares designated at December 31,</w:t>
            </w: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6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2013 and 2012</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80" w:type="dxa"/>
            <w:vAlign w:val="bottom"/>
          </w:tcPr>
          <w:p>
            <w:pPr>
              <w:ind w:left="700"/>
              <w:spacing w:after="0"/>
              <w:rPr>
                <w:sz w:val="20"/>
                <w:szCs w:val="20"/>
                <w:color w:val="auto"/>
              </w:rPr>
            </w:pPr>
            <w:r>
              <w:rPr>
                <w:rFonts w:ascii="Arial" w:cs="Arial" w:eastAsia="Arial" w:hAnsi="Arial"/>
                <w:sz w:val="14"/>
                <w:szCs w:val="14"/>
                <w:color w:val="auto"/>
                <w:w w:val="97"/>
              </w:rPr>
              <w:t>Series A 12% convertible preferred stock; 5,000,000 shares authorized, 1,452,500 and 1,562,500 issued and outstanding at December 31, 2013 and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680" w:type="dxa"/>
            <w:vAlign w:val="bottom"/>
          </w:tcPr>
          <w:p>
            <w:pPr>
              <w:ind w:left="880"/>
              <w:spacing w:after="0"/>
              <w:rPr>
                <w:sz w:val="20"/>
                <w:szCs w:val="20"/>
                <w:color w:val="auto"/>
              </w:rPr>
            </w:pPr>
            <w:r>
              <w:rPr>
                <w:rFonts w:ascii="Arial" w:cs="Arial" w:eastAsia="Arial" w:hAnsi="Arial"/>
                <w:sz w:val="14"/>
                <w:szCs w:val="14"/>
                <w:color w:val="auto"/>
              </w:rPr>
              <w:t>2012, liquidation value $1,496,000 at December 31, 2013,</w:t>
            </w:r>
          </w:p>
        </w:tc>
        <w:tc>
          <w:tcPr>
            <w:tcW w:w="600" w:type="dxa"/>
            <w:vAlign w:val="bottom"/>
          </w:tcPr>
          <w:p>
            <w:pPr>
              <w:jc w:val="right"/>
              <w:spacing w:after="0"/>
              <w:rPr>
                <w:sz w:val="20"/>
                <w:szCs w:val="20"/>
                <w:color w:val="auto"/>
              </w:rPr>
            </w:pPr>
            <w:r>
              <w:rPr>
                <w:rFonts w:ascii="Arial" w:cs="Arial" w:eastAsia="Arial" w:hAnsi="Arial"/>
                <w:sz w:val="14"/>
                <w:szCs w:val="14"/>
                <w:color w:val="auto"/>
              </w:rPr>
              <w:t>587</w:t>
            </w:r>
          </w:p>
        </w:tc>
        <w:tc>
          <w:tcPr>
            <w:tcW w:w="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Common stock, $0.001 par value; 50,000,000 shares authorized at December 31, 2013 and 2012, 18,386,900 and 16,060,853 issued and</w:t>
            </w: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6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outstanding at December 31, 2013 and 2012, respectively</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80" w:type="dxa"/>
            <w:vAlign w:val="bottom"/>
          </w:tcPr>
          <w:p>
            <w:pPr>
              <w:ind w:left="700"/>
              <w:spacing w:after="0"/>
              <w:rPr>
                <w:sz w:val="20"/>
                <w:szCs w:val="20"/>
                <w:color w:val="auto"/>
              </w:rPr>
            </w:pPr>
            <w:r>
              <w:rPr>
                <w:rFonts w:ascii="Arial" w:cs="Arial" w:eastAsia="Arial" w:hAnsi="Arial"/>
                <w:sz w:val="14"/>
                <w:szCs w:val="14"/>
                <w:color w:val="auto"/>
              </w:rPr>
              <w:t>Additional paid-in capital</w:t>
            </w:r>
          </w:p>
        </w:tc>
        <w:tc>
          <w:tcPr>
            <w:tcW w:w="600" w:type="dxa"/>
            <w:vAlign w:val="bottom"/>
          </w:tcPr>
          <w:p>
            <w:pPr>
              <w:jc w:val="right"/>
              <w:spacing w:after="0"/>
              <w:rPr>
                <w:sz w:val="20"/>
                <w:szCs w:val="20"/>
                <w:color w:val="auto"/>
              </w:rPr>
            </w:pPr>
            <w:r>
              <w:rPr>
                <w:rFonts w:ascii="Arial" w:cs="Arial" w:eastAsia="Arial" w:hAnsi="Arial"/>
                <w:sz w:val="14"/>
                <w:szCs w:val="14"/>
                <w:color w:val="auto"/>
              </w:rPr>
              <w:t>102,841</w:t>
            </w:r>
          </w:p>
        </w:tc>
        <w:tc>
          <w:tcPr>
            <w:tcW w:w="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80,535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Deficit accumulated during the development stage</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(101,965)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(80,018)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80" w:type="dxa"/>
            <w:vAlign w:val="bottom"/>
          </w:tcPr>
          <w:p>
            <w:pPr>
              <w:ind w:left="1060"/>
              <w:spacing w:after="0"/>
              <w:rPr>
                <w:sz w:val="20"/>
                <w:szCs w:val="20"/>
                <w:color w:val="auto"/>
              </w:rPr>
            </w:pPr>
            <w:r>
              <w:rPr>
                <w:rFonts w:ascii="Arial" w:cs="Arial" w:eastAsia="Arial" w:hAnsi="Arial"/>
                <w:sz w:val="14"/>
                <w:szCs w:val="14"/>
                <w:color w:val="auto"/>
              </w:rPr>
              <w:t>Total stockholders’ equity (deficit)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5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10,713</w:t>
            </w:r>
          </w:p>
        </w:tc>
        <w:tc>
          <w:tcPr>
            <w:tcW w:w="5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9,561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60"/>
          </w:cols>
          <w:pgMar w:left="220" w:top="403" w:right="219" w:bottom="1440" w:gutter="0" w:footer="0" w:header="0"/>
          <w:type w:val="continuous"/>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727138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Cumulative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7"/>
              </w:rPr>
              <w:t>from</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inception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(July 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Year Ended</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2000)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11"/>
              <w:spacing w:after="0" w:line="113" w:lineRule="exact"/>
              <w:rPr>
                <w:sz w:val="20"/>
                <w:szCs w:val="20"/>
                <w:color w:val="auto"/>
              </w:rPr>
            </w:pPr>
            <w:r>
              <w:rPr>
                <w:rFonts w:ascii="Arial" w:cs="Arial" w:eastAsia="Arial" w:hAnsi="Arial"/>
                <w:sz w:val="11"/>
                <w:szCs w:val="11"/>
                <w:b w:val="1"/>
                <w:bCs w:val="1"/>
                <w:color w:val="auto"/>
              </w:rPr>
              <w:t>2013</w:t>
            </w:r>
          </w:p>
        </w:tc>
        <w:tc>
          <w:tcPr>
            <w:tcW w:w="42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09"/>
              <w:spacing w:after="0" w:line="113" w:lineRule="exact"/>
              <w:rPr>
                <w:sz w:val="20"/>
                <w:szCs w:val="20"/>
                <w:color w:val="auto"/>
              </w:rPr>
            </w:pPr>
            <w:r>
              <w:rPr>
                <w:rFonts w:ascii="Arial" w:cs="Arial" w:eastAsia="Arial" w:hAnsi="Arial"/>
                <w:sz w:val="11"/>
                <w:szCs w:val="11"/>
                <w:b w:val="1"/>
                <w:bCs w:val="1"/>
                <w:color w:val="auto"/>
              </w:rPr>
              <w:t>2012</w:t>
            </w:r>
          </w:p>
        </w:tc>
        <w:tc>
          <w:tcPr>
            <w:tcW w:w="42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center"/>
              <w:ind w:right="13"/>
              <w:spacing w:after="0" w:line="113" w:lineRule="exact"/>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gridSpan w:val="7"/>
          </w:tcPr>
          <w:p>
            <w:pPr>
              <w:jc w:val="right"/>
              <w:ind w:right="333"/>
              <w:spacing w:after="0" w:line="113" w:lineRule="exact"/>
              <w:rPr>
                <w:sz w:val="20"/>
                <w:szCs w:val="20"/>
                <w:color w:val="auto"/>
              </w:rPr>
            </w:pPr>
            <w:r>
              <w:rPr>
                <w:rFonts w:ascii="Arial" w:cs="Arial" w:eastAsia="Arial" w:hAnsi="Arial"/>
                <w:sz w:val="11"/>
                <w:szCs w:val="11"/>
                <w:b w:val="1"/>
                <w:bCs w:val="1"/>
                <w:color w:val="auto"/>
              </w:rPr>
              <w:t>(in thousands, except per share amounts)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tcPr>
          <w:p>
            <w:pPr>
              <w:ind w:left="340"/>
              <w:spacing w:after="0"/>
              <w:rPr>
                <w:sz w:val="20"/>
                <w:szCs w:val="20"/>
                <w:color w:val="auto"/>
              </w:rPr>
            </w:pPr>
            <w:r>
              <w:rPr>
                <w:rFonts w:ascii="Arial" w:cs="Arial" w:eastAsia="Arial" w:hAnsi="Arial"/>
                <w:sz w:val="14"/>
                <w:szCs w:val="14"/>
                <w:color w:val="auto"/>
              </w:rPr>
              <w:t>Research and development</w:t>
            </w:r>
          </w:p>
        </w:tc>
        <w:tc>
          <w:tcPr>
            <w:tcW w:w="2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5,688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4,527</w:t>
            </w:r>
          </w:p>
        </w:tc>
        <w:tc>
          <w:tcPr>
            <w:tcW w:w="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33,298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6,416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5,372</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700"/>
              <w:spacing w:after="0"/>
              <w:rPr>
                <w:sz w:val="20"/>
                <w:szCs w:val="20"/>
                <w:color w:val="auto"/>
              </w:rPr>
            </w:pPr>
            <w:r>
              <w:rPr>
                <w:rFonts w:ascii="Arial" w:cs="Arial" w:eastAsia="Arial" w:hAnsi="Arial"/>
                <w:sz w:val="14"/>
                <w:szCs w:val="14"/>
                <w:color w:val="auto"/>
              </w:rPr>
              <w:t>Total operating expenses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12,104</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9,899</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86,750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operating loss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(12,104)</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(9,899)</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(86,750)</w:t>
            </w:r>
          </w:p>
        </w:tc>
        <w:tc>
          <w:tcPr>
            <w:tcW w:w="0" w:type="dxa"/>
            <w:vAlign w:val="bottom"/>
          </w:tcPr>
          <w:p>
            <w:pPr>
              <w:spacing w:after="0"/>
              <w:rPr>
                <w:sz w:val="1"/>
                <w:szCs w:val="1"/>
                <w:color w:val="auto"/>
              </w:rPr>
            </w:pPr>
          </w:p>
        </w:tc>
      </w:tr>
      <w:tr>
        <w:trPr>
          <w:trHeight w:val="178"/>
        </w:trPr>
        <w:tc>
          <w:tcPr>
            <w:tcW w:w="606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2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income</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convertible debt instrument</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tcPr>
          <w:p>
            <w:pPr>
              <w:ind w:left="340"/>
              <w:spacing w:after="0"/>
              <w:rPr>
                <w:sz w:val="20"/>
                <w:szCs w:val="20"/>
                <w:color w:val="auto"/>
              </w:rPr>
            </w:pPr>
            <w:r>
              <w:rPr>
                <w:rFonts w:ascii="Arial" w:cs="Arial" w:eastAsia="Arial" w:hAnsi="Arial"/>
                <w:sz w:val="14"/>
                <w:szCs w:val="14"/>
                <w:color w:val="auto"/>
              </w:rPr>
              <w:t>Change in fair value of warrant liabilities</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25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4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ind w:left="700"/>
              <w:spacing w:after="0"/>
              <w:rPr>
                <w:sz w:val="20"/>
                <w:szCs w:val="20"/>
                <w:color w:val="auto"/>
              </w:rPr>
            </w:pPr>
            <w:r>
              <w:rPr>
                <w:rFonts w:ascii="Arial" w:cs="Arial" w:eastAsia="Arial" w:hAnsi="Arial"/>
                <w:sz w:val="14"/>
                <w:szCs w:val="14"/>
                <w:color w:val="auto"/>
              </w:rPr>
              <w:t>Total other income (expense)</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(12,088)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(9,675)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(84,080)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Preferred stock dividends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(867)</w:t>
            </w:r>
          </w:p>
        </w:tc>
        <w:tc>
          <w:tcPr>
            <w:tcW w:w="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(976)</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(5,104)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accretion</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Warrant modification</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(8,763)</w:t>
            </w:r>
          </w:p>
        </w:tc>
        <w:tc>
          <w:tcPr>
            <w:tcW w:w="14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(8,763)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loss applicable to common stockholders</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(21,947)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1"/>
              </w:rPr>
              <w:t>(10,881)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(102,221)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w:t>
            </w: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60" w:type="dxa"/>
            <w:vAlign w:val="bottom"/>
            <w:gridSpan w:val="2"/>
            <w:vMerge w:val="continue"/>
          </w:tcPr>
          <w:p>
            <w:pPr>
              <w:spacing w:after="0"/>
              <w:rPr>
                <w:sz w:val="13"/>
                <w:szCs w:val="13"/>
                <w:color w:val="auto"/>
              </w:rPr>
            </w:pPr>
          </w:p>
        </w:tc>
        <w:tc>
          <w:tcPr>
            <w:tcW w:w="2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(1.30)</w:t>
            </w: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(0.72)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Shares used in computing basic and diluted net loss per share</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16,874</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60"/>
          </w:cols>
          <w:pgMar w:left="220" w:top="403"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20" w:type="dxa"/>
            <w:vAlign w:val="bottom"/>
          </w:tcPr>
          <w:p>
            <w:pPr>
              <w:spacing w:after="0"/>
              <w:rPr>
                <w:sz w:val="17"/>
                <w:szCs w:val="17"/>
                <w:color w:val="auto"/>
              </w:rPr>
            </w:pPr>
          </w:p>
        </w:tc>
        <w:tc>
          <w:tcPr>
            <w:tcW w:w="1120" w:type="dxa"/>
            <w:vAlign w:val="bottom"/>
            <w:gridSpan w:val="3"/>
            <w:vMerge w:val="restart"/>
          </w:tcPr>
          <w:p>
            <w:pPr>
              <w:jc w:val="center"/>
              <w:ind w:left="202"/>
              <w:spacing w:after="0"/>
              <w:rPr>
                <w:sz w:val="20"/>
                <w:szCs w:val="20"/>
                <w:color w:val="auto"/>
              </w:rPr>
            </w:pPr>
            <w:r>
              <w:rPr>
                <w:rFonts w:ascii="Arial" w:cs="Arial" w:eastAsia="Arial" w:hAnsi="Arial"/>
                <w:sz w:val="11"/>
                <w:szCs w:val="11"/>
                <w:b w:val="1"/>
                <w:bCs w:val="1"/>
                <w:color w:val="auto"/>
                <w:w w:val="93"/>
              </w:rPr>
              <w:t>Series B-1 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B-2 12%</w:t>
            </w:r>
          </w:p>
        </w:tc>
        <w:tc>
          <w:tcPr>
            <w:tcW w:w="140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9"/>
          </w:tcPr>
          <w:p>
            <w:pPr>
              <w:ind w:left="60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2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120" w:type="dxa"/>
            <w:vAlign w:val="bottom"/>
            <w:gridSpan w:val="3"/>
          </w:tcPr>
          <w:p>
            <w:pPr>
              <w:jc w:val="center"/>
              <w:ind w:left="202"/>
              <w:spacing w:after="0" w:line="122" w:lineRule="exact"/>
              <w:rPr>
                <w:sz w:val="20"/>
                <w:szCs w:val="20"/>
                <w:color w:val="auto"/>
              </w:rPr>
            </w:pPr>
            <w:r>
              <w:rPr>
                <w:rFonts w:ascii="Arial" w:cs="Arial" w:eastAsia="Arial" w:hAnsi="Arial"/>
                <w:sz w:val="11"/>
                <w:szCs w:val="11"/>
                <w:b w:val="1"/>
                <w:bCs w:val="1"/>
                <w:color w:val="auto"/>
                <w:w w:val="89"/>
              </w:rPr>
              <w:t>Redeemable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4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4"/>
              </w:rPr>
              <w:t>Dividend</w:t>
            </w: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120" w:type="dxa"/>
            <w:vAlign w:val="bottom"/>
            <w:gridSpan w:val="3"/>
          </w:tcPr>
          <w:p>
            <w:pPr>
              <w:jc w:val="center"/>
              <w:ind w:left="182"/>
              <w:spacing w:after="0" w:line="122" w:lineRule="exact"/>
              <w:rPr>
                <w:sz w:val="20"/>
                <w:szCs w:val="20"/>
                <w:color w:val="auto"/>
              </w:rPr>
            </w:pPr>
            <w:r>
              <w:rPr>
                <w:rFonts w:ascii="Arial" w:cs="Arial" w:eastAsia="Arial" w:hAnsi="Arial"/>
                <w:sz w:val="11"/>
                <w:szCs w:val="11"/>
                <w:b w:val="1"/>
                <w:bCs w:val="1"/>
                <w:color w:val="auto"/>
                <w:w w:val="92"/>
              </w:rPr>
              <w:t>Convertible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gridSpan w:val="3"/>
          </w:tcPr>
          <w:p>
            <w:pPr>
              <w:jc w:val="center"/>
              <w:ind w:left="202"/>
              <w:spacing w:after="0"/>
              <w:rPr>
                <w:sz w:val="20"/>
                <w:szCs w:val="20"/>
                <w:color w:val="auto"/>
              </w:rPr>
            </w:pPr>
            <w:r>
              <w:rPr>
                <w:rFonts w:ascii="Arial" w:cs="Arial" w:eastAsia="Arial" w:hAnsi="Arial"/>
                <w:sz w:val="11"/>
                <w:szCs w:val="11"/>
                <w:b w:val="1"/>
                <w:bCs w:val="1"/>
                <w:color w:val="auto"/>
                <w:w w:val="90"/>
              </w:rPr>
              <w:t>Preferred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4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380" w:type="dxa"/>
            <w:vAlign w:val="bottom"/>
            <w:gridSpan w:val="5"/>
          </w:tcPr>
          <w:p>
            <w:pPr>
              <w:jc w:val="right"/>
              <w:ind w:right="27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2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During the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Number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Number of</w:t>
            </w: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Paid-In</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Development</w:t>
            </w:r>
          </w:p>
        </w:tc>
        <w:tc>
          <w:tcPr>
            <w:tcW w:w="120" w:type="dxa"/>
            <w:vAlign w:val="bottom"/>
          </w:tcPr>
          <w:p>
            <w:pPr>
              <w:spacing w:after="0"/>
              <w:rPr>
                <w:sz w:val="10"/>
                <w:szCs w:val="10"/>
                <w:color w:val="auto"/>
              </w:rPr>
            </w:pPr>
          </w:p>
        </w:tc>
        <w:tc>
          <w:tcPr>
            <w:tcW w:w="7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80" w:type="dxa"/>
            <w:vAlign w:val="bottom"/>
            <w:gridSpan w:val="3"/>
          </w:tcPr>
          <w:p>
            <w:pPr>
              <w:ind w:left="1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7"/>
              </w:rPr>
              <w:t>Shares</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7"/>
              </w:rPr>
              <w:t>Shares</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7"/>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7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6"/>
              </w:rPr>
              <w:t>Stage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46"/>
        </w:trPr>
        <w:tc>
          <w:tcPr>
            <w:tcW w:w="122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Issuance of</w:t>
            </w: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w w:val="93"/>
              </w:rPr>
              <w:t>founders shares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July 10, 2000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w w:val="76"/>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b w:val="1"/>
                <w:bCs w:val="1"/>
                <w:color w:val="auto"/>
              </w:rPr>
              <w:t>—   $</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shd w:val="clear" w:color="auto" w:fill="CCEEFF"/>
          </w:tcPr>
          <w:p>
            <w:pPr>
              <w:ind w:left="420"/>
              <w:spacing w:after="0"/>
              <w:rPr>
                <w:sz w:val="20"/>
                <w:szCs w:val="20"/>
                <w:color w:val="auto"/>
              </w:rPr>
            </w:pPr>
            <w:r>
              <w:rPr>
                <w:rFonts w:ascii="Arial" w:cs="Arial" w:eastAsia="Arial" w:hAnsi="Arial"/>
                <w:sz w:val="14"/>
                <w:szCs w:val="14"/>
                <w:b w:val="1"/>
                <w:bCs w:val="1"/>
                <w:color w:val="auto"/>
              </w:rPr>
              <w:t>—   $</w:t>
            </w:r>
          </w:p>
        </w:tc>
        <w:tc>
          <w:tcPr>
            <w:tcW w:w="5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2,059,112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Beneficial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conversion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feature and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rights to</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embedded in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convertible note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180"/>
              <w:spacing w:after="0"/>
              <w:rPr>
                <w:sz w:val="20"/>
                <w:szCs w:val="20"/>
                <w:color w:val="auto"/>
              </w:rPr>
            </w:pPr>
            <w:r>
              <w:rPr>
                <w:rFonts w:ascii="Arial" w:cs="Arial" w:eastAsia="Arial" w:hAnsi="Arial"/>
                <w:sz w:val="14"/>
                <w:szCs w:val="14"/>
                <w:color w:val="auto"/>
              </w:rPr>
              <w:t>in 2000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beneficial</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feature related to</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note</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 2001</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110,054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w w:val="97"/>
              </w:rPr>
              <w:t>common stock in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connection with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reverse merger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rPr>
              <w:t>of Pro-</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tcPr>
          <w:p>
            <w:pPr>
              <w:ind w:left="180"/>
              <w:spacing w:after="0"/>
              <w:rPr>
                <w:sz w:val="20"/>
                <w:szCs w:val="20"/>
                <w:color w:val="auto"/>
              </w:rPr>
            </w:pPr>
            <w:r>
              <w:rPr>
                <w:rFonts w:ascii="Arial" w:cs="Arial" w:eastAsia="Arial" w:hAnsi="Arial"/>
                <w:sz w:val="14"/>
                <w:szCs w:val="14"/>
                <w:color w:val="auto"/>
                <w:w w:val="94"/>
              </w:rPr>
              <w:t>Pharmaceuticals-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180"/>
              <w:spacing w:after="0"/>
              <w:rPr>
                <w:sz w:val="20"/>
                <w:szCs w:val="20"/>
                <w:color w:val="auto"/>
              </w:rPr>
            </w:pPr>
            <w:r>
              <w:rPr>
                <w:rFonts w:ascii="Arial" w:cs="Arial" w:eastAsia="Arial" w:hAnsi="Arial"/>
                <w:sz w:val="14"/>
                <w:szCs w:val="14"/>
                <w:color w:val="auto"/>
              </w:rPr>
              <w:t>NV in 2001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203,649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w w:val="96"/>
              </w:rPr>
              <w:t>Conversion of notes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 and</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to common stock</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 2001</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99,705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color w:val="auto"/>
              </w:rPr>
              <w:t>F-4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20" w:top="403" w:right="15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spacing w:after="0"/>
              <w:rPr>
                <w:sz w:val="17"/>
                <w:szCs w:val="17"/>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B-1 12%</w:t>
            </w: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B-2 12%</w:t>
            </w:r>
          </w:p>
        </w:tc>
        <w:tc>
          <w:tcPr>
            <w:tcW w:w="13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58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4"/>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Paid-In</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Capital</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Issuance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warrants to</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induce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conversion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notes payable in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2001</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and warrants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(net of issuance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$17,000) in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ind w:left="180"/>
              <w:spacing w:after="0"/>
              <w:rPr>
                <w:sz w:val="20"/>
                <w:szCs w:val="20"/>
                <w:color w:val="auto"/>
              </w:rPr>
            </w:pPr>
            <w:r>
              <w:rPr>
                <w:rFonts w:ascii="Arial" w:cs="Arial" w:eastAsia="Arial" w:hAnsi="Arial"/>
                <w:sz w:val="14"/>
                <w:szCs w:val="14"/>
                <w:color w:val="auto"/>
              </w:rPr>
              <w:t>2001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114,884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172"/>
        </w:trPr>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(net 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$49,000) in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2002</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related to 2002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ind w:left="180"/>
              <w:spacing w:after="0"/>
              <w:rPr>
                <w:sz w:val="20"/>
                <w:szCs w:val="20"/>
                <w:color w:val="auto"/>
              </w:rPr>
            </w:pPr>
            <w:r>
              <w:rPr>
                <w:rFonts w:ascii="Arial" w:cs="Arial" w:eastAsia="Arial" w:hAnsi="Arial"/>
                <w:sz w:val="14"/>
                <w:szCs w:val="14"/>
                <w:color w:val="auto"/>
              </w:rPr>
              <w:t>$212,000)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537,227</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72"/>
        </w:trPr>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Conversion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and accrued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interest to</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warrants to</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purchase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in consideration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for placement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notes payable in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180"/>
              <w:spacing w:after="0"/>
              <w:rPr>
                <w:sz w:val="20"/>
                <w:szCs w:val="20"/>
                <w:color w:val="auto"/>
              </w:rPr>
            </w:pPr>
            <w:r>
              <w:rPr>
                <w:rFonts w:ascii="Arial" w:cs="Arial" w:eastAsia="Arial" w:hAnsi="Arial"/>
                <w:sz w:val="14"/>
                <w:szCs w:val="14"/>
                <w:color w:val="auto"/>
              </w:rPr>
              <w:t>2002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F-5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2" w:right="21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spacing w:after="0"/>
              <w:rPr>
                <w:sz w:val="17"/>
                <w:szCs w:val="17"/>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B-1 12%</w:t>
            </w: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B-2 12%</w:t>
            </w:r>
          </w:p>
        </w:tc>
        <w:tc>
          <w:tcPr>
            <w:tcW w:w="13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58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4"/>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jc w:val="right"/>
              <w:ind w:right="44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Paid-In</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Capital</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Issuance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 investors in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2002 private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$18,000)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to consultants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for services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related to 2002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placement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Receipt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subscription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receivable</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Conversion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accrued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expenses to</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and options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33,618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72"/>
        </w:trPr>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 investors in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May, 2003</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$128,000)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399,917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F-6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3" w:right="21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spacing w:after="0"/>
              <w:rPr>
                <w:sz w:val="17"/>
                <w:szCs w:val="17"/>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B-1 12%</w:t>
            </w: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B-2 12%</w:t>
            </w:r>
          </w:p>
        </w:tc>
        <w:tc>
          <w:tcPr>
            <w:tcW w:w="13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58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4"/>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ind w:left="32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Paid-In</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Capital</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Fair value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warrants issued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 placement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agents in May,</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2003 private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placement</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to investors in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October, 2003</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ind w:left="180"/>
              <w:spacing w:after="0"/>
              <w:rPr>
                <w:sz w:val="20"/>
                <w:szCs w:val="20"/>
                <w:color w:val="auto"/>
              </w:rPr>
            </w:pPr>
            <w:r>
              <w:rPr>
                <w:rFonts w:ascii="Arial" w:cs="Arial" w:eastAsia="Arial" w:hAnsi="Arial"/>
                <w:sz w:val="14"/>
                <w:szCs w:val="14"/>
                <w:color w:val="auto"/>
              </w:rPr>
              <w:t>$559,000)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219,096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72"/>
        </w:trPr>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Cashless exercise</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employee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stock options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192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to investors in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April, 2004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gridSpan w:val="3"/>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180"/>
              <w:spacing w:after="0"/>
              <w:rPr>
                <w:sz w:val="20"/>
                <w:szCs w:val="20"/>
                <w:color w:val="auto"/>
              </w:rPr>
            </w:pPr>
            <w:r>
              <w:rPr>
                <w:rFonts w:ascii="Arial" w:cs="Arial" w:eastAsia="Arial" w:hAnsi="Arial"/>
                <w:sz w:val="14"/>
                <w:szCs w:val="14"/>
                <w:color w:val="auto"/>
              </w:rPr>
              <w:t>$466,000)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206,019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F-7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2" w:right="21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00" w:type="dxa"/>
            <w:vAlign w:val="bottom"/>
          </w:tcPr>
          <w:p>
            <w:pPr>
              <w:spacing w:after="0"/>
              <w:rPr>
                <w:sz w:val="17"/>
                <w:szCs w:val="17"/>
                <w:color w:val="auto"/>
              </w:rPr>
            </w:pP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B-1 12%</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Series B-2 12%</w:t>
            </w:r>
          </w:p>
        </w:tc>
        <w:tc>
          <w:tcPr>
            <w:tcW w:w="13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600"/>
              <w:spacing w:after="0"/>
              <w:rPr>
                <w:sz w:val="20"/>
                <w:szCs w:val="20"/>
                <w:color w:val="auto"/>
              </w:rPr>
            </w:pPr>
            <w:r>
              <w:rPr>
                <w:rFonts w:ascii="Arial" w:cs="Arial" w:eastAsia="Arial" w:hAnsi="Arial"/>
                <w:sz w:val="11"/>
                <w:szCs w:val="11"/>
                <w:b w:val="1"/>
                <w:bCs w:val="1"/>
                <w:color w:val="auto"/>
              </w:rPr>
              <w:t>Stockholders’ Deficit</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5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4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460" w:type="dxa"/>
            <w:vAlign w:val="bottom"/>
          </w:tcPr>
          <w:p>
            <w:pPr>
              <w:spacing w:after="0"/>
              <w:rPr>
                <w:sz w:val="10"/>
                <w:szCs w:val="10"/>
                <w:color w:val="auto"/>
              </w:rPr>
            </w:pPr>
          </w:p>
        </w:tc>
        <w:tc>
          <w:tcPr>
            <w:tcW w:w="920" w:type="dxa"/>
            <w:vAlign w:val="bottom"/>
            <w:gridSpan w:val="3"/>
          </w:tcPr>
          <w:p>
            <w:pPr>
              <w:jc w:val="center"/>
              <w:ind w:right="425"/>
              <w:spacing w:after="0" w:line="122" w:lineRule="exact"/>
              <w:rPr>
                <w:sz w:val="20"/>
                <w:szCs w:val="20"/>
                <w:color w:val="auto"/>
              </w:rPr>
            </w:pPr>
            <w:r>
              <w:rPr>
                <w:rFonts w:ascii="Arial" w:cs="Arial" w:eastAsia="Arial" w:hAnsi="Arial"/>
                <w:sz w:val="11"/>
                <w:szCs w:val="11"/>
                <w:b w:val="1"/>
                <w:bCs w:val="1"/>
                <w:color w:val="auto"/>
                <w:w w:val="94"/>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13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ind w:left="32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During the</w:t>
            </w: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right="705"/>
              <w:spacing w:after="0" w:line="122" w:lineRule="exact"/>
              <w:rPr>
                <w:sz w:val="20"/>
                <w:szCs w:val="20"/>
                <w:color w:val="auto"/>
              </w:rPr>
            </w:pPr>
            <w:r>
              <w:rPr>
                <w:rFonts w:ascii="Arial" w:cs="Arial" w:eastAsia="Arial" w:hAnsi="Arial"/>
                <w:sz w:val="11"/>
                <w:szCs w:val="11"/>
                <w:b w:val="1"/>
                <w:bCs w:val="1"/>
                <w:color w:val="auto"/>
                <w:w w:val="90"/>
              </w:rPr>
              <w:t>Number of</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8"/>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Paid-In</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jc w:val="center"/>
              <w:ind w:left="85"/>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Capital</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0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Issuance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 investors in</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August, 2004</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private</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$485,000)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333,334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70"/>
        </w:trPr>
        <w:tc>
          <w:tcPr>
            <w:tcW w:w="184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issued in 2006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debenture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conversions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79,367</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72"/>
        </w:trPr>
        <w:tc>
          <w:tcPr>
            <w:tcW w:w="18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issued in 2006</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and 2007</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related to</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debenture</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redemptions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1,227,972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70"/>
        </w:trPr>
        <w:tc>
          <w:tcPr>
            <w:tcW w:w="184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issued in 2007</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debenture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waiver and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exchange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40" w:type="dxa"/>
            <w:vAlign w:val="bottom"/>
            <w:gridSpan w:val="3"/>
          </w:tcPr>
          <w:p>
            <w:pPr>
              <w:ind w:left="180"/>
              <w:spacing w:after="0"/>
              <w:rPr>
                <w:sz w:val="20"/>
                <w:szCs w:val="20"/>
                <w:color w:val="auto"/>
              </w:rPr>
            </w:pPr>
            <w:r>
              <w:rPr>
                <w:rFonts w:ascii="Arial" w:cs="Arial" w:eastAsia="Arial" w:hAnsi="Arial"/>
                <w:sz w:val="14"/>
                <w:szCs w:val="14"/>
                <w:color w:val="auto"/>
              </w:rPr>
              <w:t>agreement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867,558</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5,329</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5,330</w:t>
            </w: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80"/>
              <w:spacing w:after="0"/>
              <w:rPr>
                <w:sz w:val="20"/>
                <w:szCs w:val="20"/>
                <w:color w:val="auto"/>
              </w:rPr>
            </w:pPr>
            <w:r>
              <w:rPr>
                <w:rFonts w:ascii="Arial" w:cs="Arial" w:eastAsia="Arial" w:hAnsi="Arial"/>
                <w:sz w:val="14"/>
                <w:szCs w:val="14"/>
                <w:color w:val="auto"/>
              </w:rPr>
              <w:t>F-8</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3" w:right="21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Pr>
          <w:p>
            <w:pPr>
              <w:spacing w:after="0"/>
              <w:rPr>
                <w:sz w:val="17"/>
                <w:szCs w:val="17"/>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B-1 12%</w:t>
            </w:r>
          </w:p>
        </w:tc>
        <w:tc>
          <w:tcPr>
            <w:tcW w:w="15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B-2 12%</w:t>
            </w:r>
          </w:p>
        </w:tc>
        <w:tc>
          <w:tcPr>
            <w:tcW w:w="13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58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480" w:type="dxa"/>
            <w:vAlign w:val="bottom"/>
            <w:gridSpan w:val="4"/>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Paid-In</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Capital</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6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Series A 12%</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issued in a</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February 4,</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2008 private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placement (net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cash</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of $52,000)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7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1,742,500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704</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0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issued in a</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February 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2008 offering</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(net of cash</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issuance costs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of $369,000)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1,250,000</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1,043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in payment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Series A 12%</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185,392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0"/>
        </w:trPr>
        <w:tc>
          <w:tcPr>
            <w:tcW w:w="190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Warrants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Reclassification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Warrant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00" w:type="dxa"/>
            <w:vAlign w:val="bottom"/>
            <w:gridSpan w:val="3"/>
          </w:tcPr>
          <w:p>
            <w:pPr>
              <w:spacing w:after="0"/>
              <w:rPr>
                <w:sz w:val="20"/>
                <w:szCs w:val="20"/>
                <w:color w:val="auto"/>
              </w:rPr>
            </w:pPr>
            <w:r>
              <w:rPr>
                <w:rFonts w:ascii="Arial" w:cs="Arial" w:eastAsia="Arial" w:hAnsi="Arial"/>
                <w:sz w:val="14"/>
                <w:szCs w:val="14"/>
                <w:color w:val="auto"/>
              </w:rPr>
              <w:t>Deferred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relating to</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stock options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455</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color w:val="auto"/>
              </w:rPr>
              <w:t>F-9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3"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Pr>
          <w:p>
            <w:pPr>
              <w:spacing w:after="0"/>
              <w:rPr>
                <w:sz w:val="17"/>
                <w:szCs w:val="17"/>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Series B-1 12%</w:t>
            </w: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Series B-2 12%</w:t>
            </w:r>
          </w:p>
        </w:tc>
        <w:tc>
          <w:tcPr>
            <w:tcW w:w="13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4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4"/>
              </w:rPr>
              <w:t>Dividend</w:t>
            </w:r>
          </w:p>
        </w:tc>
        <w:tc>
          <w:tcPr>
            <w:tcW w:w="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480" w:type="dxa"/>
            <w:vAlign w:val="bottom"/>
            <w:gridSpan w:val="4"/>
          </w:tcPr>
          <w:p>
            <w:pPr>
              <w:ind w:left="30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7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Paid-In</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Capital</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6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Stock</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right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expense related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fair market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revaluation</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4"/>
                <w:szCs w:val="14"/>
                <w:color w:val="auto"/>
              </w:rPr>
              <w:t>Stock based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18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15,424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the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common shares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12,515</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4"/>
                <w:szCs w:val="14"/>
                <w:color w:val="auto"/>
              </w:rPr>
              <w:t>Cumulative effect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of adoption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w w:val="98"/>
              </w:rPr>
              <w:t>new accounting</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180"/>
              <w:spacing w:after="0"/>
              <w:rPr>
                <w:sz w:val="20"/>
                <w:szCs w:val="20"/>
                <w:color w:val="auto"/>
              </w:rPr>
            </w:pPr>
            <w:r>
              <w:rPr>
                <w:rFonts w:ascii="Arial" w:cs="Arial" w:eastAsia="Arial" w:hAnsi="Arial"/>
                <w:sz w:val="14"/>
                <w:szCs w:val="14"/>
                <w:color w:val="auto"/>
              </w:rPr>
              <w:t>principle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(458)</w:t>
            </w:r>
          </w:p>
        </w:tc>
        <w:tc>
          <w:tcPr>
            <w:tcW w:w="620" w:type="dxa"/>
            <w:vAlign w:val="bottom"/>
          </w:tcPr>
          <w:p>
            <w:pPr>
              <w:jc w:val="right"/>
              <w:spacing w:after="0"/>
              <w:rPr>
                <w:sz w:val="20"/>
                <w:szCs w:val="20"/>
                <w:color w:val="auto"/>
              </w:rPr>
            </w:pPr>
            <w:r>
              <w:rPr>
                <w:rFonts w:ascii="Arial" w:cs="Arial" w:eastAsia="Arial" w:hAnsi="Arial"/>
                <w:sz w:val="14"/>
                <w:szCs w:val="14"/>
                <w:color w:val="auto"/>
              </w:rPr>
              <w:t>254</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2"/>
        </w:trPr>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98"/>
              </w:rPr>
              <w:t>Issuance of Series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B-1 redeemable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warrants,</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$300,000</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900,000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1,105</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4"/>
                <w:szCs w:val="14"/>
                <w:color w:val="auto"/>
              </w:rPr>
              <w:t>Accretion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Series B-1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ind w:left="180"/>
              <w:spacing w:after="0"/>
              <w:rPr>
                <w:sz w:val="20"/>
                <w:szCs w:val="20"/>
                <w:color w:val="auto"/>
              </w:rPr>
            </w:pPr>
            <w:r>
              <w:rPr>
                <w:rFonts w:ascii="Arial" w:cs="Arial" w:eastAsia="Arial" w:hAnsi="Arial"/>
                <w:sz w:val="14"/>
                <w:szCs w:val="14"/>
                <w:color w:val="auto"/>
              </w:rPr>
              <w:t>to redemption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tcPr>
          <w:p>
            <w:pPr>
              <w:ind w:left="180"/>
              <w:spacing w:after="0"/>
              <w:rPr>
                <w:sz w:val="20"/>
                <w:szCs w:val="20"/>
                <w:color w:val="auto"/>
              </w:rPr>
            </w:pPr>
            <w:r>
              <w:rPr>
                <w:rFonts w:ascii="Arial" w:cs="Arial" w:eastAsia="Arial" w:hAnsi="Arial"/>
                <w:sz w:val="14"/>
                <w:szCs w:val="14"/>
                <w:color w:val="auto"/>
              </w:rPr>
              <w:t>value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(1,320)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F-10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2" w:right="21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Pr>
          <w:p>
            <w:pPr>
              <w:spacing w:after="0"/>
              <w:rPr>
                <w:sz w:val="17"/>
                <w:szCs w:val="17"/>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Series B-1 12%</w:t>
            </w:r>
          </w:p>
        </w:tc>
        <w:tc>
          <w:tcPr>
            <w:tcW w:w="15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1"/>
              </w:rPr>
              <w:t>Series B-2 12%</w:t>
            </w: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1"/>
              </w:rPr>
              <w:t>Series C Super</w:t>
            </w:r>
          </w:p>
        </w:tc>
        <w:tc>
          <w:tcPr>
            <w:tcW w:w="6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580"/>
              <w:spacing w:after="0"/>
              <w:rPr>
                <w:sz w:val="20"/>
                <w:szCs w:val="20"/>
                <w:color w:val="auto"/>
              </w:rPr>
            </w:pPr>
            <w:r>
              <w:rPr>
                <w:rFonts w:ascii="Arial" w:cs="Arial" w:eastAsia="Arial" w:hAnsi="Arial"/>
                <w:sz w:val="11"/>
                <w:szCs w:val="11"/>
                <w:b w:val="1"/>
                <w:bCs w:val="1"/>
                <w:color w:val="auto"/>
              </w:rPr>
              <w:t>Stockholders’ Deficit</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44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Dividend</w:t>
            </w: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4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14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2"/>
              </w:rPr>
              <w:t>Preferred Stock</w:t>
            </w: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2"/>
              </w:rPr>
              <w:t>Preferred Stock</w:t>
            </w:r>
          </w:p>
        </w:tc>
        <w:tc>
          <w:tcPr>
            <w:tcW w:w="1500" w:type="dxa"/>
            <w:vAlign w:val="bottom"/>
            <w:gridSpan w:val="4"/>
          </w:tcPr>
          <w:p>
            <w:pPr>
              <w:ind w:left="32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8"/>
              </w:rPr>
              <w:t>Number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Paid-In</w:t>
            </w: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Amount</w:t>
            </w: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Capital</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16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w w:val="98"/>
              </w:rPr>
              <w:t>Issuance of Series</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B-2 redeemable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and warrants,</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net 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$188,000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2,100,000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170"/>
        </w:trPr>
        <w:tc>
          <w:tcPr>
            <w:tcW w:w="1900" w:type="dxa"/>
            <w:vAlign w:val="bottom"/>
            <w:gridSpan w:val="3"/>
          </w:tcPr>
          <w:p>
            <w:pPr>
              <w:spacing w:after="0"/>
              <w:rPr>
                <w:sz w:val="20"/>
                <w:szCs w:val="20"/>
                <w:color w:val="auto"/>
              </w:rPr>
            </w:pPr>
            <w:r>
              <w:rPr>
                <w:rFonts w:ascii="Arial" w:cs="Arial" w:eastAsia="Arial" w:hAnsi="Arial"/>
                <w:sz w:val="14"/>
                <w:szCs w:val="14"/>
                <w:color w:val="auto"/>
              </w:rPr>
              <w:t>Beneficial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conversion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feature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recognized 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series B-2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(1,016)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2"/>
        </w:trPr>
        <w:tc>
          <w:tcPr>
            <w:tcW w:w="1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 Series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 super</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net 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$47,000</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2,203</w:t>
            </w:r>
          </w:p>
        </w:tc>
        <w:tc>
          <w:tcPr>
            <w:tcW w:w="6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900" w:type="dxa"/>
            <w:vAlign w:val="bottom"/>
            <w:gridSpan w:val="3"/>
          </w:tcPr>
          <w:p>
            <w:pPr>
              <w:spacing w:after="0"/>
              <w:rPr>
                <w:sz w:val="20"/>
                <w:szCs w:val="20"/>
                <w:color w:val="auto"/>
              </w:rPr>
            </w:pPr>
            <w:r>
              <w:rPr>
                <w:rFonts w:ascii="Arial" w:cs="Arial" w:eastAsia="Arial" w:hAnsi="Arial"/>
                <w:sz w:val="14"/>
                <w:szCs w:val="14"/>
                <w:color w:val="auto"/>
              </w:rPr>
              <w:t>Conversion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Series C super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to common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gridSpan w:val="3"/>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c>
          <w:tcPr>
            <w:tcW w:w="6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48,527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color w:val="auto"/>
              </w:rPr>
              <w:t>F-11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3" w:right="21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60" w:type="dxa"/>
            <w:vAlign w:val="bottom"/>
          </w:tcPr>
          <w:p>
            <w:pPr>
              <w:spacing w:after="0"/>
              <w:rPr>
                <w:sz w:val="17"/>
                <w:szCs w:val="17"/>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Series B-1 12%</w:t>
            </w:r>
          </w:p>
        </w:tc>
        <w:tc>
          <w:tcPr>
            <w:tcW w:w="150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1"/>
              </w:rPr>
              <w:t>Series B-2 12%</w:t>
            </w:r>
          </w:p>
        </w:tc>
        <w:tc>
          <w:tcPr>
            <w:tcW w:w="13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1"/>
              </w:rPr>
              <w:t>Series C Super</w:t>
            </w:r>
          </w:p>
        </w:tc>
        <w:tc>
          <w:tcPr>
            <w:tcW w:w="7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1"/>
                <w:szCs w:val="11"/>
                <w:b w:val="1"/>
                <w:bCs w:val="1"/>
                <w:color w:val="auto"/>
              </w:rPr>
              <w:t>Stockholders’ Deficit</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0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4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50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Redeemable</w:t>
            </w:r>
          </w:p>
        </w:tc>
        <w:tc>
          <w:tcPr>
            <w:tcW w:w="460" w:type="dxa"/>
            <w:vAlign w:val="bottom"/>
          </w:tcPr>
          <w:p>
            <w:pPr>
              <w:spacing w:after="0"/>
              <w:rPr>
                <w:sz w:val="10"/>
                <w:szCs w:val="10"/>
                <w:color w:val="auto"/>
              </w:rPr>
            </w:pPr>
          </w:p>
        </w:tc>
        <w:tc>
          <w:tcPr>
            <w:tcW w:w="900" w:type="dxa"/>
            <w:vAlign w:val="bottom"/>
            <w:gridSpan w:val="3"/>
          </w:tcPr>
          <w:p>
            <w:pPr>
              <w:jc w:val="center"/>
              <w:ind w:right="405"/>
              <w:spacing w:after="0" w:line="122" w:lineRule="exact"/>
              <w:rPr>
                <w:sz w:val="20"/>
                <w:szCs w:val="20"/>
                <w:color w:val="auto"/>
              </w:rPr>
            </w:pPr>
            <w:r>
              <w:rPr>
                <w:rFonts w:ascii="Arial" w:cs="Arial" w:eastAsia="Arial" w:hAnsi="Arial"/>
                <w:sz w:val="11"/>
                <w:szCs w:val="11"/>
                <w:b w:val="1"/>
                <w:bCs w:val="1"/>
                <w:color w:val="auto"/>
                <w:w w:val="94"/>
              </w:rPr>
              <w:t>Dividend</w:t>
            </w: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4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13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520" w:type="dxa"/>
            <w:vAlign w:val="bottom"/>
            <w:gridSpan w:val="4"/>
          </w:tcPr>
          <w:p>
            <w:pPr>
              <w:ind w:left="34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Deficit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0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During the</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4"/>
          </w:tcPr>
          <w:p>
            <w:pPr>
              <w:jc w:val="center"/>
              <w:ind w:right="705"/>
              <w:spacing w:after="0" w:line="122" w:lineRule="exact"/>
              <w:rPr>
                <w:sz w:val="20"/>
                <w:szCs w:val="20"/>
                <w:color w:val="auto"/>
              </w:rPr>
            </w:pPr>
            <w:r>
              <w:rPr>
                <w:rFonts w:ascii="Arial" w:cs="Arial" w:eastAsia="Arial" w:hAnsi="Arial"/>
                <w:sz w:val="11"/>
                <w:szCs w:val="11"/>
                <w:b w:val="1"/>
                <w:bCs w:val="1"/>
                <w:color w:val="auto"/>
                <w:w w:val="94"/>
              </w:rPr>
              <w:t>Number of</w:t>
            </w: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Number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Paid-In</w:t>
            </w: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jc w:val="center"/>
              <w:ind w:left="85"/>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Amount</w:t>
            </w: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Capital</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Stage</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50"/>
        </w:trPr>
        <w:tc>
          <w:tcPr>
            <w:tcW w:w="106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Accretion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Series B-2</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redeemable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stock to</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value</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2,215</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(2,215)</w:t>
            </w:r>
          </w:p>
        </w:tc>
        <w:tc>
          <w:tcPr>
            <w:tcW w:w="0" w:type="dxa"/>
            <w:vAlign w:val="bottom"/>
          </w:tcPr>
          <w:p>
            <w:pPr>
              <w:spacing w:after="0"/>
              <w:rPr>
                <w:sz w:val="1"/>
                <w:szCs w:val="1"/>
                <w:color w:val="auto"/>
              </w:rPr>
            </w:pPr>
          </w:p>
        </w:tc>
      </w:tr>
      <w:tr>
        <w:trPr>
          <w:trHeight w:val="170"/>
        </w:trPr>
        <w:tc>
          <w:tcPr>
            <w:tcW w:w="1800" w:type="dxa"/>
            <w:vAlign w:val="bottom"/>
            <w:gridSpan w:val="3"/>
          </w:tcPr>
          <w:p>
            <w:pPr>
              <w:spacing w:after="0"/>
              <w:rPr>
                <w:sz w:val="20"/>
                <w:szCs w:val="20"/>
                <w:color w:val="auto"/>
              </w:rPr>
            </w:pPr>
            <w:r>
              <w:rPr>
                <w:rFonts w:ascii="Arial" w:cs="Arial" w:eastAsia="Arial" w:hAnsi="Arial"/>
                <w:sz w:val="14"/>
                <w:szCs w:val="14"/>
                <w:color w:val="auto"/>
              </w:rPr>
              <w:t>Series B-1 12%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preferred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334,913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1,212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(1,212)</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Series B-2 12%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redeemable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653,274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800" w:type="dxa"/>
            <w:vAlign w:val="bottom"/>
            <w:gridSpan w:val="3"/>
          </w:tcPr>
          <w:p>
            <w:pPr>
              <w:spacing w:after="0"/>
              <w:rPr>
                <w:sz w:val="20"/>
                <w:szCs w:val="20"/>
                <w:color w:val="auto"/>
              </w:rPr>
            </w:pPr>
            <w:r>
              <w:rPr>
                <w:rFonts w:ascii="Arial" w:cs="Arial" w:eastAsia="Arial" w:hAnsi="Arial"/>
                <w:sz w:val="14"/>
                <w:szCs w:val="14"/>
                <w:color w:val="auto"/>
              </w:rPr>
              <w:t>Series C super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preferred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86,967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347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(380)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2"/>
        </w:trPr>
        <w:tc>
          <w:tcPr>
            <w:tcW w:w="1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Accretion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beneficial</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conversion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feature for</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Series B-2</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70"/>
        </w:trPr>
        <w:tc>
          <w:tcPr>
            <w:tcW w:w="1800" w:type="dxa"/>
            <w:vAlign w:val="bottom"/>
            <w:gridSpan w:val="3"/>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3"/>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454,167</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stock upon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exercise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4,704,518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18,808</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F-12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03"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Period From Inception (July 10, 2000) to December 31, 2013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60" w:type="dxa"/>
            <w:vAlign w:val="bottom"/>
          </w:tcPr>
          <w:p>
            <w:pPr>
              <w:spacing w:after="0"/>
              <w:rPr>
                <w:sz w:val="17"/>
                <w:szCs w:val="17"/>
                <w:color w:val="auto"/>
              </w:rPr>
            </w:pPr>
          </w:p>
        </w:tc>
        <w:tc>
          <w:tcPr>
            <w:tcW w:w="1060" w:type="dxa"/>
            <w:vAlign w:val="bottom"/>
            <w:gridSpan w:val="3"/>
            <w:vMerge w:val="restart"/>
          </w:tcPr>
          <w:p>
            <w:pPr>
              <w:jc w:val="center"/>
              <w:ind w:left="282"/>
              <w:spacing w:after="0"/>
              <w:rPr>
                <w:sz w:val="20"/>
                <w:szCs w:val="20"/>
                <w:color w:val="auto"/>
              </w:rPr>
            </w:pPr>
            <w:r>
              <w:rPr>
                <w:rFonts w:ascii="Arial" w:cs="Arial" w:eastAsia="Arial" w:hAnsi="Arial"/>
                <w:sz w:val="11"/>
                <w:szCs w:val="11"/>
                <w:b w:val="1"/>
                <w:bCs w:val="1"/>
                <w:color w:val="auto"/>
                <w:w w:val="91"/>
              </w:rPr>
              <w:t>Series B-1 12%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3"/>
              </w:rPr>
              <w:t>Series B-2 12%</w:t>
            </w:r>
          </w:p>
        </w:tc>
        <w:tc>
          <w:tcPr>
            <w:tcW w:w="138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1"/>
                <w:szCs w:val="11"/>
                <w:b w:val="1"/>
                <w:bCs w:val="1"/>
                <w:color w:val="auto"/>
              </w:rPr>
              <w:t>Stockholders’ Deficit</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06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60" w:type="dxa"/>
            <w:vAlign w:val="bottom"/>
            <w:gridSpan w:val="3"/>
          </w:tcPr>
          <w:p>
            <w:pPr>
              <w:jc w:val="center"/>
              <w:ind w:left="262"/>
              <w:spacing w:after="0" w:line="122" w:lineRule="exact"/>
              <w:rPr>
                <w:sz w:val="20"/>
                <w:szCs w:val="20"/>
                <w:color w:val="auto"/>
              </w:rPr>
            </w:pPr>
            <w:r>
              <w:rPr>
                <w:rFonts w:ascii="Arial" w:cs="Arial" w:eastAsia="Arial" w:hAnsi="Arial"/>
                <w:sz w:val="11"/>
                <w:szCs w:val="11"/>
                <w:b w:val="1"/>
                <w:bCs w:val="1"/>
                <w:color w:val="auto"/>
                <w:w w:val="89"/>
              </w:rPr>
              <w:t>Redeemable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3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Dividend</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60" w:type="dxa"/>
            <w:vAlign w:val="bottom"/>
            <w:gridSpan w:val="3"/>
          </w:tcPr>
          <w:p>
            <w:pPr>
              <w:jc w:val="center"/>
              <w:ind w:left="282"/>
              <w:spacing w:after="0" w:line="122" w:lineRule="exact"/>
              <w:rPr>
                <w:sz w:val="20"/>
                <w:szCs w:val="20"/>
                <w:color w:val="auto"/>
              </w:rPr>
            </w:pPr>
            <w:r>
              <w:rPr>
                <w:rFonts w:ascii="Arial" w:cs="Arial" w:eastAsia="Arial" w:hAnsi="Arial"/>
                <w:sz w:val="11"/>
                <w:szCs w:val="11"/>
                <w:b w:val="1"/>
                <w:bCs w:val="1"/>
                <w:color w:val="auto"/>
                <w:w w:val="92"/>
              </w:rPr>
              <w:t>Convertible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5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3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1460" w:type="dxa"/>
            <w:vAlign w:val="bottom"/>
            <w:gridSpan w:val="4"/>
          </w:tcPr>
          <w:p>
            <w:pPr>
              <w:jc w:val="right"/>
              <w:ind w:right="311"/>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0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9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During the</w:t>
            </w:r>
          </w:p>
        </w:tc>
        <w:tc>
          <w:tcPr>
            <w:tcW w:w="62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8"/>
              </w:rPr>
              <w:t>Number of</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5"/>
              <w:spacing w:after="0" w:line="122"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Paid-In</w:t>
            </w:r>
          </w:p>
        </w:tc>
        <w:tc>
          <w:tcPr>
            <w:tcW w:w="1520" w:type="dxa"/>
            <w:vAlign w:val="bottom"/>
            <w:gridSpan w:val="5"/>
          </w:tcPr>
          <w:p>
            <w:pPr>
              <w:jc w:val="right"/>
              <w:ind w:right="80"/>
              <w:spacing w:after="0" w:line="122" w:lineRule="exact"/>
              <w:rPr>
                <w:sz w:val="20"/>
                <w:szCs w:val="20"/>
                <w:color w:val="auto"/>
              </w:rPr>
            </w:pPr>
            <w:r>
              <w:rPr>
                <w:rFonts w:ascii="Arial" w:cs="Arial" w:eastAsia="Arial" w:hAnsi="Arial"/>
                <w:sz w:val="11"/>
                <w:szCs w:val="11"/>
                <w:b w:val="1"/>
                <w:bCs w:val="1"/>
                <w:color w:val="auto"/>
                <w:w w:val="95"/>
              </w:rPr>
              <w:t>Development  Stockholders’</w:t>
            </w: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6"/>
              </w:rPr>
              <w:t>Amount</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76"/>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Amount</w:t>
            </w:r>
          </w:p>
        </w:tc>
        <w:tc>
          <w:tcPr>
            <w:tcW w:w="680" w:type="dxa"/>
            <w:vAlign w:val="bottom"/>
          </w:tcPr>
          <w:p>
            <w:pPr>
              <w:jc w:val="right"/>
              <w:ind w:right="115"/>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71"/>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9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6"/>
              </w:rPr>
              <w:t>Stage</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0"/>
        </w:trPr>
        <w:tc>
          <w:tcPr>
            <w:tcW w:w="106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Issuance of</w:t>
            </w: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upon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20"/>
                <w:szCs w:val="20"/>
                <w:color w:val="auto"/>
              </w:rPr>
            </w:pPr>
            <w:r>
              <w:rPr>
                <w:rFonts w:ascii="Arial" w:cs="Arial" w:eastAsia="Arial" w:hAnsi="Arial"/>
                <w:sz w:val="14"/>
                <w:szCs w:val="14"/>
                <w:color w:val="auto"/>
              </w:rPr>
              <w:t>Conversion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color w:val="auto"/>
              </w:rPr>
              <w:t>Series A to</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(290,000)</w:t>
            </w: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(117)</w:t>
            </w:r>
          </w:p>
        </w:tc>
        <w:tc>
          <w:tcPr>
            <w:tcW w:w="680" w:type="dxa"/>
            <w:vAlign w:val="bottom"/>
          </w:tcPr>
          <w:p>
            <w:pPr>
              <w:jc w:val="right"/>
              <w:spacing w:after="0"/>
              <w:rPr>
                <w:sz w:val="20"/>
                <w:szCs w:val="20"/>
                <w:color w:val="auto"/>
              </w:rPr>
            </w:pPr>
            <w:r>
              <w:rPr>
                <w:rFonts w:ascii="Arial" w:cs="Arial" w:eastAsia="Arial" w:hAnsi="Arial"/>
                <w:sz w:val="14"/>
                <w:szCs w:val="14"/>
                <w:color w:val="auto"/>
              </w:rPr>
              <w:t>48,387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7"/>
              </w:rPr>
              <w:t>2012 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and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warrants, net</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issuance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$1,597</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2,666,722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10,400</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20"/>
                <w:szCs w:val="20"/>
                <w:color w:val="auto"/>
              </w:rPr>
            </w:pPr>
            <w:r>
              <w:rPr>
                <w:rFonts w:ascii="Arial" w:cs="Arial" w:eastAsia="Arial" w:hAnsi="Arial"/>
                <w:sz w:val="14"/>
                <w:szCs w:val="14"/>
                <w:color w:val="auto"/>
                <w:w w:val="97"/>
              </w:rPr>
              <w:t>2013 Issuance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color w:val="auto"/>
              </w:rPr>
              <w:t>stock, net of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color w:val="auto"/>
                <w:w w:val="93"/>
              </w:rPr>
              <w:t>issuance costs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tcPr>
          <w:p>
            <w:pPr>
              <w:ind w:left="180"/>
              <w:spacing w:after="0"/>
              <w:rPr>
                <w:sz w:val="20"/>
                <w:szCs w:val="20"/>
                <w:color w:val="auto"/>
              </w:rPr>
            </w:pPr>
            <w:r>
              <w:rPr>
                <w:rFonts w:ascii="Arial" w:cs="Arial" w:eastAsia="Arial" w:hAnsi="Arial"/>
                <w:sz w:val="14"/>
                <w:szCs w:val="14"/>
                <w:color w:val="auto"/>
              </w:rPr>
              <w:t>of $111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599,942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3,832</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172"/>
        </w:trPr>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shares related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reverse</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split of</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060" w:type="dxa"/>
            <w:vAlign w:val="bottom"/>
          </w:tcPr>
          <w:p>
            <w:pPr>
              <w:spacing w:after="0"/>
              <w:rPr>
                <w:sz w:val="20"/>
                <w:szCs w:val="20"/>
                <w:color w:val="auto"/>
              </w:rPr>
            </w:pPr>
            <w:r>
              <w:rPr>
                <w:rFonts w:ascii="Arial" w:cs="Arial" w:eastAsia="Arial" w:hAnsi="Arial"/>
                <w:sz w:val="14"/>
                <w:szCs w:val="14"/>
                <w:color w:val="auto"/>
              </w:rPr>
              <w:t>Modification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60" w:type="dxa"/>
            <w:vAlign w:val="bottom"/>
          </w:tcPr>
          <w:p>
            <w:pPr>
              <w:ind w:left="180"/>
              <w:spacing w:after="0"/>
              <w:rPr>
                <w:sz w:val="20"/>
                <w:szCs w:val="20"/>
                <w:color w:val="auto"/>
              </w:rPr>
            </w:pPr>
            <w:r>
              <w:rPr>
                <w:rFonts w:ascii="Arial" w:cs="Arial" w:eastAsia="Arial" w:hAnsi="Arial"/>
                <w:sz w:val="14"/>
                <w:szCs w:val="14"/>
                <w:color w:val="auto"/>
              </w:rPr>
              <w:t>warrants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8,763</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(8,763)</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rPr>
              <w:t>Net loss since</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inception</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(84,080)</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(84,080)</w:t>
            </w:r>
          </w:p>
        </w:tc>
        <w:tc>
          <w:tcPr>
            <w:tcW w:w="0" w:type="dxa"/>
            <w:vAlign w:val="bottom"/>
          </w:tcPr>
          <w:p>
            <w:pPr>
              <w:spacing w:after="0"/>
              <w:rPr>
                <w:sz w:val="1"/>
                <w:szCs w:val="1"/>
                <w:color w:val="auto"/>
              </w:rPr>
            </w:pPr>
          </w:p>
        </w:tc>
      </w:tr>
      <w:tr>
        <w:trPr>
          <w:trHeight w:val="168"/>
        </w:trPr>
        <w:tc>
          <w:tcPr>
            <w:tcW w:w="1060" w:type="dxa"/>
            <w:vAlign w:val="bottom"/>
          </w:tcPr>
          <w:p>
            <w:pPr>
              <w:spacing w:after="0"/>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60" w:type="dxa"/>
            <w:vAlign w:val="bottom"/>
          </w:tcPr>
          <w:p>
            <w:pPr>
              <w:ind w:left="180"/>
              <w:spacing w:after="0"/>
              <w:rPr>
                <w:sz w:val="20"/>
                <w:szCs w:val="20"/>
                <w:color w:val="auto"/>
              </w:rPr>
            </w:pPr>
            <w:r>
              <w:rPr>
                <w:rFonts w:ascii="Arial" w:cs="Arial" w:eastAsia="Arial" w:hAnsi="Arial"/>
                <w:sz w:val="14"/>
                <w:szCs w:val="14"/>
                <w:b w:val="1"/>
                <w:bCs w:val="1"/>
                <w:color w:val="auto"/>
                <w:w w:val="94"/>
              </w:rPr>
              <w:t>December 31,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w w:val="86"/>
              </w:rPr>
              <w:t>900,000</w:t>
            </w:r>
          </w:p>
        </w:tc>
        <w:tc>
          <w:tcPr>
            <w:tcW w:w="440" w:type="dxa"/>
            <w:vAlign w:val="bottom"/>
            <w:gridSpan w:val="2"/>
          </w:tcPr>
          <w:p>
            <w:pPr>
              <w:jc w:val="right"/>
              <w:ind w:right="205"/>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1,715</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2,100,000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3,112</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196</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1,919</w:t>
            </w:r>
          </w:p>
        </w:tc>
        <w:tc>
          <w:tcPr>
            <w:tcW w:w="700" w:type="dxa"/>
            <w:vAlign w:val="bottom"/>
            <w:tcBorders>
              <w:right w:val="single" w:sz="8" w:color="auto"/>
            </w:tcBorders>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1,452,500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587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18,386,900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102,841</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(101,965) $</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1,481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540"/>
          </w:cols>
          <w:pgMar w:left="220" w:top="403" w:right="1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2013 and 2012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6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Series B-1 12%</w:t>
            </w:r>
          </w:p>
        </w:tc>
        <w:tc>
          <w:tcPr>
            <w:tcW w:w="140" w:type="dxa"/>
            <w:vAlign w:val="bottom"/>
          </w:tcPr>
          <w:p>
            <w:pPr>
              <w:spacing w:after="0"/>
              <w:rPr>
                <w:sz w:val="17"/>
                <w:szCs w:val="17"/>
                <w:color w:val="auto"/>
              </w:rPr>
            </w:pPr>
          </w:p>
        </w:tc>
        <w:tc>
          <w:tcPr>
            <w:tcW w:w="1180" w:type="dxa"/>
            <w:vAlign w:val="bottom"/>
            <w:gridSpan w:val="5"/>
            <w:vMerge w:val="restart"/>
          </w:tcPr>
          <w:p>
            <w:pPr>
              <w:jc w:val="center"/>
              <w:ind w:right="140"/>
              <w:spacing w:after="0"/>
              <w:rPr>
                <w:sz w:val="20"/>
                <w:szCs w:val="20"/>
                <w:color w:val="auto"/>
              </w:rPr>
            </w:pPr>
            <w:r>
              <w:rPr>
                <w:rFonts w:ascii="Arial" w:cs="Arial" w:eastAsia="Arial" w:hAnsi="Arial"/>
                <w:sz w:val="11"/>
                <w:szCs w:val="11"/>
                <w:b w:val="1"/>
                <w:bCs w:val="1"/>
                <w:color w:val="auto"/>
                <w:w w:val="91"/>
              </w:rPr>
              <w:t>Series B-2 12%</w:t>
            </w:r>
          </w:p>
        </w:tc>
        <w:tc>
          <w:tcPr>
            <w:tcW w:w="10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9"/>
              </w:rPr>
              <w:t>Series C Super</w:t>
            </w: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1"/>
                <w:szCs w:val="11"/>
                <w:b w:val="1"/>
                <w:bCs w:val="1"/>
                <w:color w:val="auto"/>
                <w:w w:val="89"/>
              </w:rPr>
              <w:t>Stockholders’ Deficit</w:t>
            </w: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5"/>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60" w:type="dxa"/>
            <w:vAlign w:val="bottom"/>
            <w:gridSpan w:val="4"/>
          </w:tcPr>
          <w:p>
            <w:pPr>
              <w:ind w:left="240"/>
              <w:spacing w:after="0" w:line="122" w:lineRule="exact"/>
              <w:rPr>
                <w:sz w:val="20"/>
                <w:szCs w:val="20"/>
                <w:color w:val="auto"/>
              </w:rPr>
            </w:pPr>
            <w:r>
              <w:rPr>
                <w:rFonts w:ascii="Arial" w:cs="Arial" w:eastAsia="Arial" w:hAnsi="Arial"/>
                <w:sz w:val="11"/>
                <w:szCs w:val="11"/>
                <w:b w:val="1"/>
                <w:bCs w:val="1"/>
                <w:color w:val="auto"/>
              </w:rPr>
              <w:t>Redeemable</w:t>
            </w:r>
          </w:p>
        </w:tc>
        <w:tc>
          <w:tcPr>
            <w:tcW w:w="140" w:type="dxa"/>
            <w:vAlign w:val="bottom"/>
          </w:tcPr>
          <w:p>
            <w:pPr>
              <w:spacing w:after="0"/>
              <w:rPr>
                <w:sz w:val="10"/>
                <w:szCs w:val="10"/>
                <w:color w:val="auto"/>
              </w:rPr>
            </w:pPr>
          </w:p>
        </w:tc>
        <w:tc>
          <w:tcPr>
            <w:tcW w:w="1180" w:type="dxa"/>
            <w:vAlign w:val="bottom"/>
            <w:gridSpan w:val="5"/>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Redeemable</w:t>
            </w:r>
          </w:p>
        </w:tc>
        <w:tc>
          <w:tcPr>
            <w:tcW w:w="780" w:type="dxa"/>
            <w:vAlign w:val="bottom"/>
            <w:gridSpan w:val="3"/>
          </w:tcPr>
          <w:p>
            <w:pPr>
              <w:jc w:val="center"/>
              <w:ind w:left="225"/>
              <w:spacing w:after="0" w:line="122" w:lineRule="exact"/>
              <w:rPr>
                <w:sz w:val="20"/>
                <w:szCs w:val="20"/>
                <w:color w:val="auto"/>
              </w:rPr>
            </w:pPr>
            <w:r>
              <w:rPr>
                <w:rFonts w:ascii="Arial" w:cs="Arial" w:eastAsia="Arial" w:hAnsi="Arial"/>
                <w:sz w:val="11"/>
                <w:szCs w:val="11"/>
                <w:b w:val="1"/>
                <w:bCs w:val="1"/>
                <w:color w:val="auto"/>
                <w:w w:val="90"/>
              </w:rPr>
              <w:t>Dividend</w:t>
            </w: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left="125"/>
              <w:spacing w:after="0" w:line="122" w:lineRule="exact"/>
              <w:rPr>
                <w:sz w:val="20"/>
                <w:szCs w:val="20"/>
                <w:color w:val="auto"/>
              </w:rPr>
            </w:pPr>
            <w:r>
              <w:rPr>
                <w:rFonts w:ascii="Arial" w:cs="Arial" w:eastAsia="Arial" w:hAnsi="Arial"/>
                <w:sz w:val="11"/>
                <w:szCs w:val="11"/>
                <w:b w:val="1"/>
                <w:bCs w:val="1"/>
                <w:color w:val="auto"/>
                <w:w w:val="92"/>
              </w:rPr>
              <w:t>Series A 12%</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60" w:type="dxa"/>
            <w:vAlign w:val="bottom"/>
            <w:gridSpan w:val="4"/>
          </w:tcPr>
          <w:p>
            <w:pPr>
              <w:ind w:left="260"/>
              <w:spacing w:after="0" w:line="122" w:lineRule="exact"/>
              <w:rPr>
                <w:sz w:val="20"/>
                <w:szCs w:val="20"/>
                <w:color w:val="auto"/>
              </w:rPr>
            </w:pPr>
            <w:r>
              <w:rPr>
                <w:rFonts w:ascii="Arial" w:cs="Arial" w:eastAsia="Arial" w:hAnsi="Arial"/>
                <w:sz w:val="11"/>
                <w:szCs w:val="11"/>
                <w:b w:val="1"/>
                <w:bCs w:val="1"/>
                <w:color w:val="auto"/>
              </w:rPr>
              <w:t>Convertible</w:t>
            </w:r>
          </w:p>
        </w:tc>
        <w:tc>
          <w:tcPr>
            <w:tcW w:w="140" w:type="dxa"/>
            <w:vAlign w:val="bottom"/>
          </w:tcPr>
          <w:p>
            <w:pPr>
              <w:spacing w:after="0"/>
              <w:rPr>
                <w:sz w:val="10"/>
                <w:szCs w:val="10"/>
                <w:color w:val="auto"/>
              </w:rPr>
            </w:pPr>
          </w:p>
        </w:tc>
        <w:tc>
          <w:tcPr>
            <w:tcW w:w="1180" w:type="dxa"/>
            <w:vAlign w:val="bottom"/>
            <w:gridSpan w:val="5"/>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0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left="125"/>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60" w:type="dxa"/>
            <w:vAlign w:val="bottom"/>
            <w:gridSpan w:val="4"/>
          </w:tcPr>
          <w:p>
            <w:pPr>
              <w:ind w:left="160"/>
              <w:spacing w:after="0"/>
              <w:rPr>
                <w:sz w:val="20"/>
                <w:szCs w:val="20"/>
                <w:color w:val="auto"/>
              </w:rPr>
            </w:pPr>
            <w:r>
              <w:rPr>
                <w:rFonts w:ascii="Arial" w:cs="Arial" w:eastAsia="Arial" w:hAnsi="Arial"/>
                <w:sz w:val="11"/>
                <w:szCs w:val="11"/>
                <w:b w:val="1"/>
                <w:bCs w:val="1"/>
                <w:color w:val="auto"/>
              </w:rPr>
              <w:t>Preferred Stock</w:t>
            </w:r>
          </w:p>
        </w:tc>
        <w:tc>
          <w:tcPr>
            <w:tcW w:w="140" w:type="dxa"/>
            <w:vAlign w:val="bottom"/>
          </w:tcPr>
          <w:p>
            <w:pPr>
              <w:spacing w:after="0"/>
              <w:rPr>
                <w:sz w:val="11"/>
                <w:szCs w:val="11"/>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10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920" w:type="dxa"/>
            <w:vAlign w:val="bottom"/>
            <w:gridSpan w:val="3"/>
          </w:tcPr>
          <w:p>
            <w:pPr>
              <w:ind w:left="180"/>
              <w:spacing w:after="0"/>
              <w:rPr>
                <w:sz w:val="20"/>
                <w:szCs w:val="20"/>
                <w:color w:val="auto"/>
              </w:rPr>
            </w:pPr>
            <w:r>
              <w:rPr>
                <w:rFonts w:ascii="Arial" w:cs="Arial" w:eastAsia="Arial" w:hAnsi="Arial"/>
                <w:sz w:val="11"/>
                <w:szCs w:val="11"/>
                <w:b w:val="1"/>
                <w:bCs w:val="1"/>
                <w:color w:val="auto"/>
                <w:w w:val="89"/>
              </w:rPr>
              <w:t>Common Stock</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During the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87"/>
              </w:rPr>
              <w:t>Number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60" w:type="dxa"/>
            <w:vAlign w:val="bottom"/>
          </w:tcPr>
          <w:p>
            <w:pPr>
              <w:spacing w:after="0"/>
              <w:rPr>
                <w:sz w:val="10"/>
                <w:szCs w:val="10"/>
                <w:color w:val="auto"/>
              </w:rPr>
            </w:pPr>
          </w:p>
        </w:tc>
        <w:tc>
          <w:tcPr>
            <w:tcW w:w="7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1"/>
                <w:szCs w:val="11"/>
                <w:color w:val="auto"/>
              </w:rPr>
            </w:pPr>
          </w:p>
        </w:tc>
        <w:tc>
          <w:tcPr>
            <w:tcW w:w="520" w:type="dxa"/>
            <w:vAlign w:val="bottom"/>
          </w:tcPr>
          <w:p>
            <w:pPr>
              <w:jc w:val="right"/>
              <w:ind w:right="45"/>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00" w:type="dxa"/>
            <w:vAlign w:val="bottom"/>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45"/>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20" w:type="dxa"/>
            <w:vAlign w:val="bottom"/>
          </w:tcPr>
          <w:p>
            <w:pPr>
              <w:spacing w:after="0"/>
              <w:rPr>
                <w:sz w:val="11"/>
                <w:szCs w:val="11"/>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Stage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Balance at December 31, 2011</w:t>
            </w:r>
          </w:p>
        </w:tc>
        <w:tc>
          <w:tcPr>
            <w:tcW w:w="52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1"/>
                <w:szCs w:val="11"/>
                <w:b w:val="1"/>
                <w:bCs w:val="1"/>
                <w:color w:val="auto"/>
                <w:w w:val="85"/>
              </w:rPr>
              <w:t>900,000</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1,681</w:t>
            </w: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2,100,000</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4"/>
              </w:rPr>
              <w:t>2,687</w:t>
            </w: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220</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4"/>
              </w:rPr>
              <w:t>2,154</w:t>
            </w:r>
          </w:p>
        </w:tc>
        <w:tc>
          <w:tcPr>
            <w:tcW w:w="18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1,562,500</w:t>
            </w: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4"/>
                <w:szCs w:val="4"/>
                <w:b w:val="1"/>
                <w:bCs w:val="1"/>
                <w:color w:val="auto"/>
                <w:w w:val="87"/>
              </w:rPr>
              <w:t>$</w:t>
            </w:r>
          </w:p>
        </w:tc>
        <w:tc>
          <w:tcPr>
            <w:tcW w:w="18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b w:val="1"/>
                <w:bCs w:val="1"/>
                <w:color w:val="auto"/>
                <w:w w:val="76"/>
              </w:rPr>
              <w:t>632</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4"/>
              </w:rPr>
              <w:t>12,919,538</w:t>
            </w: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w w:val="97"/>
              </w:rPr>
              <w:t>13</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66,367</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(69,137)</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b w:val="1"/>
                <w:bCs w:val="1"/>
                <w:color w:val="auto"/>
              </w:rPr>
              <w:t>(2,125)</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Accretion of Series B redeemable convertible preferred stock</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157</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(174)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Accretion of beneficial conversion feature for Series B-2</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56</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(56)</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40" w:type="dxa"/>
            <w:vAlign w:val="bottom"/>
          </w:tcPr>
          <w:p>
            <w:pPr>
              <w:spacing w:after="0" w:line="115" w:lineRule="exact"/>
              <w:rPr>
                <w:sz w:val="20"/>
                <w:szCs w:val="20"/>
                <w:color w:val="auto"/>
              </w:rPr>
            </w:pPr>
            <w:r>
              <w:rPr>
                <w:rFonts w:ascii="Arial" w:cs="Arial" w:eastAsia="Arial" w:hAnsi="Arial"/>
                <w:sz w:val="11"/>
                <w:szCs w:val="11"/>
                <w:color w:val="auto"/>
              </w:rPr>
              <w:t>Issuance of common stock and warrants, net of issuance costs of</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260" w:type="dxa"/>
            <w:vAlign w:val="bottom"/>
            <w:gridSpan w:val="2"/>
          </w:tcPr>
          <w:p>
            <w:pPr>
              <w:jc w:val="right"/>
              <w:ind w:right="2525"/>
              <w:spacing w:after="0"/>
              <w:rPr>
                <w:sz w:val="20"/>
                <w:szCs w:val="20"/>
                <w:color w:val="auto"/>
              </w:rPr>
            </w:pPr>
            <w:r>
              <w:rPr>
                <w:rFonts w:ascii="Arial" w:cs="Arial" w:eastAsia="Arial" w:hAnsi="Arial"/>
                <w:sz w:val="11"/>
                <w:szCs w:val="11"/>
                <w:color w:val="auto"/>
              </w:rPr>
              <w:t>$1,597,000</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2,666,722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10,400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10,403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shares related to reverse split of common stock</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3,324</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Series A 12% convertible preferred stock dividend</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31,250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103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(103)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Series B-1 12% redeemable convertible preferred stock dividend</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95,584</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(224)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Series B-2 12% redeemable convertible preferred stock dividend</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223,027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522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(522)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Series C super dividend convertible preferred stock dividend</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46,053</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(127)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Issuance of common stock to consultants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11,348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exercise of warrants</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12,177</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exercise of options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51,830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4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(9,675)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(9,675)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at December 31, 2012</w:t>
            </w:r>
          </w:p>
        </w:tc>
        <w:tc>
          <w:tcPr>
            <w:tcW w:w="52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b w:val="1"/>
                <w:bCs w:val="1"/>
                <w:color w:val="auto"/>
                <w:w w:val="85"/>
              </w:rPr>
              <w:t>900,000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1,698</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2,100,000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t>
            </w:r>
          </w:p>
        </w:tc>
        <w:tc>
          <w:tcPr>
            <w:tcW w:w="4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w w:val="94"/>
              </w:rPr>
              <w:t>2,900</w:t>
            </w: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rPr>
              <w:t>220</w:t>
            </w:r>
          </w:p>
        </w:tc>
        <w:tc>
          <w:tcPr>
            <w:tcW w:w="1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4"/>
              </w:rPr>
              <w:t>2,154</w:t>
            </w:r>
          </w:p>
        </w:tc>
        <w:tc>
          <w:tcPr>
            <w:tcW w:w="180" w:type="dxa"/>
            <w:vAlign w:val="bottom"/>
            <w:tcBorders>
              <w:right w:val="single" w:sz="8" w:color="auto"/>
            </w:tcBorders>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1,562,500</w:t>
            </w:r>
          </w:p>
        </w:tc>
        <w:tc>
          <w:tcPr>
            <w:tcW w:w="340" w:type="dxa"/>
            <w:vAlign w:val="bottom"/>
            <w:gridSpan w:val="2"/>
            <w:shd w:val="clear" w:color="auto" w:fill="CCEEFF"/>
          </w:tcPr>
          <w:p>
            <w:pPr>
              <w:jc w:val="right"/>
              <w:ind w:right="121"/>
              <w:spacing w:after="0" w:line="122" w:lineRule="exact"/>
              <w:rPr>
                <w:sz w:val="20"/>
                <w:szCs w:val="20"/>
                <w:color w:val="auto"/>
              </w:rPr>
            </w:pPr>
            <w:r>
              <w:rPr>
                <w:rFonts w:ascii="Arial" w:cs="Arial" w:eastAsia="Arial" w:hAnsi="Arial"/>
                <w:sz w:val="11"/>
                <w:szCs w:val="11"/>
                <w:b w:val="1"/>
                <w:bCs w:val="1"/>
                <w:color w:val="auto"/>
              </w:rPr>
              <w:t>$</w:t>
            </w:r>
          </w:p>
        </w:tc>
        <w:tc>
          <w:tcPr>
            <w:tcW w:w="3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632</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4"/>
              </w:rPr>
              <w:t>16,060,853</w:t>
            </w:r>
          </w:p>
        </w:tc>
        <w:tc>
          <w:tcPr>
            <w:tcW w:w="38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b w:val="1"/>
                <w:bCs w:val="1"/>
                <w:color w:val="auto"/>
              </w:rPr>
              <w:t>$</w:t>
            </w: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w w:val="97"/>
              </w:rPr>
              <w:t>16</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80,535</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(80,018)</w:t>
            </w:r>
          </w:p>
        </w:tc>
        <w:tc>
          <w:tcPr>
            <w:tcW w:w="18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1,165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60"/>
          </w:cols>
          <w:pgMar w:left="220" w:top="403"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REDEEMABLE CONVERTIBLE PREFERRED STOCK AND STOCKHOLDERS’ EQUITY (DEFICIT) — (Continued)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2013 and 2012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727138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1"/>
              </w:rPr>
              <w:t>Series B-1 12%</w:t>
            </w:r>
          </w:p>
        </w:tc>
        <w:tc>
          <w:tcPr>
            <w:tcW w:w="140" w:type="dxa"/>
            <w:vAlign w:val="bottom"/>
          </w:tcPr>
          <w:p>
            <w:pPr>
              <w:spacing w:after="0"/>
              <w:rPr>
                <w:sz w:val="17"/>
                <w:szCs w:val="17"/>
                <w:color w:val="auto"/>
              </w:rPr>
            </w:pPr>
          </w:p>
        </w:tc>
        <w:tc>
          <w:tcPr>
            <w:tcW w:w="118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1"/>
              </w:rPr>
              <w:t>Series B-2 12%</w:t>
            </w:r>
          </w:p>
        </w:tc>
        <w:tc>
          <w:tcPr>
            <w:tcW w:w="1260" w:type="dxa"/>
            <w:vAlign w:val="bottom"/>
            <w:tcBorders>
              <w:right w:val="single" w:sz="8" w:color="auto"/>
            </w:tcBorders>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89"/>
              </w:rPr>
              <w:t>Series C Super</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1"/>
                <w:szCs w:val="11"/>
                <w:b w:val="1"/>
                <w:bCs w:val="1"/>
                <w:color w:val="auto"/>
                <w:w w:val="89"/>
              </w:rPr>
              <w:t>Stockholders’ Deficit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260" w:type="dxa"/>
            <w:vAlign w:val="bottom"/>
            <w:tcBorders>
              <w:right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Redeemable</w:t>
            </w:r>
          </w:p>
        </w:tc>
        <w:tc>
          <w:tcPr>
            <w:tcW w:w="140" w:type="dxa"/>
            <w:vAlign w:val="bottom"/>
          </w:tcPr>
          <w:p>
            <w:pPr>
              <w:spacing w:after="0"/>
              <w:rPr>
                <w:sz w:val="10"/>
                <w:szCs w:val="10"/>
                <w:color w:val="auto"/>
              </w:rPr>
            </w:pPr>
          </w:p>
        </w:tc>
        <w:tc>
          <w:tcPr>
            <w:tcW w:w="11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Redeemable</w:t>
            </w:r>
          </w:p>
        </w:tc>
        <w:tc>
          <w:tcPr>
            <w:tcW w:w="1260" w:type="dxa"/>
            <w:vAlign w:val="bottom"/>
            <w:tcBorders>
              <w:right w:val="single" w:sz="8" w:color="auto"/>
            </w:tcBorders>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Dividend</w:t>
            </w:r>
          </w:p>
        </w:tc>
        <w:tc>
          <w:tcPr>
            <w:tcW w:w="80" w:type="dxa"/>
            <w:vAlign w:val="bottom"/>
          </w:tcPr>
          <w:p>
            <w:pPr>
              <w:spacing w:after="0"/>
              <w:rPr>
                <w:sz w:val="10"/>
                <w:szCs w:val="10"/>
                <w:color w:val="auto"/>
              </w:rPr>
            </w:pPr>
          </w:p>
        </w:tc>
        <w:tc>
          <w:tcPr>
            <w:tcW w:w="120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Series A 12%</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40" w:type="dxa"/>
            <w:vAlign w:val="bottom"/>
          </w:tcPr>
          <w:p>
            <w:pPr>
              <w:spacing w:after="0"/>
              <w:rPr>
                <w:sz w:val="10"/>
                <w:szCs w:val="10"/>
                <w:color w:val="auto"/>
              </w:rPr>
            </w:pPr>
          </w:p>
        </w:tc>
        <w:tc>
          <w:tcPr>
            <w:tcW w:w="11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260" w:type="dxa"/>
            <w:vAlign w:val="bottom"/>
            <w:tcBorders>
              <w:right w:val="single" w:sz="8" w:color="auto"/>
            </w:tcBorders>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80" w:type="dxa"/>
            <w:vAlign w:val="bottom"/>
          </w:tcPr>
          <w:p>
            <w:pPr>
              <w:spacing w:after="0"/>
              <w:rPr>
                <w:sz w:val="10"/>
                <w:szCs w:val="10"/>
                <w:color w:val="auto"/>
              </w:rPr>
            </w:pPr>
          </w:p>
        </w:tc>
        <w:tc>
          <w:tcPr>
            <w:tcW w:w="120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2"/>
              </w:rPr>
              <w:t>Preferred Stock</w:t>
            </w:r>
          </w:p>
        </w:tc>
        <w:tc>
          <w:tcPr>
            <w:tcW w:w="140" w:type="dxa"/>
            <w:vAlign w:val="bottom"/>
          </w:tcPr>
          <w:p>
            <w:pPr>
              <w:spacing w:after="0"/>
              <w:rPr>
                <w:sz w:val="11"/>
                <w:szCs w:val="11"/>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2"/>
              </w:rPr>
              <w:t>Preferred Stock</w:t>
            </w:r>
          </w:p>
        </w:tc>
        <w:tc>
          <w:tcPr>
            <w:tcW w:w="126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2"/>
              </w:rPr>
              <w:t>Preferred Stock</w:t>
            </w:r>
          </w:p>
        </w:tc>
        <w:tc>
          <w:tcPr>
            <w:tcW w:w="80" w:type="dxa"/>
            <w:vAlign w:val="bottom"/>
          </w:tcPr>
          <w:p>
            <w:pPr>
              <w:spacing w:after="0"/>
              <w:rPr>
                <w:sz w:val="11"/>
                <w:szCs w:val="11"/>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0"/>
              </w:rPr>
              <w:t>Preferred Stock</w:t>
            </w:r>
          </w:p>
        </w:tc>
        <w:tc>
          <w:tcPr>
            <w:tcW w:w="920" w:type="dxa"/>
            <w:vAlign w:val="bottom"/>
            <w:gridSpan w:val="3"/>
          </w:tcPr>
          <w:p>
            <w:pPr>
              <w:ind w:left="180"/>
              <w:spacing w:after="0"/>
              <w:rPr>
                <w:sz w:val="20"/>
                <w:szCs w:val="20"/>
                <w:color w:val="auto"/>
              </w:rPr>
            </w:pPr>
            <w:r>
              <w:rPr>
                <w:rFonts w:ascii="Arial" w:cs="Arial" w:eastAsia="Arial" w:hAnsi="Arial"/>
                <w:sz w:val="11"/>
                <w:szCs w:val="11"/>
                <w:b w:val="1"/>
                <w:bCs w:val="1"/>
                <w:color w:val="auto"/>
                <w:w w:val="89"/>
              </w:rPr>
              <w:t>Common Stock</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During the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87"/>
              </w:rPr>
              <w:t>Number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5"/>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Development</w:t>
            </w:r>
          </w:p>
        </w:tc>
        <w:tc>
          <w:tcPr>
            <w:tcW w:w="60" w:type="dxa"/>
            <w:vAlign w:val="bottom"/>
          </w:tcPr>
          <w:p>
            <w:pPr>
              <w:spacing w:after="0"/>
              <w:rPr>
                <w:sz w:val="10"/>
                <w:szCs w:val="10"/>
                <w:color w:val="auto"/>
              </w:rPr>
            </w:pPr>
          </w:p>
        </w:tc>
        <w:tc>
          <w:tcPr>
            <w:tcW w:w="7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1"/>
                <w:szCs w:val="11"/>
                <w:color w:val="auto"/>
              </w:rPr>
            </w:pPr>
          </w:p>
        </w:tc>
        <w:tc>
          <w:tcPr>
            <w:tcW w:w="520" w:type="dxa"/>
            <w:vAlign w:val="bottom"/>
          </w:tcPr>
          <w:p>
            <w:pPr>
              <w:jc w:val="right"/>
              <w:ind w:right="45"/>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60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1"/>
              </w:rPr>
              <w:t>Amount</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20" w:type="dxa"/>
            <w:vAlign w:val="bottom"/>
          </w:tcPr>
          <w:p>
            <w:pPr>
              <w:spacing w:after="0"/>
              <w:rPr>
                <w:sz w:val="11"/>
                <w:szCs w:val="11"/>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right"/>
              <w:ind w:right="5"/>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1"/>
                <w:szCs w:val="11"/>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Stage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Accretion of Series B redeemable convertible preferred stock</w:t>
            </w: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w:t>
            </w: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158</w:t>
            </w: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(175)</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(175)</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Accretion of beneficial conversion feature for Series B-2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54</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(54)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Series A 12% convertible preferred stock dividend</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25,062</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w:t>
            </w:r>
          </w:p>
        </w:tc>
        <w:tc>
          <w:tcPr>
            <w:tcW w:w="8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(148)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Series B-1 12% redeemable convertible preferred stock dividend</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36,106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178</w:t>
            </w:r>
          </w:p>
        </w:tc>
        <w:tc>
          <w:tcPr>
            <w:tcW w:w="8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(178)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Series B-2 12% redeemable convertible preferred stock dividend</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84,553</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418</w:t>
            </w:r>
          </w:p>
        </w:tc>
        <w:tc>
          <w:tcPr>
            <w:tcW w:w="8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(418)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Series C super dividend convertible preferred stock dividend</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23,848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123</w:t>
            </w:r>
          </w:p>
        </w:tc>
        <w:tc>
          <w:tcPr>
            <w:tcW w:w="8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(123)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exercise of warrants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1.284.948</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4,504</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exercise of options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213,008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271</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net of issuance costs of $111</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599,942</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3,832</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3,833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Conversion of Series A to common stock</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(110,000)</w:t>
            </w:r>
          </w:p>
        </w:tc>
        <w:tc>
          <w:tcPr>
            <w:tcW w:w="60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(45)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18,387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45</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w w:val="95"/>
              </w:rPr>
              <w:t>Conversion of Series C super dividend convertible preferred stock to</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common stock</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w:t>
            </w:r>
          </w:p>
        </w:tc>
        <w:tc>
          <w:tcPr>
            <w:tcW w:w="6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(235)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40,193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Modification of warrants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8,763</w:t>
            </w:r>
          </w:p>
        </w:tc>
        <w:tc>
          <w:tcPr>
            <w:tcW w:w="8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(8,763)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3,789</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3,789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(12,088)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(12,088)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at December 31, 2013</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900,000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5"/>
              </w:rPr>
              <w:t>$  1,715</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2,100,000</w:t>
            </w:r>
          </w:p>
        </w:tc>
        <w:tc>
          <w:tcPr>
            <w:tcW w:w="6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b w:val="1"/>
                <w:bCs w:val="1"/>
                <w:color w:val="auto"/>
              </w:rPr>
              <w:t>$  3,112</w:t>
            </w: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196</w:t>
            </w:r>
          </w:p>
        </w:tc>
        <w:tc>
          <w:tcPr>
            <w:tcW w:w="44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1"/>
                <w:szCs w:val="11"/>
                <w:b w:val="1"/>
                <w:bCs w:val="1"/>
                <w:color w:val="auto"/>
                <w:w w:val="95"/>
              </w:rPr>
              <w:t>$  1,919</w:t>
            </w: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b w:val="1"/>
                <w:bCs w:val="1"/>
                <w:color w:val="auto"/>
              </w:rPr>
              <w:t>1,452,500</w:t>
            </w:r>
          </w:p>
        </w:tc>
        <w:tc>
          <w:tcPr>
            <w:tcW w:w="4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   587</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4"/>
              </w:rPr>
              <w:t>18,386,900</w:t>
            </w:r>
          </w:p>
        </w:tc>
        <w:tc>
          <w:tcPr>
            <w:tcW w:w="38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b w:val="1"/>
                <w:bCs w:val="1"/>
                <w:color w:val="auto"/>
              </w:rPr>
              <w:t>$</w:t>
            </w: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b w:val="1"/>
                <w:bCs w:val="1"/>
                <w:color w:val="auto"/>
                <w:w w:val="97"/>
              </w:rPr>
              <w:t>18</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2"/>
              </w:rPr>
              <w:t>$  102,841</w:t>
            </w:r>
          </w:p>
        </w:tc>
        <w:tc>
          <w:tcPr>
            <w:tcW w:w="8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   (101,965)</w:t>
            </w:r>
          </w:p>
        </w:tc>
        <w:tc>
          <w:tcPr>
            <w:tcW w:w="180" w:type="dxa"/>
            <w:vAlign w:val="bottom"/>
            <w:gridSpan w:val="2"/>
            <w:shd w:val="clear" w:color="auto" w:fill="CCEEFF"/>
          </w:tcPr>
          <w:p>
            <w:pPr>
              <w:jc w:val="right"/>
              <w:ind w:right="5"/>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1,481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403" w:right="21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727138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Cumulative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Period from</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Year Ended</w:t>
            </w: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Inception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gridSpan w:val="2"/>
            <w:vMerge w:val="restart"/>
          </w:tcPr>
          <w:p>
            <w:pPr>
              <w:jc w:val="center"/>
              <w:ind w:right="60"/>
              <w:spacing w:after="0" w:line="122" w:lineRule="exact"/>
              <w:rPr>
                <w:sz w:val="20"/>
                <w:szCs w:val="20"/>
                <w:color w:val="auto"/>
              </w:rPr>
            </w:pPr>
            <w:r>
              <w:rPr>
                <w:rFonts w:ascii="Arial" w:cs="Arial" w:eastAsia="Arial" w:hAnsi="Arial"/>
                <w:sz w:val="11"/>
                <w:szCs w:val="11"/>
                <w:b w:val="1"/>
                <w:bCs w:val="1"/>
                <w:color w:val="auto"/>
                <w:w w:val="85"/>
              </w:rPr>
              <w:t>(July 10, 2000)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December 31,</w:t>
            </w: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gridSpan w:val="2"/>
            <w:vMerge w:val="restart"/>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to</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December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2013</w:t>
            </w: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2012</w:t>
            </w: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gridSpan w:val="3"/>
          </w:tcPr>
          <w:p>
            <w:pPr>
              <w:ind w:left="20"/>
              <w:spacing w:after="0" w:line="113" w:lineRule="exact"/>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FLOWS FROM OPERATING ACTIVITIES: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340"/>
              <w:spacing w:after="0" w:line="122" w:lineRule="exact"/>
              <w:rPr>
                <w:sz w:val="20"/>
                <w:szCs w:val="20"/>
                <w:color w:val="auto"/>
              </w:rPr>
            </w:pPr>
            <w:r>
              <w:rPr>
                <w:rFonts w:ascii="Arial" w:cs="Arial" w:eastAsia="Arial" w:hAnsi="Arial"/>
                <w:sz w:val="11"/>
                <w:szCs w:val="11"/>
                <w:color w:val="auto"/>
              </w:rPr>
              <w:t>Net loss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(12,088)</w:t>
            </w:r>
          </w:p>
        </w:tc>
        <w:tc>
          <w:tcPr>
            <w:tcW w:w="800" w:type="dxa"/>
            <w:vAlign w:val="bottom"/>
            <w:gridSpan w:val="2"/>
          </w:tcPr>
          <w:p>
            <w:pPr>
              <w:ind w:left="6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color w:val="auto"/>
              </w:rPr>
              <w:t>(9,675)</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(84,080)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Adjustments to reconcile net loss to net cash used in operating activities: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060"/>
              <w:spacing w:after="0" w:line="122" w:lineRule="exact"/>
              <w:rPr>
                <w:sz w:val="20"/>
                <w:szCs w:val="20"/>
                <w:color w:val="auto"/>
              </w:rPr>
            </w:pPr>
            <w:r>
              <w:rPr>
                <w:rFonts w:ascii="Arial" w:cs="Arial" w:eastAsia="Arial" w:hAnsi="Arial"/>
                <w:sz w:val="11"/>
                <w:szCs w:val="11"/>
                <w:color w:val="auto"/>
              </w:rPr>
              <w:t>Depreciation and amortization</w:t>
            </w:r>
          </w:p>
        </w:tc>
        <w:tc>
          <w:tcPr>
            <w:tcW w:w="120" w:type="dxa"/>
            <w:vAlign w:val="bottom"/>
          </w:tcPr>
          <w:p>
            <w:pPr>
              <w:spacing w:after="0"/>
              <w:rPr>
                <w:sz w:val="10"/>
                <w:szCs w:val="10"/>
                <w:color w:val="auto"/>
              </w:rPr>
            </w:pP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567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060"/>
              <w:spacing w:after="0" w:line="122" w:lineRule="exact"/>
              <w:rPr>
                <w:sz w:val="20"/>
                <w:szCs w:val="20"/>
                <w:color w:val="auto"/>
              </w:rPr>
            </w:pPr>
            <w:r>
              <w:rPr>
                <w:rFonts w:ascii="Arial" w:cs="Arial" w:eastAsia="Arial" w:hAnsi="Arial"/>
                <w:sz w:val="11"/>
                <w:szCs w:val="11"/>
                <w:color w:val="auto"/>
              </w:rPr>
              <w:t>Stock-based compensation expense</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3,789</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1"/>
                <w:szCs w:val="11"/>
                <w:color w:val="auto"/>
              </w:rPr>
              <w:t>2,792</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16,163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060"/>
              <w:spacing w:after="0" w:line="122" w:lineRule="exact"/>
              <w:rPr>
                <w:sz w:val="20"/>
                <w:szCs w:val="20"/>
                <w:color w:val="auto"/>
              </w:rPr>
            </w:pPr>
            <w:r>
              <w:rPr>
                <w:rFonts w:ascii="Arial" w:cs="Arial" w:eastAsia="Arial" w:hAnsi="Arial"/>
                <w:sz w:val="11"/>
                <w:szCs w:val="11"/>
                <w:color w:val="auto"/>
              </w:rPr>
              <w:t>Non-cash interest expense</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4,279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060"/>
              <w:spacing w:after="0" w:line="122" w:lineRule="exact"/>
              <w:rPr>
                <w:sz w:val="20"/>
                <w:szCs w:val="20"/>
                <w:color w:val="auto"/>
              </w:rPr>
            </w:pPr>
            <w:r>
              <w:rPr>
                <w:rFonts w:ascii="Arial" w:cs="Arial" w:eastAsia="Arial" w:hAnsi="Arial"/>
                <w:sz w:val="11"/>
                <w:szCs w:val="11"/>
                <w:color w:val="auto"/>
              </w:rPr>
              <w:t>Change in fair value of convertible debt instrument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3,426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060"/>
              <w:spacing w:after="0" w:line="122" w:lineRule="exact"/>
              <w:rPr>
                <w:sz w:val="20"/>
                <w:szCs w:val="20"/>
                <w:color w:val="auto"/>
              </w:rPr>
            </w:pPr>
            <w:r>
              <w:rPr>
                <w:rFonts w:ascii="Arial" w:cs="Arial" w:eastAsia="Arial" w:hAnsi="Arial"/>
                <w:sz w:val="11"/>
                <w:szCs w:val="11"/>
                <w:color w:val="auto"/>
              </w:rPr>
              <w:t>Change in fair value of warrant liabilities</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(9,022)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060"/>
              <w:spacing w:after="0" w:line="122" w:lineRule="exact"/>
              <w:rPr>
                <w:sz w:val="20"/>
                <w:szCs w:val="20"/>
                <w:color w:val="auto"/>
              </w:rPr>
            </w:pPr>
            <w:r>
              <w:rPr>
                <w:rFonts w:ascii="Arial" w:cs="Arial" w:eastAsia="Arial" w:hAnsi="Arial"/>
                <w:sz w:val="11"/>
                <w:szCs w:val="11"/>
                <w:color w:val="auto"/>
              </w:rPr>
              <w:t>Write off of intangible assets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060"/>
              <w:spacing w:after="0" w:line="122" w:lineRule="exact"/>
              <w:rPr>
                <w:sz w:val="20"/>
                <w:szCs w:val="20"/>
                <w:color w:val="auto"/>
              </w:rPr>
            </w:pPr>
            <w:r>
              <w:rPr>
                <w:rFonts w:ascii="Arial" w:cs="Arial" w:eastAsia="Arial" w:hAnsi="Arial"/>
                <w:sz w:val="11"/>
                <w:szCs w:val="11"/>
                <w:color w:val="auto"/>
              </w:rPr>
              <w:t>Changes in operating assets and liabilities: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400"/>
              <w:spacing w:after="0" w:line="122" w:lineRule="exact"/>
              <w:rPr>
                <w:sz w:val="20"/>
                <w:szCs w:val="20"/>
                <w:color w:val="auto"/>
              </w:rPr>
            </w:pPr>
            <w:r>
              <w:rPr>
                <w:rFonts w:ascii="Arial" w:cs="Arial" w:eastAsia="Arial" w:hAnsi="Arial"/>
                <w:sz w:val="11"/>
                <w:szCs w:val="11"/>
                <w:color w:val="auto"/>
              </w:rPr>
              <w:t>Grant receivable</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400"/>
              <w:spacing w:after="0" w:line="122" w:lineRule="exact"/>
              <w:rPr>
                <w:sz w:val="20"/>
                <w:szCs w:val="20"/>
                <w:color w:val="auto"/>
              </w:rPr>
            </w:pPr>
            <w:r>
              <w:rPr>
                <w:rFonts w:ascii="Arial" w:cs="Arial" w:eastAsia="Arial" w:hAnsi="Arial"/>
                <w:sz w:val="11"/>
                <w:szCs w:val="11"/>
                <w:color w:val="auto"/>
              </w:rPr>
              <w:t>Prepaid expenses and other assets</w:t>
            </w:r>
          </w:p>
        </w:tc>
        <w:tc>
          <w:tcPr>
            <w:tcW w:w="12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color w:val="auto"/>
              </w:rPr>
              <w:t>(55)</w:t>
            </w:r>
          </w:p>
        </w:tc>
        <w:tc>
          <w:tcPr>
            <w:tcW w:w="36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400"/>
              <w:spacing w:after="0" w:line="122" w:lineRule="exact"/>
              <w:rPr>
                <w:sz w:val="20"/>
                <w:szCs w:val="20"/>
                <w:color w:val="auto"/>
              </w:rPr>
            </w:pPr>
            <w:r>
              <w:rPr>
                <w:rFonts w:ascii="Arial" w:cs="Arial" w:eastAsia="Arial" w:hAnsi="Arial"/>
                <w:sz w:val="11"/>
                <w:szCs w:val="11"/>
                <w:color w:val="auto"/>
              </w:rPr>
              <w:t>Accounts payable and accrued expenses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w w:val="97"/>
              </w:rPr>
              <w:t>848</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(577)</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1400"/>
              <w:spacing w:after="0" w:line="122" w:lineRule="exact"/>
              <w:rPr>
                <w:sz w:val="20"/>
                <w:szCs w:val="20"/>
                <w:color w:val="auto"/>
              </w:rPr>
            </w:pPr>
            <w:r>
              <w:rPr>
                <w:rFonts w:ascii="Arial" w:cs="Arial" w:eastAsia="Arial" w:hAnsi="Arial"/>
                <w:sz w:val="11"/>
                <w:szCs w:val="11"/>
                <w:color w:val="auto"/>
              </w:rPr>
              <w:t>Other long-term liabilities</w:t>
            </w:r>
          </w:p>
        </w:tc>
        <w:tc>
          <w:tcPr>
            <w:tcW w:w="12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6</w:t>
            </w:r>
          </w:p>
        </w:tc>
        <w:tc>
          <w:tcPr>
            <w:tcW w:w="36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620"/>
              <w:spacing w:after="0" w:line="122" w:lineRule="exact"/>
              <w:rPr>
                <w:sz w:val="20"/>
                <w:szCs w:val="20"/>
                <w:color w:val="auto"/>
              </w:rPr>
            </w:pPr>
            <w:r>
              <w:rPr>
                <w:rFonts w:ascii="Arial" w:cs="Arial" w:eastAsia="Arial" w:hAnsi="Arial"/>
                <w:sz w:val="11"/>
                <w:szCs w:val="11"/>
                <w:color w:val="auto"/>
              </w:rPr>
              <w:t>Net cash used in operating activities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(7,484)</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(7,500)</w:t>
            </w:r>
          </w:p>
        </w:tc>
        <w:tc>
          <w:tcPr>
            <w:tcW w:w="36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(66,037)</w:t>
            </w:r>
          </w:p>
        </w:tc>
        <w:tc>
          <w:tcPr>
            <w:tcW w:w="0" w:type="dxa"/>
            <w:vAlign w:val="bottom"/>
          </w:tcPr>
          <w:p>
            <w:pPr>
              <w:spacing w:after="0"/>
              <w:rPr>
                <w:sz w:val="1"/>
                <w:szCs w:val="1"/>
                <w:color w:val="auto"/>
              </w:rPr>
            </w:pPr>
          </w:p>
        </w:tc>
      </w:tr>
      <w:tr>
        <w:trPr>
          <w:trHeight w:val="124"/>
        </w:trPr>
        <w:tc>
          <w:tcPr>
            <w:tcW w:w="8140" w:type="dxa"/>
            <w:vAlign w:val="bottom"/>
            <w:gridSpan w:val="2"/>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Purchases of property and equipment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w w:val="81"/>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(5)</w:t>
            </w:r>
          </w:p>
        </w:tc>
        <w:tc>
          <w:tcPr>
            <w:tcW w:w="36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340"/>
              <w:spacing w:after="0" w:line="122" w:lineRule="exact"/>
              <w:rPr>
                <w:sz w:val="20"/>
                <w:szCs w:val="20"/>
                <w:color w:val="auto"/>
              </w:rPr>
            </w:pPr>
            <w:r>
              <w:rPr>
                <w:rFonts w:ascii="Arial" w:cs="Arial" w:eastAsia="Arial" w:hAnsi="Arial"/>
                <w:sz w:val="11"/>
                <w:szCs w:val="11"/>
                <w:color w:val="auto"/>
              </w:rPr>
              <w:t>Change in restricted cash and security deposit</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69</w:t>
            </w:r>
          </w:p>
        </w:tc>
        <w:tc>
          <w:tcPr>
            <w:tcW w:w="36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Increase in patents costs and other assets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1620"/>
              <w:spacing w:after="0"/>
              <w:rPr>
                <w:sz w:val="20"/>
                <w:szCs w:val="20"/>
                <w:color w:val="auto"/>
              </w:rPr>
            </w:pPr>
            <w:r>
              <w:rPr>
                <w:rFonts w:ascii="Arial" w:cs="Arial" w:eastAsia="Arial" w:hAnsi="Arial"/>
                <w:sz w:val="11"/>
                <w:szCs w:val="11"/>
                <w:color w:val="auto"/>
              </w:rPr>
              <w:t>Net cash provided by (used in) investing activities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auto"/>
              </w:rPr>
              <w:t>64</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(835)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FLOWS FROM FINANCING ACTIVITIES:</w:t>
            </w: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Net proceeds from issuance of common stock and warrants</w:t>
            </w:r>
          </w:p>
        </w:tc>
        <w:tc>
          <w:tcPr>
            <w:tcW w:w="120" w:type="dxa"/>
            <w:vAlign w:val="bottom"/>
          </w:tcPr>
          <w:p>
            <w:pPr>
              <w:spacing w:after="0"/>
              <w:rPr>
                <w:sz w:val="10"/>
                <w:szCs w:val="10"/>
                <w:color w:val="auto"/>
              </w:rPr>
            </w:pPr>
          </w:p>
        </w:tc>
        <w:tc>
          <w:tcPr>
            <w:tcW w:w="4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3,833</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10,403</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42,926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Net proceeds from issuance of Series A 12% convertible preferred stock and related warrants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1,691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Net proceeds from issuance of Series B-1 12% redeemable convertible preferred stock and related warrants</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1,548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Net proceeds from issuance of Series B-2 12% redeemable convertible preferred stock and related warrants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3,935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Net proceeds from issuance of Series C super dividend convertible preferred stock</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2,203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Net proceeds from issuance of convertible debt instruments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10,621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Repayment of convertible debt instruments</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(1,641)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Net proceeds from exercise of common stock warrants and options</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4,776</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16,069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Proceeds from shareholder advances</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2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26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1620"/>
              <w:spacing w:after="0" w:line="122" w:lineRule="exact"/>
              <w:rPr>
                <w:sz w:val="20"/>
                <w:szCs w:val="20"/>
                <w:color w:val="auto"/>
              </w:rPr>
            </w:pPr>
            <w:r>
              <w:rPr>
                <w:rFonts w:ascii="Arial" w:cs="Arial" w:eastAsia="Arial" w:hAnsi="Arial"/>
                <w:sz w:val="11"/>
                <w:szCs w:val="11"/>
                <w:color w:val="auto"/>
              </w:rPr>
              <w:t>Net cash provided by financing activities</w:t>
            </w: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8,609</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10,403</w:t>
            </w: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77,361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140" w:type="dxa"/>
            <w:vAlign w:val="bottom"/>
            <w:gridSpan w:val="2"/>
          </w:tcPr>
          <w:p>
            <w:pPr>
              <w:spacing w:after="0" w:line="124" w:lineRule="exact"/>
              <w:rPr>
                <w:sz w:val="20"/>
                <w:szCs w:val="20"/>
                <w:color w:val="auto"/>
              </w:rPr>
            </w:pPr>
            <w:r>
              <w:rPr>
                <w:rFonts w:ascii="Arial" w:cs="Arial" w:eastAsia="Arial" w:hAnsi="Arial"/>
                <w:sz w:val="11"/>
                <w:szCs w:val="11"/>
                <w:color w:val="auto"/>
              </w:rPr>
              <w:t>NET INCREASE (DECREASE) IN CASH AND CASH EQUIVALENTS</w:t>
            </w:r>
          </w:p>
        </w:tc>
        <w:tc>
          <w:tcPr>
            <w:tcW w:w="12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1,125</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4" w:lineRule="exact"/>
              <w:rPr>
                <w:sz w:val="20"/>
                <w:szCs w:val="20"/>
                <w:color w:val="auto"/>
              </w:rPr>
            </w:pPr>
            <w:r>
              <w:rPr>
                <w:rFonts w:ascii="Arial" w:cs="Arial" w:eastAsia="Arial" w:hAnsi="Arial"/>
                <w:sz w:val="11"/>
                <w:szCs w:val="11"/>
                <w:color w:val="auto"/>
              </w:rPr>
              <w:t>2,967</w:t>
            </w:r>
          </w:p>
        </w:tc>
        <w:tc>
          <w:tcPr>
            <w:tcW w:w="3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10,489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AND CASH EQUIVALENTS, BEGINNING OF PERIOD</w:t>
            </w: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9,364</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6,397</w:t>
            </w:r>
          </w:p>
        </w:tc>
        <w:tc>
          <w:tcPr>
            <w:tcW w:w="42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140" w:type="dxa"/>
            <w:vAlign w:val="bottom"/>
            <w:gridSpan w:val="2"/>
          </w:tcPr>
          <w:p>
            <w:pPr>
              <w:spacing w:after="0" w:line="124" w:lineRule="exact"/>
              <w:rPr>
                <w:sz w:val="20"/>
                <w:szCs w:val="20"/>
                <w:color w:val="auto"/>
              </w:rPr>
            </w:pPr>
            <w:r>
              <w:rPr>
                <w:rFonts w:ascii="Arial" w:cs="Arial" w:eastAsia="Arial" w:hAnsi="Arial"/>
                <w:sz w:val="11"/>
                <w:szCs w:val="11"/>
                <w:color w:val="auto"/>
              </w:rPr>
              <w:t>CASH AND CASH EQUIVALENTS, END OF PERIOD</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10,489</w:t>
            </w:r>
          </w:p>
        </w:tc>
        <w:tc>
          <w:tcPr>
            <w:tcW w:w="800" w:type="dxa"/>
            <w:vAlign w:val="bottom"/>
            <w:gridSpan w:val="2"/>
          </w:tcPr>
          <w:p>
            <w:pPr>
              <w:ind w:left="680"/>
              <w:spacing w:after="0" w:line="124"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20"/>
              <w:spacing w:after="0" w:line="124" w:lineRule="exact"/>
              <w:rPr>
                <w:sz w:val="20"/>
                <w:szCs w:val="20"/>
                <w:color w:val="auto"/>
              </w:rPr>
            </w:pPr>
            <w:r>
              <w:rPr>
                <w:rFonts w:ascii="Arial" w:cs="Arial" w:eastAsia="Arial" w:hAnsi="Arial"/>
                <w:sz w:val="11"/>
                <w:szCs w:val="11"/>
                <w:color w:val="auto"/>
              </w:rPr>
              <w:t>9,364</w:t>
            </w:r>
          </w:p>
        </w:tc>
        <w:tc>
          <w:tcPr>
            <w:tcW w:w="3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10,489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12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SUPPLEMENTAL DISCLOSURE—Cash paid for interest</w:t>
            </w:r>
          </w:p>
        </w:tc>
        <w:tc>
          <w:tcPr>
            <w:tcW w:w="120" w:type="dxa"/>
            <w:vAlign w:val="bottom"/>
            <w:shd w:val="clear" w:color="auto" w:fill="CCEEFF"/>
          </w:tcPr>
          <w:p>
            <w:pPr>
              <w:jc w:val="right"/>
              <w:ind w:right="10"/>
              <w:spacing w:after="0" w:line="106"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80"/>
              <w:spacing w:after="0" w:line="106"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680"/>
              <w:spacing w:after="0" w:line="106"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ind w:left="260"/>
              <w:spacing w:after="0" w:line="106"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1"/>
                <w:szCs w:val="11"/>
                <w:color w:val="auto"/>
              </w:rPr>
              <w:t>114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spacing w:after="0" w:line="122" w:lineRule="exact"/>
              <w:rPr>
                <w:sz w:val="20"/>
                <w:szCs w:val="20"/>
                <w:color w:val="auto"/>
              </w:rPr>
            </w:pPr>
            <w:r>
              <w:rPr>
                <w:rFonts w:ascii="Arial" w:cs="Arial" w:eastAsia="Arial" w:hAnsi="Arial"/>
                <w:sz w:val="11"/>
                <w:szCs w:val="11"/>
                <w:color w:val="auto"/>
              </w:rPr>
              <w:t>NONCASH FINANCING ACTIVITIES: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Issuance of equity warrants in connection with equity offerings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6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1"/>
                <w:szCs w:val="11"/>
                <w:color w:val="auto"/>
              </w:rPr>
              <w:t>4,445</w:t>
            </w:r>
          </w:p>
        </w:tc>
        <w:tc>
          <w:tcPr>
            <w:tcW w:w="3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9,482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Conversion of accrued expenses into common stock</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20"/>
              <w:spacing w:after="0" w:line="122" w:lineRule="exact"/>
              <w:rPr>
                <w:sz w:val="20"/>
                <w:szCs w:val="20"/>
                <w:color w:val="auto"/>
              </w:rPr>
            </w:pPr>
            <w:r>
              <w:rPr>
                <w:rFonts w:ascii="Arial" w:cs="Arial" w:eastAsia="Arial" w:hAnsi="Arial"/>
                <w:sz w:val="11"/>
                <w:szCs w:val="11"/>
                <w:color w:val="auto"/>
              </w:rPr>
              <w:t>26</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Conversion and redemptions of convertible notes and accrued interest into common stock</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12,243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Conversion of extension costs related to convertible notes into common stock</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Payment of preferred stock dividends in common stock</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w w:val="97"/>
              </w:rPr>
              <w:t>867</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976</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tcPr>
          <w:p>
            <w:pPr>
              <w:ind w:left="700"/>
              <w:spacing w:after="0" w:line="122" w:lineRule="exact"/>
              <w:rPr>
                <w:sz w:val="20"/>
                <w:szCs w:val="20"/>
                <w:color w:val="auto"/>
              </w:rPr>
            </w:pPr>
            <w:r>
              <w:rPr>
                <w:rFonts w:ascii="Arial" w:cs="Arial" w:eastAsia="Arial" w:hAnsi="Arial"/>
                <w:sz w:val="11"/>
                <w:szCs w:val="11"/>
                <w:color w:val="auto"/>
              </w:rPr>
              <w:t>Issuance of warrants to induce conversion of notes payable</w:t>
            </w:r>
          </w:p>
        </w:tc>
        <w:tc>
          <w:tcPr>
            <w:tcW w:w="120" w:type="dxa"/>
            <w:vAlign w:val="bottom"/>
          </w:tcPr>
          <w:p>
            <w:pPr>
              <w:spacing w:after="0"/>
              <w:rPr>
                <w:sz w:val="10"/>
                <w:szCs w:val="10"/>
                <w:color w:val="auto"/>
              </w:rPr>
            </w:pPr>
          </w:p>
        </w:tc>
        <w:tc>
          <w:tcPr>
            <w:tcW w:w="480" w:type="dxa"/>
            <w:vAlign w:val="bottom"/>
            <w:gridSpan w:val="2"/>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503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120" w:type="dxa"/>
            <w:vAlign w:val="bottom"/>
            <w:shd w:val="clear" w:color="auto" w:fill="CCEEFF"/>
          </w:tcPr>
          <w:p>
            <w:pPr>
              <w:ind w:left="700"/>
              <w:spacing w:after="0" w:line="122" w:lineRule="exact"/>
              <w:rPr>
                <w:sz w:val="20"/>
                <w:szCs w:val="20"/>
                <w:color w:val="auto"/>
              </w:rPr>
            </w:pPr>
            <w:r>
              <w:rPr>
                <w:rFonts w:ascii="Arial" w:cs="Arial" w:eastAsia="Arial" w:hAnsi="Arial"/>
                <w:sz w:val="11"/>
                <w:szCs w:val="11"/>
                <w:color w:val="auto"/>
              </w:rPr>
              <w:t>Issuance of stock to acquire Pro-Pharmaceuticals-NV</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60"/>
          </w:cols>
          <w:pgMar w:left="220" w:top="403" w:right="2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DEVELOPMENT-STAGE COMPANY)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727138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29" w:lineRule="exact"/>
        <w:rPr>
          <w:sz w:val="20"/>
          <w:szCs w:val="20"/>
          <w:color w:val="auto"/>
        </w:rPr>
      </w:pPr>
    </w:p>
    <w:p>
      <w:pPr>
        <w:ind w:left="460" w:hanging="451"/>
        <w:spacing w:after="0"/>
        <w:tabs>
          <w:tab w:leader="none" w:pos="46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Nature of Business and Basis of Presentation</w:t>
      </w:r>
    </w:p>
    <w:p>
      <w:pPr>
        <w:spacing w:after="0" w:line="86" w:lineRule="exact"/>
        <w:rPr>
          <w:rFonts w:ascii="Arial" w:cs="Arial" w:eastAsia="Arial" w:hAnsi="Arial"/>
          <w:sz w:val="14"/>
          <w:szCs w:val="14"/>
          <w:b w:val="1"/>
          <w:bCs w:val="1"/>
          <w:color w:val="auto"/>
        </w:rPr>
      </w:pPr>
    </w:p>
    <w:p>
      <w:pPr>
        <w:ind w:left="460"/>
        <w:spacing w:after="0" w:line="280" w:lineRule="auto"/>
        <w:rPr>
          <w:rFonts w:ascii="Arial" w:cs="Arial" w:eastAsia="Arial" w:hAnsi="Arial"/>
          <w:sz w:val="14"/>
          <w:szCs w:val="14"/>
          <w:b w:val="1"/>
          <w:bCs w:val="1"/>
          <w:color w:val="auto"/>
        </w:rPr>
      </w:pPr>
      <w:r>
        <w:rPr>
          <w:rFonts w:ascii="Arial" w:cs="Arial" w:eastAsia="Arial" w:hAnsi="Arial"/>
          <w:sz w:val="14"/>
          <w:szCs w:val="14"/>
          <w:color w:val="auto"/>
        </w:rPr>
        <w:t>Galectin Therapeutics Inc. (the “Company”) is a development-stage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01" w:lineRule="exact"/>
        <w:rPr>
          <w:rFonts w:ascii="Arial" w:cs="Arial" w:eastAsia="Arial" w:hAnsi="Arial"/>
          <w:sz w:val="14"/>
          <w:szCs w:val="14"/>
          <w:b w:val="1"/>
          <w:bCs w:val="1"/>
          <w:color w:val="auto"/>
        </w:rPr>
      </w:pPr>
    </w:p>
    <w:p>
      <w:pPr>
        <w:ind w:left="460" w:right="100"/>
        <w:spacing w:after="0" w:line="296" w:lineRule="auto"/>
        <w:rPr>
          <w:rFonts w:ascii="Arial" w:cs="Arial" w:eastAsia="Arial" w:hAnsi="Arial"/>
          <w:sz w:val="14"/>
          <w:szCs w:val="14"/>
          <w:b w:val="1"/>
          <w:bCs w:val="1"/>
          <w:color w:val="auto"/>
        </w:rPr>
      </w:pPr>
      <w:r>
        <w:rPr>
          <w:rFonts w:ascii="Arial" w:cs="Arial" w:eastAsia="Arial" w:hAnsi="Arial"/>
          <w:sz w:val="14"/>
          <w:szCs w:val="14"/>
          <w:color w:val="auto"/>
        </w:rPr>
        <w:t>On March 23, 2012, the Company effected a one-for-six reverse stock split. All common share and per share amounts in these financial statements have been adjusted to reflect the effect of the reverse split.</w:t>
      </w:r>
    </w:p>
    <w:p>
      <w:pPr>
        <w:spacing w:after="0" w:line="90" w:lineRule="exact"/>
        <w:rPr>
          <w:rFonts w:ascii="Arial" w:cs="Arial" w:eastAsia="Arial" w:hAnsi="Arial"/>
          <w:sz w:val="14"/>
          <w:szCs w:val="14"/>
          <w:b w:val="1"/>
          <w:bCs w:val="1"/>
          <w:color w:val="auto"/>
        </w:rPr>
      </w:pPr>
    </w:p>
    <w:p>
      <w:pPr>
        <w:ind w:left="460" w:right="140"/>
        <w:spacing w:after="0" w:line="311" w:lineRule="auto"/>
        <w:rPr>
          <w:rFonts w:ascii="Arial" w:cs="Arial" w:eastAsia="Arial" w:hAnsi="Arial"/>
          <w:sz w:val="14"/>
          <w:szCs w:val="14"/>
          <w:b w:val="1"/>
          <w:bCs w:val="1"/>
          <w:color w:val="auto"/>
        </w:rPr>
      </w:pPr>
      <w:r>
        <w:rPr>
          <w:rFonts w:ascii="Arial" w:cs="Arial" w:eastAsia="Arial" w:hAnsi="Arial"/>
          <w:sz w:val="13"/>
          <w:szCs w:val="13"/>
          <w:color w:val="auto"/>
        </w:rPr>
        <w:t>The Company has operated at a loss since its inception and has had no revenues. The Company anticipates that losses will continue for the foreseeable future. At December 31, 2013, the Company had $10,489,000 of unrestricted cash and cash equivalents available to fund future operations. Additionally, in January and February 2014, the Company received $28,178,000 in net proceeds from the issuance of common stock at market through its at the market (“ATM”) financing arrangement and $1,500,000 from the exercise of stock purchase warrants.</w:t>
      </w:r>
    </w:p>
    <w:p>
      <w:pPr>
        <w:spacing w:after="0" w:line="83" w:lineRule="exact"/>
        <w:rPr>
          <w:rFonts w:ascii="Arial" w:cs="Arial" w:eastAsia="Arial" w:hAnsi="Arial"/>
          <w:sz w:val="14"/>
          <w:szCs w:val="14"/>
          <w:b w:val="1"/>
          <w:bCs w:val="1"/>
          <w:color w:val="auto"/>
        </w:rPr>
      </w:pPr>
    </w:p>
    <w:p>
      <w:pPr>
        <w:ind w:left="460" w:right="100"/>
        <w:spacing w:after="0" w:line="288" w:lineRule="auto"/>
        <w:rPr>
          <w:rFonts w:ascii="Arial" w:cs="Arial" w:eastAsia="Arial" w:hAnsi="Arial"/>
          <w:sz w:val="14"/>
          <w:szCs w:val="14"/>
          <w:b w:val="1"/>
          <w:bCs w:val="1"/>
          <w:color w:val="auto"/>
        </w:rPr>
      </w:pPr>
      <w:r>
        <w:rPr>
          <w:rFonts w:ascii="Arial" w:cs="Arial" w:eastAsia="Arial" w:hAnsi="Arial"/>
          <w:sz w:val="13"/>
          <w:szCs w:val="13"/>
          <w:color w:val="auto"/>
        </w:rPr>
        <w:t>As shown in the consolidated financial statements, the Company incurred cumulative net losses applicable to common stockholders of $102.2 million for the period from inception (July 10, 2000) through December 31, 2013. The Company’s net losses have resulted principally from costs associated with (i) research and development expenses, including clinical trial costs,</w:t>
      </w:r>
    </w:p>
    <w:p>
      <w:pPr>
        <w:ind w:left="460"/>
        <w:spacing w:after="0" w:line="270" w:lineRule="auto"/>
        <w:rPr>
          <w:rFonts w:ascii="Arial" w:cs="Arial" w:eastAsia="Arial" w:hAnsi="Arial"/>
          <w:sz w:val="14"/>
          <w:szCs w:val="14"/>
          <w:b w:val="1"/>
          <w:bCs w:val="1"/>
          <w:color w:val="auto"/>
        </w:rPr>
      </w:pPr>
      <w:r>
        <w:rPr>
          <w:rFonts w:ascii="Arial" w:cs="Arial" w:eastAsia="Arial" w:hAnsi="Arial"/>
          <w:sz w:val="14"/>
          <w:szCs w:val="14"/>
          <w:color w:val="auto"/>
        </w:rPr>
        <w:t>(ii) general and administrative activities and (iii) the Company’s financing transactions including interest, dividend payments, and the costs related to fair value accounting for the Company’s convertible debt instruments.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Through December 31, 2013, the Company had raised a net total of $77.4 million in capital through sale and issuance of common stock, common stock purchase warrants, convertible preferred stock and debt securities in public and private offerings. From inception (July 10, 2000) through December 31, 2013, the Company used cash of $66.0 million in its operations.</w:t>
      </w:r>
    </w:p>
    <w:p>
      <w:pPr>
        <w:spacing w:after="0" w:line="109" w:lineRule="exact"/>
        <w:rPr>
          <w:sz w:val="20"/>
          <w:szCs w:val="20"/>
          <w:color w:val="auto"/>
        </w:rPr>
      </w:pPr>
    </w:p>
    <w:p>
      <w:pPr>
        <w:ind w:left="460" w:right="40"/>
        <w:spacing w:after="0" w:line="272" w:lineRule="auto"/>
        <w:rPr>
          <w:sz w:val="20"/>
          <w:szCs w:val="20"/>
          <w:color w:val="auto"/>
        </w:rPr>
      </w:pPr>
      <w:r>
        <w:rPr>
          <w:rFonts w:ascii="Arial" w:cs="Arial" w:eastAsia="Arial" w:hAnsi="Arial"/>
          <w:sz w:val="14"/>
          <w:szCs w:val="14"/>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Prior to March 23, 2012, the Company was traded on the Over-the Counter Bulletin Board (“OTCBB”) under the symbol GALT.OB (previously PRWP.OB) from January 21, 2009 to March 22, 2012 after the Company was delisted from the NYSE Alternext US (“Exchange”), formerly the American Stock Exchange, due to non-compliance with the Exchange minimum shareholders’ equity requirements on January 9, 2009.</w:t>
      </w:r>
    </w:p>
    <w:p>
      <w:pPr>
        <w:spacing w:after="0" w:line="108" w:lineRule="exact"/>
        <w:rPr>
          <w:sz w:val="20"/>
          <w:szCs w:val="20"/>
          <w:color w:val="auto"/>
        </w:rPr>
      </w:pPr>
    </w:p>
    <w:p>
      <w:pPr>
        <w:ind w:left="460" w:right="100"/>
        <w:spacing w:after="0" w:line="302" w:lineRule="auto"/>
        <w:rPr>
          <w:sz w:val="20"/>
          <w:szCs w:val="20"/>
          <w:color w:val="auto"/>
        </w:rPr>
      </w:pPr>
      <w:r>
        <w:rPr>
          <w:rFonts w:ascii="Arial" w:cs="Arial" w:eastAsia="Arial" w:hAnsi="Arial"/>
          <w:sz w:val="13"/>
          <w:szCs w:val="13"/>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40"/>
          </w:cols>
          <w:pgMar w:left="220" w:top="403"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480"/>
        <w:spacing w:after="0" w:line="296" w:lineRule="auto"/>
        <w:rPr>
          <w:sz w:val="20"/>
          <w:szCs w:val="20"/>
          <w:color w:val="auto"/>
        </w:rPr>
      </w:pPr>
      <w:r>
        <w:rPr>
          <w:rFonts w:ascii="Arial" w:cs="Arial" w:eastAsia="Arial" w:hAnsi="Arial"/>
          <w:sz w:val="14"/>
          <w:szCs w:val="14"/>
          <w:color w:val="auto"/>
        </w:rPr>
        <w:t>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86" w:lineRule="exact"/>
        <w:rPr>
          <w:sz w:val="20"/>
          <w:szCs w:val="20"/>
          <w:color w:val="auto"/>
        </w:rPr>
      </w:pPr>
    </w:p>
    <w:p>
      <w:pPr>
        <w:ind w:left="460" w:hanging="451"/>
        <w:spacing w:after="0"/>
        <w:tabs>
          <w:tab w:leader="none" w:pos="46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86"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(“GAAP”).</w:t>
      </w:r>
    </w:p>
    <w:p>
      <w:pPr>
        <w:spacing w:after="0" w:line="149" w:lineRule="exact"/>
        <w:rPr>
          <w:rFonts w:ascii="Arial" w:cs="Arial" w:eastAsia="Arial" w:hAnsi="Arial"/>
          <w:sz w:val="14"/>
          <w:szCs w:val="14"/>
          <w:b w:val="1"/>
          <w:bCs w:val="1"/>
          <w:color w:val="auto"/>
        </w:rPr>
      </w:pPr>
    </w:p>
    <w:p>
      <w:pPr>
        <w:ind w:left="460" w:right="320"/>
        <w:spacing w:after="0" w:line="280" w:lineRule="auto"/>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Basis of Consolidation. </w:t>
      </w:r>
      <w:r>
        <w:rPr>
          <w:rFonts w:ascii="Arial" w:cs="Arial" w:eastAsia="Arial" w:hAnsi="Arial"/>
          <w:sz w:val="14"/>
          <w:szCs w:val="14"/>
          <w:color w:val="auto"/>
        </w:rPr>
        <w:t>The consolidated financial statements include the accounts of the Company and Galectin Therapeutics Security Corp., its wholly-owned subsidiary, which was</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incorporated in Delaware on December 23, 2003. Galectin Therapeutics Security Corp. holds the cash and cash equivalents that are not required to fund current operating needs. All intercompany transactions have been eliminated.</w:t>
      </w:r>
    </w:p>
    <w:p>
      <w:pPr>
        <w:spacing w:after="0" w:line="101" w:lineRule="exact"/>
        <w:rPr>
          <w:rFonts w:ascii="Arial" w:cs="Arial" w:eastAsia="Arial" w:hAnsi="Arial"/>
          <w:sz w:val="14"/>
          <w:szCs w:val="14"/>
          <w:b w:val="1"/>
          <w:bCs w:val="1"/>
          <w:color w:val="auto"/>
        </w:rPr>
      </w:pPr>
    </w:p>
    <w:p>
      <w:pPr>
        <w:ind w:left="460" w:right="140"/>
        <w:spacing w:after="0" w:line="272" w:lineRule="auto"/>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Use of Estimates. </w:t>
      </w:r>
      <w:r>
        <w:rPr>
          <w:rFonts w:ascii="Arial" w:cs="Arial" w:eastAsia="Arial" w:hAnsi="Arial"/>
          <w:sz w:val="14"/>
          <w:szCs w:val="14"/>
          <w:color w:val="auto"/>
        </w:rPr>
        <w:t>The preparation of financial statements in conformity with accounting principles generally accepted in the United States of America requires management to make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107" w:lineRule="exact"/>
        <w:rPr>
          <w:rFonts w:ascii="Arial" w:cs="Arial" w:eastAsia="Arial" w:hAnsi="Arial"/>
          <w:sz w:val="14"/>
          <w:szCs w:val="14"/>
          <w:b w:val="1"/>
          <w:bCs w:val="1"/>
          <w:color w:val="auto"/>
        </w:rPr>
      </w:pPr>
    </w:p>
    <w:p>
      <w:pPr>
        <w:ind w:left="460"/>
        <w:spacing w:after="0" w:line="270" w:lineRule="auto"/>
        <w:rPr>
          <w:rFonts w:ascii="Arial" w:cs="Arial" w:eastAsia="Arial" w:hAnsi="Arial"/>
          <w:sz w:val="14"/>
          <w:szCs w:val="14"/>
          <w:b w:val="1"/>
          <w:bCs w:val="1"/>
          <w:color w:val="auto"/>
        </w:rPr>
      </w:pPr>
      <w:r>
        <w:rPr>
          <w:rFonts w:ascii="Arial" w:cs="Arial" w:eastAsia="Arial" w:hAnsi="Arial"/>
          <w:sz w:val="14"/>
          <w:szCs w:val="14"/>
          <w:i w:val="1"/>
          <w:iCs w:val="1"/>
          <w:color w:val="auto"/>
        </w:rPr>
        <w:t>Fair Value Measurements</w:t>
      </w:r>
      <w:r>
        <w:rPr>
          <w:rFonts w:ascii="Arial" w:cs="Arial" w:eastAsia="Arial" w:hAnsi="Arial"/>
          <w:sz w:val="14"/>
          <w:szCs w:val="14"/>
          <w:color w:val="auto"/>
        </w:rPr>
        <w:t>. The Company has certain financial assets and liabilities recorded at fair value. Fair values determined by Level 1 inputs utilize observable data such as quoted</w:t>
      </w:r>
      <w:r>
        <w:rPr>
          <w:rFonts w:ascii="Arial" w:cs="Arial" w:eastAsia="Arial" w:hAnsi="Arial"/>
          <w:sz w:val="14"/>
          <w:szCs w:val="14"/>
          <w:i w:val="1"/>
          <w:iCs w:val="1"/>
          <w:color w:val="auto"/>
        </w:rPr>
        <w:t xml:space="preserve"> </w:t>
      </w:r>
      <w:r>
        <w:rPr>
          <w:rFonts w:ascii="Arial" w:cs="Arial" w:eastAsia="Arial" w:hAnsi="Arial"/>
          <w:sz w:val="14"/>
          <w:szCs w:val="14"/>
          <w:color w:val="auto"/>
        </w:rPr>
        <w:t>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using level 3 inputs as defined above. Included in cash and cash equivalents, as of December 31, 2013 and 2012, the Company had $0 and $583,000, respectively, invested in money market funds which had calculated net asset values and were therefore classified as Level 2.</w:t>
      </w:r>
    </w:p>
    <w:p>
      <w:pPr>
        <w:spacing w:after="0" w:line="110"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Cash and Cash Equivalents.  </w:t>
      </w:r>
      <w:r>
        <w:rPr>
          <w:rFonts w:ascii="Arial" w:cs="Arial" w:eastAsia="Arial" w:hAnsi="Arial"/>
          <w:sz w:val="14"/>
          <w:szCs w:val="14"/>
          <w:color w:val="auto"/>
        </w:rPr>
        <w:t>The Company considers all highly-liquid investments with original maturities of 90 days or less at the time of acquisition to be cash equivalents.</w:t>
      </w:r>
    </w:p>
    <w:p>
      <w:pPr>
        <w:spacing w:after="0" w:line="149"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3"/>
          <w:szCs w:val="13"/>
          <w:i w:val="1"/>
          <w:iCs w:val="1"/>
          <w:color w:val="auto"/>
        </w:rPr>
        <w:t xml:space="preserve">Prepaid Expenses and Other Current Assets.  </w:t>
      </w:r>
      <w:r>
        <w:rPr>
          <w:rFonts w:ascii="Arial" w:cs="Arial" w:eastAsia="Arial" w:hAnsi="Arial"/>
          <w:sz w:val="13"/>
          <w:szCs w:val="13"/>
          <w:color w:val="auto"/>
        </w:rPr>
        <w:t>Prepaid expenses and other assets consist principally of prepaid insurance and prepaid rent on the Company’s leased executive office space.</w:t>
      </w:r>
    </w:p>
    <w:p>
      <w:pPr>
        <w:spacing w:after="0" w:line="160" w:lineRule="exact"/>
        <w:rPr>
          <w:rFonts w:ascii="Arial" w:cs="Arial" w:eastAsia="Arial" w:hAnsi="Arial"/>
          <w:sz w:val="14"/>
          <w:szCs w:val="14"/>
          <w:b w:val="1"/>
          <w:bCs w:val="1"/>
          <w:color w:val="auto"/>
        </w:rPr>
      </w:pPr>
    </w:p>
    <w:p>
      <w:pPr>
        <w:ind w:left="460" w:right="20"/>
        <w:spacing w:after="0" w:line="280" w:lineRule="auto"/>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Property and Equipment. </w:t>
      </w:r>
      <w:r>
        <w:rPr>
          <w:rFonts w:ascii="Arial" w:cs="Arial" w:eastAsia="Arial" w:hAnsi="Arial"/>
          <w:sz w:val="14"/>
          <w:szCs w:val="14"/>
          <w:color w:val="auto"/>
        </w:rPr>
        <w:t>Property and equipment, including leasehold improvements, are stated at cost, net of accumulated depreciation and amortization, and are depreciated or amortized</w:t>
      </w:r>
      <w:r>
        <w:rPr>
          <w:rFonts w:ascii="Arial" w:cs="Arial" w:eastAsia="Arial" w:hAnsi="Arial"/>
          <w:sz w:val="14"/>
          <w:szCs w:val="14"/>
          <w:i w:val="1"/>
          <w:iCs w:val="1"/>
          <w:color w:val="auto"/>
        </w:rPr>
        <w:t xml:space="preserve"> </w:t>
      </w:r>
      <w:r>
        <w:rPr>
          <w:rFonts w:ascii="Arial" w:cs="Arial" w:eastAsia="Arial" w:hAnsi="Arial"/>
          <w:sz w:val="14"/>
          <w:szCs w:val="14"/>
          <w:color w:val="auto"/>
        </w:rPr>
        <w:t>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01" w:lineRule="exact"/>
        <w:rPr>
          <w:rFonts w:ascii="Arial" w:cs="Arial" w:eastAsia="Arial" w:hAnsi="Arial"/>
          <w:sz w:val="14"/>
          <w:szCs w:val="14"/>
          <w:b w:val="1"/>
          <w:bCs w:val="1"/>
          <w:color w:val="auto"/>
        </w:rPr>
      </w:pPr>
    </w:p>
    <w:p>
      <w:pPr>
        <w:ind w:left="460" w:right="60"/>
        <w:spacing w:after="0" w:line="296" w:lineRule="auto"/>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Restricted Cash and Security Deposit. </w:t>
      </w:r>
      <w:r>
        <w:rPr>
          <w:rFonts w:ascii="Arial" w:cs="Arial" w:eastAsia="Arial" w:hAnsi="Arial"/>
          <w:sz w:val="14"/>
          <w:szCs w:val="14"/>
          <w:color w:val="auto"/>
        </w:rPr>
        <w:t>At December 31, 2013 and 2012, the Company had a security deposit of $6,000 for leased office space. The security deposit was included in Prepaid</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and Other Current Assets at December 31, 2013.</w:t>
      </w:r>
    </w:p>
    <w:p>
      <w:pPr>
        <w:spacing w:after="0" w:line="90" w:lineRule="exact"/>
        <w:rPr>
          <w:rFonts w:ascii="Arial" w:cs="Arial" w:eastAsia="Arial" w:hAnsi="Arial"/>
          <w:sz w:val="14"/>
          <w:szCs w:val="14"/>
          <w:b w:val="1"/>
          <w:bCs w:val="1"/>
          <w:color w:val="auto"/>
        </w:rPr>
      </w:pPr>
    </w:p>
    <w:p>
      <w:pPr>
        <w:ind w:left="460" w:right="60"/>
        <w:spacing w:after="0" w:line="280" w:lineRule="auto"/>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Intangible Assets. </w:t>
      </w:r>
      <w:r>
        <w:rPr>
          <w:rFonts w:ascii="Arial" w:cs="Arial" w:eastAsia="Arial" w:hAnsi="Arial"/>
          <w:sz w:val="14"/>
          <w:szCs w:val="14"/>
          <w:color w:val="auto"/>
        </w:rPr>
        <w:t>Intangible assets include patent costs, consisting primarily of related capitalized legal fees, which are amortized over an estimated useful life of five years from issuance.</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expense in 2013 and 2012 was $7,000 and $6,000, respectively. Gross intangible assets at December 31, 2013 and 2012 totaled $78,000 each year, and accumulated amortization at December 31, 2013 and 2012 totaled $55,000 and $48,000, respectively.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40"/>
          </w:cols>
          <w:pgMar w:left="220" w:top="402" w:right="2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120"/>
        <w:spacing w:after="0" w:line="275" w:lineRule="auto"/>
        <w:rPr>
          <w:sz w:val="20"/>
          <w:szCs w:val="20"/>
          <w:color w:val="auto"/>
        </w:rPr>
      </w:pPr>
      <w:r>
        <w:rPr>
          <w:rFonts w:ascii="Arial" w:cs="Arial" w:eastAsia="Arial" w:hAnsi="Arial"/>
          <w:sz w:val="14"/>
          <w:szCs w:val="14"/>
          <w:i w:val="1"/>
          <w:iCs w:val="1"/>
          <w:color w:val="auto"/>
        </w:rPr>
        <w:t xml:space="preserve">Long-Lived Assets. </w:t>
      </w:r>
      <w:r>
        <w:rPr>
          <w:rFonts w:ascii="Arial" w:cs="Arial" w:eastAsia="Arial" w:hAnsi="Arial"/>
          <w:sz w:val="14"/>
          <w:szCs w:val="14"/>
          <w:color w:val="auto"/>
        </w:rPr>
        <w:t>The Company reviews all long-lived assets for impairment whenever events or circumstances indicate the carrying amount of such assets may not be recoverable.</w:t>
      </w:r>
      <w:r>
        <w:rPr>
          <w:rFonts w:ascii="Arial" w:cs="Arial" w:eastAsia="Arial" w:hAnsi="Arial"/>
          <w:sz w:val="14"/>
          <w:szCs w:val="14"/>
          <w:i w:val="1"/>
          <w:iCs w:val="1"/>
          <w:color w:val="auto"/>
        </w:rPr>
        <w:t xml:space="preserve"> </w:t>
      </w:r>
      <w:r>
        <w:rPr>
          <w:rFonts w:ascii="Arial" w:cs="Arial" w:eastAsia="Arial" w:hAnsi="Arial"/>
          <w:sz w:val="14"/>
          <w:szCs w:val="14"/>
          <w:color w:val="auto"/>
        </w:rPr>
        <w:t>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105" w:lineRule="exact"/>
        <w:rPr>
          <w:sz w:val="20"/>
          <w:szCs w:val="20"/>
          <w:color w:val="auto"/>
        </w:rPr>
      </w:pPr>
    </w:p>
    <w:p>
      <w:pPr>
        <w:ind w:left="460" w:right="100"/>
        <w:spacing w:after="0" w:line="292" w:lineRule="auto"/>
        <w:rPr>
          <w:sz w:val="20"/>
          <w:szCs w:val="20"/>
          <w:color w:val="auto"/>
        </w:rPr>
      </w:pPr>
      <w:r>
        <w:rPr>
          <w:rFonts w:ascii="Arial" w:cs="Arial" w:eastAsia="Arial" w:hAnsi="Arial"/>
          <w:sz w:val="13"/>
          <w:szCs w:val="13"/>
          <w:i w:val="1"/>
          <w:iCs w:val="1"/>
          <w:color w:val="auto"/>
        </w:rPr>
        <w:t>Accrued Expenses</w:t>
      </w:r>
      <w:r>
        <w:rPr>
          <w:rFonts w:ascii="Arial" w:cs="Arial" w:eastAsia="Arial" w:hAnsi="Arial"/>
          <w:sz w:val="13"/>
          <w:szCs w:val="13"/>
          <w:color w:val="auto"/>
        </w:rPr>
        <w:t>. As part of the process of preparing our consolidated financial statements, we are required to estimate accrued expenses. This process involves identifying services that</w:t>
      </w:r>
      <w:r>
        <w:rPr>
          <w:rFonts w:ascii="Arial" w:cs="Arial" w:eastAsia="Arial" w:hAnsi="Arial"/>
          <w:sz w:val="13"/>
          <w:szCs w:val="13"/>
          <w:i w:val="1"/>
          <w:iCs w:val="1"/>
          <w:color w:val="auto"/>
        </w:rPr>
        <w:t xml:space="preserve"> </w:t>
      </w:r>
      <w:r>
        <w:rPr>
          <w:rFonts w:ascii="Arial" w:cs="Arial" w:eastAsia="Arial" w:hAnsi="Arial"/>
          <w:sz w:val="13"/>
          <w:szCs w:val="13"/>
          <w:color w:val="auto"/>
        </w:rPr>
        <w:t>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97" w:lineRule="exact"/>
        <w:rPr>
          <w:sz w:val="20"/>
          <w:szCs w:val="20"/>
          <w:color w:val="auto"/>
        </w:rPr>
      </w:pPr>
    </w:p>
    <w:p>
      <w:pPr>
        <w:ind w:left="460"/>
        <w:spacing w:after="0" w:line="270" w:lineRule="auto"/>
        <w:rPr>
          <w:sz w:val="20"/>
          <w:szCs w:val="20"/>
          <w:color w:val="auto"/>
        </w:rPr>
      </w:pPr>
      <w:r>
        <w:rPr>
          <w:rFonts w:ascii="Arial" w:cs="Arial" w:eastAsia="Arial" w:hAnsi="Arial"/>
          <w:sz w:val="14"/>
          <w:szCs w:val="14"/>
          <w:i w:val="1"/>
          <w:iCs w:val="1"/>
          <w:color w:val="auto"/>
        </w:rPr>
        <w:t xml:space="preserve">Warrants. </w:t>
      </w:r>
      <w:r>
        <w:rPr>
          <w:rFonts w:ascii="Arial" w:cs="Arial" w:eastAsia="Arial" w:hAnsi="Arial"/>
          <w:sz w:val="14"/>
          <w:szCs w:val="14"/>
          <w:color w:val="auto"/>
        </w:rPr>
        <w:t>The Company has issued common stock warrants in connection with the execution of certain equity and debt financings. Certain warrants were accounted for as derivative</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liabilities at fair value. Such warrants did not meet the accounting criteria that a contract should not be considered a derivative instrument if it is (1) indexed to its own stock and (2) classified in stockholders’ equity. Changes in fair value of derivative liabilities are recorded in the consolidated statement of operations under the caption “Change in fair value of warrant liabilities.” Warrants that are not considered derivative liabilities are accounted for at fair value at the date of issuance in additional paid-in capital. The fair value of warrants was determined using the Black-Scholes option-pricing model using assumptions regarding volatility of our common share price, remaining life of the warrant, and risk-free interest rates at each period end. There were no warrant liabilities as of December 31, 2013 or 2012.</w:t>
      </w:r>
    </w:p>
    <w:p>
      <w:pPr>
        <w:spacing w:after="0" w:line="110" w:lineRule="exact"/>
        <w:rPr>
          <w:sz w:val="20"/>
          <w:szCs w:val="20"/>
          <w:color w:val="auto"/>
        </w:rPr>
      </w:pPr>
    </w:p>
    <w:p>
      <w:pPr>
        <w:ind w:left="460" w:right="100"/>
        <w:spacing w:after="0" w:line="296" w:lineRule="auto"/>
        <w:rPr>
          <w:sz w:val="20"/>
          <w:szCs w:val="20"/>
          <w:color w:val="auto"/>
        </w:rPr>
      </w:pPr>
      <w:r>
        <w:rPr>
          <w:rFonts w:ascii="Arial" w:cs="Arial" w:eastAsia="Arial" w:hAnsi="Arial"/>
          <w:sz w:val="14"/>
          <w:szCs w:val="14"/>
          <w:i w:val="1"/>
          <w:iCs w:val="1"/>
          <w:color w:val="auto"/>
        </w:rPr>
        <w:t>Revenue Recognition</w:t>
      </w:r>
      <w:r>
        <w:rPr>
          <w:rFonts w:ascii="Arial" w:cs="Arial" w:eastAsia="Arial" w:hAnsi="Arial"/>
          <w:sz w:val="14"/>
          <w:szCs w:val="14"/>
          <w:color w:val="auto"/>
        </w:rPr>
        <w:t>. The Company records revenue provided that there is persuasive evidence that an arrangement exists, the price is fixed and determinable, services were rendered and</w:t>
      </w:r>
      <w:r>
        <w:rPr>
          <w:rFonts w:ascii="Arial" w:cs="Arial" w:eastAsia="Arial" w:hAnsi="Arial"/>
          <w:sz w:val="14"/>
          <w:szCs w:val="14"/>
          <w:i w:val="1"/>
          <w:iCs w:val="1"/>
          <w:color w:val="auto"/>
        </w:rPr>
        <w:t xml:space="preserve"> </w:t>
      </w:r>
      <w:r>
        <w:rPr>
          <w:rFonts w:ascii="Arial" w:cs="Arial" w:eastAsia="Arial" w:hAnsi="Arial"/>
          <w:sz w:val="14"/>
          <w:szCs w:val="14"/>
          <w:color w:val="auto"/>
        </w:rPr>
        <w:t>collectability is reasonably assured.</w:t>
      </w:r>
    </w:p>
    <w:p>
      <w:pPr>
        <w:spacing w:after="0" w:line="91" w:lineRule="exact"/>
        <w:rPr>
          <w:sz w:val="20"/>
          <w:szCs w:val="20"/>
          <w:color w:val="auto"/>
        </w:rPr>
      </w:pPr>
    </w:p>
    <w:p>
      <w:pPr>
        <w:ind w:left="460" w:right="140"/>
        <w:spacing w:after="0" w:line="337"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Costs associated with research and development are expensed as incurred. Research and development expenses include, among other costs, salaries</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personnel-related costs, and costs incurred by outside laboratories and other accredited facilities in connection with clinical trials and preclinical studies.</w:t>
      </w:r>
    </w:p>
    <w:p>
      <w:pPr>
        <w:spacing w:after="0" w:line="68" w:lineRule="exact"/>
        <w:rPr>
          <w:sz w:val="20"/>
          <w:szCs w:val="20"/>
          <w:color w:val="auto"/>
        </w:rPr>
      </w:pPr>
    </w:p>
    <w:p>
      <w:pPr>
        <w:ind w:left="460" w:right="80"/>
        <w:spacing w:after="0" w:line="302"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The Company accounts for income taxes in accordance with the accounting rules that requires an asset and liability approach to accounting for income taxes based upon the</w:t>
      </w:r>
      <w:r>
        <w:rPr>
          <w:rFonts w:ascii="Arial" w:cs="Arial" w:eastAsia="Arial" w:hAnsi="Arial"/>
          <w:sz w:val="13"/>
          <w:szCs w:val="13"/>
          <w:i w:val="1"/>
          <w:iCs w:val="1"/>
          <w:color w:val="auto"/>
        </w:rPr>
        <w:t xml:space="preserve"> </w:t>
      </w:r>
      <w:r>
        <w:rPr>
          <w:rFonts w:ascii="Arial" w:cs="Arial" w:eastAsia="Arial" w:hAnsi="Arial"/>
          <w:sz w:val="13"/>
          <w:szCs w:val="13"/>
          <w:color w:val="auto"/>
        </w:rPr>
        <w:t>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90" w:lineRule="exact"/>
        <w:rPr>
          <w:sz w:val="20"/>
          <w:szCs w:val="20"/>
          <w:color w:val="auto"/>
        </w:rPr>
      </w:pPr>
    </w:p>
    <w:p>
      <w:pPr>
        <w:ind w:left="460" w:right="800"/>
        <w:spacing w:after="0" w:line="296" w:lineRule="auto"/>
        <w:rPr>
          <w:sz w:val="20"/>
          <w:szCs w:val="20"/>
          <w:color w:val="auto"/>
        </w:rPr>
      </w:pPr>
      <w:r>
        <w:rPr>
          <w:rFonts w:ascii="Arial" w:cs="Arial" w:eastAsia="Arial" w:hAnsi="Arial"/>
          <w:sz w:val="14"/>
          <w:szCs w:val="14"/>
          <w:i w:val="1"/>
          <w:iCs w:val="1"/>
          <w:color w:val="auto"/>
        </w:rPr>
        <w:t xml:space="preserve">Comprehensive Income (Loss). </w:t>
      </w:r>
      <w:r>
        <w:rPr>
          <w:rFonts w:ascii="Arial" w:cs="Arial" w:eastAsia="Arial" w:hAnsi="Arial"/>
          <w:sz w:val="14"/>
          <w:szCs w:val="14"/>
          <w:color w:val="auto"/>
        </w:rPr>
        <w:t>Comprehensive income (loss) is defined as the change in equity of a business enterprise during a period from transactions and other events and</w:t>
      </w:r>
      <w:r>
        <w:rPr>
          <w:rFonts w:ascii="Arial" w:cs="Arial" w:eastAsia="Arial" w:hAnsi="Arial"/>
          <w:sz w:val="14"/>
          <w:szCs w:val="14"/>
          <w:i w:val="1"/>
          <w:iCs w:val="1"/>
          <w:color w:val="auto"/>
        </w:rPr>
        <w:t xml:space="preserve"> </w:t>
      </w:r>
      <w:r>
        <w:rPr>
          <w:rFonts w:ascii="Arial" w:cs="Arial" w:eastAsia="Arial" w:hAnsi="Arial"/>
          <w:sz w:val="14"/>
          <w:szCs w:val="14"/>
          <w:color w:val="auto"/>
        </w:rPr>
        <w:t>circumstances from non-owner sources. The Company does not have any items of comprehensive income (loss) other than net losses as reported.</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40"/>
          </w:cols>
          <w:pgMar w:left="220" w:top="403"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200"/>
        <w:spacing w:after="0" w:line="280" w:lineRule="auto"/>
        <w:rPr>
          <w:sz w:val="20"/>
          <w:szCs w:val="20"/>
          <w:color w:val="auto"/>
        </w:rPr>
      </w:pPr>
      <w:r>
        <w:rPr>
          <w:rFonts w:ascii="Arial" w:cs="Arial" w:eastAsia="Arial" w:hAnsi="Arial"/>
          <w:sz w:val="14"/>
          <w:szCs w:val="14"/>
          <w:i w:val="1"/>
          <w:iCs w:val="1"/>
          <w:color w:val="auto"/>
        </w:rPr>
        <w:t xml:space="preserve">Concentration of Credit Risk. </w:t>
      </w:r>
      <w:r>
        <w:rPr>
          <w:rFonts w:ascii="Arial" w:cs="Arial" w:eastAsia="Arial" w:hAnsi="Arial"/>
          <w:sz w:val="14"/>
          <w:szCs w:val="14"/>
          <w:color w:val="auto"/>
        </w:rPr>
        <w:t>Financial instruments that subject the Company to credit risk consist of cash and cash equivalents and certificates of deposit. The Company maintains cash</w:t>
      </w:r>
      <w:r>
        <w:rPr>
          <w:rFonts w:ascii="Arial" w:cs="Arial" w:eastAsia="Arial" w:hAnsi="Arial"/>
          <w:sz w:val="14"/>
          <w:szCs w:val="14"/>
          <w:i w:val="1"/>
          <w:iCs w:val="1"/>
          <w:color w:val="auto"/>
        </w:rPr>
        <w:t xml:space="preserve"> </w:t>
      </w:r>
      <w:r>
        <w:rPr>
          <w:rFonts w:ascii="Arial" w:cs="Arial" w:eastAsia="Arial" w:hAnsi="Arial"/>
          <w:sz w:val="14"/>
          <w:szCs w:val="14"/>
          <w:color w:val="auto"/>
        </w:rPr>
        <w:t>and cash equivalents and certificates of deposit with well-capitalized financial institutions. At times, those amounts may exceed federally insured limits. The Company has no significant concentrations of credit risk.</w:t>
      </w:r>
    </w:p>
    <w:p>
      <w:pPr>
        <w:spacing w:after="0" w:line="102" w:lineRule="exact"/>
        <w:rPr>
          <w:sz w:val="20"/>
          <w:szCs w:val="20"/>
          <w:color w:val="auto"/>
        </w:rPr>
      </w:pPr>
    </w:p>
    <w:p>
      <w:pPr>
        <w:ind w:left="460" w:right="100"/>
        <w:spacing w:after="0" w:line="293" w:lineRule="auto"/>
        <w:rPr>
          <w:sz w:val="20"/>
          <w:szCs w:val="20"/>
          <w:color w:val="auto"/>
        </w:rPr>
      </w:pPr>
      <w:r>
        <w:rPr>
          <w:rFonts w:ascii="Arial" w:cs="Arial" w:eastAsia="Arial" w:hAnsi="Arial"/>
          <w:sz w:val="13"/>
          <w:szCs w:val="13"/>
          <w:i w:val="1"/>
          <w:iCs w:val="1"/>
          <w:color w:val="auto"/>
        </w:rPr>
        <w:t xml:space="preserve">Stock-Based Compensation. </w:t>
      </w:r>
      <w:r>
        <w:rPr>
          <w:rFonts w:ascii="Arial" w:cs="Arial" w:eastAsia="Arial" w:hAnsi="Arial"/>
          <w:sz w:val="13"/>
          <w:szCs w:val="13"/>
          <w:color w:val="auto"/>
        </w:rPr>
        <w:t>Stock-based compensation cost is measured at the grant date based on the fair value of the award and is recognized as expense over the service period, which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generally represents the vesting period. For awards that have performance 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3"/>
          <w:szCs w:val="13"/>
          <w:i w:val="1"/>
          <w:iCs w:val="1"/>
          <w:color w:val="auto"/>
        </w:rPr>
        <w:t>Equity-Based Payments to Non-employees</w:t>
      </w:r>
      <w:r>
        <w:rPr>
          <w:rFonts w:ascii="Arial" w:cs="Arial" w:eastAsia="Arial" w:hAnsi="Arial"/>
          <w:sz w:val="13"/>
          <w:szCs w:val="13"/>
          <w:color w:val="auto"/>
        </w:rPr>
        <w:t>, which requires valuing the stock options using an option pricing model (the Company uses Black-Scholes) and measuring such stock options to their current fair value when they vest.</w:t>
      </w:r>
    </w:p>
    <w:p>
      <w:pPr>
        <w:spacing w:after="0" w:line="193" w:lineRule="exact"/>
        <w:rPr>
          <w:sz w:val="20"/>
          <w:szCs w:val="20"/>
          <w:color w:val="auto"/>
        </w:rPr>
      </w:pPr>
    </w:p>
    <w:p>
      <w:pPr>
        <w:ind w:left="460" w:right="7640" w:hanging="451"/>
        <w:spacing w:after="0" w:line="366" w:lineRule="auto"/>
        <w:tabs>
          <w:tab w:leader="none" w:pos="457"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Agreement with PROCAPS S.A. and Research Grants </w:t>
      </w:r>
      <w:r>
        <w:rPr>
          <w:rFonts w:ascii="Arial" w:cs="Arial" w:eastAsia="Arial" w:hAnsi="Arial"/>
          <w:sz w:val="14"/>
          <w:szCs w:val="14"/>
          <w:i w:val="1"/>
          <w:iCs w:val="1"/>
          <w:color w:val="auto"/>
        </w:rPr>
        <w:t>Agreement with PROCAPS S.A.</w:t>
      </w:r>
    </w:p>
    <w:p>
      <w:pPr>
        <w:ind w:left="460" w:right="80"/>
        <w:spacing w:after="0" w:line="251" w:lineRule="auto"/>
        <w:rPr>
          <w:rFonts w:ascii="Arial" w:cs="Arial" w:eastAsia="Arial" w:hAnsi="Arial"/>
          <w:sz w:val="14"/>
          <w:szCs w:val="14"/>
          <w:b w:val="1"/>
          <w:bCs w:val="1"/>
          <w:color w:val="auto"/>
        </w:rPr>
      </w:pPr>
      <w:r>
        <w:rPr>
          <w:rFonts w:ascii="Arial" w:cs="Arial" w:eastAsia="Arial" w:hAnsi="Arial"/>
          <w:sz w:val="14"/>
          <w:szCs w:val="14"/>
          <w:color w:val="auto"/>
        </w:rPr>
        <w:t>On March 25, 2010, the Company granted PROCAPS S.A. (“PROCAPS”) (in the form of a definitive term sheet) exclusive rights to market and sell GM-CT-01 (formerly DAVANAT</w:t>
      </w:r>
      <w:r>
        <w:rPr>
          <w:rFonts w:ascii="Arial" w:cs="Arial" w:eastAsia="Arial" w:hAnsi="Arial"/>
          <w:sz w:val="18"/>
          <w:szCs w:val="18"/>
          <w:color w:val="auto"/>
          <w:vertAlign w:val="superscript"/>
        </w:rPr>
        <w:t>®</w:t>
      </w:r>
      <w:r>
        <w:rPr>
          <w:rFonts w:ascii="Arial" w:cs="Arial" w:eastAsia="Arial" w:hAnsi="Arial"/>
          <w:sz w:val="14"/>
          <w:szCs w:val="14"/>
          <w:color w:val="auto"/>
        </w:rPr>
        <w:t>) to treat cancer in Colombia, South America. PROCAPS is an international, privately held pharmaceutical company based in Barranquilla, Colombia. In October 2010, the Company received a payment of $200,000 and shipped GM-CT-01 to PROCAPS to be used by PROCAPS to qualify its vial filling process and to replicate the Company’s stability study. The $200,000 payment from PROCAPS was included as deferred income on the condensed consolidated balance sheets as of December 31, 2011.</w:t>
      </w:r>
    </w:p>
    <w:p>
      <w:pPr>
        <w:spacing w:after="0" w:line="120" w:lineRule="exact"/>
        <w:rPr>
          <w:rFonts w:ascii="Arial" w:cs="Arial" w:eastAsia="Arial" w:hAnsi="Arial"/>
          <w:sz w:val="14"/>
          <w:szCs w:val="14"/>
          <w:b w:val="1"/>
          <w:bCs w:val="1"/>
          <w:color w:val="auto"/>
        </w:rPr>
      </w:pPr>
    </w:p>
    <w:p>
      <w:pPr>
        <w:ind w:left="460"/>
        <w:spacing w:after="0" w:line="269" w:lineRule="auto"/>
        <w:rPr>
          <w:rFonts w:ascii="Arial" w:cs="Arial" w:eastAsia="Arial" w:hAnsi="Arial"/>
          <w:sz w:val="14"/>
          <w:szCs w:val="14"/>
          <w:b w:val="1"/>
          <w:bCs w:val="1"/>
          <w:color w:val="auto"/>
        </w:rPr>
      </w:pPr>
      <w:r>
        <w:rPr>
          <w:rFonts w:ascii="Arial" w:cs="Arial" w:eastAsia="Arial" w:hAnsi="Arial"/>
          <w:sz w:val="14"/>
          <w:szCs w:val="14"/>
          <w:color w:val="auto"/>
        </w:rPr>
        <w:t>On October 18, 2011, the Company entered into a Collaboration, Supply, Marketing and Distribution Agreement (the “Agreement”) with PROCAPS. The Agreement granted PROCAPS first negotiation rights to enter into similar agreements in other Central and South American countries. The Company was to be the sole manufacturer and supplier of GM-CT-01 to PROCAPS. The Agreement obligated PROCAPS to procure regulatory approvals necessary for the marketing and sale of GM-CT-01 naming the Company as the owner of such approvals to the extent permitted by law, or alternatively hold the approvals for the Company’s benefit. PROCAPS was to pay the Company a stated fee for each dose it purchased and royalties at an incremental rate determined by annual net sales of GM-CT-01. The Company retains all intellectual property rights to GM-CT-01 and related products and PROCAPS may not produce, modify, reverse engineer, or otherwise interfere with the GM-CT-01 compound. PROCAPS was not able to manufacture or sell products that compete with GM-CT-01 during the term of the Agreement and for five years thereafter.</w:t>
      </w:r>
    </w:p>
    <w:p>
      <w:pPr>
        <w:spacing w:after="0" w:line="111" w:lineRule="exact"/>
        <w:rPr>
          <w:rFonts w:ascii="Arial" w:cs="Arial" w:eastAsia="Arial" w:hAnsi="Arial"/>
          <w:sz w:val="14"/>
          <w:szCs w:val="14"/>
          <w:b w:val="1"/>
          <w:bCs w:val="1"/>
          <w:color w:val="auto"/>
        </w:rPr>
      </w:pPr>
    </w:p>
    <w:p>
      <w:pPr>
        <w:jc w:val="both"/>
        <w:ind w:left="460" w:right="340"/>
        <w:spacing w:after="0" w:line="280" w:lineRule="auto"/>
        <w:rPr>
          <w:rFonts w:ascii="Arial" w:cs="Arial" w:eastAsia="Arial" w:hAnsi="Arial"/>
          <w:sz w:val="14"/>
          <w:szCs w:val="14"/>
          <w:b w:val="1"/>
          <w:bCs w:val="1"/>
          <w:color w:val="auto"/>
        </w:rPr>
      </w:pPr>
      <w:r>
        <w:rPr>
          <w:rFonts w:ascii="Arial" w:cs="Arial" w:eastAsia="Arial" w:hAnsi="Arial"/>
          <w:sz w:val="14"/>
          <w:szCs w:val="14"/>
          <w:color w:val="auto"/>
        </w:rPr>
        <w:t>PROCAPS had not obtained approval to sell GM-CT-01 in Columbia as required by the Agreement and, as they were in material breach of the Agreement, the Company terminated the Agreement, effective September 29, 2012. With no further obligations, the Company recognized the $200,000 payment as Other Income in the Statements of Operations during the year ended December 31, 2012.</w:t>
      </w:r>
    </w:p>
    <w:p>
      <w:pPr>
        <w:spacing w:after="0" w:line="168"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i w:val="1"/>
          <w:iCs w:val="1"/>
          <w:color w:val="auto"/>
        </w:rPr>
        <w:t>Qualifying Therapeutic Discovery Project</w:t>
      </w:r>
    </w:p>
    <w:p>
      <w:pPr>
        <w:spacing w:after="0" w:line="82" w:lineRule="exact"/>
        <w:rPr>
          <w:rFonts w:ascii="Arial" w:cs="Arial" w:eastAsia="Arial" w:hAnsi="Arial"/>
          <w:sz w:val="14"/>
          <w:szCs w:val="14"/>
          <w:b w:val="1"/>
          <w:bCs w:val="1"/>
          <w:color w:val="auto"/>
        </w:rPr>
      </w:pPr>
    </w:p>
    <w:p>
      <w:pPr>
        <w:ind w:left="460" w:right="80"/>
        <w:spacing w:after="0" w:line="296" w:lineRule="auto"/>
        <w:rPr>
          <w:rFonts w:ascii="Arial" w:cs="Arial" w:eastAsia="Arial" w:hAnsi="Arial"/>
          <w:sz w:val="14"/>
          <w:szCs w:val="14"/>
          <w:b w:val="1"/>
          <w:bCs w:val="1"/>
          <w:color w:val="auto"/>
        </w:rPr>
      </w:pPr>
      <w:r>
        <w:rPr>
          <w:rFonts w:ascii="Arial" w:cs="Arial" w:eastAsia="Arial" w:hAnsi="Arial"/>
          <w:sz w:val="14"/>
          <w:szCs w:val="14"/>
          <w:color w:val="auto"/>
        </w:rPr>
        <w:t>In October 2010, the Company was notified that it was awarded $489,000 total in two federal grants under the Qualifying Therapeutic Discovery Project (“QTDP”) Program for its GM-CT-01 anti-cancer compound</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40"/>
          </w:cols>
          <w:pgMar w:left="220" w:top="402" w:right="23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96" w:lineRule="auto"/>
        <w:rPr>
          <w:sz w:val="20"/>
          <w:szCs w:val="20"/>
          <w:color w:val="auto"/>
        </w:rPr>
      </w:pPr>
      <w:r>
        <w:rPr>
          <w:rFonts w:ascii="Arial" w:cs="Arial" w:eastAsia="Arial" w:hAnsi="Arial"/>
          <w:sz w:val="14"/>
          <w:szCs w:val="14"/>
          <w:color w:val="auto"/>
        </w:rPr>
        <w:t>and for its GR/GM-Series of anti-fibrotic, cirrhosis compounds for work performed during 2010 and 2009. The Company recognized this grant in other income in the statement of operations for the year ended December 31, 2010. The Company received $255,000 of the grant in 2010 and the remaining $234,000 was received in 2011.</w:t>
      </w:r>
    </w:p>
    <w:p>
      <w:pPr>
        <w:spacing w:after="0" w:line="186" w:lineRule="exact"/>
        <w:rPr>
          <w:sz w:val="20"/>
          <w:szCs w:val="20"/>
          <w:color w:val="auto"/>
        </w:rPr>
      </w:pPr>
    </w:p>
    <w:p>
      <w:pPr>
        <w:ind w:left="460" w:hanging="451"/>
        <w:spacing w:after="0"/>
        <w:tabs>
          <w:tab w:leader="none" w:pos="4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w:t>
      </w:r>
    </w:p>
    <w:p>
      <w:pPr>
        <w:spacing w:after="0" w:line="86"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Property and equipment consists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400" w:type="dxa"/>
            <w:vAlign w:val="bottom"/>
            <w:gridSpan w:val="4"/>
          </w:tcPr>
          <w:p>
            <w:pPr>
              <w:jc w:val="right"/>
              <w:spacing w:after="0"/>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11"/>
                <w:szCs w:val="11"/>
                <w:color w:val="auto"/>
              </w:rPr>
            </w:pPr>
          </w:p>
        </w:tc>
        <w:tc>
          <w:tcPr>
            <w:tcW w:w="660" w:type="dxa"/>
            <w:vAlign w:val="bottom"/>
            <w:gridSpan w:val="4"/>
          </w:tcPr>
          <w:p>
            <w:pPr>
              <w:jc w:val="right"/>
              <w:spacing w:after="0"/>
              <w:rPr>
                <w:sz w:val="20"/>
                <w:szCs w:val="20"/>
                <w:color w:val="auto"/>
              </w:rPr>
            </w:pPr>
            <w:r>
              <w:rPr>
                <w:rFonts w:ascii="Arial" w:cs="Arial" w:eastAsia="Arial" w:hAnsi="Arial"/>
                <w:sz w:val="11"/>
                <w:szCs w:val="11"/>
                <w:b w:val="1"/>
                <w:bCs w:val="1"/>
                <w:color w:val="auto"/>
              </w:rPr>
              <w:t>2012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5"/>
          </w:tcPr>
          <w:p>
            <w:pPr>
              <w:ind w:left="40"/>
              <w:spacing w:after="0" w:line="113" w:lineRule="exact"/>
              <w:rPr>
                <w:sz w:val="20"/>
                <w:szCs w:val="20"/>
                <w:color w:val="auto"/>
              </w:rPr>
            </w:pPr>
            <w:r>
              <w:rPr>
                <w:rFonts w:ascii="Arial" w:cs="Arial" w:eastAsia="Arial" w:hAnsi="Arial"/>
                <w:sz w:val="11"/>
                <w:szCs w:val="11"/>
                <w:b w:val="1"/>
                <w:bCs w:val="1"/>
                <w:color w:val="auto"/>
                <w:w w:val="92"/>
              </w:rPr>
              <w:t>(in thousands)</w:t>
            </w: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1320" w:type="dxa"/>
            <w:vAlign w:val="bottom"/>
            <w:gridSpan w:val="3"/>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2</w:t>
            </w:r>
          </w:p>
        </w:tc>
        <w:tc>
          <w:tcPr>
            <w:tcW w:w="2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center"/>
              <w:ind w:left="293"/>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4"/>
                <w:szCs w:val="14"/>
                <w:color w:val="auto"/>
              </w:rPr>
              <w:t>Computer and office equipment</w:t>
            </w: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1120" w:type="dxa"/>
            <w:vAlign w:val="bottom"/>
            <w:gridSpan w:val="2"/>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83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4"/>
                <w:szCs w:val="14"/>
                <w:color w:val="auto"/>
              </w:rPr>
              <w:t>Less accumulated depreciation and amortization</w:t>
            </w:r>
          </w:p>
        </w:tc>
        <w:tc>
          <w:tcPr>
            <w:tcW w:w="1120" w:type="dxa"/>
            <w:vAlign w:val="bottom"/>
            <w:gridSpan w:val="2"/>
            <w:shd w:val="clear" w:color="auto" w:fill="CCEEFF"/>
          </w:tcPr>
          <w:p>
            <w:pPr>
              <w:spacing w:after="0"/>
              <w:rPr>
                <w:sz w:val="15"/>
                <w:szCs w:val="15"/>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(66)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vMerge w:val="restart"/>
          </w:tcPr>
          <w:p>
            <w:pPr>
              <w:ind w:left="340"/>
              <w:spacing w:after="0"/>
              <w:rPr>
                <w:sz w:val="20"/>
                <w:szCs w:val="20"/>
                <w:color w:val="auto"/>
              </w:rPr>
            </w:pPr>
            <w:r>
              <w:rPr>
                <w:rFonts w:ascii="Arial" w:cs="Arial" w:eastAsia="Arial" w:hAnsi="Arial"/>
                <w:sz w:val="14"/>
                <w:szCs w:val="14"/>
                <w:color w:val="auto"/>
              </w:rPr>
              <w:t>Property and equipment—net</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vMerge w:val="continue"/>
          </w:tcPr>
          <w:p>
            <w:pPr>
              <w:spacing w:after="0"/>
              <w:rPr>
                <w:sz w:val="15"/>
                <w:szCs w:val="15"/>
                <w:color w:val="auto"/>
              </w:rPr>
            </w:pPr>
          </w:p>
        </w:tc>
        <w:tc>
          <w:tcPr>
            <w:tcW w:w="1320" w:type="dxa"/>
            <w:vAlign w:val="bottom"/>
            <w:gridSpan w:val="3"/>
          </w:tcPr>
          <w:p>
            <w:pPr>
              <w:jc w:val="right"/>
              <w:ind w:right="73"/>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220" w:type="dxa"/>
            <w:vAlign w:val="bottom"/>
          </w:tcPr>
          <w:p>
            <w:pPr>
              <w:spacing w:after="0"/>
              <w:rPr>
                <w:sz w:val="15"/>
                <w:szCs w:val="15"/>
                <w:color w:val="auto"/>
              </w:rPr>
            </w:pPr>
          </w:p>
        </w:tc>
        <w:tc>
          <w:tcPr>
            <w:tcW w:w="460" w:type="dxa"/>
            <w:vAlign w:val="bottom"/>
            <w:gridSpan w:val="3"/>
          </w:tcPr>
          <w:p>
            <w:pPr>
              <w:jc w:val="center"/>
              <w:ind w:left="293"/>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340" w:type="dxa"/>
            <w:vAlign w:val="bottom"/>
            <w:gridSpan w:val="2"/>
            <w:vMerge w:val="restart"/>
          </w:tcPr>
          <w:p>
            <w:pPr>
              <w:ind w:left="160"/>
              <w:spacing w:after="0"/>
              <w:rPr>
                <w:sz w:val="20"/>
                <w:szCs w:val="20"/>
                <w:color w:val="auto"/>
              </w:rPr>
            </w:pPr>
            <w:r>
              <w:rPr>
                <w:rFonts w:ascii="Arial" w:cs="Arial" w:eastAsia="Arial" w:hAnsi="Arial"/>
                <w:sz w:val="14"/>
                <w:szCs w:val="14"/>
                <w:color w:val="auto"/>
              </w:rPr>
              <w:t>Depreciation and amortization expense for the years ended December 31, 2013 and 2012 was $5,000 and $3,000, respectively.</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00" w:type="dxa"/>
            <w:vAlign w:val="bottom"/>
          </w:tcPr>
          <w:p>
            <w:pPr>
              <w:spacing w:after="0"/>
              <w:rPr>
                <w:sz w:val="24"/>
                <w:szCs w:val="24"/>
                <w:color w:val="auto"/>
              </w:rPr>
            </w:pPr>
          </w:p>
        </w:tc>
        <w:tc>
          <w:tcPr>
            <w:tcW w:w="83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5.</w:t>
            </w:r>
          </w:p>
        </w:tc>
        <w:tc>
          <w:tcPr>
            <w:tcW w:w="8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Accrued Expenses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8340" w:type="dxa"/>
            <w:vAlign w:val="bottom"/>
            <w:gridSpan w:val="2"/>
          </w:tcPr>
          <w:p>
            <w:pPr>
              <w:ind w:left="160"/>
              <w:spacing w:after="0"/>
              <w:rPr>
                <w:sz w:val="20"/>
                <w:szCs w:val="20"/>
                <w:color w:val="auto"/>
              </w:rPr>
            </w:pPr>
            <w:r>
              <w:rPr>
                <w:rFonts w:ascii="Arial" w:cs="Arial" w:eastAsia="Arial" w:hAnsi="Arial"/>
                <w:sz w:val="14"/>
                <w:szCs w:val="14"/>
                <w:color w:val="auto"/>
              </w:rPr>
              <w:t>Accrued expenses consist of the following at December 31:</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32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2013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jc w:val="center"/>
              <w:ind w:left="133"/>
              <w:spacing w:after="0"/>
              <w:rPr>
                <w:sz w:val="20"/>
                <w:szCs w:val="20"/>
                <w:color w:val="auto"/>
              </w:rPr>
            </w:pPr>
            <w:r>
              <w:rPr>
                <w:rFonts w:ascii="Arial" w:cs="Arial" w:eastAsia="Arial" w:hAnsi="Arial"/>
                <w:sz w:val="11"/>
                <w:szCs w:val="11"/>
                <w:b w:val="1"/>
                <w:bCs w:val="1"/>
                <w:color w:val="auto"/>
                <w:w w:val="89"/>
              </w:rPr>
              <w:t>2012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6"/>
          </w:tcPr>
          <w:p>
            <w:pPr>
              <w:ind w:left="120"/>
              <w:spacing w:after="0" w:line="113" w:lineRule="exact"/>
              <w:rPr>
                <w:sz w:val="20"/>
                <w:szCs w:val="20"/>
                <w:color w:val="auto"/>
              </w:rPr>
            </w:pPr>
            <w:r>
              <w:rPr>
                <w:rFonts w:ascii="Arial" w:cs="Arial" w:eastAsia="Arial" w:hAnsi="Arial"/>
                <w:sz w:val="11"/>
                <w:szCs w:val="11"/>
                <w:b w:val="1"/>
                <w:bCs w:val="1"/>
                <w:color w:val="auto"/>
              </w:rPr>
              <w:t>(in thousands)</w:t>
            </w:r>
          </w:p>
        </w:tc>
        <w:tc>
          <w:tcPr>
            <w:tcW w:w="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4"/>
                <w:szCs w:val="14"/>
                <w:color w:val="auto"/>
              </w:rPr>
              <w:t>Legal and accounting fees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109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4"/>
                <w:szCs w:val="14"/>
                <w:color w:val="auto"/>
              </w:rPr>
              <w:t>Accrued compensation</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4"/>
                <w:szCs w:val="14"/>
                <w:color w:val="auto"/>
              </w:rPr>
              <w:t>Severance agreement (Note 11)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$ 1,651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$ 1,161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60" w:hanging="451"/>
        <w:spacing w:after="0"/>
        <w:tabs>
          <w:tab w:leader="none" w:pos="46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Deficit</w:t>
      </w:r>
    </w:p>
    <w:p>
      <w:pPr>
        <w:spacing w:after="0" w:line="86" w:lineRule="exact"/>
        <w:rPr>
          <w:rFonts w:ascii="Arial" w:cs="Arial" w:eastAsia="Arial" w:hAnsi="Arial"/>
          <w:sz w:val="14"/>
          <w:szCs w:val="14"/>
          <w:b w:val="1"/>
          <w:bCs w:val="1"/>
          <w:color w:val="auto"/>
        </w:rPr>
      </w:pPr>
    </w:p>
    <w:p>
      <w:pPr>
        <w:ind w:left="460" w:right="20"/>
        <w:spacing w:after="0" w:line="311" w:lineRule="auto"/>
        <w:rPr>
          <w:rFonts w:ascii="Arial" w:cs="Arial" w:eastAsia="Arial" w:hAnsi="Arial"/>
          <w:sz w:val="14"/>
          <w:szCs w:val="14"/>
          <w:b w:val="1"/>
          <w:bCs w:val="1"/>
          <w:color w:val="auto"/>
        </w:rPr>
      </w:pPr>
      <w:r>
        <w:rPr>
          <w:rFonts w:ascii="Arial" w:cs="Arial" w:eastAsia="Arial" w:hAnsi="Arial"/>
          <w:sz w:val="13"/>
          <w:szCs w:val="13"/>
          <w:color w:val="auto"/>
        </w:rPr>
        <w:t>At December 31, 2013, the Company had 50,000,000 shares of common stock and 20,000,000 undesignated shares authorized. As of December 31, 2012, 5,000,000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and 11,999,000 remain undesignated.</w:t>
      </w:r>
    </w:p>
    <w:p>
      <w:pPr>
        <w:spacing w:after="0" w:line="83" w:lineRule="exact"/>
        <w:rPr>
          <w:rFonts w:ascii="Arial" w:cs="Arial" w:eastAsia="Arial" w:hAnsi="Arial"/>
          <w:sz w:val="14"/>
          <w:szCs w:val="14"/>
          <w:b w:val="1"/>
          <w:bCs w:val="1"/>
          <w:color w:val="auto"/>
        </w:rPr>
      </w:pPr>
    </w:p>
    <w:p>
      <w:pPr>
        <w:ind w:left="460" w:right="140"/>
        <w:spacing w:after="0" w:line="296" w:lineRule="auto"/>
        <w:rPr>
          <w:rFonts w:ascii="Arial" w:cs="Arial" w:eastAsia="Arial" w:hAnsi="Arial"/>
          <w:sz w:val="14"/>
          <w:szCs w:val="14"/>
          <w:b w:val="1"/>
          <w:bCs w:val="1"/>
          <w:color w:val="auto"/>
        </w:rPr>
      </w:pPr>
      <w:r>
        <w:rPr>
          <w:rFonts w:ascii="Arial" w:cs="Arial" w:eastAsia="Arial" w:hAnsi="Arial"/>
          <w:sz w:val="14"/>
          <w:szCs w:val="14"/>
          <w:color w:val="auto"/>
        </w:rPr>
        <w:t>The Company has raised capital through a number of debt and equity financing transactions. The following provides a description of the Company’s equity financings and certain warrants issued in connection with such equity financings.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2001 Private Placement</w:t>
      </w:r>
    </w:p>
    <w:p>
      <w:pPr>
        <w:spacing w:after="0" w:line="83" w:lineRule="exact"/>
        <w:rPr>
          <w:sz w:val="20"/>
          <w:szCs w:val="20"/>
          <w:color w:val="auto"/>
        </w:rPr>
      </w:pPr>
    </w:p>
    <w:p>
      <w:pPr>
        <w:ind w:left="460" w:right="520"/>
        <w:spacing w:after="0" w:line="296" w:lineRule="auto"/>
        <w:rPr>
          <w:sz w:val="20"/>
          <w:szCs w:val="20"/>
          <w:color w:val="auto"/>
        </w:rPr>
      </w:pPr>
      <w:r>
        <w:rPr>
          <w:rFonts w:ascii="Arial" w:cs="Arial" w:eastAsia="Arial" w:hAnsi="Arial"/>
          <w:sz w:val="14"/>
          <w:szCs w:val="14"/>
          <w:color w:val="auto"/>
        </w:rPr>
        <w:t>During 2001, the Company sold a total of 114,884 shares of common stock for proceeds of $2,221,000, net of $17,000 of issuance costs through a private placement of securities. In connection with this issuance, the Company issued 56,534 and 58,350 warrants to purchase common stock at $39.00 and $30.00 per share,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00"/>
          </w:cols>
          <w:pgMar w:left="220" w:top="403" w:right="27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respectively. The Company valued the warrants at $886,000, based on a fair market value of the Company’s common stock of $13.68 per share. These warrants expired unexercised in 2005.</w:t>
      </w:r>
    </w:p>
    <w:p>
      <w:pPr>
        <w:spacing w:after="0" w:line="161" w:lineRule="exact"/>
        <w:rPr>
          <w:sz w:val="20"/>
          <w:szCs w:val="20"/>
          <w:color w:val="auto"/>
        </w:rPr>
      </w:pPr>
    </w:p>
    <w:p>
      <w:pPr>
        <w:jc w:val="both"/>
        <w:ind w:left="460" w:right="80"/>
        <w:spacing w:after="0" w:line="302" w:lineRule="auto"/>
        <w:rPr>
          <w:sz w:val="20"/>
          <w:szCs w:val="20"/>
          <w:color w:val="auto"/>
        </w:rPr>
      </w:pPr>
      <w:r>
        <w:rPr>
          <w:rFonts w:ascii="Arial" w:cs="Arial" w:eastAsia="Arial" w:hAnsi="Arial"/>
          <w:sz w:val="13"/>
          <w:szCs w:val="13"/>
          <w:color w:val="auto"/>
        </w:rPr>
        <w:t>In August 2001, the Company offered warrants to holders of its outstanding convertible notes as an inducement to convert prior to the maturity of the notes. Holders representing $1,126,000 of the outstanding principal and accrued interest chose to convert at a conversion price of $12.00 per share and received 99,705 common shares and 93,801 warrants. These warrants have an exercise price of $39.00 per share and were immediately exercisable. The Company valued the warrants at $503,000 based on a fair market value of the Company’s common stock of $13.68 per share. The value of the warrants has been recorded as a debt conversion expense. These warrants expired unexercised in 2005.</w:t>
      </w:r>
    </w:p>
    <w:p>
      <w:pPr>
        <w:spacing w:after="0" w:line="90"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color w:val="auto"/>
        </w:rPr>
        <w:t>In 2002, the Company issued 18,334 warrants to the agents in connection with the 2001 offering. The warrants were exercisable immediately at an exercise price of $21.00 per share and have a 10 year life. The Company valued these warrants at $236,000 based on a deemed fair value of the Company’s common stock of $21.00 per share and recorded such value as interest expense in the statement of operations for the year ended December 31, 2002. These warrants expired unexercised in 2012.</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Public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December 13, 2001, the Company commenced a public offering of common stock, at a price to the public of $21.00 per share. The Company concluded the offering on June 30, 2002.</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During 2002, the Company sold 31,000 shares of common stock in this offering for proceeds of $602,000, net of $49,000 of issuance costs.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2002 Private Placement</w:t>
      </w:r>
    </w:p>
    <w:p>
      <w:pPr>
        <w:spacing w:after="0" w:line="83" w:lineRule="exact"/>
        <w:rPr>
          <w:sz w:val="20"/>
          <w:szCs w:val="20"/>
          <w:color w:val="auto"/>
        </w:rPr>
      </w:pPr>
    </w:p>
    <w:p>
      <w:pPr>
        <w:jc w:val="both"/>
        <w:ind w:left="460" w:right="280"/>
        <w:spacing w:after="0" w:line="275" w:lineRule="auto"/>
        <w:rPr>
          <w:sz w:val="20"/>
          <w:szCs w:val="20"/>
          <w:color w:val="auto"/>
        </w:rPr>
      </w:pPr>
      <w:r>
        <w:rPr>
          <w:rFonts w:ascii="Arial" w:cs="Arial" w:eastAsia="Arial" w:hAnsi="Arial"/>
          <w:sz w:val="14"/>
          <w:szCs w:val="14"/>
          <w:color w:val="auto"/>
        </w:rPr>
        <w:t>In September 2002, the Company began a private placement (the “2002 Private Placement”) of up to 1,666,667 shares of common stock at $6.00 per share. As of December 31, 2002, the Company had sold 537,227 shares for proceeds of $2,861,000, net of issuance costs of $212,000 and stock subscription receivable of $150,000, which related to shares purchased but for which payment had not been received as of December 31, 2002. This offering was closed on January 14, 2003, although subsequent to year end the Company sold an additional 181,334 shares for additional proceeds of $1,070,000, net of $18,000 of offering costs.</w:t>
      </w:r>
    </w:p>
    <w:p>
      <w:pPr>
        <w:spacing w:after="0" w:line="105" w:lineRule="exact"/>
        <w:rPr>
          <w:sz w:val="20"/>
          <w:szCs w:val="20"/>
          <w:color w:val="auto"/>
        </w:rPr>
      </w:pPr>
    </w:p>
    <w:p>
      <w:pPr>
        <w:ind w:left="460" w:right="20"/>
        <w:spacing w:after="0" w:line="272" w:lineRule="auto"/>
        <w:rPr>
          <w:sz w:val="20"/>
          <w:szCs w:val="20"/>
          <w:color w:val="auto"/>
        </w:rPr>
      </w:pPr>
      <w:r>
        <w:rPr>
          <w:rFonts w:ascii="Arial" w:cs="Arial" w:eastAsia="Arial" w:hAnsi="Arial"/>
          <w:sz w:val="14"/>
          <w:szCs w:val="14"/>
          <w:color w:val="auto"/>
        </w:rPr>
        <w:t>The Company compensated a registered investment adviser with respect to shares purchased by its clients. As of December 31, 2002, the adviser was entitled to receive 28,917 shares of common stock. The Company also agreed to compensate a finder registered under applicable law, and such finder’s agents, for identifying qualified investors. As of December 31, 2002, one of the finder’s agents was entitled to receive 125 shares of common stock. On January 14, 2003, the Company closed the 2002 Private Placement, at which point the Company agreed to issue the adviser an additional 417 shares, and the finder and its other agent an aggregate of 1,625 additional shares and $3,000 in cash in connection with the shares sold subsequent to December 31, 2002 and through the closing date.</w:t>
      </w:r>
    </w:p>
    <w:p>
      <w:pPr>
        <w:spacing w:after="0" w:line="108" w:lineRule="exact"/>
        <w:rPr>
          <w:sz w:val="20"/>
          <w:szCs w:val="20"/>
          <w:color w:val="auto"/>
        </w:rPr>
      </w:pPr>
    </w:p>
    <w:p>
      <w:pPr>
        <w:ind w:left="460" w:right="200"/>
        <w:spacing w:after="0" w:line="275" w:lineRule="auto"/>
        <w:rPr>
          <w:sz w:val="20"/>
          <w:szCs w:val="20"/>
          <w:color w:val="auto"/>
        </w:rPr>
      </w:pPr>
      <w:r>
        <w:rPr>
          <w:rFonts w:ascii="Arial" w:cs="Arial" w:eastAsia="Arial" w:hAnsi="Arial"/>
          <w:sz w:val="14"/>
          <w:szCs w:val="14"/>
          <w:color w:val="auto"/>
        </w:rPr>
        <w:t>Shares placed by such registered adviser, finder and finder’s agent were accounted for as offering costs and valued at $6.00 per share, consistent with the price paid for the shares placed in the offering. Such offering costs were netted against the proceeds of the 2002 Private Placement. Since none of the 29,042 shares had been issued as of December 31, 2002, the Company recorded the obligation to issue such shares as offering costs payable. The additional 2,042 shares issued in January 2003 were also valued at $6.00 per share and included in the $18,000 offering costs recorded at the closing. These shares were subsequently issued in 2003.</w:t>
      </w:r>
    </w:p>
    <w:p>
      <w:pPr>
        <w:spacing w:after="0" w:line="105" w:lineRule="exact"/>
        <w:rPr>
          <w:sz w:val="20"/>
          <w:szCs w:val="20"/>
          <w:color w:val="auto"/>
        </w:rPr>
      </w:pPr>
    </w:p>
    <w:p>
      <w:pPr>
        <w:ind w:left="460" w:right="20"/>
        <w:spacing w:after="0" w:line="296" w:lineRule="auto"/>
        <w:rPr>
          <w:sz w:val="20"/>
          <w:szCs w:val="20"/>
          <w:color w:val="auto"/>
        </w:rPr>
      </w:pPr>
      <w:r>
        <w:rPr>
          <w:rFonts w:ascii="Arial" w:cs="Arial" w:eastAsia="Arial" w:hAnsi="Arial"/>
          <w:sz w:val="14"/>
          <w:szCs w:val="14"/>
          <w:color w:val="auto"/>
        </w:rPr>
        <w:t>During 2002, the Company also agreed to issue 350 shares of common stock to an employee for finding investors in connection with the 2002 Private Placement. None of the shares had been issued as of December 31, 2002. These shares were subsequently issued in 2003. Accordingly, the Company recorded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60"/>
          </w:cols>
          <w:pgMar w:left="220" w:top="403" w:right="21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60"/>
        <w:spacing w:after="0" w:line="311" w:lineRule="auto"/>
        <w:rPr>
          <w:sz w:val="20"/>
          <w:szCs w:val="20"/>
          <w:color w:val="auto"/>
        </w:rPr>
      </w:pPr>
      <w:r>
        <w:rPr>
          <w:rFonts w:ascii="Arial" w:cs="Arial" w:eastAsia="Arial" w:hAnsi="Arial"/>
          <w:sz w:val="13"/>
          <w:szCs w:val="13"/>
          <w:color w:val="auto"/>
        </w:rPr>
        <w:t>the obligation to general and administrative expenses in the statement of operations in the amount of $6,000. On January 14, 2003, the Company closed the 2002 Private Placement, at which point the Company agreed to issue such employee an additional 1,167 shares in connection with shares sold subsequent to December 31, 2002 and through the closing date. The Company recorded an additional obligation of $27,000 to general and administrative expenses in 2003 representing the fair value of the additional 1,167 shares.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2002 Related Party Transaction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agreed to issue 4,226 shares of common stock as payment for 2002 scientific advisory services. These shares were issued in 2003.</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May 2003 Private Placement</w:t>
      </w:r>
    </w:p>
    <w:p>
      <w:pPr>
        <w:spacing w:after="0" w:line="83" w:lineRule="exact"/>
        <w:rPr>
          <w:sz w:val="20"/>
          <w:szCs w:val="20"/>
          <w:color w:val="auto"/>
        </w:rPr>
      </w:pPr>
    </w:p>
    <w:p>
      <w:pPr>
        <w:ind w:left="460" w:right="200"/>
        <w:spacing w:after="0" w:line="275" w:lineRule="auto"/>
        <w:rPr>
          <w:sz w:val="20"/>
          <w:szCs w:val="20"/>
          <w:color w:val="auto"/>
        </w:rPr>
      </w:pPr>
      <w:r>
        <w:rPr>
          <w:rFonts w:ascii="Arial" w:cs="Arial" w:eastAsia="Arial" w:hAnsi="Arial"/>
          <w:sz w:val="14"/>
          <w:szCs w:val="14"/>
          <w:color w:val="auto"/>
        </w:rPr>
        <w:t>In May 2003, the Company began a private placement of up to 416,667 shares of common stock at $12.00 per share. As of the closing on July 15, 2003, the Company had sold 399,917 shares of common stock for proceeds of $4,671,000, net of issuance costs of $128,000. In connection with this offering the Company issued 18,269 common stock warrants (exercisable at $32.40 per share) to its placement agents. The Company valued the warrants at $261,000 using the Black-Scholes pricing model and recorded the warrant value as offering costs with a corresponding increase to additional paid-in capital. These warrants expired unexercised in 2006.</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October 2003 “PIPE” Transaction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October 2, 2003 the Company closed a private offering, structured as a Private Investment, Public Equity (“PIPE”), exempt from registration under Section 4(2) of the Securities Act of</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1933, in which it sold to institutional investors 219,096 of the 238,096 offered shares of common stock at $21.00 per share for proceeds of $4,041,000, net of issuance costs of $559,000. In</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connection with this offering, the Company issued 109,549 warrants with an initial exercise price of $31.74 per share to the investors and 10,955 warrants with an initial exercise price of</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$41.16 per share to its placement agent. The exercise price of the warrants was subject to adjustment pursuant to anti-dilution and other provisions. The investor warrants and placement agent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Warrants were valued at $2,531,000 and $191,000, respectively, using the relative fair value, and allocated to additional paid-in-capital. The Company used the Black-Scholes pricing model</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to value these warrants. The warrants were originally accounted for as freestanding derivative instruments. The investor warrants expired unexercised in 2008 and the placement agent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warrants expired unexercised in 2007.</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April 2004 “PIPE” Transaction</w:t>
      </w:r>
    </w:p>
    <w:p>
      <w:pPr>
        <w:spacing w:after="0" w:line="83" w:lineRule="exact"/>
        <w:rPr>
          <w:sz w:val="20"/>
          <w:szCs w:val="20"/>
          <w:color w:val="auto"/>
        </w:rPr>
      </w:pPr>
    </w:p>
    <w:p>
      <w:pPr>
        <w:ind w:left="460" w:right="100"/>
        <w:spacing w:after="0" w:line="270" w:lineRule="auto"/>
        <w:rPr>
          <w:sz w:val="20"/>
          <w:szCs w:val="20"/>
          <w:color w:val="auto"/>
        </w:rPr>
      </w:pPr>
      <w:r>
        <w:rPr>
          <w:rFonts w:ascii="Arial" w:cs="Arial" w:eastAsia="Arial" w:hAnsi="Arial"/>
          <w:sz w:val="14"/>
          <w:szCs w:val="14"/>
          <w:color w:val="auto"/>
        </w:rPr>
        <w:t>On April 7, 2004, the Company closed a private equity offering, structured as a “PIPE” in which it sold to certain institutional investors 206,019 shares of common stock at $21.60 per share for proceeds of $3,983,000, net of cash issuance costs of $466,000. In connection with this offering, the Company issued 103,010 warrants to investors and 10,301 warrants to a placement agent with an initial exercise price of $31.80 per share. The exercise price of the warrants was subject to adjustment pursuant to anti-dilution and other provisions. The investor warrants and the placement agent warrants were valued at $1,931,000 and $154,000, respectively, using the relative fair value, and allocated to additional paid-in-capital. The Company used the Black-Scholes pricing model to value these warrants. The warrants were originally accounted for as freestanding derivative instruments. The investor warrants expired unexercised in 2009 and the placement agent warrants expired unexercised in 2007.</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August 2004 “PIPE” Transaction</w:t>
      </w:r>
    </w:p>
    <w:p>
      <w:pPr>
        <w:spacing w:after="0" w:line="83" w:lineRule="exact"/>
        <w:rPr>
          <w:sz w:val="20"/>
          <w:szCs w:val="20"/>
          <w:color w:val="auto"/>
        </w:rPr>
      </w:pPr>
    </w:p>
    <w:p>
      <w:pPr>
        <w:ind w:left="460" w:right="120"/>
        <w:spacing w:after="0" w:line="296" w:lineRule="auto"/>
        <w:rPr>
          <w:sz w:val="20"/>
          <w:szCs w:val="20"/>
          <w:color w:val="auto"/>
        </w:rPr>
      </w:pPr>
      <w:r>
        <w:rPr>
          <w:rFonts w:ascii="Arial" w:cs="Arial" w:eastAsia="Arial" w:hAnsi="Arial"/>
          <w:sz w:val="14"/>
          <w:szCs w:val="14"/>
          <w:color w:val="auto"/>
        </w:rPr>
        <w:t>On August 12, 2004, the Company closed a private offering, structured as a “PIPE” in which it sold to certain institutional investors 333,334 shares of common stock at $18.00 per share for proceeds of</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403"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302" w:lineRule="auto"/>
        <w:rPr>
          <w:sz w:val="20"/>
          <w:szCs w:val="20"/>
          <w:color w:val="auto"/>
        </w:rPr>
      </w:pPr>
      <w:r>
        <w:rPr>
          <w:rFonts w:ascii="Arial" w:cs="Arial" w:eastAsia="Arial" w:hAnsi="Arial"/>
          <w:sz w:val="13"/>
          <w:szCs w:val="13"/>
          <w:color w:val="auto"/>
        </w:rPr>
        <w:t>$5,515,000, net of cash issuance costs of $485,000. In connection with this offering the Company issued 333,334 warrants to the investors and 16,667 warrants to the placement agent with an exercise price of $4.20 per share. The exercise price of the warrants was subject to adjustment solely as a result of stock splits, recapitalizations and similar events. The investor warrants and placement agent warrants were valued at $4,786,000 and $239,000, respectively, and allocated to additional paid-in-capital. The Company used the Black-Scholes pricing model to value these warrants. The warrants were originally accounted for as freestanding derivative instruments. These warrants expired unexercised in 2009.</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February 25, 2008 Offering</w:t>
      </w:r>
    </w:p>
    <w:p>
      <w:pPr>
        <w:spacing w:after="0" w:line="83" w:lineRule="exact"/>
        <w:rPr>
          <w:sz w:val="20"/>
          <w:szCs w:val="20"/>
          <w:color w:val="auto"/>
        </w:rPr>
      </w:pPr>
    </w:p>
    <w:p>
      <w:pPr>
        <w:ind w:left="460" w:right="100"/>
        <w:spacing w:after="0" w:line="295" w:lineRule="auto"/>
        <w:rPr>
          <w:sz w:val="20"/>
          <w:szCs w:val="20"/>
          <w:color w:val="auto"/>
        </w:rPr>
      </w:pPr>
      <w:r>
        <w:rPr>
          <w:rFonts w:ascii="Arial" w:cs="Arial" w:eastAsia="Arial" w:hAnsi="Arial"/>
          <w:sz w:val="13"/>
          <w:szCs w:val="13"/>
          <w:color w:val="auto"/>
        </w:rPr>
        <w:t>On February 25, 2008, the Company closed an offering in which it sold to investors (i) an aggregate of 1,250,000 shares of the Company’s common stock at $3.00 per share, (ii) warrants, which expire on August 25, 2013, to purchase an aggregate of 1,250,000 share of the Company’s common stock at an exercise price of $3.50 per share, and (iii) warrants, which expired on December 26, 2008, to purchase an aggregate of 500,000 shares of the Company’s common stock at an exercise price of $3.78 per share. In addition, the Company issued to a placement agent warrants, which expire on August 25, 2013, to purchase 34,375 shares of the Company’s common stock at an exercise price of $4.20 per share. The warrants are exercisable beginning on August 25, 2008. The warrants provide for cashless exercise if at any time during the term of the warrants if there is no effective registration statement for the issuance or resale of the underlying warrant shares. The exercise price of each warrant is adjustable in the event of a stock split or stock combination, capital reorganization, merger or similar event.</w:t>
      </w:r>
    </w:p>
    <w:p>
      <w:pPr>
        <w:spacing w:after="0" w:line="95" w:lineRule="exact"/>
        <w:rPr>
          <w:sz w:val="20"/>
          <w:szCs w:val="20"/>
          <w:color w:val="auto"/>
        </w:rPr>
      </w:pPr>
    </w:p>
    <w:p>
      <w:pPr>
        <w:ind w:left="460"/>
        <w:spacing w:after="0" w:line="290" w:lineRule="auto"/>
        <w:rPr>
          <w:sz w:val="20"/>
          <w:szCs w:val="20"/>
          <w:color w:val="auto"/>
        </w:rPr>
      </w:pPr>
      <w:r>
        <w:rPr>
          <w:rFonts w:ascii="Arial" w:cs="Arial" w:eastAsia="Arial" w:hAnsi="Arial"/>
          <w:sz w:val="13"/>
          <w:szCs w:val="13"/>
          <w:color w:val="auto"/>
        </w:rPr>
        <w:t>The Company received proceeds of $3,381,000, net of cash transaction costs of $369,000. In addition the Company incurred $56,000 of costs for warrants issued to a placement agent. Proceeds of $1,044,000 were allocated to common stock and $2,281,000 were allocated to investor warrants using the Black-Scholes method with a fair market value of the Company’s common stock of $2.40 and the following assumptions as of February 25, 2008: for the 5 year warrants exercisable at $4.20 per share, a risk-free interest rate of 2.94% and volatility of 95% and for the 4 month warrants exercisable at $3.78 per share, a risk-free interest rate of 2.13% and volatility of 95%. The warrants were determined to have the characteristics of derivative liabilities and were originally accounted for as liabilities prior to the Company increasing the authorized number of shares. Changes in fair value were recognized as either a gain or loss in the consolidated statement of operations. In the second quarter of 2008 the warrants were reclassified to equity. Through May 21, 2008, these warrants were marked to market resulting in a reduction in warrant liabilities in the balance sheet and an offsetting credit to change in fair value of warrant liabilities in the statement of operations in the amount of $356,000. The remaining fair value of $2,160,000 was credited to additional paid-in capital in the balance sheet. On December 26, 2008 the 500,000 warrants exercisable at $3.78 expired unexercised. If the Company pays a stock dividend or makes a distribution or combines shares of its common stock, then the number of shares issuable upon exercise of this warrant shall be proportionately adjusted such that the aggregate exercise price of this warrant remains unchanged.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Cork Investments</w:t>
      </w:r>
    </w:p>
    <w:p>
      <w:pPr>
        <w:spacing w:after="0" w:line="83" w:lineRule="exact"/>
        <w:rPr>
          <w:sz w:val="20"/>
          <w:szCs w:val="20"/>
          <w:color w:val="auto"/>
        </w:rPr>
      </w:pPr>
    </w:p>
    <w:p>
      <w:pPr>
        <w:ind w:left="460" w:right="60"/>
        <w:spacing w:after="0" w:line="296" w:lineRule="auto"/>
        <w:rPr>
          <w:sz w:val="20"/>
          <w:szCs w:val="20"/>
          <w:color w:val="auto"/>
        </w:rPr>
      </w:pPr>
      <w:r>
        <w:rPr>
          <w:rFonts w:ascii="Arial" w:cs="Arial" w:eastAsia="Arial" w:hAnsi="Arial"/>
          <w:sz w:val="14"/>
          <w:szCs w:val="14"/>
          <w:color w:val="auto"/>
        </w:rPr>
        <w:t>On July 2, 2008, the Company issued 50,000 warrants to Cork Investments in exchange for $20,000. The warrants were exercisable for common stock at $6.00 per share for a period of three years and expired unexercised in 2011. The $20,000 was credited to additional paid in capital.</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2012 Offering of Units</w:t>
      </w:r>
    </w:p>
    <w:p>
      <w:pPr>
        <w:spacing w:after="0" w:line="83" w:lineRule="exact"/>
        <w:rPr>
          <w:sz w:val="20"/>
          <w:szCs w:val="20"/>
          <w:color w:val="auto"/>
        </w:rPr>
      </w:pPr>
    </w:p>
    <w:p>
      <w:pPr>
        <w:ind w:left="460" w:right="60"/>
        <w:spacing w:after="0" w:line="280" w:lineRule="auto"/>
        <w:rPr>
          <w:sz w:val="20"/>
          <w:szCs w:val="20"/>
          <w:color w:val="auto"/>
        </w:rPr>
      </w:pPr>
      <w:r>
        <w:rPr>
          <w:rFonts w:ascii="Arial" w:cs="Arial" w:eastAsia="Arial" w:hAnsi="Arial"/>
          <w:sz w:val="14"/>
          <w:szCs w:val="14"/>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60"/>
          </w:cols>
          <w:pgMar w:left="220" w:top="403" w:right="2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340"/>
        <w:spacing w:after="0" w:line="296" w:lineRule="auto"/>
        <w:rPr>
          <w:sz w:val="20"/>
          <w:szCs w:val="20"/>
          <w:color w:val="auto"/>
        </w:rPr>
      </w:pPr>
      <w:r>
        <w:rPr>
          <w:rFonts w:ascii="Arial" w:cs="Arial" w:eastAsia="Arial" w:hAnsi="Arial"/>
          <w:sz w:val="14"/>
          <w:szCs w:val="14"/>
          <w:color w:val="auto"/>
        </w:rPr>
        <w:t>allotments, which they exercised on March 26, 2012. The public offering price for each Unit was $9.00. Each warrant has an initial exercise price of $5.63 per share, is exercisable upon separation of the Units and expires on March 28, 2017.</w:t>
      </w:r>
    </w:p>
    <w:p>
      <w:pPr>
        <w:spacing w:after="0" w:line="91" w:lineRule="exact"/>
        <w:rPr>
          <w:sz w:val="20"/>
          <w:szCs w:val="20"/>
          <w:color w:val="auto"/>
        </w:rPr>
      </w:pPr>
    </w:p>
    <w:p>
      <w:pPr>
        <w:ind w:left="460" w:right="80"/>
        <w:spacing w:after="0" w:line="272" w:lineRule="auto"/>
        <w:rPr>
          <w:sz w:val="20"/>
          <w:szCs w:val="20"/>
          <w:color w:val="auto"/>
        </w:rPr>
      </w:pPr>
      <w:r>
        <w:rPr>
          <w:rFonts w:ascii="Arial" w:cs="Arial" w:eastAsia="Arial" w:hAnsi="Arial"/>
          <w:sz w:val="14"/>
          <w:szCs w:val="14"/>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108" w:lineRule="exact"/>
        <w:rPr>
          <w:sz w:val="20"/>
          <w:szCs w:val="20"/>
          <w:color w:val="auto"/>
        </w:rPr>
      </w:pPr>
    </w:p>
    <w:p>
      <w:pPr>
        <w:ind w:left="460"/>
        <w:spacing w:after="0" w:line="297" w:lineRule="auto"/>
        <w:rPr>
          <w:sz w:val="20"/>
          <w:szCs w:val="20"/>
          <w:color w:val="auto"/>
        </w:rPr>
      </w:pPr>
      <w:r>
        <w:rPr>
          <w:rFonts w:ascii="Arial" w:cs="Arial" w:eastAsia="Arial" w:hAnsi="Arial"/>
          <w:sz w:val="13"/>
          <w:szCs w:val="13"/>
          <w:color w:val="auto"/>
        </w:rPr>
        <w:t>On March 28, 2012, in connection with the underwritten financing as described above, the Company issued a total of 46,378 common stock purchase warrants to the underwriters. These warrants expire May 2, 2016, have an exercise price of $5.63 per share, and are exercisable beginning one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 — Contracts in Entity’s Own Equity”, the Company has determined that these warrants issued in connection with this financing transaction were not derivative liabilities and therefore, were recorded as additional paid-in capital.</w:t>
      </w:r>
    </w:p>
    <w:p>
      <w:pPr>
        <w:spacing w:after="0" w:line="95" w:lineRule="exact"/>
        <w:rPr>
          <w:sz w:val="20"/>
          <w:szCs w:val="20"/>
          <w:color w:val="auto"/>
        </w:rPr>
      </w:pPr>
    </w:p>
    <w:p>
      <w:pPr>
        <w:ind w:left="460" w:right="20"/>
        <w:spacing w:after="0" w:line="337" w:lineRule="auto"/>
        <w:rPr>
          <w:sz w:val="20"/>
          <w:szCs w:val="20"/>
          <w:color w:val="auto"/>
        </w:rPr>
      </w:pPr>
      <w:r>
        <w:rPr>
          <w:rFonts w:ascii="Arial" w:cs="Arial" w:eastAsia="Arial" w:hAnsi="Arial"/>
          <w:sz w:val="13"/>
          <w:szCs w:val="13"/>
          <w:color w:val="auto"/>
        </w:rPr>
        <w:t>Effective as of March 23, 2012, and in connection with the pricing of the offering of Units, the Company effected a one-for-six reverse split of its Common Stock. Per the terms of the reverse split, all fractional shares were rounded up. Based on the effective split date of March 23, 2012, the Company issued 3,324 shares of common stock to cover fractional shares.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2013 Private Placement of Common Stock</w:t>
      </w:r>
    </w:p>
    <w:p>
      <w:pPr>
        <w:spacing w:after="0" w:line="83" w:lineRule="exact"/>
        <w:rPr>
          <w:sz w:val="20"/>
          <w:szCs w:val="20"/>
          <w:color w:val="auto"/>
        </w:rPr>
      </w:pPr>
    </w:p>
    <w:p>
      <w:pPr>
        <w:ind w:left="460" w:right="260"/>
        <w:spacing w:after="0" w:line="296" w:lineRule="auto"/>
        <w:rPr>
          <w:sz w:val="20"/>
          <w:szCs w:val="20"/>
          <w:color w:val="auto"/>
        </w:rPr>
      </w:pPr>
      <w:r>
        <w:rPr>
          <w:rFonts w:ascii="Arial" w:cs="Arial" w:eastAsia="Arial" w:hAnsi="Arial"/>
          <w:sz w:val="14"/>
          <w:szCs w:val="14"/>
          <w:color w:val="auto"/>
        </w:rPr>
        <w:t>On August 16, 2013, the Company issued 500,000 unregistered shares of its common stock for proceeds of $3,000,000 to a single investor pursuant to a private placement. There were no warrants or placement fees associated with this transaction.</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2013 At Market Issuance of Common Stock</w:t>
      </w:r>
    </w:p>
    <w:p>
      <w:pPr>
        <w:spacing w:after="0" w:line="83" w:lineRule="exact"/>
        <w:rPr>
          <w:sz w:val="20"/>
          <w:szCs w:val="20"/>
          <w:color w:val="auto"/>
        </w:rPr>
      </w:pPr>
    </w:p>
    <w:p>
      <w:pPr>
        <w:ind w:left="460"/>
        <w:spacing w:after="0" w:line="293" w:lineRule="auto"/>
        <w:rPr>
          <w:sz w:val="20"/>
          <w:szCs w:val="20"/>
          <w:color w:val="auto"/>
        </w:rPr>
      </w:pPr>
      <w:r>
        <w:rPr>
          <w:rFonts w:ascii="Arial" w:cs="Arial" w:eastAsia="Arial" w:hAnsi="Arial"/>
          <w:sz w:val="13"/>
          <w:szCs w:val="13"/>
          <w:color w:val="auto"/>
        </w:rPr>
        <w:t>On October 25, 2013, the Company entered into an At Market Issuance Sales Agreement (the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At Market Agreement. As of December 31, 2013, the Company had issued 99,942 shares of its common stock through its At Market issuance program at an average price of $9.02 per share resulting in gross proceeds of approximately $944,000. The Company incurred one time, initial legal and accounting costs of approximately $82,000 and commissions of $29,000 resulting in net proceeds of $833,000 as of December 31, 2013. In January and February 2014, the Company issued 2,663,647 shares of common stock for net proceeds of approximately $28,178,000 which completed the At Market Agreement.</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Series A 12% Convertible Preferred Stock — February 4, 2008 Private Placement</w:t>
      </w:r>
    </w:p>
    <w:p>
      <w:pPr>
        <w:spacing w:after="0" w:line="83" w:lineRule="exact"/>
        <w:rPr>
          <w:sz w:val="20"/>
          <w:szCs w:val="20"/>
          <w:color w:val="auto"/>
        </w:rPr>
      </w:pPr>
    </w:p>
    <w:p>
      <w:pPr>
        <w:ind w:left="460" w:right="120"/>
        <w:spacing w:after="0" w:line="296" w:lineRule="auto"/>
        <w:rPr>
          <w:sz w:val="20"/>
          <w:szCs w:val="20"/>
          <w:color w:val="auto"/>
        </w:rPr>
      </w:pPr>
      <w:r>
        <w:rPr>
          <w:rFonts w:ascii="Arial" w:cs="Arial" w:eastAsia="Arial" w:hAnsi="Arial"/>
          <w:sz w:val="14"/>
          <w:szCs w:val="14"/>
          <w:color w:val="auto"/>
        </w:rPr>
        <w:t>On February 4, 2008, the Company closed a private placement begun in October 2007 of its Series A 12% Convertible Preferred Stock (“Series A”) and related warrants. In this transaction, the Company sold units of</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60"/>
          </w:cols>
          <w:pgMar w:left="220" w:top="403" w:right="2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72" w:lineRule="auto"/>
        <w:rPr>
          <w:sz w:val="20"/>
          <w:szCs w:val="20"/>
          <w:color w:val="auto"/>
        </w:rPr>
      </w:pPr>
      <w:r>
        <w:rPr>
          <w:rFonts w:ascii="Arial" w:cs="Arial" w:eastAsia="Arial" w:hAnsi="Arial"/>
          <w:sz w:val="14"/>
          <w:szCs w:val="14"/>
          <w:color w:val="auto"/>
        </w:rPr>
        <w:t>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08" w:lineRule="exact"/>
        <w:rPr>
          <w:sz w:val="20"/>
          <w:szCs w:val="20"/>
          <w:color w:val="auto"/>
        </w:rPr>
      </w:pPr>
    </w:p>
    <w:p>
      <w:pPr>
        <w:ind w:left="460" w:right="20"/>
        <w:spacing w:after="0" w:line="272" w:lineRule="auto"/>
        <w:rPr>
          <w:sz w:val="20"/>
          <w:szCs w:val="20"/>
          <w:color w:val="auto"/>
        </w:rPr>
      </w:pPr>
      <w:r>
        <w:rPr>
          <w:rFonts w:ascii="Arial" w:cs="Arial" w:eastAsia="Arial" w:hAnsi="Arial"/>
          <w:sz w:val="14"/>
          <w:szCs w:val="14"/>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08" w:lineRule="exact"/>
        <w:rPr>
          <w:sz w:val="20"/>
          <w:szCs w:val="20"/>
          <w:color w:val="auto"/>
        </w:rPr>
      </w:pPr>
    </w:p>
    <w:p>
      <w:pPr>
        <w:ind w:left="460"/>
        <w:spacing w:after="0" w:line="290" w:lineRule="auto"/>
        <w:rPr>
          <w:sz w:val="20"/>
          <w:szCs w:val="20"/>
          <w:color w:val="auto"/>
        </w:rPr>
      </w:pPr>
      <w:r>
        <w:rPr>
          <w:rFonts w:ascii="Arial" w:cs="Arial" w:eastAsia="Arial" w:hAnsi="Arial"/>
          <w:sz w:val="13"/>
          <w:szCs w:val="13"/>
          <w:color w:val="auto"/>
        </w:rPr>
        <w:t>As of December 31, 2007, the Company had received subscription advances of $1,667,500 for Series A. In 2008, the Company received additional subscription advances of $75,000 resulting in total gross proceeds of $1,742,500. On February 4, 2008 the Company closed the private placement. The Company incurred $52,000 of cash transaction costs resulting in net cash proceeds of $1,691,000. In addition, the Company incurred $3,000 of costs for 1,400 warrants exercisable at $9.00 issued to placement agents. Proceeds of $984,000 were allocated to investor warrants using the Black-Scholes method with the following assumptions as of February 4, 2008: risk free interest rate 2.51%, volatility 95%, fair market value of the company’s common stock on February 4, 2008, and the share price on the closing date of the transaction of $3.54. The warrants were originally accounted for as freestanding derivative instruments in the consolidated balance sheet formerly under the caption “Warrant Liabilities”. These warrants were originally classified as a liability because the February 2006 warrants contain an anti-dilution provision in the event of a subsequent dilutive issuance and the potential number of shares issuable exceeded the Company’s authorized shares. Changes in fair value were recognized as either a gain or loss in the consolidated statement of operations under the caption “Change in fair value of warrant liabilities”. In the second quarter of 2008, the warrants were reclassified to equity as a result of an amendment to the Company’s articles of incorporation approved at the May 21, 2008 annual meeting of shareholders increasing the Company’s authorized common. Through May 21, 2008, these warrants were marked to market resulting in a reduction in warrant liabilities in the balance sheet and an offsetting credit to change in fair value of warrant liabilities in the statement of operations in the amount of $100,000. The remaining fair value of $502,000 was credited to additional paid-in capital in the balance sheet.</w:t>
      </w:r>
    </w:p>
    <w:p>
      <w:pPr>
        <w:spacing w:after="0" w:line="97" w:lineRule="exact"/>
        <w:rPr>
          <w:sz w:val="20"/>
          <w:szCs w:val="20"/>
          <w:color w:val="auto"/>
        </w:rPr>
      </w:pPr>
    </w:p>
    <w:p>
      <w:pPr>
        <w:ind w:left="460" w:right="500"/>
        <w:spacing w:after="0" w:line="296" w:lineRule="auto"/>
        <w:rPr>
          <w:sz w:val="20"/>
          <w:szCs w:val="20"/>
          <w:color w:val="auto"/>
        </w:rPr>
      </w:pPr>
      <w:r>
        <w:rPr>
          <w:rFonts w:ascii="Arial" w:cs="Arial" w:eastAsia="Arial" w:hAnsi="Arial"/>
          <w:sz w:val="14"/>
          <w:szCs w:val="14"/>
          <w:color w:val="auto"/>
        </w:rPr>
        <w:t>In 2013, 110,000 shares of Series A were converted into 18,387 shares of common stock. Prior to 2013, a total of 180,000 shares of Series A had been converted into 30,000 shares of common stock.</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Series B Redeemable Convertible Preferred Stock</w:t>
      </w:r>
    </w:p>
    <w:p>
      <w:pPr>
        <w:spacing w:after="0" w:line="83" w:lineRule="exact"/>
        <w:rPr>
          <w:sz w:val="20"/>
          <w:szCs w:val="20"/>
          <w:color w:val="auto"/>
        </w:rPr>
      </w:pPr>
    </w:p>
    <w:p>
      <w:pPr>
        <w:ind w:left="460" w:right="140"/>
        <w:spacing w:after="0" w:line="280" w:lineRule="auto"/>
        <w:rPr>
          <w:sz w:val="20"/>
          <w:szCs w:val="20"/>
          <w:color w:val="auto"/>
        </w:rPr>
      </w:pPr>
      <w:r>
        <w:rPr>
          <w:rFonts w:ascii="Arial" w:cs="Arial" w:eastAsia="Arial" w:hAnsi="Arial"/>
          <w:sz w:val="14"/>
          <w:szCs w:val="14"/>
          <w:color w:val="auto"/>
        </w:rPr>
        <w:t>On February 12, 2009, the Company entered into a securities purchase agreement (the “10X Agreement”) pursuant to which it agreed to issue and sell to 10X Fund LP, at two or more closings, up to: (i) 3,000,000 shares its Series B convertible preferred stock (“Series B redeemable convertible preferred stock” or “Series B”) with an aggregate stated value of $6.0 million and convertible into 2,000,000 shares of common stock at December 31, 2011 and (ii) warrants to purchase 6,000,000 shares of common stock.</w:t>
      </w:r>
    </w:p>
    <w:p>
      <w:pPr>
        <w:spacing w:after="0" w:line="102" w:lineRule="exact"/>
        <w:rPr>
          <w:sz w:val="20"/>
          <w:szCs w:val="20"/>
          <w:color w:val="auto"/>
        </w:rPr>
      </w:pPr>
    </w:p>
    <w:p>
      <w:pPr>
        <w:ind w:left="460" w:right="280"/>
        <w:spacing w:after="0" w:line="296" w:lineRule="auto"/>
        <w:rPr>
          <w:sz w:val="20"/>
          <w:szCs w:val="20"/>
          <w:color w:val="auto"/>
        </w:rPr>
      </w:pPr>
      <w:r>
        <w:rPr>
          <w:rFonts w:ascii="Arial" w:cs="Arial" w:eastAsia="Arial" w:hAnsi="Arial"/>
          <w:sz w:val="14"/>
          <w:szCs w:val="14"/>
          <w:color w:val="auto"/>
        </w:rPr>
        <w:t>Through a series of closings from February 2009 through May 2010, the Company issued and sold, pursuant to the 10X Agreement, a total of (i) 900,000 shares of Series B-1 convertible preferred stock (“Series B-1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60"/>
          </w:cols>
          <w:pgMar w:left="220" w:top="403"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40"/>
        <w:spacing w:after="0" w:line="302" w:lineRule="auto"/>
        <w:rPr>
          <w:sz w:val="20"/>
          <w:szCs w:val="20"/>
          <w:color w:val="auto"/>
        </w:rPr>
      </w:pPr>
      <w:r>
        <w:rPr>
          <w:rFonts w:ascii="Arial" w:cs="Arial" w:eastAsia="Arial" w:hAnsi="Arial"/>
          <w:sz w:val="13"/>
          <w:szCs w:val="13"/>
          <w:color w:val="auto"/>
        </w:rPr>
        <w:t>redeemable convertible preferred stock” or “Series B-1”) and related common stock warrants for 1,800,000 shares of common stock and (ii) 2,100,000 shares of Series B-2 convertible preferred stock (“Series B-2 redeemable convertible preferred stock” or “Series B-2”) and related warrants for 4,200,000 shares of common stock. During 2010, the Company received total net cash proceeds of $1,463,000 from the issuance of 770,000 shares of Series B-2 and related warrants. During 2009, the Company received total net cash proceeds of $1,548,000 from the issuance of 900,000 shares of Series B-1 and related warrants and $2,472,000 from the issuance of 1,330,000 shares of Series B-2 and related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Series B closings were as follows:</w:t>
      </w:r>
    </w:p>
    <w:p>
      <w:pPr>
        <w:spacing w:after="0" w:line="149" w:lineRule="exact"/>
        <w:rPr>
          <w:sz w:val="20"/>
          <w:szCs w:val="20"/>
          <w:color w:val="auto"/>
        </w:rPr>
      </w:pPr>
    </w:p>
    <w:p>
      <w:pPr>
        <w:ind w:left="460"/>
        <w:spacing w:after="0" w:line="275" w:lineRule="auto"/>
        <w:rPr>
          <w:sz w:val="20"/>
          <w:szCs w:val="20"/>
          <w:color w:val="auto"/>
        </w:rPr>
      </w:pPr>
      <w:r>
        <w:rPr>
          <w:rFonts w:ascii="Arial" w:cs="Arial" w:eastAsia="Arial" w:hAnsi="Arial"/>
          <w:sz w:val="14"/>
          <w:szCs w:val="14"/>
          <w:color w:val="auto"/>
        </w:rPr>
        <w:t>On February 12, 2009, the Company issued and sold, pursuant to the 10X Agreement: (i) 900,000 shares of Series B-1 convertible preferred stock (“Series B-1 redeemable convertible preferred stock” or “Series B-1”) convertible into 600,000 shares of common stock; (ii) Class A-1 warrants exercisable to purchase 300,000 shares of common stock; (iii) Class A-2 warrants exercisable to purchase 300,000 shares of common stock; and (iv) Class B warrants exercisable to purchase 1,200,000 shares of common stock. Net proceeds from the closing were $1,548,000.</w:t>
      </w:r>
    </w:p>
    <w:p>
      <w:pPr>
        <w:spacing w:after="0" w:line="105" w:lineRule="exact"/>
        <w:rPr>
          <w:sz w:val="20"/>
          <w:szCs w:val="20"/>
          <w:color w:val="auto"/>
        </w:rPr>
      </w:pPr>
    </w:p>
    <w:p>
      <w:pPr>
        <w:ind w:left="460" w:right="40"/>
        <w:spacing w:after="0" w:line="347" w:lineRule="auto"/>
        <w:rPr>
          <w:sz w:val="20"/>
          <w:szCs w:val="20"/>
          <w:color w:val="auto"/>
        </w:rPr>
      </w:pPr>
      <w:r>
        <w:rPr>
          <w:rFonts w:ascii="Arial" w:cs="Arial" w:eastAsia="Arial" w:hAnsi="Arial"/>
          <w:sz w:val="12"/>
          <w:szCs w:val="12"/>
          <w:color w:val="auto"/>
        </w:rPr>
        <w:t>On May 13, 2009, the Company issued and sold, pursuant to the 10X Agreement: (i) 450,000 shares of Series B-2 convertible preferred stock (“Series B-2 redeemable convertible preferred stock” or “Series B-2”) convertible into 300,000 shares of common stock; (ii) Class A-1 warrants exercisable to purchase 150,000 shares of common stock; (iii) Class A-2 warrants exercisable to purchase 150,000 shares of common stock; and (iv) Class B warrants exercisable to purchase 600,000 shares of common stock. Net proceeds from the closing were $801,000.</w:t>
      </w:r>
    </w:p>
    <w:p>
      <w:pPr>
        <w:spacing w:after="0" w:line="67" w:lineRule="exact"/>
        <w:rPr>
          <w:sz w:val="20"/>
          <w:szCs w:val="20"/>
          <w:color w:val="auto"/>
        </w:rPr>
      </w:pPr>
    </w:p>
    <w:p>
      <w:pPr>
        <w:jc w:val="both"/>
        <w:ind w:left="460" w:right="80"/>
        <w:spacing w:after="0" w:line="280" w:lineRule="auto"/>
        <w:rPr>
          <w:sz w:val="20"/>
          <w:szCs w:val="20"/>
          <w:color w:val="auto"/>
        </w:rPr>
      </w:pPr>
      <w:r>
        <w:rPr>
          <w:rFonts w:ascii="Arial" w:cs="Arial" w:eastAsia="Arial" w:hAnsi="Arial"/>
          <w:sz w:val="14"/>
          <w:szCs w:val="14"/>
          <w:color w:val="auto"/>
        </w:rPr>
        <w:t>On June 30, 2009, the Company issued and sold, pursuant to the 10X Agreement: (i) 250,000 shares of Series B-2 convertible into 166,666 shares of common stock; (ii) Class A-1 warrants exercisable to purchase 83,333 shares of common stock; (iii) Class A-2 warrants exercisable to purchase 83,333 shares of common stock; and (iv) Class B warrants exercisable to purchase 333,333 shares of common stock. Net proceeds from the closing were $473,000.</w:t>
      </w:r>
    </w:p>
    <w:p>
      <w:pPr>
        <w:spacing w:after="0" w:line="102" w:lineRule="exact"/>
        <w:rPr>
          <w:sz w:val="20"/>
          <w:szCs w:val="20"/>
          <w:color w:val="auto"/>
        </w:rPr>
      </w:pPr>
    </w:p>
    <w:p>
      <w:pPr>
        <w:ind w:left="460" w:right="120"/>
        <w:spacing w:after="0" w:line="280" w:lineRule="auto"/>
        <w:rPr>
          <w:sz w:val="20"/>
          <w:szCs w:val="20"/>
          <w:color w:val="auto"/>
        </w:rPr>
      </w:pPr>
      <w:r>
        <w:rPr>
          <w:rFonts w:ascii="Arial" w:cs="Arial" w:eastAsia="Arial" w:hAnsi="Arial"/>
          <w:sz w:val="14"/>
          <w:szCs w:val="14"/>
          <w:color w:val="auto"/>
        </w:rPr>
        <w:t>On August 12, 2009, the Company issued and sold, pursuant to the 10X Agreement: (i) 150,000 shares of Series B-2 convertible into 100,000 shares of common stock; (ii) Class A-1 warrants exercisable to purchase 50,000 shares of common stock; (iii) Class A-2 warrants exercisable to purchase 50,000 shares of common stock; and (iv) Class B warrants exercisable to purchase 200,000 shares of common stock. Net proceeds from the closing were $287,000.</w:t>
      </w:r>
    </w:p>
    <w:p>
      <w:pPr>
        <w:spacing w:after="0" w:line="102" w:lineRule="exact"/>
        <w:rPr>
          <w:sz w:val="20"/>
          <w:szCs w:val="20"/>
          <w:color w:val="auto"/>
        </w:rPr>
      </w:pPr>
    </w:p>
    <w:p>
      <w:pPr>
        <w:ind w:left="460" w:right="120"/>
        <w:spacing w:after="0" w:line="280" w:lineRule="auto"/>
        <w:rPr>
          <w:sz w:val="20"/>
          <w:szCs w:val="20"/>
          <w:color w:val="auto"/>
        </w:rPr>
      </w:pPr>
      <w:r>
        <w:rPr>
          <w:rFonts w:ascii="Arial" w:cs="Arial" w:eastAsia="Arial" w:hAnsi="Arial"/>
          <w:sz w:val="14"/>
          <w:szCs w:val="14"/>
          <w:color w:val="auto"/>
        </w:rPr>
        <w:t>On September 30, 2009, the Company issued and sold, pursuant to the 10X Agreement: (i) 162,500 shares of Series B-2 convertible into 108,333 shares of common stock; (ii) Class A-1 warrants exercisable to purchase 54,166 shares of common stock; (iii) Class A-2 warrants exercisable to purchase 54,166 shares of common stock; and (iv) Class B warrants exercisable to purchase 216,666 shares of common stock. Net proceeds from the closing were $305,000.</w:t>
      </w:r>
    </w:p>
    <w:p>
      <w:pPr>
        <w:spacing w:after="0" w:line="102" w:lineRule="exact"/>
        <w:rPr>
          <w:sz w:val="20"/>
          <w:szCs w:val="20"/>
          <w:color w:val="auto"/>
        </w:rPr>
      </w:pPr>
    </w:p>
    <w:p>
      <w:pPr>
        <w:ind w:left="460" w:right="120"/>
        <w:spacing w:after="0" w:line="280" w:lineRule="auto"/>
        <w:rPr>
          <w:sz w:val="20"/>
          <w:szCs w:val="20"/>
          <w:color w:val="auto"/>
        </w:rPr>
      </w:pPr>
      <w:r>
        <w:rPr>
          <w:rFonts w:ascii="Arial" w:cs="Arial" w:eastAsia="Arial" w:hAnsi="Arial"/>
          <w:sz w:val="14"/>
          <w:szCs w:val="14"/>
          <w:color w:val="auto"/>
        </w:rPr>
        <w:t>On November 4, 2009, the Company issued and sold, pursuant to the 10X Agreement: (i) 155,000 shares of Series B-2 convertible into 103,333 shares of common stock; (ii) Class A-1 warrants exercisable to purchase 51,666 shares of common stock; (iii) Class A-2 warrants exercisable to purchase 51,666 shares of common stock; and (iv) Class B warrants exercisable to purchase 206,666 shares of common stock. Net proceeds from the closing were $296,000.</w:t>
      </w:r>
    </w:p>
    <w:p>
      <w:pPr>
        <w:spacing w:after="0" w:line="102" w:lineRule="exact"/>
        <w:rPr>
          <w:sz w:val="20"/>
          <w:szCs w:val="20"/>
          <w:color w:val="auto"/>
        </w:rPr>
      </w:pPr>
    </w:p>
    <w:p>
      <w:pPr>
        <w:ind w:left="460" w:right="120"/>
        <w:spacing w:after="0" w:line="280" w:lineRule="auto"/>
        <w:rPr>
          <w:sz w:val="20"/>
          <w:szCs w:val="20"/>
          <w:color w:val="auto"/>
        </w:rPr>
      </w:pPr>
      <w:r>
        <w:rPr>
          <w:rFonts w:ascii="Arial" w:cs="Arial" w:eastAsia="Arial" w:hAnsi="Arial"/>
          <w:sz w:val="14"/>
          <w:szCs w:val="14"/>
          <w:color w:val="auto"/>
        </w:rPr>
        <w:t>On December 8, 2009, the Company issued and sold, pursuant to the 10X Agreement: (i) 162,500 shares of Series B-2 convertible into 108,333 shares of common stock; (ii) Class A-1 warrants exercisable to purchase 54,167 shares of common stock; (iii) Class A-2 warrants exercisable to purchase 54,167 shares of common stock; and (iv) Class B warrants exercisable to purchase 216,667 shares of common stock. Net proceeds from the closing were $310,000.</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380"/>
          </w:cols>
          <w:pgMar w:left="220" w:top="403" w:right="29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180"/>
        <w:spacing w:after="0" w:line="280" w:lineRule="auto"/>
        <w:rPr>
          <w:sz w:val="20"/>
          <w:szCs w:val="20"/>
          <w:color w:val="auto"/>
        </w:rPr>
      </w:pPr>
      <w:r>
        <w:rPr>
          <w:rFonts w:ascii="Arial" w:cs="Arial" w:eastAsia="Arial" w:hAnsi="Arial"/>
          <w:sz w:val="14"/>
          <w:szCs w:val="14"/>
          <w:color w:val="auto"/>
        </w:rPr>
        <w:t>On January 29, 2010, the Company issued and sold, pursuant to the 10X Agreement: (i) 162,500 shares of Series B-2 convertible into 108,334 shares of common stock; (ii) Class A-1 warrants exercisable to purchase 54,167 shares of common stock; (iii) Class A-2 warrants exercisable to purchase 54,167 shares of common stock; and (iv) Class B warrants exercisable to purchase 216,667 shares of common stock. Net proceeds from the closing were $308,000.</w:t>
      </w:r>
    </w:p>
    <w:p>
      <w:pPr>
        <w:spacing w:after="0" w:line="102" w:lineRule="exact"/>
        <w:rPr>
          <w:sz w:val="20"/>
          <w:szCs w:val="20"/>
          <w:color w:val="auto"/>
        </w:rPr>
      </w:pPr>
    </w:p>
    <w:p>
      <w:pPr>
        <w:jc w:val="both"/>
        <w:ind w:left="460" w:right="100"/>
        <w:spacing w:after="0" w:line="280" w:lineRule="auto"/>
        <w:rPr>
          <w:sz w:val="20"/>
          <w:szCs w:val="20"/>
          <w:color w:val="auto"/>
        </w:rPr>
      </w:pPr>
      <w:r>
        <w:rPr>
          <w:rFonts w:ascii="Arial" w:cs="Arial" w:eastAsia="Arial" w:hAnsi="Arial"/>
          <w:sz w:val="14"/>
          <w:szCs w:val="14"/>
          <w:color w:val="auto"/>
        </w:rPr>
        <w:t>On March 8, 2010, the Company issued and sold, pursuant to the 10X Agreement: (i) 167,500 shares of Series B-2 convertible into 111,667 shares of common stock; (ii) Class A-1 warrants exercisable to purchase 55,834 shares of common stock; (iii) Class A-2 warrants exercisable to purchase 55,834 shares of common stock; and (iv) Class B warrants exercisable to purchase 223,334 shares of common stock. Net proceeds from the closing were $322,000.</w:t>
      </w:r>
    </w:p>
    <w:p>
      <w:pPr>
        <w:spacing w:after="0" w:line="102" w:lineRule="exact"/>
        <w:rPr>
          <w:sz w:val="20"/>
          <w:szCs w:val="20"/>
          <w:color w:val="auto"/>
        </w:rPr>
      </w:pPr>
    </w:p>
    <w:p>
      <w:pPr>
        <w:ind w:left="460" w:right="100"/>
        <w:spacing w:after="0" w:line="280" w:lineRule="auto"/>
        <w:rPr>
          <w:sz w:val="20"/>
          <w:szCs w:val="20"/>
          <w:color w:val="auto"/>
        </w:rPr>
      </w:pPr>
      <w:r>
        <w:rPr>
          <w:rFonts w:ascii="Arial" w:cs="Arial" w:eastAsia="Arial" w:hAnsi="Arial"/>
          <w:sz w:val="14"/>
          <w:szCs w:val="14"/>
          <w:color w:val="auto"/>
        </w:rPr>
        <w:t>On April 30, 2010, the Company issued and sold, pursuant to the 10X Agreement: (i) 155,000 shares of Series B-2 convertible into 103,334 shares of common stock; (ii) Class A-1 warrants exercisable to purchase 51,667 shares of common stock; (iii) Class A-2 warrants exercisable to purchase 51,667 shares of common stock; and (iv) Class B warrants exercisable to purchase 206,667 shares of common stock. Net proceeds from the closing were $297,000.</w:t>
      </w:r>
    </w:p>
    <w:p>
      <w:pPr>
        <w:spacing w:after="0" w:line="102" w:lineRule="exact"/>
        <w:rPr>
          <w:sz w:val="20"/>
          <w:szCs w:val="20"/>
          <w:color w:val="auto"/>
        </w:rPr>
      </w:pPr>
    </w:p>
    <w:p>
      <w:pPr>
        <w:jc w:val="both"/>
        <w:ind w:left="460" w:right="140"/>
        <w:spacing w:after="0" w:line="280" w:lineRule="auto"/>
        <w:rPr>
          <w:sz w:val="20"/>
          <w:szCs w:val="20"/>
          <w:color w:val="auto"/>
        </w:rPr>
      </w:pPr>
      <w:r>
        <w:rPr>
          <w:rFonts w:ascii="Arial" w:cs="Arial" w:eastAsia="Arial" w:hAnsi="Arial"/>
          <w:sz w:val="14"/>
          <w:szCs w:val="14"/>
          <w:color w:val="auto"/>
        </w:rPr>
        <w:t>On May 10, 2010, the Company issued and sold, pursuant to the 10X Agreement: (i) 285,000 shares of Series B-2 convertible into 190,000 shares of common stock; (ii) Class A-1 warrants exercisable to purchase 95,000 shares of common stock; (iii) Class A-2 warrants exercisable to purchase 95,000 shares of common stock; and (iv) Class B warrants exercisable to purchase 380,000 shares of common stock. Net proceeds from the closing were $536,000.</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terms of the Series B are as follows:</w:t>
      </w:r>
    </w:p>
    <w:p>
      <w:pPr>
        <w:spacing w:after="0" w:line="149" w:lineRule="exact"/>
        <w:rPr>
          <w:sz w:val="20"/>
          <w:szCs w:val="20"/>
          <w:color w:val="auto"/>
        </w:rPr>
      </w:pPr>
    </w:p>
    <w:p>
      <w:pPr>
        <w:ind w:left="460"/>
        <w:spacing w:after="0" w:line="272"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Holders of the Series B will be entitled to receive cumulative dividends at the rate of 12% per share per annum (compounding monthly) payable quarterly which may, 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option, be paid in 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108" w:lineRule="exact"/>
        <w:rPr>
          <w:sz w:val="20"/>
          <w:szCs w:val="20"/>
          <w:color w:val="auto"/>
        </w:rPr>
      </w:pPr>
    </w:p>
    <w:p>
      <w:pPr>
        <w:ind w:left="460" w:right="100"/>
        <w:spacing w:after="0" w:line="272" w:lineRule="auto"/>
        <w:rPr>
          <w:sz w:val="20"/>
          <w:szCs w:val="20"/>
          <w:color w:val="auto"/>
        </w:rPr>
      </w:pPr>
      <w:r>
        <w:rPr>
          <w:rFonts w:ascii="Arial" w:cs="Arial" w:eastAsia="Arial" w:hAnsi="Arial"/>
          <w:sz w:val="14"/>
          <w:szCs w:val="14"/>
          <w:i w:val="1"/>
          <w:iCs w:val="1"/>
          <w:color w:val="auto"/>
        </w:rPr>
        <w:t>Conversion Rights</w:t>
      </w:r>
      <w:r>
        <w:rPr>
          <w:rFonts w:ascii="Arial" w:cs="Arial" w:eastAsia="Arial" w:hAnsi="Arial"/>
          <w:sz w:val="14"/>
          <w:szCs w:val="14"/>
          <w:color w:val="auto"/>
        </w:rPr>
        <w:t>. Each share of Series B is convertible into two-thirds (approximately 0.667) shares of common stock at the conversion price of $3.00 per share at the option of (i) the</w:t>
      </w:r>
      <w:r>
        <w:rPr>
          <w:rFonts w:ascii="Arial" w:cs="Arial" w:eastAsia="Arial" w:hAnsi="Arial"/>
          <w:sz w:val="14"/>
          <w:szCs w:val="14"/>
          <w:i w:val="1"/>
          <w:iCs w:val="1"/>
          <w:color w:val="auto"/>
        </w:rPr>
        <w:t xml:space="preserve"> </w:t>
      </w:r>
      <w:r>
        <w:rPr>
          <w:rFonts w:ascii="Arial" w:cs="Arial" w:eastAsia="Arial" w:hAnsi="Arial"/>
          <w:sz w:val="14"/>
          <w:szCs w:val="14"/>
          <w:color w:val="auto"/>
        </w:rPr>
        <w:t>holder, at any time and (ii) the Company, at any time after February 12, 2010 (and upon 10 days notice) if the common stock is quoted at or above $9.00 for 15 consecutive trading days and an effective registration statement regarding the underlying shares of common stock is in effect (subject to certain monthly volume limits). Pursuant to an agreement with the holder of all shares of Series B, on January 26, 2011, the Company amended and restated the Certificate of Designation of Preferences, Rights and Limitations for the Series B-1 and Series B-2, to remove the Company’s right to compel conversion of the Series B Preferred Stock to shares of its Common Stock</w:t>
      </w:r>
    </w:p>
    <w:p>
      <w:pPr>
        <w:spacing w:after="0" w:line="108" w:lineRule="exact"/>
        <w:rPr>
          <w:sz w:val="20"/>
          <w:szCs w:val="20"/>
          <w:color w:val="auto"/>
        </w:rPr>
      </w:pPr>
    </w:p>
    <w:p>
      <w:pPr>
        <w:ind w:left="460" w:right="40"/>
        <w:spacing w:after="0" w:line="275" w:lineRule="auto"/>
        <w:rPr>
          <w:sz w:val="20"/>
          <w:szCs w:val="20"/>
          <w:color w:val="auto"/>
        </w:rPr>
      </w:pPr>
      <w:r>
        <w:rPr>
          <w:rFonts w:ascii="Arial" w:cs="Arial" w:eastAsia="Arial" w:hAnsi="Arial"/>
          <w:sz w:val="14"/>
          <w:szCs w:val="14"/>
          <w:i w:val="1"/>
          <w:iCs w:val="1"/>
          <w:color w:val="auto"/>
        </w:rPr>
        <w:t>Redemption Rights</w:t>
      </w:r>
      <w:r>
        <w:rPr>
          <w:rFonts w:ascii="Arial" w:cs="Arial" w:eastAsia="Arial" w:hAnsi="Arial"/>
          <w:sz w:val="14"/>
          <w:szCs w:val="14"/>
          <w:color w:val="auto"/>
        </w:rPr>
        <w:t>. Pursuant to an agreement with the holder of all shares of Series B, on January 26, 2011, the Company amended and restated the Certificate of Designation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Preferences, Rights and Limitations for the Series B-1 and Series B-2, to provide that, upon notice of not less than 30 trading days, a holder of Series B may require the Company to redeem, in whole or in part at any time on or after the earlier of (a) February 12, 2019 or (b) the date of issuance of a promissory note to David Platt (see Note 11) in connection with the achievement of certain milestones under his separation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40"/>
          </w:cols>
          <w:pgMar w:left="220" w:top="403" w:right="2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40"/>
        <w:spacing w:after="0" w:line="295" w:lineRule="auto"/>
        <w:rPr>
          <w:sz w:val="20"/>
          <w:szCs w:val="20"/>
          <w:color w:val="auto"/>
        </w:rPr>
      </w:pPr>
      <w:r>
        <w:rPr>
          <w:rFonts w:ascii="Arial" w:cs="Arial" w:eastAsia="Arial" w:hAnsi="Arial"/>
          <w:sz w:val="13"/>
          <w:szCs w:val="13"/>
          <w:color w:val="auto"/>
        </w:rPr>
        <w:t>The redemption price will be equal to the sum of the stated value of the Series B, plus all accrued but unpaid dividends thereon, as of the redemption date. If the Company fails to pay the redemption price in cash on the redemption date, then the holders of the Series B requesting redemption may, at their sole option, automatically convert their shares of Series B into a promissory note bearing interest at the rate of 15% per year and secured by a lien on all of the Company’s assets. So long as any shares of the Series B remain outstanding, the Company is also subject to restrictions limiting, among other things, amendments to the Company’s organizational documents; the purchase or redemption of the Company’s capital stock; mergers, consolidations, liquidations and dissolutions; sales of assets; dividends and other restricted payments; investments and acquisitions; joint ventures, licensing agreements, exclusive marketing and other distribution agreements; issuances of securities; incurrence of indebtedness; incurrence of liens and other encumbrances and issuances of any common stock equivalents.</w:t>
      </w:r>
    </w:p>
    <w:p>
      <w:pPr>
        <w:spacing w:after="0" w:line="95" w:lineRule="exact"/>
        <w:rPr>
          <w:sz w:val="20"/>
          <w:szCs w:val="20"/>
          <w:color w:val="auto"/>
        </w:rPr>
      </w:pPr>
    </w:p>
    <w:p>
      <w:pPr>
        <w:ind w:left="460" w:right="20"/>
        <w:spacing w:after="0" w:line="280" w:lineRule="auto"/>
        <w:rPr>
          <w:sz w:val="20"/>
          <w:szCs w:val="20"/>
          <w:color w:val="auto"/>
        </w:rPr>
      </w:pPr>
      <w:r>
        <w:rPr>
          <w:rFonts w:ascii="Arial" w:cs="Arial" w:eastAsia="Arial" w:hAnsi="Arial"/>
          <w:sz w:val="14"/>
          <w:szCs w:val="14"/>
          <w:i w:val="1"/>
          <w:iCs w:val="1"/>
          <w:color w:val="auto"/>
        </w:rPr>
        <w:t>Liquidation Rights</w:t>
      </w:r>
      <w:r>
        <w:rPr>
          <w:rFonts w:ascii="Arial" w:cs="Arial" w:eastAsia="Arial" w:hAnsi="Arial"/>
          <w:sz w:val="14"/>
          <w:szCs w:val="14"/>
          <w:color w:val="auto"/>
        </w:rPr>
        <w:t>. In the event of any liquidation, dissolution or winding up of the Company, either voluntarily or involuntarily, the holders of Series B will receive $2 per share plus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accrued and unpaid dividends, payable prior and in preference to any distributions to the holders of Common Stock but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holders of the Series A 12% Convertible Preferred Stock.</w:t>
      </w:r>
    </w:p>
    <w:p>
      <w:pPr>
        <w:spacing w:after="0" w:line="102" w:lineRule="exact"/>
        <w:rPr>
          <w:sz w:val="20"/>
          <w:szCs w:val="20"/>
          <w:color w:val="auto"/>
        </w:rPr>
      </w:pPr>
    </w:p>
    <w:p>
      <w:pPr>
        <w:ind w:left="460" w:right="40"/>
        <w:spacing w:after="0" w:line="268" w:lineRule="auto"/>
        <w:rPr>
          <w:sz w:val="20"/>
          <w:szCs w:val="20"/>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 Except as noted below, the holder of each share of Series B shall be entitled to the number of votes equal to the number of shares of Common Stock into which such share of</w:t>
      </w:r>
      <w:r>
        <w:rPr>
          <w:rFonts w:ascii="Arial" w:cs="Arial" w:eastAsia="Arial" w:hAnsi="Arial"/>
          <w:sz w:val="14"/>
          <w:szCs w:val="14"/>
          <w:i w:val="1"/>
          <w:iCs w:val="1"/>
          <w:color w:val="auto"/>
        </w:rPr>
        <w:t xml:space="preserve"> </w:t>
      </w:r>
      <w:r>
        <w:rPr>
          <w:rFonts w:ascii="Arial" w:cs="Arial" w:eastAsia="Arial" w:hAnsi="Arial"/>
          <w:sz w:val="14"/>
          <w:szCs w:val="14"/>
          <w:color w:val="auto"/>
        </w:rPr>
        <w:t>Series B would be convertible, and shall otherwise have voting rights and powers equal to the voting rights and powers of the Common Stock. With respect to the election of directors, the holders of the Series B shall vote together as a separate class to elect two (2) members of the Board of Directors (the “Series B Directors”), and the Company shall take all reasonably necessary or desirable actions within its control (including, without limitation, calling special meetings of the Board of Directors, nominating such persons designated by the holders of the Series B as directors on the applicable proxy statements and recommending their election) to permit the holders of the Series B to appoint two additional (2) members of the Board of Directors (the “Series B Nominees”), who shall be subject to election by all shares of voting stock of the Company voting together as a single group, until such time as all authorized shares of Series B have has been issued and sold, after which the number of Series B Nominees shall be three (3), and shall remain three (3) until there are no longer any shares of Series B outstanding. The holders of Series B shall vote together with the holders of Common Stock and other voting capital stock of the Company to elect all other members of the Board of Directors.</w:t>
      </w:r>
    </w:p>
    <w:p>
      <w:pPr>
        <w:spacing w:after="0" w:line="111" w:lineRule="exact"/>
        <w:rPr>
          <w:sz w:val="20"/>
          <w:szCs w:val="20"/>
          <w:color w:val="auto"/>
        </w:rPr>
      </w:pPr>
    </w:p>
    <w:p>
      <w:pPr>
        <w:ind w:left="460"/>
        <w:spacing w:after="0" w:line="290" w:lineRule="auto"/>
        <w:rPr>
          <w:sz w:val="20"/>
          <w:szCs w:val="20"/>
          <w:color w:val="auto"/>
        </w:rPr>
      </w:pPr>
      <w:r>
        <w:rPr>
          <w:rFonts w:ascii="Arial" w:cs="Arial" w:eastAsia="Arial" w:hAnsi="Arial"/>
          <w:sz w:val="13"/>
          <w:szCs w:val="13"/>
          <w:i w:val="1"/>
          <w:iCs w:val="1"/>
          <w:color w:val="auto"/>
        </w:rPr>
        <w:t>Other Restrictions</w:t>
      </w:r>
      <w:r>
        <w:rPr>
          <w:rFonts w:ascii="Arial" w:cs="Arial" w:eastAsia="Arial" w:hAnsi="Arial"/>
          <w:sz w:val="13"/>
          <w:szCs w:val="13"/>
          <w:color w:val="auto"/>
        </w:rPr>
        <w:t>. So long as any shares of the Series B remain outstanding, the Company may not, without the approval of the holders of a majority of the shares of Series B outstanding,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(i) change the size of the Company’s Board of Directors; (ii) amend or repeal the Company’s Articles of Incorporation or Bylaws or file any articles of amendment designating the preferences, limitations and relative rights of any series of preferred stock; (iii) create or increase the authorized amount of any additional class or series of shares of stock that is equal to or senior to Series B; (iv) 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40"/>
          </w:cols>
          <w:pgMar w:left="220" w:top="402" w:right="23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480" w:firstLine="7"/>
        <w:spacing w:after="0" w:line="337" w:lineRule="auto"/>
        <w:tabs>
          <w:tab w:leader="none" w:pos="7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enter into, create, incur or assume any liens of any kind (other than certain permitted liens); (xiv) issue any common stock equivalents; (xv) increase the number of shares of the Company’s common stock that may be issued pursuant to options, warrants or rights to employees, directors, officers, consultants or advisors above 250,000.</w:t>
      </w:r>
    </w:p>
    <w:p>
      <w:pPr>
        <w:spacing w:after="0" w:line="68" w:lineRule="exact"/>
        <w:rPr>
          <w:sz w:val="20"/>
          <w:szCs w:val="20"/>
          <w:color w:val="auto"/>
        </w:rPr>
      </w:pPr>
    </w:p>
    <w:p>
      <w:pPr>
        <w:ind w:left="460" w:right="200"/>
        <w:spacing w:after="0" w:line="295" w:lineRule="auto"/>
        <w:rPr>
          <w:sz w:val="20"/>
          <w:szCs w:val="20"/>
          <w:color w:val="auto"/>
        </w:rPr>
      </w:pPr>
      <w:r>
        <w:rPr>
          <w:rFonts w:ascii="Arial" w:cs="Arial" w:eastAsia="Arial" w:hAnsi="Arial"/>
          <w:sz w:val="13"/>
          <w:szCs w:val="13"/>
          <w:i w:val="1"/>
          <w:iCs w:val="1"/>
          <w:color w:val="auto"/>
        </w:rPr>
        <w:t>Warrants</w:t>
      </w:r>
      <w:r>
        <w:rPr>
          <w:rFonts w:ascii="Arial" w:cs="Arial" w:eastAsia="Arial" w:hAnsi="Arial"/>
          <w:sz w:val="13"/>
          <w:szCs w:val="13"/>
          <w:color w:val="auto"/>
        </w:rPr>
        <w:t>. Each Class A-1 warrant, Class A-2 warrant and Class B warrant is exercisable at $3.00 per share of common stock at any time on or after the date of issuance until the fifth</w:t>
      </w:r>
      <w:r>
        <w:rPr>
          <w:rFonts w:ascii="Arial" w:cs="Arial" w:eastAsia="Arial" w:hAnsi="Arial"/>
          <w:sz w:val="13"/>
          <w:szCs w:val="13"/>
          <w:i w:val="1"/>
          <w:iCs w:val="1"/>
          <w:color w:val="auto"/>
        </w:rPr>
        <w:t xml:space="preserve"> </w:t>
      </w:r>
      <w:r>
        <w:rPr>
          <w:rFonts w:ascii="Arial" w:cs="Arial" w:eastAsia="Arial" w:hAnsi="Arial"/>
          <w:sz w:val="13"/>
          <w:szCs w:val="13"/>
          <w:color w:val="auto"/>
        </w:rPr>
        <w:t>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 All Class A-1 warrants were exercised for cash proceeds of $3,000,000 in 2011 and 500,000 of the Class A-2 warrants were exercised for cash proceeds of $1,500,000 in 2013. Subsequently, in January 2014, the remaining 500,000 Class A-2 warrants were exercised for cash proceeds of $1,500,000.</w:t>
      </w:r>
    </w:p>
    <w:p>
      <w:pPr>
        <w:spacing w:after="0" w:line="95" w:lineRule="exact"/>
        <w:rPr>
          <w:sz w:val="20"/>
          <w:szCs w:val="20"/>
          <w:color w:val="auto"/>
        </w:rPr>
      </w:pPr>
    </w:p>
    <w:p>
      <w:pPr>
        <w:ind w:left="460" w:right="20"/>
        <w:spacing w:after="0" w:line="295" w:lineRule="auto"/>
        <w:rPr>
          <w:sz w:val="20"/>
          <w:szCs w:val="20"/>
          <w:color w:val="auto"/>
        </w:rPr>
      </w:pPr>
      <w:r>
        <w:rPr>
          <w:rFonts w:ascii="Arial" w:cs="Arial" w:eastAsia="Arial" w:hAnsi="Arial"/>
          <w:sz w:val="13"/>
          <w:szCs w:val="13"/>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 the Series B-1 when issued, and are accreted to the redemption value of the Series B-1 through the earliest redemption date. Due to the redemption feature, the Company has presented the Series B-1 outside of permanent equity, in the mezzanine of the consolidated balance sheet at December 31, 2012 and 2011.</w:t>
      </w:r>
    </w:p>
    <w:p>
      <w:pPr>
        <w:spacing w:after="0" w:line="95" w:lineRule="exact"/>
        <w:rPr>
          <w:sz w:val="20"/>
          <w:szCs w:val="20"/>
          <w:color w:val="auto"/>
        </w:rPr>
      </w:pPr>
    </w:p>
    <w:p>
      <w:pPr>
        <w:ind w:left="460"/>
        <w:spacing w:after="0" w:line="268" w:lineRule="auto"/>
        <w:rPr>
          <w:sz w:val="20"/>
          <w:szCs w:val="20"/>
          <w:color w:val="auto"/>
        </w:rPr>
      </w:pPr>
      <w:r>
        <w:rPr>
          <w:rFonts w:ascii="Arial" w:cs="Arial" w:eastAsia="Arial" w:hAnsi="Arial"/>
          <w:sz w:val="14"/>
          <w:szCs w:val="14"/>
          <w:color w:val="auto"/>
        </w:rPr>
        <w:t>The fair value of the warrants issued during the year ended December 31, 2010 in connection with the Series B-2 was $4,148,000 at the dates of issuance based on the following assumptions: an expected life of 5 years, volatility of 126% to 129%, risk free interest rates of 2.27% to 2.43% and zero dividends. The fair value of the warrants issued during the year ended December 31, 2009 in connection with the Series B-2 was $5,333,000 at the dates of issuance based on the following assumptions: an expected life of 5 years, volatility of 124% to 127%, risk free interest rates of 1.98% to 2.70% and zero dividends. The Company allocated the gross proceeds based on the relative fair value of the Series B-2 and the related warrants, resulting in $1,028,000 and $1,732,000 of the proceeds being allocated to additional paid-in capital for the years ended December 31, 2010 and 2009, respectively. The issuance costs of the Series B-2 and the amounts allocated to warrants were recorded as a reduction to the carrying value of the Series B-2 when issued, and are accreted to the redemption value of the Series B-2 through the earliest redemption dates. Due to the redemption feature, the Company has presented the Series B-2 outside of permanent equity, in the mezzanine of the consolidated balance sheet at December 31, 2012 and 2011.</w:t>
      </w:r>
    </w:p>
    <w:p>
      <w:pPr>
        <w:spacing w:after="0" w:line="114" w:lineRule="exact"/>
        <w:rPr>
          <w:sz w:val="20"/>
          <w:szCs w:val="20"/>
          <w:color w:val="auto"/>
        </w:rPr>
      </w:pPr>
    </w:p>
    <w:p>
      <w:pPr>
        <w:ind w:left="460" w:right="60"/>
        <w:spacing w:after="0" w:line="302" w:lineRule="auto"/>
        <w:rPr>
          <w:sz w:val="20"/>
          <w:szCs w:val="20"/>
          <w:color w:val="auto"/>
        </w:rPr>
      </w:pPr>
      <w:r>
        <w:rPr>
          <w:rFonts w:ascii="Arial" w:cs="Arial" w:eastAsia="Arial" w:hAnsi="Arial"/>
          <w:sz w:val="13"/>
          <w:szCs w:val="13"/>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40"/>
          </w:cols>
          <w:pgMar w:left="220" w:top="403"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Series C 6% Super Dividend Convertible Preferred Stock</w:t>
      </w:r>
    </w:p>
    <w:p>
      <w:pPr>
        <w:spacing w:after="0" w:line="83" w:lineRule="exact"/>
        <w:rPr>
          <w:sz w:val="20"/>
          <w:szCs w:val="20"/>
          <w:color w:val="auto"/>
        </w:rPr>
      </w:pPr>
    </w:p>
    <w:p>
      <w:pPr>
        <w:ind w:left="460" w:right="160"/>
        <w:spacing w:after="0" w:line="296" w:lineRule="auto"/>
        <w:rPr>
          <w:sz w:val="20"/>
          <w:szCs w:val="20"/>
          <w:color w:val="auto"/>
        </w:rPr>
      </w:pPr>
      <w:r>
        <w:rPr>
          <w:rFonts w:ascii="Arial" w:cs="Arial" w:eastAsia="Arial" w:hAnsi="Arial"/>
          <w:sz w:val="14"/>
          <w:szCs w:val="14"/>
          <w:color w:val="auto"/>
        </w:rPr>
        <w:t>On December 29, 2010, the Company designated and authorized the sale and issuance of up to 1,000 shares of Series C Super Dividend Convertible Preferred Stock (“Series C”) with a par value of $0.01 and a stated value equal to $10,000 (the “Stated Value”).</w:t>
      </w:r>
    </w:p>
    <w:p>
      <w:pPr>
        <w:spacing w:after="0" w:line="91" w:lineRule="exact"/>
        <w:rPr>
          <w:sz w:val="20"/>
          <w:szCs w:val="20"/>
          <w:color w:val="auto"/>
        </w:rPr>
      </w:pPr>
    </w:p>
    <w:p>
      <w:pPr>
        <w:jc w:val="both"/>
        <w:ind w:left="460" w:right="480"/>
        <w:spacing w:after="0" w:line="311" w:lineRule="auto"/>
        <w:rPr>
          <w:sz w:val="20"/>
          <w:szCs w:val="20"/>
          <w:color w:val="auto"/>
        </w:rPr>
      </w:pPr>
      <w:r>
        <w:rPr>
          <w:rFonts w:ascii="Arial" w:cs="Arial" w:eastAsia="Arial" w:hAnsi="Arial"/>
          <w:sz w:val="13"/>
          <w:szCs w:val="13"/>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terms of the Series C are as follows:</w:t>
      </w:r>
    </w:p>
    <w:p>
      <w:pPr>
        <w:spacing w:after="0" w:line="149" w:lineRule="exact"/>
        <w:rPr>
          <w:sz w:val="20"/>
          <w:szCs w:val="20"/>
          <w:color w:val="auto"/>
        </w:rPr>
      </w:pPr>
    </w:p>
    <w:p>
      <w:pPr>
        <w:ind w:left="460"/>
        <w:spacing w:after="0" w:line="311" w:lineRule="auto"/>
        <w:rPr>
          <w:sz w:val="20"/>
          <w:szCs w:val="20"/>
          <w:color w:val="auto"/>
        </w:rPr>
      </w:pPr>
      <w:r>
        <w:rPr>
          <w:rFonts w:ascii="Arial" w:cs="Arial" w:eastAsia="Arial" w:hAnsi="Arial"/>
          <w:sz w:val="13"/>
          <w:szCs w:val="13"/>
          <w:i w:val="1"/>
          <w:iCs w:val="1"/>
          <w:color w:val="auto"/>
        </w:rPr>
        <w:t>Conversion Rights</w:t>
      </w:r>
      <w:r>
        <w:rPr>
          <w:rFonts w:ascii="Arial" w:cs="Arial" w:eastAsia="Arial" w:hAnsi="Arial"/>
          <w:sz w:val="13"/>
          <w:szCs w:val="13"/>
          <w:color w:val="auto"/>
        </w:rPr>
        <w:t>. Each holder of Series C may convert all, but not less than all, of his Series C shares plus accrued and unpaid dividends into Common Stock at the price of $6.00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 of Common Stock (“Conversion Price”), such that approximately 1,667 shares of Common Stock will be issued per each converted share of Series C (accrued and unpaid dividends will be issued as additional shares). At December 31, 2013, the 196 outstanding shares of Series C were convertible into a total of approximately 326,667 shares of Common Stock.</w:t>
      </w:r>
    </w:p>
    <w:p>
      <w:pPr>
        <w:spacing w:after="0" w:line="84" w:lineRule="exact"/>
        <w:rPr>
          <w:sz w:val="20"/>
          <w:szCs w:val="20"/>
          <w:color w:val="auto"/>
        </w:rPr>
      </w:pPr>
    </w:p>
    <w:p>
      <w:pPr>
        <w:ind w:left="460" w:right="540"/>
        <w:spacing w:after="0" w:line="337" w:lineRule="auto"/>
        <w:rPr>
          <w:sz w:val="20"/>
          <w:szCs w:val="20"/>
          <w:color w:val="auto"/>
        </w:rPr>
      </w:pPr>
      <w:r>
        <w:rPr>
          <w:rFonts w:ascii="Arial" w:cs="Arial" w:eastAsia="Arial" w:hAnsi="Arial"/>
          <w:sz w:val="13"/>
          <w:szCs w:val="13"/>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68" w:lineRule="exact"/>
        <w:rPr>
          <w:sz w:val="20"/>
          <w:szCs w:val="20"/>
          <w:color w:val="auto"/>
        </w:rPr>
      </w:pPr>
    </w:p>
    <w:p>
      <w:pPr>
        <w:ind w:left="460" w:right="40"/>
        <w:spacing w:after="0" w:line="255"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Holders of Series C shall be entitled to receive cumulative non-compounding dividends at the rate per share of Series C equal to the greater of (i) 6% per annum of the Stated</w:t>
      </w:r>
      <w:r>
        <w:rPr>
          <w:rFonts w:ascii="Arial" w:cs="Arial" w:eastAsia="Arial" w:hAnsi="Arial"/>
          <w:sz w:val="14"/>
          <w:szCs w:val="14"/>
          <w:i w:val="1"/>
          <w:iCs w:val="1"/>
          <w:color w:val="auto"/>
        </w:rPr>
        <w:t xml:space="preserve"> </w:t>
      </w:r>
      <w:r>
        <w:rPr>
          <w:rFonts w:ascii="Arial" w:cs="Arial" w:eastAsia="Arial" w:hAnsi="Arial"/>
          <w:sz w:val="14"/>
          <w:szCs w:val="14"/>
          <w:color w:val="auto"/>
        </w:rPr>
        <w:t>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(GM-CT-01), less chargebacks, returns, expenses attributable to product recalls, duties, customs, sales tax, freight, insurance, shipping expenses, allowances and other customary deductions.</w:t>
      </w:r>
    </w:p>
    <w:p>
      <w:pPr>
        <w:spacing w:after="0" w:line="116" w:lineRule="exact"/>
        <w:rPr>
          <w:sz w:val="20"/>
          <w:szCs w:val="20"/>
          <w:color w:val="auto"/>
        </w:rPr>
      </w:pPr>
    </w:p>
    <w:p>
      <w:pPr>
        <w:ind w:left="460" w:right="40"/>
        <w:spacing w:after="0" w:line="272" w:lineRule="auto"/>
        <w:rPr>
          <w:sz w:val="20"/>
          <w:szCs w:val="20"/>
          <w:color w:val="auto"/>
        </w:rPr>
      </w:pPr>
      <w:r>
        <w:rPr>
          <w:rFonts w:ascii="Arial" w:cs="Arial" w:eastAsia="Arial" w:hAnsi="Arial"/>
          <w:sz w:val="14"/>
          <w:szCs w:val="14"/>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08" w:lineRule="exact"/>
        <w:rPr>
          <w:sz w:val="20"/>
          <w:szCs w:val="20"/>
          <w:color w:val="auto"/>
        </w:rPr>
      </w:pPr>
    </w:p>
    <w:p>
      <w:pPr>
        <w:ind w:left="460" w:right="40"/>
        <w:spacing w:after="0" w:line="295" w:lineRule="auto"/>
        <w:rPr>
          <w:sz w:val="20"/>
          <w:szCs w:val="20"/>
          <w:color w:val="auto"/>
        </w:rPr>
      </w:pPr>
      <w:r>
        <w:rPr>
          <w:rFonts w:ascii="Arial" w:cs="Arial" w:eastAsia="Arial" w:hAnsi="Arial"/>
          <w:sz w:val="13"/>
          <w:szCs w:val="13"/>
          <w:i w:val="1"/>
          <w:iCs w:val="1"/>
          <w:color w:val="auto"/>
        </w:rPr>
        <w:t>Series C Post Conversion Dividend Right</w:t>
      </w:r>
      <w:r>
        <w:rPr>
          <w:rFonts w:ascii="Arial" w:cs="Arial" w:eastAsia="Arial" w:hAnsi="Arial"/>
          <w:sz w:val="13"/>
          <w:szCs w:val="13"/>
          <w:color w:val="auto"/>
        </w:rPr>
        <w:t>. In the event that any share of Series C is converted into Common Stock before the Maximum Payout is paid in respect of such converted share of</w:t>
      </w:r>
      <w:r>
        <w:rPr>
          <w:rFonts w:ascii="Arial" w:cs="Arial" w:eastAsia="Arial" w:hAnsi="Arial"/>
          <w:sz w:val="13"/>
          <w:szCs w:val="13"/>
          <w:i w:val="1"/>
          <w:iCs w:val="1"/>
          <w:color w:val="auto"/>
        </w:rPr>
        <w:t xml:space="preserve"> </w:t>
      </w:r>
      <w:r>
        <w:rPr>
          <w:rFonts w:ascii="Arial" w:cs="Arial" w:eastAsia="Arial" w:hAnsi="Arial"/>
          <w:sz w:val="13"/>
          <w:szCs w:val="13"/>
          <w:color w:val="auto"/>
        </w:rPr>
        <w:t>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60"/>
          </w:cols>
          <w:pgMar w:left="220" w:top="403" w:right="21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color w:val="auto"/>
        </w:rPr>
        <w:t>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102" w:lineRule="exact"/>
        <w:rPr>
          <w:sz w:val="20"/>
          <w:szCs w:val="20"/>
          <w:color w:val="auto"/>
        </w:rPr>
      </w:pPr>
    </w:p>
    <w:p>
      <w:pPr>
        <w:ind w:left="460" w:right="180"/>
        <w:spacing w:after="0" w:line="275" w:lineRule="auto"/>
        <w:rPr>
          <w:sz w:val="20"/>
          <w:szCs w:val="20"/>
          <w:color w:val="auto"/>
        </w:rPr>
      </w:pPr>
      <w:r>
        <w:rPr>
          <w:rFonts w:ascii="Arial" w:cs="Arial" w:eastAsia="Arial" w:hAnsi="Arial"/>
          <w:sz w:val="14"/>
          <w:szCs w:val="14"/>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05" w:lineRule="exact"/>
        <w:rPr>
          <w:sz w:val="20"/>
          <w:szCs w:val="20"/>
          <w:color w:val="auto"/>
        </w:rPr>
      </w:pPr>
    </w:p>
    <w:p>
      <w:pPr>
        <w:ind w:left="460"/>
        <w:spacing w:after="0" w:line="302" w:lineRule="auto"/>
        <w:rPr>
          <w:sz w:val="20"/>
          <w:szCs w:val="20"/>
          <w:color w:val="auto"/>
        </w:rPr>
      </w:pPr>
      <w:r>
        <w:rPr>
          <w:rFonts w:ascii="Arial" w:cs="Arial" w:eastAsia="Arial" w:hAnsi="Arial"/>
          <w:sz w:val="13"/>
          <w:szCs w:val="13"/>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Per the terms of the Series C, these Dividend Rights shall continue to participate in dividends, however the Floor shall not apply. At December 31, 2013 and 2012,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90" w:lineRule="exact"/>
        <w:rPr>
          <w:sz w:val="20"/>
          <w:szCs w:val="20"/>
          <w:color w:val="auto"/>
        </w:rPr>
      </w:pPr>
    </w:p>
    <w:p>
      <w:pPr>
        <w:jc w:val="both"/>
        <w:ind w:left="460"/>
        <w:spacing w:after="0" w:line="280" w:lineRule="auto"/>
        <w:rPr>
          <w:sz w:val="20"/>
          <w:szCs w:val="20"/>
          <w:color w:val="auto"/>
        </w:rPr>
      </w:pPr>
      <w:r>
        <w:rPr>
          <w:rFonts w:ascii="Arial" w:cs="Arial" w:eastAsia="Arial" w:hAnsi="Arial"/>
          <w:sz w:val="14"/>
          <w:szCs w:val="14"/>
          <w:i w:val="1"/>
          <w:iCs w:val="1"/>
          <w:color w:val="auto"/>
        </w:rPr>
        <w:t>Liquidation Rights</w:t>
      </w:r>
      <w:r>
        <w:rPr>
          <w:rFonts w:ascii="Arial" w:cs="Arial" w:eastAsia="Arial" w:hAnsi="Arial"/>
          <w:sz w:val="14"/>
          <w:szCs w:val="14"/>
          <w:color w:val="auto"/>
        </w:rPr>
        <w:t>. In the event of any liquidation, dissolution or winding up of the Company, either voluntarily or involuntarily, the holders of Series C will receive $10,000 per share plus</w:t>
      </w:r>
      <w:r>
        <w:rPr>
          <w:rFonts w:ascii="Arial" w:cs="Arial" w:eastAsia="Arial" w:hAnsi="Arial"/>
          <w:sz w:val="14"/>
          <w:szCs w:val="14"/>
          <w:i w:val="1"/>
          <w:iCs w:val="1"/>
          <w:color w:val="auto"/>
        </w:rPr>
        <w:t xml:space="preserve"> </w:t>
      </w:r>
      <w:r>
        <w:rPr>
          <w:rFonts w:ascii="Arial" w:cs="Arial" w:eastAsia="Arial" w:hAnsi="Arial"/>
          <w:sz w:val="14"/>
          <w:szCs w:val="14"/>
          <w:color w:val="auto"/>
        </w:rPr>
        <w:t>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0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4"/>
          <w:szCs w:val="14"/>
          <w:i w:val="1"/>
          <w:iCs w:val="1"/>
          <w:color w:val="auto"/>
        </w:rPr>
        <w:t>Redemption</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Upon a sale of the Company, the Company shall redeem all of the then outstanding shares of Series C and Series C Preferred Stock Post Conversion Rights within thirty</w:t>
      </w:r>
    </w:p>
    <w:p>
      <w:pPr>
        <w:spacing w:after="0" w:line="21" w:lineRule="exact"/>
        <w:rPr>
          <w:sz w:val="20"/>
          <w:szCs w:val="20"/>
          <w:color w:val="auto"/>
        </w:rPr>
      </w:pPr>
    </w:p>
    <w:p>
      <w:pPr>
        <w:ind w:left="460" w:right="120" w:firstLine="7"/>
        <w:spacing w:after="0" w:line="270" w:lineRule="auto"/>
        <w:tabs>
          <w:tab w:leader="none" w:pos="736" w:val="left"/>
        </w:tabs>
        <w:numPr>
          <w:ilvl w:val="0"/>
          <w:numId w:val="22"/>
        </w:numPr>
        <w:rPr>
          <w:rFonts w:ascii="Arial" w:cs="Arial" w:eastAsia="Arial" w:hAnsi="Arial"/>
          <w:sz w:val="14"/>
          <w:szCs w:val="14"/>
          <w:color w:val="auto"/>
        </w:rPr>
      </w:pPr>
      <w:r>
        <w:rPr>
          <w:rFonts w:ascii="Arial" w:cs="Arial" w:eastAsia="Arial" w:hAnsi="Arial"/>
          <w:sz w:val="14"/>
          <w:szCs w:val="14"/>
          <w:color w:val="auto"/>
        </w:rPr>
        <w:t>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ROI Percentage</w:t>
            </w:r>
          </w:p>
        </w:tc>
        <w:tc>
          <w:tcPr>
            <w:tcW w:w="7280" w:type="dxa"/>
            <w:vAlign w:val="bottom"/>
          </w:tcPr>
          <w:p>
            <w:pPr>
              <w:spacing w:after="0"/>
              <w:rPr>
                <w:sz w:val="14"/>
                <w:szCs w:val="14"/>
                <w:color w:val="auto"/>
              </w:rPr>
            </w:pPr>
          </w:p>
        </w:tc>
      </w:tr>
      <w:tr>
        <w:trPr>
          <w:trHeight w:val="272"/>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200%</w:t>
            </w:r>
          </w:p>
        </w:tc>
        <w:tc>
          <w:tcPr>
            <w:tcW w:w="380" w:type="dxa"/>
            <w:vAlign w:val="bottom"/>
          </w:tcPr>
          <w:p>
            <w:pPr>
              <w:spacing w:after="0"/>
              <w:rPr>
                <w:sz w:val="23"/>
                <w:szCs w:val="23"/>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rPr>
              <w:t>before the second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250%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7"/>
              </w:rPr>
              <w:t>on or after the second anniversary of the date of issuance, but before the third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300%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8"/>
              </w:rPr>
              <w:t>on or after the third anniversary of the date of issuance, but before the fourth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350%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9"/>
              </w:rPr>
              <w:t>on or after the fourth anniversary of the date of issuance, but before the fifth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400%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rPr>
              <w:t>on or after the fifth anniversary of the date of issuance, but before the sixth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450%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6"/>
              </w:rPr>
              <w:t>on or after the sixth anniversary of the date of issuance, but before the seventh anniversary of the date of issuance;</w:t>
            </w:r>
          </w:p>
        </w:tc>
      </w:tr>
      <w:tr>
        <w:trPr>
          <w:trHeight w:val="177"/>
        </w:trPr>
        <w:tc>
          <w:tcPr>
            <w:tcW w:w="920" w:type="dxa"/>
            <w:vAlign w:val="bottom"/>
          </w:tcPr>
          <w:p>
            <w:pPr>
              <w:jc w:val="center"/>
              <w:spacing w:after="0"/>
              <w:rPr>
                <w:sz w:val="20"/>
                <w:szCs w:val="20"/>
                <w:color w:val="auto"/>
              </w:rPr>
            </w:pPr>
            <w:r>
              <w:rPr>
                <w:rFonts w:ascii="Arial" w:cs="Arial" w:eastAsia="Arial" w:hAnsi="Arial"/>
                <w:sz w:val="14"/>
                <w:szCs w:val="14"/>
                <w:color w:val="auto"/>
                <w:w w:val="94"/>
              </w:rPr>
              <w:t>500%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1"/>
              </w:rPr>
              <w:t>on or after the seventh anniversary of the date of issuance, but before the eighth anniversary of the date of issuance; and</w:t>
            </w:r>
          </w:p>
        </w:tc>
      </w:tr>
      <w:tr>
        <w:trPr>
          <w:trHeight w:val="182"/>
        </w:trPr>
        <w:tc>
          <w:tcPr>
            <w:tcW w:w="920" w:type="dxa"/>
            <w:vAlign w:val="bottom"/>
          </w:tcPr>
          <w:p>
            <w:pPr>
              <w:jc w:val="center"/>
              <w:spacing w:after="0"/>
              <w:rPr>
                <w:sz w:val="20"/>
                <w:szCs w:val="20"/>
                <w:color w:val="auto"/>
              </w:rPr>
            </w:pPr>
            <w:r>
              <w:rPr>
                <w:rFonts w:ascii="Arial" w:cs="Arial" w:eastAsia="Arial" w:hAnsi="Arial"/>
                <w:sz w:val="14"/>
                <w:szCs w:val="14"/>
                <w:color w:val="auto"/>
                <w:w w:val="94"/>
              </w:rPr>
              <w:t>550%</w:t>
            </w:r>
          </w:p>
        </w:tc>
        <w:tc>
          <w:tcPr>
            <w:tcW w:w="380" w:type="dxa"/>
            <w:vAlign w:val="bottom"/>
          </w:tcPr>
          <w:p>
            <w:pPr>
              <w:spacing w:after="0"/>
              <w:rPr>
                <w:sz w:val="15"/>
                <w:szCs w:val="15"/>
                <w:color w:val="auto"/>
              </w:rPr>
            </w:pPr>
          </w:p>
        </w:tc>
        <w:tc>
          <w:tcPr>
            <w:tcW w:w="7280" w:type="dxa"/>
            <w:vAlign w:val="bottom"/>
          </w:tcPr>
          <w:p>
            <w:pPr>
              <w:ind w:left="380"/>
              <w:spacing w:after="0"/>
              <w:rPr>
                <w:sz w:val="20"/>
                <w:szCs w:val="20"/>
                <w:color w:val="auto"/>
              </w:rPr>
            </w:pPr>
            <w:r>
              <w:rPr>
                <w:rFonts w:ascii="Arial" w:cs="Arial" w:eastAsia="Arial" w:hAnsi="Arial"/>
                <w:sz w:val="14"/>
                <w:szCs w:val="14"/>
                <w:color w:val="auto"/>
                <w:w w:val="97"/>
              </w:rPr>
              <w:t>on or after the eighth anniversary of the date of issuance, but before the ninth anniversary of the date of issuance.</w:t>
            </w:r>
          </w:p>
        </w:tc>
      </w:tr>
      <w:tr>
        <w:trPr>
          <w:trHeight w:val="299"/>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tcPr>
          <w:p>
            <w:pPr>
              <w:ind w:left="3900"/>
              <w:spacing w:after="0"/>
              <w:rPr>
                <w:sz w:val="20"/>
                <w:szCs w:val="20"/>
                <w:color w:val="auto"/>
              </w:rPr>
            </w:pPr>
            <w:r>
              <w:rPr>
                <w:rFonts w:ascii="Arial" w:cs="Arial" w:eastAsia="Arial" w:hAnsi="Arial"/>
                <w:sz w:val="14"/>
                <w:szCs w:val="14"/>
                <w:color w:val="auto"/>
              </w:rPr>
              <w:t>F-32</w:t>
            </w:r>
          </w:p>
        </w:tc>
      </w:tr>
    </w:tbl>
    <w:p>
      <w:pPr>
        <w:sectPr>
          <w:pgSz w:w="11900" w:h="16838" w:orient="portrait"/>
          <w:cols w:equalWidth="0" w:num="1">
            <w:col w:w="11440"/>
          </w:cols>
          <w:pgMar w:left="220" w:top="402" w:right="2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96" w:lineRule="auto"/>
        <w:rPr>
          <w:sz w:val="20"/>
          <w:szCs w:val="20"/>
          <w:color w:val="auto"/>
        </w:rPr>
      </w:pPr>
      <w:r>
        <w:rPr>
          <w:rFonts w:ascii="Arial" w:cs="Arial" w:eastAsia="Arial" w:hAnsi="Arial"/>
          <w:sz w:val="14"/>
          <w:szCs w:val="14"/>
          <w:color w:val="auto"/>
        </w:rPr>
        <w:t>Due to the redemption feature, the Company has presented the Series C outside of permanent equity, in the mezzanine of the consolidated balance sheets at December 31, 2013 and 2012. At December 31, 2013, the Series C redemption value was $5,547,000.</w:t>
      </w:r>
    </w:p>
    <w:p>
      <w:pPr>
        <w:spacing w:after="0" w:line="9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i w:val="1"/>
          <w:iCs w:val="1"/>
          <w:color w:val="auto"/>
        </w:rPr>
        <w:t>Voting Rights</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The Series C shares have no voting rights.</w:t>
      </w:r>
    </w:p>
    <w:p>
      <w:pPr>
        <w:spacing w:after="0" w:line="245" w:lineRule="exact"/>
        <w:rPr>
          <w:sz w:val="20"/>
          <w:szCs w:val="20"/>
          <w:color w:val="auto"/>
        </w:rPr>
      </w:pPr>
    </w:p>
    <w:p>
      <w:pPr>
        <w:ind w:left="240" w:right="8820" w:hanging="231"/>
        <w:spacing w:after="0" w:line="366" w:lineRule="auto"/>
        <w:tabs>
          <w:tab w:leader="none" w:pos="466"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Warrants and Warrant Liabilities </w:t>
      </w:r>
      <w:r>
        <w:rPr>
          <w:rFonts w:ascii="Arial" w:cs="Arial" w:eastAsia="Arial" w:hAnsi="Arial"/>
          <w:sz w:val="14"/>
          <w:szCs w:val="14"/>
          <w:b w:val="1"/>
          <w:bCs w:val="1"/>
          <w:i w:val="1"/>
          <w:iCs w:val="1"/>
          <w:color w:val="auto"/>
        </w:rPr>
        <w:t>Warrants</w:t>
      </w: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Warrant activity is summarized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2011</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6,673,405</w:t>
            </w:r>
          </w:p>
        </w:tc>
        <w:tc>
          <w:tcPr>
            <w:tcW w:w="12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Issued</w:t>
            </w:r>
          </w:p>
        </w:tc>
        <w:tc>
          <w:tcPr>
            <w:tcW w:w="6840" w:type="dxa"/>
            <w:vAlign w:val="bottom"/>
            <w:gridSpan w:val="2"/>
          </w:tcPr>
          <w:p>
            <w:pPr>
              <w:jc w:val="right"/>
              <w:spacing w:after="0"/>
              <w:rPr>
                <w:sz w:val="20"/>
                <w:szCs w:val="20"/>
                <w:color w:val="auto"/>
              </w:rPr>
            </w:pPr>
            <w:r>
              <w:rPr>
                <w:rFonts w:ascii="Arial" w:cs="Arial" w:eastAsia="Arial" w:hAnsi="Arial"/>
                <w:sz w:val="14"/>
                <w:szCs w:val="14"/>
                <w:color w:val="auto"/>
              </w:rPr>
              <w:t>1,379,739</w:t>
            </w:r>
          </w:p>
        </w:tc>
        <w:tc>
          <w:tcPr>
            <w:tcW w:w="1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Cancelled</w:t>
            </w:r>
          </w:p>
        </w:tc>
        <w:tc>
          <w:tcPr>
            <w:tcW w:w="6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(616,726)</w:t>
            </w: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Exercised</w:t>
            </w:r>
          </w:p>
        </w:tc>
        <w:tc>
          <w:tcPr>
            <w:tcW w:w="59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(12,177)</w:t>
            </w:r>
          </w:p>
        </w:tc>
      </w:t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2012</w:t>
            </w:r>
          </w:p>
        </w:tc>
        <w:tc>
          <w:tcPr>
            <w:tcW w:w="5920" w:type="dxa"/>
            <w:vAlign w:val="bottom"/>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7,424,241</w:t>
            </w:r>
          </w:p>
        </w:tc>
        <w:tc>
          <w:tcPr>
            <w:tcW w:w="120" w:type="dxa"/>
            <w:vAlign w:val="bottom"/>
            <w:shd w:val="clear" w:color="auto" w:fill="CCEEFF"/>
          </w:tcPr>
          <w:p>
            <w:pPr>
              <w:spacing w:after="0"/>
              <w:rPr>
                <w:sz w:val="15"/>
                <w:szCs w:val="15"/>
                <w:color w:val="auto"/>
              </w:rPr>
            </w:pPr>
          </w:p>
        </w:tc>
      </w:tr>
      <w:tr>
        <w:trPr>
          <w:trHeight w:val="177"/>
        </w:trPr>
        <w:tc>
          <w:tcPr>
            <w:tcW w:w="3580" w:type="dxa"/>
            <w:vAlign w:val="bottom"/>
            <w:gridSpan w:val="2"/>
          </w:tcPr>
          <w:p>
            <w:pPr>
              <w:spacing w:after="0"/>
              <w:rPr>
                <w:sz w:val="20"/>
                <w:szCs w:val="20"/>
                <w:color w:val="auto"/>
              </w:rPr>
            </w:pPr>
            <w:r>
              <w:rPr>
                <w:rFonts w:ascii="Arial" w:cs="Arial" w:eastAsia="Arial" w:hAnsi="Arial"/>
                <w:sz w:val="14"/>
                <w:szCs w:val="14"/>
                <w:color w:val="auto"/>
              </w:rPr>
              <w:t>Issued</w:t>
            </w:r>
          </w:p>
        </w:tc>
        <w:tc>
          <w:tcPr>
            <w:tcW w:w="684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Cancelled</w:t>
            </w:r>
          </w:p>
        </w:tc>
        <w:tc>
          <w:tcPr>
            <w:tcW w:w="69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(1,344,012)</w:t>
            </w: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Exercised</w:t>
            </w:r>
          </w:p>
        </w:tc>
        <w:tc>
          <w:tcPr>
            <w:tcW w:w="59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(50,000)</w:t>
            </w:r>
          </w:p>
        </w:tc>
      </w:tr>
      <w:tr>
        <w:trPr>
          <w:trHeight w:val="177"/>
        </w:trPr>
        <w:tc>
          <w:tcPr>
            <w:tcW w:w="20" w:type="dxa"/>
            <w:vAlign w:val="bottom"/>
          </w:tcPr>
          <w:p>
            <w:pPr>
              <w:spacing w:after="0"/>
              <w:rPr>
                <w:sz w:val="15"/>
                <w:szCs w:val="15"/>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2013</w:t>
            </w:r>
          </w:p>
        </w:tc>
        <w:tc>
          <w:tcPr>
            <w:tcW w:w="5920" w:type="dxa"/>
            <w:vAlign w:val="bottom"/>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6,035,229</w:t>
            </w:r>
          </w:p>
        </w:tc>
        <w:tc>
          <w:tcPr>
            <w:tcW w:w="1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960" w:type="dxa"/>
            <w:vAlign w:val="bottom"/>
            <w:gridSpan w:val="3"/>
          </w:tcPr>
          <w:p>
            <w:pPr>
              <w:jc w:val="right"/>
              <w:ind w:right="5120"/>
              <w:spacing w:after="0"/>
              <w:rPr>
                <w:sz w:val="20"/>
                <w:szCs w:val="20"/>
                <w:color w:val="auto"/>
              </w:rPr>
            </w:pPr>
            <w:r>
              <w:rPr>
                <w:rFonts w:ascii="Arial" w:cs="Arial" w:eastAsia="Arial" w:hAnsi="Arial"/>
                <w:sz w:val="14"/>
                <w:szCs w:val="14"/>
                <w:color w:val="auto"/>
              </w:rPr>
              <w:t>F-33</w:t>
            </w:r>
          </w:p>
        </w:tc>
      </w:tr>
    </w:tbl>
    <w:p>
      <w:pPr>
        <w:sectPr>
          <w:pgSz w:w="11900" w:h="16838" w:orient="portrait"/>
          <w:cols w:equalWidth="0" w:num="1">
            <w:col w:w="11360"/>
          </w:cols>
          <w:pgMar w:left="220" w:top="402" w:right="3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information with regard to outstanding warrants issued in connection with equity and debt financings and consultants as of December 31, 2013.</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Issued in Connection With</w:t>
            </w:r>
          </w:p>
        </w:tc>
        <w:tc>
          <w:tcPr>
            <w:tcW w:w="800" w:type="dxa"/>
            <w:vAlign w:val="bottom"/>
          </w:tcPr>
          <w:p>
            <w:pPr>
              <w:jc w:val="right"/>
              <w:ind w:right="149"/>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Exercise</w:t>
            </w: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380" w:type="dxa"/>
            <w:vAlign w:val="bottom"/>
            <w:gridSpan w:val="3"/>
            <w:vMerge w:val="continue"/>
          </w:tcPr>
          <w:p>
            <w:pPr>
              <w:spacing w:after="0"/>
              <w:rPr>
                <w:sz w:val="10"/>
                <w:szCs w:val="10"/>
                <w:color w:val="auto"/>
              </w:rPr>
            </w:pPr>
          </w:p>
        </w:tc>
        <w:tc>
          <w:tcPr>
            <w:tcW w:w="800" w:type="dxa"/>
            <w:vAlign w:val="bottom"/>
          </w:tcPr>
          <w:p>
            <w:pPr>
              <w:jc w:val="right"/>
              <w:ind w:right="189"/>
              <w:spacing w:after="0" w:line="122" w:lineRule="exact"/>
              <w:rPr>
                <w:sz w:val="20"/>
                <w:szCs w:val="20"/>
                <w:color w:val="auto"/>
              </w:rPr>
            </w:pPr>
            <w:r>
              <w:rPr>
                <w:rFonts w:ascii="Arial" w:cs="Arial" w:eastAsia="Arial" w:hAnsi="Arial"/>
                <w:sz w:val="11"/>
                <w:szCs w:val="11"/>
                <w:b w:val="1"/>
                <w:bCs w:val="1"/>
                <w:color w:val="auto"/>
              </w:rPr>
              <w:t>Issued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6"/>
              </w:rPr>
              <w:t>Price</w:t>
            </w:r>
          </w:p>
        </w:tc>
        <w:tc>
          <w:tcPr>
            <w:tcW w:w="176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Exercisable Date</w:t>
            </w:r>
          </w:p>
        </w:tc>
        <w:tc>
          <w:tcPr>
            <w:tcW w:w="168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February 12, 2009 Series B-1 Transaction</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1,200,000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February 12,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February 12,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13, 2009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May 13,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May 13,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2009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tcPr>
          <w:p>
            <w:pPr>
              <w:jc w:val="right"/>
              <w:spacing w:after="0"/>
              <w:rPr>
                <w:sz w:val="20"/>
                <w:szCs w:val="20"/>
                <w:color w:val="auto"/>
              </w:rPr>
            </w:pPr>
            <w:r>
              <w:rPr>
                <w:rFonts w:ascii="Arial" w:cs="Arial" w:eastAsia="Arial" w:hAnsi="Arial"/>
                <w:sz w:val="14"/>
                <w:szCs w:val="14"/>
                <w:color w:val="auto"/>
              </w:rPr>
              <w:t>33,333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June 30,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June 30,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June 30,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June 30,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May 1, 2009 Consultant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6,250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May 1,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May 1,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2009 Consultant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June 30,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June 30,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August 12, 2009 Series B-2 Transaction</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August 12,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August 12,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200,000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August 12,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August 12,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2009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tcPr>
          <w:p>
            <w:pPr>
              <w:jc w:val="right"/>
              <w:spacing w:after="0"/>
              <w:rPr>
                <w:sz w:val="20"/>
                <w:szCs w:val="20"/>
                <w:color w:val="auto"/>
              </w:rPr>
            </w:pPr>
            <w:r>
              <w:rPr>
                <w:rFonts w:ascii="Arial" w:cs="Arial" w:eastAsia="Arial" w:hAnsi="Arial"/>
                <w:sz w:val="14"/>
                <w:szCs w:val="14"/>
                <w:color w:val="auto"/>
              </w:rPr>
              <w:t>54,166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September 30,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September 30,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September 30,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September 30,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November 4, 2009 Series B-2 Transaction</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November 4,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November 4,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206,666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November 4,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November 4,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8, 2009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tcPr>
          <w:p>
            <w:pPr>
              <w:jc w:val="right"/>
              <w:spacing w:after="0"/>
              <w:rPr>
                <w:sz w:val="20"/>
                <w:szCs w:val="20"/>
                <w:color w:val="auto"/>
              </w:rPr>
            </w:pPr>
            <w:r>
              <w:rPr>
                <w:rFonts w:ascii="Arial" w:cs="Arial" w:eastAsia="Arial" w:hAnsi="Arial"/>
                <w:sz w:val="14"/>
                <w:szCs w:val="14"/>
                <w:color w:val="auto"/>
              </w:rPr>
              <w:t>54,167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8, 2009</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December 8,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December 8, 2009</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December 8,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January 29, 2010 Series B-2 Transaction</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January 29,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January 29,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216,667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January 29,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January 29,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8, 2010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tcPr>
          <w:p>
            <w:pPr>
              <w:jc w:val="right"/>
              <w:spacing w:after="0"/>
              <w:rPr>
                <w:sz w:val="20"/>
                <w:szCs w:val="20"/>
                <w:color w:val="auto"/>
              </w:rPr>
            </w:pPr>
            <w:r>
              <w:rPr>
                <w:rFonts w:ascii="Arial" w:cs="Arial" w:eastAsia="Arial" w:hAnsi="Arial"/>
                <w:sz w:val="14"/>
                <w:szCs w:val="14"/>
                <w:color w:val="auto"/>
              </w:rPr>
              <w:t>55,834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March 8,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March 8,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March 8,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March 8,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April 30, 2010 Series B-2 Transaction</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April 30,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April 30,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tcPr>
          <w:p>
            <w:pPr>
              <w:jc w:val="right"/>
              <w:spacing w:after="0"/>
              <w:rPr>
                <w:sz w:val="20"/>
                <w:szCs w:val="20"/>
                <w:color w:val="auto"/>
              </w:rPr>
            </w:pPr>
            <w:r>
              <w:rPr>
                <w:rFonts w:ascii="Arial" w:cs="Arial" w:eastAsia="Arial" w:hAnsi="Arial"/>
                <w:sz w:val="14"/>
                <w:szCs w:val="14"/>
                <w:color w:val="auto"/>
              </w:rPr>
              <w:t>206,667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April 30,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April 30,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10, 2010 Series B-2 Transaction</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ind w:left="700"/>
              <w:spacing w:after="0"/>
              <w:rPr>
                <w:sz w:val="20"/>
                <w:szCs w:val="20"/>
                <w:color w:val="auto"/>
              </w:rPr>
            </w:pPr>
            <w:r>
              <w:rPr>
                <w:rFonts w:ascii="Arial" w:cs="Arial" w:eastAsia="Arial" w:hAnsi="Arial"/>
                <w:sz w:val="14"/>
                <w:szCs w:val="14"/>
                <w:color w:val="auto"/>
              </w:rPr>
              <w:t>$0.50 Investor Warrants—Class A-2</w:t>
            </w:r>
          </w:p>
        </w:tc>
        <w:tc>
          <w:tcPr>
            <w:tcW w:w="800" w:type="dxa"/>
            <w:vAlign w:val="bottom"/>
          </w:tcPr>
          <w:p>
            <w:pPr>
              <w:jc w:val="right"/>
              <w:spacing w:after="0"/>
              <w:rPr>
                <w:sz w:val="20"/>
                <w:szCs w:val="20"/>
                <w:color w:val="auto"/>
              </w:rPr>
            </w:pPr>
            <w:r>
              <w:rPr>
                <w:rFonts w:ascii="Arial" w:cs="Arial" w:eastAsia="Arial" w:hAnsi="Arial"/>
                <w:sz w:val="14"/>
                <w:szCs w:val="14"/>
                <w:color w:val="auto"/>
              </w:rPr>
              <w:t>95,000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May 10,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May 10,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$0.50 Investor Warrants—Class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May 10,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May 10,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May 25, 2010 Consultant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14,584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4.50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May 25,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May 25,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May 25, 2010 Consultant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May 25,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May 25, 2014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June 15, 2010 Consultant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100,000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4.26</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June 15,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June 15,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9, 2010 Consultant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December 9, 2010</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December 9,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December 30, 2010 Placement Agent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7.20</w:t>
            </w:r>
          </w:p>
        </w:tc>
        <w:tc>
          <w:tcPr>
            <w:tcW w:w="200" w:type="dxa"/>
            <w:vAlign w:val="bottom"/>
          </w:tcPr>
          <w:p>
            <w:pPr>
              <w:spacing w:after="0"/>
              <w:rPr>
                <w:sz w:val="15"/>
                <w:szCs w:val="15"/>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30, 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December 30, 2015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28, 2012 Offering Warrants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1,333,061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March 28, 2012</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March 28, 2017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gridSpan w:val="2"/>
          </w:tcPr>
          <w:p>
            <w:pPr>
              <w:ind w:left="1060"/>
              <w:spacing w:after="0"/>
              <w:rPr>
                <w:sz w:val="20"/>
                <w:szCs w:val="20"/>
                <w:color w:val="auto"/>
              </w:rPr>
            </w:pPr>
            <w:r>
              <w:rPr>
                <w:rFonts w:ascii="Arial" w:cs="Arial" w:eastAsia="Arial" w:hAnsi="Arial"/>
                <w:sz w:val="14"/>
                <w:szCs w:val="14"/>
                <w:color w:val="auto"/>
              </w:rPr>
              <w:t>Total outstanding warrants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6,035,229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January 2014, the remaining 500,000 Class A-2 warrants were exercised for cash proceeds of $1,500,000.</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Consultant Warrants</w:t>
      </w:r>
    </w:p>
    <w:p>
      <w:pPr>
        <w:spacing w:after="0" w:line="83" w:lineRule="exact"/>
        <w:rPr>
          <w:sz w:val="20"/>
          <w:szCs w:val="20"/>
          <w:color w:val="auto"/>
        </w:rPr>
      </w:pPr>
    </w:p>
    <w:p>
      <w:pPr>
        <w:ind w:left="460"/>
        <w:spacing w:after="0" w:line="275" w:lineRule="auto"/>
        <w:rPr>
          <w:sz w:val="20"/>
          <w:szCs w:val="20"/>
          <w:color w:val="auto"/>
        </w:rPr>
      </w:pPr>
      <w:r>
        <w:rPr>
          <w:rFonts w:ascii="Arial" w:cs="Arial" w:eastAsia="Arial" w:hAnsi="Arial"/>
          <w:sz w:val="14"/>
          <w:szCs w:val="14"/>
          <w:color w:val="auto"/>
        </w:rPr>
        <w:t>In May 2008 the Company entered into an agreement with Investor Relations Group (“IRG”) for IRG to provide investor relations services to the Company in exchange for cash and warrants on a monthly basis. On September 30, 2008 the Company terminated the agreement under the provisions of the agreement. During the effective contract period IRG earned 6,500 warrants valued at $3,000. The expense associated with these warrants was calculated using the Black-Scholes option-pricing model and charged to stock compensation expense. The warrants were exercisable at $3.00 per share for a period of three years and expired in 2011.</w:t>
      </w:r>
    </w:p>
    <w:p>
      <w:pPr>
        <w:spacing w:after="0" w:line="105" w:lineRule="exact"/>
        <w:rPr>
          <w:sz w:val="20"/>
          <w:szCs w:val="20"/>
          <w:color w:val="auto"/>
        </w:rPr>
      </w:pPr>
    </w:p>
    <w:p>
      <w:pPr>
        <w:ind w:left="460" w:right="80"/>
        <w:spacing w:after="0" w:line="296" w:lineRule="auto"/>
        <w:rPr>
          <w:sz w:val="20"/>
          <w:szCs w:val="20"/>
          <w:color w:val="auto"/>
        </w:rPr>
      </w:pPr>
      <w:r>
        <w:rPr>
          <w:rFonts w:ascii="Arial" w:cs="Arial" w:eastAsia="Arial" w:hAnsi="Arial"/>
          <w:sz w:val="14"/>
          <w:szCs w:val="14"/>
          <w:color w:val="auto"/>
        </w:rPr>
        <w:t>In April 2009, the Company entered into agreements with consultants that provided for the grant of warrants for the purchase of 55,000 shares of common stock at an exercise price of $3.00 per share. Of the 55,000</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40"/>
          </w:cols>
          <w:pgMar w:left="220" w:top="402"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20"/>
        <w:spacing w:after="0" w:line="291" w:lineRule="auto"/>
        <w:rPr>
          <w:sz w:val="20"/>
          <w:szCs w:val="20"/>
          <w:color w:val="auto"/>
        </w:rPr>
      </w:pPr>
      <w:r>
        <w:rPr>
          <w:rFonts w:ascii="Arial" w:cs="Arial" w:eastAsia="Arial" w:hAnsi="Arial"/>
          <w:sz w:val="13"/>
          <w:szCs w:val="13"/>
          <w:color w:val="auto"/>
        </w:rPr>
        <w:t>warrants, 13,334 vested immediately and 41,666 will vest upon the achievement of certain milestones. The initial 13,334 warrants were valued at $32,000 on issuance based on the following assumptions: an expected life of 4 years, volatility of 134%, risk free interest rate of 1.76% and zero dividends and the expense recognized upon issuance. During the year ended December 31, 2010, 8,334 warrants vested (valued at $16,000 on the vesting date using the following assumptions: expected life of 3.06 years, volatility of 140%, risk free interest rates of 1.69% and zero dividends). In 2010, when it appeared probable that the remaining 33,332 warrants would vest, the Company valued the warrants at $124,000 as of December 31, 2010 using the following assumptions: expected life of 2.29 years, volatility of 141%, risk free interest rates of 0.61% and zero dividends. The Company valued the warrants at $104,000 as of December 31, 2011 using the following assumptions: expected life of 1.29 years, volatility of 70%, risk free interest rates of 0.12% and zero dividends. The Company recognized expense related to the 33,332 warrants of $111,000 for the year ended December 31, 2010 and a reversal of expense of $13,000 for the year ended December 31, 2011. During the year ended December 31, 2012, these warrants were no longer expected to vest and the Company recognized a reversal of previously recognized expense related to these warrants of $100,000 for the year ended December 31, 2012. The 33,333 warrants that had vested from the April 2009 issuance expired in April 2013.</w:t>
      </w:r>
    </w:p>
    <w:p>
      <w:pPr>
        <w:spacing w:after="0" w:line="98" w:lineRule="exact"/>
        <w:rPr>
          <w:sz w:val="20"/>
          <w:szCs w:val="20"/>
          <w:color w:val="auto"/>
        </w:rPr>
      </w:pPr>
    </w:p>
    <w:p>
      <w:pPr>
        <w:ind w:left="460" w:right="280"/>
        <w:spacing w:after="0" w:line="272" w:lineRule="auto"/>
        <w:rPr>
          <w:sz w:val="20"/>
          <w:szCs w:val="20"/>
          <w:color w:val="auto"/>
        </w:rPr>
      </w:pPr>
      <w:r>
        <w:rPr>
          <w:rFonts w:ascii="Arial" w:cs="Arial" w:eastAsia="Arial" w:hAnsi="Arial"/>
          <w:sz w:val="14"/>
          <w:szCs w:val="14"/>
          <w:color w:val="auto"/>
        </w:rPr>
        <w:t>In May 2009, the Company entered into agreements with consultants that provided for the grant of warrants to purchase 95,834 shares of common stock at an exercise price of $3.00 per share of which 74,000 vested and 21,834 were forfeited. The warrants were valued at $232,000 on issuance based on the following assumptions: an expected life of 5 years, volatility of 124%, risk free interest rate of 2.16% and zero dividends. The Company recognized expense related to these warrants of $53,000 during the year ended December 31, 2010. As of December 31, 2010, 74,000 of these warrants were vested and 21,834 shares were forfeited. In 2013, 67,750 of these warrants were exercised leaving 6,250 outstanding at December 31, 2013.</w:t>
      </w:r>
    </w:p>
    <w:p>
      <w:pPr>
        <w:spacing w:after="0" w:line="108" w:lineRule="exact"/>
        <w:rPr>
          <w:sz w:val="20"/>
          <w:szCs w:val="20"/>
          <w:color w:val="auto"/>
        </w:rPr>
      </w:pPr>
    </w:p>
    <w:p>
      <w:pPr>
        <w:ind w:left="460"/>
        <w:spacing w:after="0" w:line="275" w:lineRule="auto"/>
        <w:rPr>
          <w:sz w:val="20"/>
          <w:szCs w:val="20"/>
          <w:color w:val="auto"/>
        </w:rPr>
      </w:pPr>
      <w:r>
        <w:rPr>
          <w:rFonts w:ascii="Arial" w:cs="Arial" w:eastAsia="Arial" w:hAnsi="Arial"/>
          <w:sz w:val="14"/>
          <w:szCs w:val="14"/>
          <w:color w:val="auto"/>
        </w:rPr>
        <w:t>In May 2010, the Company granted warrants to consultants for the purchase of 35,001 shares of common stock at an exercise price of $4.50 per share. The warrants were valued at $134,000 on issuance based on the following assumptions: an expected life of 4 years, volatility of 143%, risk free interest rate of 1.610% and zero dividends. The warrants vested immediately and the company recognized an expense of $134,000 related to these warrants during the year ended December 31, 2010. As of December 31, 2013, 14,584 of these warrants were outstanding as 13,750 and 6,667 warrants were exercised during the years ended December 31, 2013 and 2012, respectively.</w:t>
      </w:r>
    </w:p>
    <w:p>
      <w:pPr>
        <w:spacing w:after="0" w:line="105" w:lineRule="exact"/>
        <w:rPr>
          <w:sz w:val="20"/>
          <w:szCs w:val="20"/>
          <w:color w:val="auto"/>
        </w:rPr>
      </w:pPr>
    </w:p>
    <w:p>
      <w:pPr>
        <w:ind w:left="460" w:right="300"/>
        <w:spacing w:after="0" w:line="288" w:lineRule="auto"/>
        <w:rPr>
          <w:sz w:val="20"/>
          <w:szCs w:val="20"/>
          <w:color w:val="auto"/>
        </w:rPr>
      </w:pPr>
      <w:r>
        <w:rPr>
          <w:rFonts w:ascii="Arial" w:cs="Arial" w:eastAsia="Arial" w:hAnsi="Arial"/>
          <w:sz w:val="13"/>
          <w:szCs w:val="13"/>
          <w:color w:val="auto"/>
        </w:rPr>
        <w:t>In May 2010, the Company entered into an agreement with a consultant that provided for the grant of warrants for the purchase of 12,000 shares of common stock at an exercise price of $15.00 per share. The warrants were initially valued at $40,000 on issuance based on the following assumptions: an expected life of 4 years, volatility of 143%, risk free interest rate of</w:t>
      </w:r>
    </w:p>
    <w:p>
      <w:pPr>
        <w:spacing w:after="0" w:line="1" w:lineRule="exact"/>
        <w:rPr>
          <w:sz w:val="20"/>
          <w:szCs w:val="20"/>
          <w:color w:val="auto"/>
        </w:rPr>
      </w:pPr>
    </w:p>
    <w:p>
      <w:pPr>
        <w:ind w:left="460" w:right="80"/>
        <w:spacing w:after="0" w:line="295" w:lineRule="auto"/>
        <w:rPr>
          <w:sz w:val="20"/>
          <w:szCs w:val="20"/>
          <w:color w:val="auto"/>
        </w:rPr>
      </w:pPr>
      <w:r>
        <w:rPr>
          <w:rFonts w:ascii="Arial" w:cs="Arial" w:eastAsia="Arial" w:hAnsi="Arial"/>
          <w:sz w:val="13"/>
          <w:szCs w:val="13"/>
          <w:color w:val="auto"/>
        </w:rPr>
        <w:t>1.610% and zero dividends. The warrants vest at a rate of 500 per month and the unvested warrants will be revalued as they vest. At December 31, 2011, 7,500 warrants were vested and 4,500 were forfeited upon cancellation of the agreement. The following assumptions were used to value the warrants for the year ended December 31, 2011: an expected life of 2.99 to 3.32 years, volatility of 128% to 130%, risk free interest rate of 0.79% to 1.29% and zero dividends. The following assumptions were used to value the warrants for the year ended December 31, 2010: an expected life of 3.40 to 3.99 years, volatility of 130% to 144%, risk free interest rate of 0.51% to 1.68% and zero dividends. The company recognized an expense of $12,000 and $15,000 related to these warrants during the years ended December 31, 2011 and 2010, respectively. At December 31, 2013, these 7,500 warrants are outstanding.</w:t>
      </w:r>
    </w:p>
    <w:p>
      <w:pPr>
        <w:spacing w:after="0" w:line="96" w:lineRule="exact"/>
        <w:rPr>
          <w:sz w:val="20"/>
          <w:szCs w:val="20"/>
          <w:color w:val="auto"/>
        </w:rPr>
      </w:pPr>
    </w:p>
    <w:p>
      <w:pPr>
        <w:ind w:left="460" w:right="140"/>
        <w:spacing w:after="0" w:line="280" w:lineRule="auto"/>
        <w:rPr>
          <w:sz w:val="20"/>
          <w:szCs w:val="20"/>
          <w:color w:val="auto"/>
        </w:rPr>
      </w:pPr>
      <w:r>
        <w:rPr>
          <w:rFonts w:ascii="Arial" w:cs="Arial" w:eastAsia="Arial" w:hAnsi="Arial"/>
          <w:sz w:val="14"/>
          <w:szCs w:val="14"/>
          <w:color w:val="auto"/>
        </w:rPr>
        <w:t>In June 2010, the Company entered into an agreement with a consultant, who was also a board member, which provided for the grant of warrants for 100,000 shares of common stock at an exercise price of $4.26 per share. Of the 100,000 warrants, 25,000 vested immediately on signing of the agreement, 25,000 were to vest at the end of one year and the remaining 50,000 warrants were to vest based on the achievement of</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20" w:top="402" w:right="25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280"/>
        <w:spacing w:after="0" w:line="275" w:lineRule="auto"/>
        <w:rPr>
          <w:sz w:val="20"/>
          <w:szCs w:val="20"/>
          <w:color w:val="auto"/>
        </w:rPr>
      </w:pPr>
      <w:r>
        <w:rPr>
          <w:rFonts w:ascii="Arial" w:cs="Arial" w:eastAsia="Arial" w:hAnsi="Arial"/>
          <w:sz w:val="14"/>
          <w:szCs w:val="14"/>
          <w:color w:val="auto"/>
        </w:rPr>
        <w:t>certain milestones. The following assumptions were used to value the remaining unvested warrants on March 7, 2011 at the date the consultant effectively became an employee of the Company: an expected life of 4.28 years, volatility of 135%, risk free interest rate of 1.705% and zero dividends. Pursuant to an employment agreement entered into in May 2011, all remaining unvested warrants were immediately vested and the 100,000 warrants remain outstanding at December 31, 2013. The Company recognized expense of $340,000 and $219,000 related to these warrants during the years ended December 31, 2011 and 2010,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December 2010, the Company granted warrants to a consultant for the purchase of 33,334 shares of common stock at an exercise price of $3.90 per share. The warrants were valued at</w:t>
      </w:r>
    </w:p>
    <w:p>
      <w:pPr>
        <w:spacing w:after="0" w:line="33" w:lineRule="exact"/>
        <w:rPr>
          <w:sz w:val="20"/>
          <w:szCs w:val="20"/>
          <w:color w:val="auto"/>
        </w:rPr>
      </w:pPr>
    </w:p>
    <w:p>
      <w:pPr>
        <w:ind w:left="460" w:right="60"/>
        <w:spacing w:after="0" w:line="329" w:lineRule="auto"/>
        <w:rPr>
          <w:sz w:val="20"/>
          <w:szCs w:val="20"/>
          <w:color w:val="auto"/>
        </w:rPr>
      </w:pPr>
      <w:r>
        <w:rPr>
          <w:rFonts w:ascii="Arial" w:cs="Arial" w:eastAsia="Arial" w:hAnsi="Arial"/>
          <w:sz w:val="13"/>
          <w:szCs w:val="13"/>
          <w:color w:val="auto"/>
        </w:rPr>
        <w:t>$112,000 on issuance based on the following assumptions: an expected life of 5 years, volatility of 130%, risk free interest rate of 1.9% and zero dividends. The warrants vested immediately and the company recognized an expense of $112,000 related to these warrants during the year ended December 31, 2010. These warrants are outstanding at December 31, 2013.</w:t>
      </w:r>
    </w:p>
    <w:p>
      <w:pPr>
        <w:spacing w:after="0" w:line="73" w:lineRule="exact"/>
        <w:rPr>
          <w:sz w:val="20"/>
          <w:szCs w:val="20"/>
          <w:color w:val="auto"/>
        </w:rPr>
      </w:pPr>
    </w:p>
    <w:p>
      <w:pPr>
        <w:ind w:left="460" w:right="60"/>
        <w:spacing w:after="0" w:line="280" w:lineRule="auto"/>
        <w:rPr>
          <w:sz w:val="20"/>
          <w:szCs w:val="20"/>
          <w:color w:val="auto"/>
        </w:rPr>
      </w:pPr>
      <w:r>
        <w:rPr>
          <w:rFonts w:ascii="Arial" w:cs="Arial" w:eastAsia="Arial" w:hAnsi="Arial"/>
          <w:sz w:val="14"/>
          <w:szCs w:val="14"/>
          <w:color w:val="auto"/>
        </w:rPr>
        <w:t>In December 2010, the Company issued warrants to a placement agent for the purchase of 500 shares of common stock at an exercise price of $7.20 per share. These warrants were valued at $2,000 using the following assumptions: an expected life of 5 years, volatility of 130%, risk free interest rate of 2.06% and zero dividends. These warrants are outstanding at December 31, 2013.</w:t>
      </w:r>
    </w:p>
    <w:p>
      <w:pPr>
        <w:spacing w:after="0" w:line="102" w:lineRule="exact"/>
        <w:rPr>
          <w:sz w:val="20"/>
          <w:szCs w:val="20"/>
          <w:color w:val="auto"/>
        </w:rPr>
      </w:pPr>
    </w:p>
    <w:p>
      <w:pPr>
        <w:ind w:left="460" w:right="100"/>
        <w:spacing w:after="0" w:line="311" w:lineRule="auto"/>
        <w:rPr>
          <w:sz w:val="20"/>
          <w:szCs w:val="20"/>
          <w:color w:val="auto"/>
        </w:rPr>
      </w:pPr>
      <w:r>
        <w:rPr>
          <w:rFonts w:ascii="Arial" w:cs="Arial" w:eastAsia="Arial" w:hAnsi="Arial"/>
          <w:sz w:val="13"/>
          <w:szCs w:val="13"/>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at the time of the grant as they were vested at issuance. The warrants were exercised in September 2013.</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Warrants Modification</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3"/>
          <w:szCs w:val="13"/>
          <w:color w:val="auto"/>
        </w:rPr>
        <w:t>On May 6, 2013, the Company modified the terms of the Class A-2 and Class B warrants that were originally issued to the 10X Fund with the Series B Preferred Stock offering. The Class B warrants were modified to allow for the cashless exercise of all 4,000,000 outstanding Class B warrants. Previously, only half of the Class B warrants allowed for cashless exercise. The Class A-2 warrants for the purchase of 1,000,000 shares of common and all of the Class B warrants had their exercisable life extended by an additional five years. In exchange for these modifications, the 10X Fund agreed to a future amendment of the Company’s Series B certificate of designation to remove the redemption provision such that the Series B Preferred Stock will no longer be redeemable, if and when the Company will no longer be required to issue Dr. Platt a promissory note as may currently be required under the separation agreement (see Note 11). Should the Company amend their Series B certificate of designation in the future as described above, the Company will be required at that time to evaluate whether such amendment is to be accounted for as a modification or an extinguishment of the Company’s Series B Preferred Stock. The Company has accounted for the modified terms of the Class A-2 and Class B warrants pursuant to ASC 718, Stock Compensation, whereby the Company has recognized a charge for the change in fair value of the warrants immediately before and immediately after the modification. In the second quarter of 2013, the Company recognized a one-time charge of $8,763,000 related to the extension of the 5,000,000 warrants. The following assumptions were used to value the extension of the warrants immediately before and immediately after the modification: a) immediately before the modification — an expected life range of 0.77 to 2.01 years, volatility range of 77% to 96%, risk free interest rate range of 0.11% to 0.22% and zero dividends and; b) immediately following the modification — an expected life range of 5.78 to 7.02 years, volatility range of 113% to 122%, risk free interest rate range of 0.74% to 1.19% and zero dividends.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Impact of Adopting Provisions Regarding Warrant Liabilities</w:t>
      </w:r>
    </w:p>
    <w:p>
      <w:pPr>
        <w:spacing w:after="0" w:line="83" w:lineRule="exact"/>
        <w:rPr>
          <w:sz w:val="20"/>
          <w:szCs w:val="20"/>
          <w:color w:val="auto"/>
        </w:rPr>
      </w:pPr>
    </w:p>
    <w:p>
      <w:pPr>
        <w:ind w:left="460" w:right="260"/>
        <w:spacing w:after="0" w:line="296" w:lineRule="auto"/>
        <w:rPr>
          <w:sz w:val="20"/>
          <w:szCs w:val="20"/>
          <w:color w:val="auto"/>
        </w:rPr>
      </w:pPr>
      <w:r>
        <w:rPr>
          <w:rFonts w:ascii="Arial" w:cs="Arial" w:eastAsia="Arial" w:hAnsi="Arial"/>
          <w:sz w:val="14"/>
          <w:szCs w:val="14"/>
          <w:color w:val="auto"/>
        </w:rPr>
        <w:t>In June 2008, the Financial Accounting Standards Board (“FASB”) ratified standards related to determining whether an instrument (or an embedded feature) is indexed to an entity’s own stock. The standards provide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40"/>
          </w:cols>
          <w:pgMar w:left="220" w:top="402" w:right="2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69" w:lineRule="auto"/>
        <w:rPr>
          <w:sz w:val="20"/>
          <w:szCs w:val="20"/>
          <w:color w:val="auto"/>
        </w:rPr>
      </w:pPr>
      <w:r>
        <w:rPr>
          <w:rFonts w:ascii="Arial" w:cs="Arial" w:eastAsia="Arial" w:hAnsi="Arial"/>
          <w:sz w:val="14"/>
          <w:szCs w:val="14"/>
          <w:color w:val="auto"/>
        </w:rPr>
        <w:t>that an entity should use a two step approach to evaluate whether an equity-linked financial instrument (or embedded feature) is indexed to its own stock, including evaluating the instrument’s contingent exercise and settlement provisions. The standard is effective for fiscal years beginning after December 15, 2008. The Company adopted the standard on January 1, 2009 and determined that the 1,164,929 warrants issued in connection with the February 2006 Transaction that had been classified as equity and included in additional paid-in capital at December 31, 2008, should be classified as liabilities due to repricing and anti-dilution provisions contained in the warrant agreements. The impact of adopting new accounting provisions on January 1, 2009, which required the treatment of warrants with certain features as liabilities rather than equity, was a decrease in additional paid-in-capital by $458,000, which was the fair value recorded at the time the warrants were transferred from a liability to equity during the year ended December 31, 2008, an increase of warrant liabilities by $204,000, the fair value of the warrants as of January 1, 2009 and a credit to accumulated deficit for the difference.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During the year ended December 31, 2011, the Company recognized a loss of $524,000 in its consolidated statements of operations related to the change in fair value of warrant liabilities.</w:t>
      </w:r>
    </w:p>
    <w:p>
      <w:pPr>
        <w:spacing w:after="0" w:line="257" w:lineRule="exact"/>
        <w:rPr>
          <w:sz w:val="20"/>
          <w:szCs w:val="20"/>
          <w:color w:val="auto"/>
        </w:rPr>
      </w:pPr>
    </w:p>
    <w:p>
      <w:pPr>
        <w:ind w:left="460" w:hanging="451"/>
        <w:spacing w:after="0"/>
        <w:tabs>
          <w:tab w:leader="none" w:pos="46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Summary of Stock-Based Compensation Plans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December 31, 2013, the Company had three stock-based compensation plans where the Company’s common stock has been made available for equity-based incentive grants as part of the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Company’s compensation programs (the “Incentive Plans”) as follows:</w:t>
      </w:r>
    </w:p>
    <w:p>
      <w:pPr>
        <w:spacing w:after="0" w:line="144" w:lineRule="exact"/>
        <w:rPr>
          <w:sz w:val="20"/>
          <w:szCs w:val="20"/>
          <w:color w:val="auto"/>
        </w:rPr>
      </w:pPr>
    </w:p>
    <w:p>
      <w:pPr>
        <w:ind w:left="460" w:right="40"/>
        <w:spacing w:after="0" w:line="297" w:lineRule="auto"/>
        <w:rPr>
          <w:sz w:val="20"/>
          <w:szCs w:val="20"/>
          <w:color w:val="auto"/>
        </w:rPr>
      </w:pPr>
      <w:r>
        <w:rPr>
          <w:rFonts w:ascii="Arial" w:cs="Arial" w:eastAsia="Arial" w:hAnsi="Arial"/>
          <w:sz w:val="13"/>
          <w:szCs w:val="13"/>
          <w:i w:val="1"/>
          <w:iCs w:val="1"/>
          <w:color w:val="auto"/>
        </w:rPr>
        <w:t>2001 Stock Incentive Plan</w:t>
      </w:r>
      <w:r>
        <w:rPr>
          <w:rFonts w:ascii="Arial" w:cs="Arial" w:eastAsia="Arial" w:hAnsi="Arial"/>
          <w:sz w:val="13"/>
          <w:szCs w:val="13"/>
          <w:color w:val="auto"/>
        </w:rPr>
        <w:t>. In October 2001, the Company’s Board of Directors adopted the Pro-Pharmaceuticals, Inc. 2001 Stock Incentive Plan (the “Incentive Plan”), which permits</w:t>
      </w:r>
      <w:r>
        <w:rPr>
          <w:rFonts w:ascii="Arial" w:cs="Arial" w:eastAsia="Arial" w:hAnsi="Arial"/>
          <w:sz w:val="13"/>
          <w:szCs w:val="13"/>
          <w:i w:val="1"/>
          <w:iCs w:val="1"/>
          <w:color w:val="auto"/>
        </w:rPr>
        <w:t xml:space="preserve"> </w:t>
      </w:r>
      <w:r>
        <w:rPr>
          <w:rFonts w:ascii="Arial" w:cs="Arial" w:eastAsia="Arial" w:hAnsi="Arial"/>
          <w:sz w:val="13"/>
          <w:szCs w:val="13"/>
          <w:color w:val="auto"/>
        </w:rPr>
        <w:t>awards of incentive and nonqualified stock options and other forms of incentive compensation to employees and non-employees such as directors and consultants. Originally, there were 833,334 shares of common stock for issuance upon exercise of grants made under the Incentive Plan. Options granted under the Incentive Plan vest either immediately or over a period of up to three years, and expire 3 years to 10 years from the grant date. At December 31, 2013, there were no shares were available for future grant under the Incentive Plan as the terms of the Incentive Plan did not allow for grants to be made after 10 years; however, there were 194,167 options outstanding under the Incentive Plan.</w:t>
      </w:r>
    </w:p>
    <w:p>
      <w:pPr>
        <w:spacing w:after="0" w:line="95" w:lineRule="exact"/>
        <w:rPr>
          <w:sz w:val="20"/>
          <w:szCs w:val="20"/>
          <w:color w:val="auto"/>
        </w:rPr>
      </w:pPr>
    </w:p>
    <w:p>
      <w:pPr>
        <w:ind w:left="460" w:right="40"/>
        <w:spacing w:after="0" w:line="275" w:lineRule="auto"/>
        <w:rPr>
          <w:sz w:val="20"/>
          <w:szCs w:val="20"/>
          <w:color w:val="auto"/>
        </w:rPr>
      </w:pPr>
      <w:r>
        <w:rPr>
          <w:rFonts w:ascii="Arial" w:cs="Arial" w:eastAsia="Arial" w:hAnsi="Arial"/>
          <w:sz w:val="14"/>
          <w:szCs w:val="14"/>
          <w:i w:val="1"/>
          <w:iCs w:val="1"/>
          <w:color w:val="auto"/>
        </w:rPr>
        <w:t>2003 Non-Employee Director Stock Option Plan</w:t>
      </w:r>
      <w:r>
        <w:rPr>
          <w:rFonts w:ascii="Arial" w:cs="Arial" w:eastAsia="Arial" w:hAnsi="Arial"/>
          <w:sz w:val="14"/>
          <w:szCs w:val="14"/>
          <w:color w:val="auto"/>
        </w:rPr>
        <w:t>. In 2003, the stockholders approved the Pro-Pharmaceuticals, Inc. 2003 Non-Employee Director Stock Option Plan (the “Director Plan”),</w:t>
      </w:r>
      <w:r>
        <w:rPr>
          <w:rFonts w:ascii="Arial" w:cs="Arial" w:eastAsia="Arial" w:hAnsi="Arial"/>
          <w:sz w:val="14"/>
          <w:szCs w:val="14"/>
          <w:i w:val="1"/>
          <w:iCs w:val="1"/>
          <w:color w:val="auto"/>
        </w:rPr>
        <w:t xml:space="preserve"> </w:t>
      </w:r>
      <w:r>
        <w:rPr>
          <w:rFonts w:ascii="Arial" w:cs="Arial" w:eastAsia="Arial" w:hAnsi="Arial"/>
          <w:sz w:val="14"/>
          <w:szCs w:val="14"/>
          <w:color w:val="auto"/>
        </w:rPr>
        <w:t>which permits awards of stock options to non-employee directors. The stockholders originally reserved 166,667 shares of common stock for issuance upon exercise of grants made under the Director Plan. At December 31, 2013, there were no shares were available for future grant under the Director Plan as the terms of the Director Plan did not allow for grants to be made after 10 years; however, there were 5,168 options outstanding under the Director Plan.</w:t>
      </w:r>
    </w:p>
    <w:p>
      <w:pPr>
        <w:spacing w:after="0" w:line="105"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i w:val="1"/>
          <w:iCs w:val="1"/>
          <w:color w:val="auto"/>
        </w:rPr>
        <w:t>2009 Incentive Compensation Plan</w:t>
      </w:r>
      <w:r>
        <w:rPr>
          <w:rFonts w:ascii="Arial" w:cs="Arial" w:eastAsia="Arial" w:hAnsi="Arial"/>
          <w:sz w:val="14"/>
          <w:szCs w:val="14"/>
          <w:color w:val="auto"/>
        </w:rPr>
        <w:t>. In February 2009, the Company adopted the 2009 Incentive Compensation Plan (the “2009 Plan”) which provides for the issuance of up to 3,333,334</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the Company’s common stock in the form of options, stock appreciation rights, restricted stock and other stock-based awards to employees, officers, directors, consultants and other eligible persons. At December 31, 2013, 709,638 shares were available for future grant under the 2009 Plan.</w:t>
      </w:r>
    </w:p>
    <w:p>
      <w:pPr>
        <w:spacing w:after="0" w:line="102" w:lineRule="exact"/>
        <w:rPr>
          <w:sz w:val="20"/>
          <w:szCs w:val="20"/>
          <w:color w:val="auto"/>
        </w:rPr>
      </w:pPr>
    </w:p>
    <w:p>
      <w:pPr>
        <w:ind w:left="460" w:right="120"/>
        <w:spacing w:after="0" w:line="296" w:lineRule="auto"/>
        <w:rPr>
          <w:sz w:val="20"/>
          <w:szCs w:val="20"/>
          <w:color w:val="auto"/>
        </w:rPr>
      </w:pPr>
      <w:r>
        <w:rPr>
          <w:rFonts w:ascii="Arial" w:cs="Arial" w:eastAsia="Arial" w:hAnsi="Arial"/>
          <w:sz w:val="14"/>
          <w:szCs w:val="14"/>
          <w:color w:val="auto"/>
        </w:rPr>
        <w:t>In addition, the Company has awarded 1,477,379 non-plan stock option grants to employees and non-employees. These non-plan grants have vesting periods and expiration dates similar to those options granted under the Incentive Plans. At December 31, 2012, 1,416,669 non-plan grants were outstanding.</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20" w:top="402" w:right="2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is the stock-based compensation expense related to common stock options, restricted common stock and common stock warrants: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Year Ended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5860" w:type="dxa"/>
            <w:vAlign w:val="bottom"/>
            <w:tcBorders>
              <w:bottom w:val="single" w:sz="8" w:color="CCEEFF"/>
            </w:tcBorders>
          </w:tcPr>
          <w:p>
            <w:pPr>
              <w:spacing w:after="0"/>
              <w:rPr>
                <w:sz w:val="9"/>
                <w:szCs w:val="9"/>
                <w:color w:val="auto"/>
              </w:rPr>
            </w:pPr>
          </w:p>
        </w:tc>
        <w:tc>
          <w:tcPr>
            <w:tcW w:w="3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6"/>
              <w:spacing w:after="0" w:line="113" w:lineRule="exact"/>
              <w:rPr>
                <w:sz w:val="20"/>
                <w:szCs w:val="20"/>
                <w:color w:val="auto"/>
              </w:rPr>
            </w:pPr>
            <w:r>
              <w:rPr>
                <w:rFonts w:ascii="Arial" w:cs="Arial" w:eastAsia="Arial" w:hAnsi="Arial"/>
                <w:sz w:val="11"/>
                <w:szCs w:val="11"/>
                <w:b w:val="1"/>
                <w:bCs w:val="1"/>
                <w:color w:val="auto"/>
                <w:w w:val="89"/>
              </w:rPr>
              <w:t>2013</w:t>
            </w:r>
          </w:p>
        </w:tc>
        <w:tc>
          <w:tcPr>
            <w:tcW w:w="5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52"/>
              <w:spacing w:after="0" w:line="113" w:lineRule="exact"/>
              <w:rPr>
                <w:sz w:val="20"/>
                <w:szCs w:val="20"/>
                <w:color w:val="auto"/>
              </w:rPr>
            </w:pPr>
            <w:r>
              <w:rPr>
                <w:rFonts w:ascii="Arial" w:cs="Arial" w:eastAsia="Arial" w:hAnsi="Arial"/>
                <w:sz w:val="11"/>
                <w:szCs w:val="11"/>
                <w:b w:val="1"/>
                <w:bCs w:val="1"/>
                <w:color w:val="auto"/>
                <w:w w:val="89"/>
              </w:rPr>
              <w:t>2012</w:t>
            </w:r>
          </w:p>
        </w:tc>
        <w:tc>
          <w:tcPr>
            <w:tcW w:w="80" w:type="dxa"/>
            <w:vAlign w:val="bottom"/>
            <w:tcBorders>
              <w:bottom w:val="single" w:sz="8" w:color="CCEEFF"/>
            </w:tcBorders>
          </w:tcPr>
          <w:p>
            <w:pPr>
              <w:spacing w:after="0"/>
              <w:rPr>
                <w:sz w:val="9"/>
                <w:szCs w:val="9"/>
                <w:color w:val="auto"/>
              </w:rPr>
            </w:pPr>
          </w:p>
        </w:tc>
      </w:tr>
      <w:tr>
        <w:trPr>
          <w:trHeight w:val="168"/>
        </w:trPr>
        <w:tc>
          <w:tcPr>
            <w:tcW w:w="20" w:type="dxa"/>
            <w:vAlign w:val="bottom"/>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2,798</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1,870</w:t>
            </w: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stock-based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3,789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2,792</w:t>
            </w:r>
          </w:p>
        </w:tc>
        <w:tc>
          <w:tcPr>
            <w:tcW w:w="8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fair value of the options granted is determined using the Black-Scholes option-pricing model. The following weighted average assumptions were used:</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Cumulative</w:t>
            </w: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Period from</w:t>
            </w: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Inception</w:t>
            </w: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gridSpan w:val="3"/>
          </w:tcPr>
          <w:p>
            <w:pPr>
              <w:jc w:val="center"/>
              <w:ind w:left="93"/>
              <w:spacing w:after="0" w:line="122" w:lineRule="exact"/>
              <w:rPr>
                <w:sz w:val="20"/>
                <w:szCs w:val="20"/>
                <w:color w:val="auto"/>
              </w:rPr>
            </w:pPr>
            <w:r>
              <w:rPr>
                <w:rFonts w:ascii="Arial" w:cs="Arial" w:eastAsia="Arial" w:hAnsi="Arial"/>
                <w:sz w:val="11"/>
                <w:szCs w:val="11"/>
                <w:b w:val="1"/>
                <w:bCs w:val="1"/>
                <w:color w:val="auto"/>
                <w:w w:val="90"/>
              </w:rPr>
              <w:t>(July 10, 2000) to</w:t>
            </w: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December 31,</w:t>
            </w:r>
          </w:p>
        </w:tc>
      </w:tr>
      <w:tr>
        <w:trPr>
          <w:trHeight w:val="133"/>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2013</w:t>
            </w:r>
          </w:p>
        </w:tc>
        <w:tc>
          <w:tcPr>
            <w:tcW w:w="8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2012</w:t>
            </w:r>
          </w:p>
        </w:tc>
        <w:tc>
          <w:tcPr>
            <w:tcW w:w="4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2013</w:t>
            </w:r>
          </w:p>
        </w:tc>
        <w:tc>
          <w:tcPr>
            <w:tcW w:w="160" w:type="dxa"/>
            <w:vAlign w:val="bottom"/>
            <w:tcBorders>
              <w:bottom w:val="single" w:sz="8" w:color="CCEEFF"/>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1.17%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0.90%</w:t>
            </w: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w:t>
            </w:r>
          </w:p>
        </w:tc>
      </w:tr>
      <w:tr>
        <w:trPr>
          <w:trHeight w:val="177"/>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Expected life of the options</w:t>
            </w:r>
          </w:p>
        </w:tc>
        <w:tc>
          <w:tcPr>
            <w:tcW w:w="1440" w:type="dxa"/>
            <w:vAlign w:val="bottom"/>
            <w:gridSpan w:val="2"/>
          </w:tcPr>
          <w:p>
            <w:pPr>
              <w:jc w:val="right"/>
              <w:ind w:right="800"/>
              <w:spacing w:after="0"/>
              <w:rPr>
                <w:sz w:val="20"/>
                <w:szCs w:val="20"/>
                <w:color w:val="auto"/>
              </w:rPr>
            </w:pPr>
            <w:r>
              <w:rPr>
                <w:rFonts w:ascii="Arial" w:cs="Arial" w:eastAsia="Arial" w:hAnsi="Arial"/>
                <w:sz w:val="14"/>
                <w:szCs w:val="14"/>
                <w:color w:val="auto"/>
                <w:w w:val="94"/>
              </w:rPr>
              <w:t>5.29 years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5.81 years</w:t>
            </w:r>
          </w:p>
        </w:tc>
        <w:tc>
          <w:tcPr>
            <w:tcW w:w="3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5.19 years</w:t>
            </w:r>
          </w:p>
        </w:tc>
      </w:tr>
      <w:tr>
        <w:trPr>
          <w:trHeight w:val="177"/>
        </w:trPr>
        <w:tc>
          <w:tcPr>
            <w:tcW w:w="20" w:type="dxa"/>
            <w:vAlign w:val="bottom"/>
          </w:tcPr>
          <w:p>
            <w:pPr>
              <w:spacing w:after="0"/>
              <w:rPr>
                <w:sz w:val="15"/>
                <w:szCs w:val="15"/>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 of the underlying stock</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115%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116%</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119%</w:t>
            </w:r>
          </w:p>
        </w:tc>
      </w:tr>
      <w:tr>
        <w:trPr>
          <w:trHeight w:val="182"/>
        </w:trPr>
        <w:tc>
          <w:tcPr>
            <w:tcW w:w="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Expected dividend rate</w:t>
            </w:r>
          </w:p>
        </w:tc>
        <w:tc>
          <w:tcPr>
            <w:tcW w:w="1440" w:type="dxa"/>
            <w:vAlign w:val="bottom"/>
            <w:gridSpan w:val="2"/>
          </w:tcPr>
          <w:p>
            <w:pPr>
              <w:jc w:val="right"/>
              <w:ind w:right="680"/>
              <w:spacing w:after="0"/>
              <w:rPr>
                <w:sz w:val="20"/>
                <w:szCs w:val="20"/>
                <w:color w:val="auto"/>
              </w:rPr>
            </w:pPr>
            <w:r>
              <w:rPr>
                <w:rFonts w:ascii="Arial" w:cs="Arial" w:eastAsia="Arial" w:hAnsi="Arial"/>
                <w:sz w:val="14"/>
                <w:szCs w:val="14"/>
                <w:color w:val="auto"/>
              </w:rPr>
              <w:t>0%</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0%</w:t>
            </w:r>
          </w:p>
        </w:tc>
        <w:tc>
          <w:tcPr>
            <w:tcW w:w="1320" w:type="dxa"/>
            <w:vAlign w:val="bottom"/>
            <w:gridSpan w:val="3"/>
          </w:tcPr>
          <w:p>
            <w:pPr>
              <w:jc w:val="right"/>
              <w:ind w:right="40"/>
              <w:spacing w:after="0"/>
              <w:rPr>
                <w:sz w:val="20"/>
                <w:szCs w:val="20"/>
                <w:color w:val="auto"/>
              </w:rPr>
            </w:pPr>
            <w:r>
              <w:rPr>
                <w:rFonts w:ascii="Arial" w:cs="Arial" w:eastAsia="Arial" w:hAnsi="Arial"/>
                <w:sz w:val="14"/>
                <w:szCs w:val="14"/>
                <w:color w:val="auto"/>
              </w:rPr>
              <w:t>0%</w:t>
            </w:r>
          </w:p>
        </w:tc>
      </w:tr>
    </w:tbl>
    <w:p>
      <w:pPr>
        <w:spacing w:after="0" w:line="121" w:lineRule="exact"/>
        <w:rPr>
          <w:sz w:val="20"/>
          <w:szCs w:val="20"/>
          <w:color w:val="auto"/>
        </w:rPr>
      </w:pPr>
    </w:p>
    <w:p>
      <w:pPr>
        <w:ind w:left="460"/>
        <w:spacing w:after="0" w:line="295" w:lineRule="auto"/>
        <w:rPr>
          <w:sz w:val="20"/>
          <w:szCs w:val="20"/>
          <w:color w:val="auto"/>
        </w:rPr>
      </w:pPr>
      <w:r>
        <w:rPr>
          <w:rFonts w:ascii="Arial" w:cs="Arial" w:eastAsia="Arial" w:hAnsi="Arial"/>
          <w:sz w:val="13"/>
          <w:szCs w:val="13"/>
          <w:color w:val="auto"/>
        </w:rPr>
        <w:t>As noted above, the fair value of stock options is determined by using the Black-Scholes option pricing model. For all options granted since January 1, 2006 the Company has generally used option terms of between 5 to 10 years, with 5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in the foreseeable future. At December 31, 2013, the Company does not anticipate any option awards will be forfeited in the calculation of compensation expense due to the limited number of employees that receive stock option grants and the Company’s historical employee turnover.</w:t>
      </w:r>
    </w:p>
    <w:p>
      <w:pPr>
        <w:spacing w:after="0" w:line="95" w:lineRule="exact"/>
        <w:rPr>
          <w:sz w:val="20"/>
          <w:szCs w:val="20"/>
          <w:color w:val="auto"/>
        </w:rPr>
      </w:pPr>
    </w:p>
    <w:p>
      <w:pPr>
        <w:ind w:left="460" w:right="60"/>
        <w:spacing w:after="0" w:line="275" w:lineRule="auto"/>
        <w:rPr>
          <w:sz w:val="20"/>
          <w:szCs w:val="20"/>
          <w:color w:val="auto"/>
        </w:rPr>
      </w:pPr>
      <w:r>
        <w:rPr>
          <w:rFonts w:ascii="Arial" w:cs="Arial" w:eastAsia="Arial" w:hAnsi="Arial"/>
          <w:sz w:val="14"/>
          <w:szCs w:val="14"/>
          <w:color w:val="auto"/>
        </w:rPr>
        <w:t>Of the options granted during 2011, 166,668 vest only upon the achievement of certain market conditions (83,334 and 83,334 upon the Company achieving a market capitalization of $5 billion and $10 billion, respectively). These market condition stock option awards were valued at $1,006,000 using a Monte Carlo model and will be recognized over a weighted average period of 5.5 years. Assumptions used to value these options included the following: annualized volatility of 110%, annualized drift/risk-free interest rate of 3.5% and a forecast horizon/life of 10 years.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00"/>
          </w:cols>
          <w:pgMar w:left="220" w:top="402" w:right="2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the stock option activity in the stock based compensation plans: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Weighted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Average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3"/>
          </w:tcPr>
          <w:p>
            <w:pPr>
              <w:jc w:val="center"/>
              <w:ind w:left="252"/>
              <w:spacing w:after="0" w:line="122" w:lineRule="exact"/>
              <w:rPr>
                <w:sz w:val="20"/>
                <w:szCs w:val="20"/>
                <w:color w:val="auto"/>
              </w:rPr>
            </w:pPr>
            <w:r>
              <w:rPr>
                <w:rFonts w:ascii="Arial" w:cs="Arial" w:eastAsia="Arial" w:hAnsi="Arial"/>
                <w:sz w:val="11"/>
                <w:szCs w:val="11"/>
                <w:b w:val="1"/>
                <w:bCs w:val="1"/>
                <w:color w:val="auto"/>
                <w:w w:val="92"/>
              </w:rPr>
              <w:t>Weighted</w:t>
            </w:r>
          </w:p>
        </w:tc>
        <w:tc>
          <w:tcPr>
            <w:tcW w:w="8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Remaining</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Average</w:t>
            </w:r>
          </w:p>
        </w:tc>
        <w:tc>
          <w:tcPr>
            <w:tcW w:w="1380" w:type="dxa"/>
            <w:vAlign w:val="bottom"/>
            <w:gridSpan w:val="2"/>
          </w:tcPr>
          <w:p>
            <w:pPr>
              <w:jc w:val="center"/>
              <w:ind w:left="713"/>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98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w w:val="98"/>
              </w:rPr>
              <w:t>Number of</w:t>
            </w:r>
          </w:p>
        </w:tc>
        <w:tc>
          <w:tcPr>
            <w:tcW w:w="340" w:type="dxa"/>
            <w:vAlign w:val="bottom"/>
          </w:tcPr>
          <w:p>
            <w:pPr>
              <w:spacing w:after="0"/>
              <w:rPr>
                <w:sz w:val="10"/>
                <w:szCs w:val="10"/>
                <w:color w:val="auto"/>
              </w:rPr>
            </w:pPr>
          </w:p>
        </w:tc>
        <w:tc>
          <w:tcPr>
            <w:tcW w:w="4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8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Life</w:t>
            </w:r>
          </w:p>
        </w:tc>
        <w:tc>
          <w:tcPr>
            <w:tcW w:w="1560" w:type="dxa"/>
            <w:vAlign w:val="bottom"/>
            <w:gridSpan w:val="4"/>
          </w:tcPr>
          <w:p>
            <w:pPr>
              <w:ind w:left="780"/>
              <w:spacing w:after="0" w:line="122"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ind w:right="9"/>
              <w:spacing w:after="0"/>
              <w:rPr>
                <w:sz w:val="20"/>
                <w:szCs w:val="20"/>
                <w:color w:val="auto"/>
              </w:rPr>
            </w:pPr>
            <w:r>
              <w:rPr>
                <w:rFonts w:ascii="Arial" w:cs="Arial" w:eastAsia="Arial" w:hAnsi="Arial"/>
                <w:sz w:val="11"/>
                <w:szCs w:val="11"/>
                <w:b w:val="1"/>
                <w:bCs w:val="1"/>
                <w:color w:val="auto"/>
                <w:w w:val="89"/>
              </w:rPr>
              <w:t>Price</w:t>
            </w:r>
          </w:p>
        </w:tc>
        <w:tc>
          <w:tcPr>
            <w:tcW w:w="8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78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Outstanding, December 31,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3,091,474</w:t>
            </w:r>
          </w:p>
        </w:tc>
        <w:tc>
          <w:tcPr>
            <w:tcW w:w="3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8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700"/>
              <w:spacing w:after="0"/>
              <w:rPr>
                <w:sz w:val="20"/>
                <w:szCs w:val="20"/>
                <w:color w:val="auto"/>
              </w:rPr>
            </w:pPr>
            <w:r>
              <w:rPr>
                <w:rFonts w:ascii="Arial" w:cs="Arial" w:eastAsia="Arial" w:hAnsi="Arial"/>
                <w:sz w:val="14"/>
                <w:szCs w:val="14"/>
                <w:color w:val="auto"/>
              </w:rPr>
              <w:t>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800,000</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2.13</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Forfeited/Cancelled</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(299,683)</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700"/>
              <w:spacing w:after="0"/>
              <w:rPr>
                <w:sz w:val="20"/>
                <w:szCs w:val="20"/>
                <w:color w:val="auto"/>
              </w:rPr>
            </w:pPr>
            <w:r>
              <w:rPr>
                <w:rFonts w:ascii="Arial" w:cs="Arial" w:eastAsia="Arial" w:hAnsi="Arial"/>
                <w:sz w:val="14"/>
                <w:szCs w:val="14"/>
                <w:color w:val="auto"/>
              </w:rPr>
              <w:t>Exercised</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(51,830)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2.31</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December 31, 2012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3,539,961</w:t>
            </w:r>
          </w:p>
        </w:tc>
        <w:tc>
          <w:tcPr>
            <w:tcW w:w="3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700"/>
              <w:spacing w:after="0"/>
              <w:rPr>
                <w:sz w:val="20"/>
                <w:szCs w:val="20"/>
                <w:color w:val="auto"/>
              </w:rPr>
            </w:pPr>
            <w:r>
              <w:rPr>
                <w:rFonts w:ascii="Arial" w:cs="Arial" w:eastAsia="Arial" w:hAnsi="Arial"/>
                <w:sz w:val="14"/>
                <w:szCs w:val="14"/>
                <w:color w:val="auto"/>
              </w:rPr>
              <w:t>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425,426</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3.89</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Forfeited/Cancelled</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(403,674)</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14.19</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700"/>
              <w:spacing w:after="0"/>
              <w:rPr>
                <w:sz w:val="20"/>
                <w:szCs w:val="20"/>
                <w:color w:val="auto"/>
              </w:rPr>
            </w:pPr>
            <w:r>
              <w:rPr>
                <w:rFonts w:ascii="Arial" w:cs="Arial" w:eastAsia="Arial" w:hAnsi="Arial"/>
                <w:sz w:val="14"/>
                <w:szCs w:val="14"/>
                <w:color w:val="auto"/>
              </w:rPr>
              <w:t>Exercised</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(213,008)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2.18</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December 31, 2013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3,348,705</w:t>
            </w:r>
          </w:p>
        </w:tc>
        <w:tc>
          <w:tcPr>
            <w:tcW w:w="3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Exercisable, December 31, 2013</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40" w:type="dxa"/>
            <w:vAlign w:val="bottom"/>
            <w:gridSpan w:val="2"/>
            <w:vMerge w:val="continue"/>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3"/>
              </w:rPr>
              <w:t>2,084,463</w:t>
            </w:r>
          </w:p>
        </w:tc>
        <w:tc>
          <w:tcPr>
            <w:tcW w:w="36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4.43</w:t>
            </w:r>
          </w:p>
        </w:tc>
        <w:tc>
          <w:tcPr>
            <w:tcW w:w="1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6.18</w:t>
            </w:r>
          </w:p>
        </w:tc>
        <w:tc>
          <w:tcPr>
            <w:tcW w:w="860" w:type="dxa"/>
            <w:vAlign w:val="bottom"/>
            <w:gridSpan w:val="2"/>
          </w:tcPr>
          <w:p>
            <w:pPr>
              <w:ind w:left="780"/>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7,721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right="420"/>
        <w:spacing w:after="0" w:line="337" w:lineRule="auto"/>
        <w:rPr>
          <w:sz w:val="20"/>
          <w:szCs w:val="20"/>
          <w:color w:val="auto"/>
        </w:rPr>
      </w:pPr>
      <w:r>
        <w:rPr>
          <w:rFonts w:ascii="Arial" w:cs="Arial" w:eastAsia="Arial" w:hAnsi="Arial"/>
          <w:sz w:val="13"/>
          <w:szCs w:val="13"/>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2013, based on the closing price of the Company’s common stock of $8.08 on that date.</w:t>
      </w:r>
    </w:p>
    <w:p>
      <w:pPr>
        <w:spacing w:after="0" w:line="68"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color w:val="auto"/>
        </w:rPr>
        <w:t>The weighted-average grant-date fair values of options granted during 2013 and 2012 were $3.17 and $1.77, respectively. As of December 31, 2013 and December 31, 2012, there were unvested options to purchase 1,256,735 and 1,472,051 shares of common stock, respectively. Total expected unrecognized compensation cost related to such unvested options is $4,522,000 at December 31, 2013, which is expected to be recognized over a weighted-average period of 4.5 years.</w:t>
      </w:r>
    </w:p>
    <w:p>
      <w:pPr>
        <w:spacing w:after="0" w:line="102" w:lineRule="exact"/>
        <w:rPr>
          <w:sz w:val="20"/>
          <w:szCs w:val="20"/>
          <w:color w:val="auto"/>
        </w:rPr>
      </w:pPr>
    </w:p>
    <w:p>
      <w:pPr>
        <w:ind w:left="460" w:right="60"/>
        <w:spacing w:after="0" w:line="302" w:lineRule="auto"/>
        <w:rPr>
          <w:sz w:val="20"/>
          <w:szCs w:val="20"/>
          <w:color w:val="auto"/>
        </w:rPr>
      </w:pPr>
      <w:r>
        <w:rPr>
          <w:rFonts w:ascii="Arial" w:cs="Arial" w:eastAsia="Arial" w:hAnsi="Arial"/>
          <w:sz w:val="13"/>
          <w:szCs w:val="13"/>
          <w:color w:val="auto"/>
        </w:rPr>
        <w:t>During the years ended December 31 2013 and 2012, the Company issued shares totaling 213,008 and 51,830, respectively, upon the exercise of options valued at $378,000 and $96,000, respectively. During the years ended December 31, 2013 and 2012, the Company received $271,000 and $0, respectively, for the exercise of stock options. During 2013 and 2012, 173,669 and 90,253 options were exercised on a cashless basis resulting in the issuance of 81,591 and 51,830 shares, respectively. The intrinsic value of options exercised during the years ended December 31, 2013 and 2012 and from the period from inception to December 31, 2013 was $1,498,000, $162,000 and $3,222,000, respectively.</w:t>
      </w:r>
    </w:p>
    <w:p>
      <w:pPr>
        <w:spacing w:after="0" w:line="90" w:lineRule="exact"/>
        <w:rPr>
          <w:sz w:val="20"/>
          <w:szCs w:val="20"/>
          <w:color w:val="auto"/>
        </w:rPr>
      </w:pPr>
    </w:p>
    <w:p>
      <w:pPr>
        <w:ind w:left="460" w:right="240"/>
        <w:spacing w:after="0" w:line="296" w:lineRule="auto"/>
        <w:rPr>
          <w:sz w:val="20"/>
          <w:szCs w:val="20"/>
          <w:color w:val="auto"/>
        </w:rPr>
      </w:pPr>
      <w:r>
        <w:rPr>
          <w:rFonts w:ascii="Arial" w:cs="Arial" w:eastAsia="Arial" w:hAnsi="Arial"/>
          <w:sz w:val="14"/>
          <w:szCs w:val="14"/>
          <w:color w:val="auto"/>
        </w:rPr>
        <w:t>During the years ended December 31, 2013 and 2012, 614,041 and 595,420 options became vested, respectively. The total grant date fair value of options vested during the years ended December 31, 2013, 2012 and the cumulative period from inception to December 31, 2013 was $2,406,000 $2,447,000 and $15,473,000 respectively.</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320"/>
          </w:cols>
          <w:pgMar w:left="220" w:top="402" w:right="35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additional information regarding outstanding and exercisable options under our stock based compensation plans at December 31, 2013:</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Options Outstanding</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Options Exercisable</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gridSpan w:val="2"/>
          </w:tcPr>
          <w:p>
            <w:pPr>
              <w:jc w:val="center"/>
              <w:ind w:right="360"/>
              <w:spacing w:after="0" w:line="102" w:lineRule="exact"/>
              <w:rPr>
                <w:sz w:val="20"/>
                <w:szCs w:val="20"/>
                <w:color w:val="auto"/>
              </w:rPr>
            </w:pPr>
            <w:r>
              <w:rPr>
                <w:rFonts w:ascii="Arial" w:cs="Arial" w:eastAsia="Arial" w:hAnsi="Arial"/>
                <w:sz w:val="11"/>
                <w:szCs w:val="11"/>
                <w:b w:val="1"/>
                <w:bCs w:val="1"/>
                <w:color w:val="auto"/>
                <w:w w:val="92"/>
              </w:rPr>
              <w:t>Weighted</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Average</w:t>
            </w:r>
          </w:p>
        </w:tc>
        <w:tc>
          <w:tcPr>
            <w:tcW w:w="240" w:type="dxa"/>
            <w:vAlign w:val="bottom"/>
          </w:tcPr>
          <w:p>
            <w:pPr>
              <w:spacing w:after="0"/>
              <w:rPr>
                <w:sz w:val="10"/>
                <w:szCs w:val="10"/>
                <w:color w:val="auto"/>
              </w:rPr>
            </w:pPr>
          </w:p>
        </w:tc>
        <w:tc>
          <w:tcPr>
            <w:tcW w:w="1060" w:type="dxa"/>
            <w:vAlign w:val="bottom"/>
            <w:gridSpan w:val="3"/>
          </w:tcPr>
          <w:p>
            <w:pPr>
              <w:jc w:val="center"/>
              <w:ind w:right="600"/>
              <w:spacing w:after="0" w:line="122" w:lineRule="exact"/>
              <w:rPr>
                <w:sz w:val="20"/>
                <w:szCs w:val="20"/>
                <w:color w:val="auto"/>
              </w:rPr>
            </w:pPr>
            <w:r>
              <w:rPr>
                <w:rFonts w:ascii="Arial" w:cs="Arial" w:eastAsia="Arial" w:hAnsi="Arial"/>
                <w:sz w:val="11"/>
                <w:szCs w:val="11"/>
                <w:b w:val="1"/>
                <w:bCs w:val="1"/>
                <w:color w:val="auto"/>
                <w:w w:val="92"/>
              </w:rPr>
              <w:t>Weighted</w:t>
            </w:r>
          </w:p>
        </w:tc>
        <w:tc>
          <w:tcPr>
            <w:tcW w:w="640" w:type="dxa"/>
            <w:vAlign w:val="bottom"/>
          </w:tcPr>
          <w:p>
            <w:pPr>
              <w:spacing w:after="0"/>
              <w:rPr>
                <w:sz w:val="10"/>
                <w:szCs w:val="10"/>
                <w:color w:val="auto"/>
              </w:rPr>
            </w:pPr>
          </w:p>
        </w:tc>
        <w:tc>
          <w:tcPr>
            <w:tcW w:w="1160" w:type="dxa"/>
            <w:vAlign w:val="bottom"/>
            <w:gridSpan w:val="3"/>
          </w:tcPr>
          <w:p>
            <w:pPr>
              <w:jc w:val="center"/>
              <w:ind w:left="438"/>
              <w:spacing w:after="0" w:line="122" w:lineRule="exact"/>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22"/>
        </w:trPr>
        <w:tc>
          <w:tcPr>
            <w:tcW w:w="52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Exercise</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2"/>
              </w:rPr>
              <w:t>Remaining</w:t>
            </w:r>
          </w:p>
        </w:tc>
        <w:tc>
          <w:tcPr>
            <w:tcW w:w="240" w:type="dxa"/>
            <w:vAlign w:val="bottom"/>
          </w:tcPr>
          <w:p>
            <w:pPr>
              <w:spacing w:after="0"/>
              <w:rPr>
                <w:sz w:val="10"/>
                <w:szCs w:val="10"/>
                <w:color w:val="auto"/>
              </w:rPr>
            </w:pPr>
          </w:p>
        </w:tc>
        <w:tc>
          <w:tcPr>
            <w:tcW w:w="1060" w:type="dxa"/>
            <w:vAlign w:val="bottom"/>
            <w:gridSpan w:val="3"/>
          </w:tcPr>
          <w:p>
            <w:pPr>
              <w:jc w:val="center"/>
              <w:ind w:right="600"/>
              <w:spacing w:after="0" w:line="122" w:lineRule="exact"/>
              <w:rPr>
                <w:sz w:val="20"/>
                <w:szCs w:val="20"/>
                <w:color w:val="auto"/>
              </w:rPr>
            </w:pPr>
            <w:r>
              <w:rPr>
                <w:rFonts w:ascii="Arial" w:cs="Arial" w:eastAsia="Arial" w:hAnsi="Arial"/>
                <w:sz w:val="11"/>
                <w:szCs w:val="11"/>
                <w:b w:val="1"/>
                <w:bCs w:val="1"/>
                <w:color w:val="auto"/>
                <w:w w:val="87"/>
              </w:rPr>
              <w:t>Average</w:t>
            </w:r>
          </w:p>
        </w:tc>
        <w:tc>
          <w:tcPr>
            <w:tcW w:w="640" w:type="dxa"/>
            <w:vAlign w:val="bottom"/>
          </w:tcPr>
          <w:p>
            <w:pPr>
              <w:spacing w:after="0"/>
              <w:rPr>
                <w:sz w:val="10"/>
                <w:szCs w:val="10"/>
                <w:color w:val="auto"/>
              </w:rPr>
            </w:pPr>
          </w:p>
        </w:tc>
        <w:tc>
          <w:tcPr>
            <w:tcW w:w="1160" w:type="dxa"/>
            <w:vAlign w:val="bottom"/>
            <w:gridSpan w:val="3"/>
          </w:tcPr>
          <w:p>
            <w:pPr>
              <w:jc w:val="center"/>
              <w:ind w:left="438"/>
              <w:spacing w:after="0" w:line="122"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1"/>
        </w:trPr>
        <w:tc>
          <w:tcPr>
            <w:tcW w:w="5260" w:type="dxa"/>
            <w:vAlign w:val="bottom"/>
            <w:gridSpan w:val="4"/>
            <w:vMerge w:val="continue"/>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Number of</w:t>
            </w:r>
          </w:p>
        </w:tc>
        <w:tc>
          <w:tcPr>
            <w:tcW w:w="600" w:type="dxa"/>
            <w:vAlign w:val="bottom"/>
          </w:tcPr>
          <w:p>
            <w:pPr>
              <w:spacing w:after="0"/>
              <w:rPr>
                <w:sz w:val="9"/>
                <w:szCs w:val="9"/>
                <w:color w:val="auto"/>
              </w:rPr>
            </w:pPr>
          </w:p>
        </w:tc>
        <w:tc>
          <w:tcPr>
            <w:tcW w:w="940" w:type="dxa"/>
            <w:vAlign w:val="bottom"/>
            <w:gridSpan w:val="2"/>
          </w:tcPr>
          <w:p>
            <w:pPr>
              <w:jc w:val="right"/>
              <w:ind w:right="36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240" w:type="dxa"/>
            <w:vAlign w:val="bottom"/>
          </w:tcPr>
          <w:p>
            <w:pPr>
              <w:spacing w:after="0"/>
              <w:rPr>
                <w:sz w:val="9"/>
                <w:szCs w:val="9"/>
                <w:color w:val="auto"/>
              </w:rPr>
            </w:pPr>
          </w:p>
        </w:tc>
        <w:tc>
          <w:tcPr>
            <w:tcW w:w="1060" w:type="dxa"/>
            <w:vAlign w:val="bottom"/>
            <w:gridSpan w:val="3"/>
          </w:tcPr>
          <w:p>
            <w:pPr>
              <w:jc w:val="center"/>
              <w:ind w:right="580"/>
              <w:spacing w:after="0" w:line="111" w:lineRule="exact"/>
              <w:rPr>
                <w:sz w:val="20"/>
                <w:szCs w:val="20"/>
                <w:color w:val="auto"/>
              </w:rPr>
            </w:pPr>
            <w:r>
              <w:rPr>
                <w:rFonts w:ascii="Arial" w:cs="Arial" w:eastAsia="Arial" w:hAnsi="Arial"/>
                <w:sz w:val="11"/>
                <w:szCs w:val="11"/>
                <w:b w:val="1"/>
                <w:bCs w:val="1"/>
                <w:color w:val="auto"/>
                <w:w w:val="88"/>
              </w:rPr>
              <w:t>Exercise</w:t>
            </w:r>
          </w:p>
        </w:tc>
        <w:tc>
          <w:tcPr>
            <w:tcW w:w="64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Number of</w:t>
            </w:r>
          </w:p>
        </w:tc>
        <w:tc>
          <w:tcPr>
            <w:tcW w:w="1160" w:type="dxa"/>
            <w:vAlign w:val="bottom"/>
            <w:gridSpan w:val="3"/>
          </w:tcPr>
          <w:p>
            <w:pPr>
              <w:jc w:val="center"/>
              <w:ind w:left="458"/>
              <w:spacing w:after="0" w:line="111"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22"/>
        </w:trPr>
        <w:tc>
          <w:tcPr>
            <w:tcW w:w="5260" w:type="dxa"/>
            <w:vAlign w:val="bottom"/>
            <w:gridSpan w:val="4"/>
          </w:tcPr>
          <w:p>
            <w:pPr>
              <w:spacing w:after="0" w:line="102" w:lineRule="exact"/>
              <w:rPr>
                <w:sz w:val="20"/>
                <w:szCs w:val="20"/>
                <w:color w:val="auto"/>
              </w:rPr>
            </w:pPr>
            <w:r>
              <w:rPr>
                <w:rFonts w:ascii="Arial" w:cs="Arial" w:eastAsia="Arial" w:hAnsi="Arial"/>
                <w:sz w:val="11"/>
                <w:szCs w:val="11"/>
                <w:b w:val="1"/>
                <w:bCs w:val="1"/>
                <w:color w:val="auto"/>
              </w:rPr>
              <w:t>Price (Range)</w:t>
            </w:r>
          </w:p>
        </w:tc>
        <w:tc>
          <w:tcPr>
            <w:tcW w:w="640" w:type="dxa"/>
            <w:vAlign w:val="bottom"/>
          </w:tcPr>
          <w:p>
            <w:pPr>
              <w:jc w:val="right"/>
              <w:ind w:right="92"/>
              <w:spacing w:after="0" w:line="102" w:lineRule="exact"/>
              <w:rPr>
                <w:sz w:val="20"/>
                <w:szCs w:val="20"/>
                <w:color w:val="auto"/>
              </w:rPr>
            </w:pPr>
            <w:r>
              <w:rPr>
                <w:rFonts w:ascii="Arial" w:cs="Arial" w:eastAsia="Arial" w:hAnsi="Arial"/>
                <w:sz w:val="11"/>
                <w:szCs w:val="11"/>
                <w:b w:val="1"/>
                <w:bCs w:val="1"/>
                <w:color w:val="auto"/>
              </w:rPr>
              <w:t>Shares</w:t>
            </w:r>
          </w:p>
        </w:tc>
        <w:tc>
          <w:tcPr>
            <w:tcW w:w="600" w:type="dxa"/>
            <w:vAlign w:val="bottom"/>
          </w:tcPr>
          <w:p>
            <w:pPr>
              <w:spacing w:after="0"/>
              <w:rPr>
                <w:sz w:val="10"/>
                <w:szCs w:val="10"/>
                <w:color w:val="auto"/>
              </w:rPr>
            </w:pPr>
          </w:p>
        </w:tc>
        <w:tc>
          <w:tcPr>
            <w:tcW w:w="940" w:type="dxa"/>
            <w:vAlign w:val="bottom"/>
            <w:gridSpan w:val="2"/>
          </w:tcPr>
          <w:p>
            <w:pPr>
              <w:jc w:val="center"/>
              <w:ind w:right="360"/>
              <w:spacing w:after="0" w:line="102" w:lineRule="exact"/>
              <w:rPr>
                <w:sz w:val="20"/>
                <w:szCs w:val="20"/>
                <w:color w:val="auto"/>
              </w:rPr>
            </w:pPr>
            <w:r>
              <w:rPr>
                <w:rFonts w:ascii="Arial" w:cs="Arial" w:eastAsia="Arial" w:hAnsi="Arial"/>
                <w:sz w:val="11"/>
                <w:szCs w:val="11"/>
                <w:b w:val="1"/>
                <w:bCs w:val="1"/>
                <w:color w:val="auto"/>
                <w:w w:val="91"/>
              </w:rPr>
              <w:t>Life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700"/>
              <w:spacing w:after="0" w:line="102" w:lineRule="exact"/>
              <w:rPr>
                <w:sz w:val="20"/>
                <w:szCs w:val="20"/>
                <w:color w:val="auto"/>
              </w:rPr>
            </w:pPr>
            <w:r>
              <w:rPr>
                <w:rFonts w:ascii="Arial" w:cs="Arial" w:eastAsia="Arial" w:hAnsi="Arial"/>
                <w:sz w:val="11"/>
                <w:szCs w:val="11"/>
                <w:b w:val="1"/>
                <w:bCs w:val="1"/>
                <w:color w:val="auto"/>
                <w:w w:val="96"/>
              </w:rPr>
              <w:t>Price</w:t>
            </w:r>
          </w:p>
        </w:tc>
        <w:tc>
          <w:tcPr>
            <w:tcW w:w="640" w:type="dxa"/>
            <w:vAlign w:val="bottom"/>
          </w:tcPr>
          <w:p>
            <w:pPr>
              <w:jc w:val="right"/>
              <w:ind w:right="93"/>
              <w:spacing w:after="0" w:line="102" w:lineRule="exact"/>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0"/>
                <w:szCs w:val="10"/>
                <w:color w:val="auto"/>
              </w:rPr>
            </w:pPr>
          </w:p>
        </w:tc>
        <w:tc>
          <w:tcPr>
            <w:tcW w:w="4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6"/>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w w:val="93"/>
              </w:rPr>
              <w:t>(in years)</w:t>
            </w: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$0.72 – 1.83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531,839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3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531,839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91"/>
              </w:rPr>
              <w:t>$2.08</w:t>
            </w:r>
          </w:p>
        </w:tc>
        <w:tc>
          <w:tcPr>
            <w:tcW w:w="4900" w:type="dxa"/>
            <w:vAlign w:val="bottom"/>
            <w:gridSpan w:val="2"/>
          </w:tcPr>
          <w:p>
            <w:pPr>
              <w:spacing w:after="0"/>
              <w:rPr>
                <w:sz w:val="20"/>
                <w:szCs w:val="20"/>
                <w:color w:val="auto"/>
              </w:rPr>
            </w:pPr>
            <w:r>
              <w:rPr>
                <w:rFonts w:ascii="Arial" w:cs="Arial" w:eastAsia="Arial" w:hAnsi="Arial"/>
                <w:sz w:val="14"/>
                <w:szCs w:val="14"/>
                <w:color w:val="auto"/>
              </w:rPr>
              <w:t>– 2.88</w:t>
            </w:r>
          </w:p>
        </w:tc>
        <w:tc>
          <w:tcPr>
            <w:tcW w:w="640" w:type="dxa"/>
            <w:vAlign w:val="bottom"/>
          </w:tcPr>
          <w:p>
            <w:pPr>
              <w:jc w:val="right"/>
              <w:spacing w:after="0"/>
              <w:rPr>
                <w:sz w:val="20"/>
                <w:szCs w:val="20"/>
                <w:color w:val="auto"/>
              </w:rPr>
            </w:pPr>
            <w:r>
              <w:rPr>
                <w:rFonts w:ascii="Arial" w:cs="Arial" w:eastAsia="Arial" w:hAnsi="Arial"/>
                <w:sz w:val="14"/>
                <w:szCs w:val="14"/>
                <w:color w:val="auto"/>
              </w:rPr>
              <w:t>835,001</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7.18</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2.30</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496,001</w:t>
            </w:r>
          </w:p>
        </w:tc>
        <w:tc>
          <w:tcPr>
            <w:tcW w:w="7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w w:val="91"/>
              </w:rPr>
              <w:t>$3.59</w:t>
            </w: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4.41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99,720</w:t>
            </w: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91"/>
              </w:rPr>
              <w:t>$5.82</w:t>
            </w:r>
          </w:p>
        </w:tc>
        <w:tc>
          <w:tcPr>
            <w:tcW w:w="4900" w:type="dxa"/>
            <w:vAlign w:val="bottom"/>
            <w:gridSpan w:val="2"/>
          </w:tcPr>
          <w:p>
            <w:pPr>
              <w:spacing w:after="0"/>
              <w:rPr>
                <w:sz w:val="20"/>
                <w:szCs w:val="20"/>
                <w:color w:val="auto"/>
              </w:rPr>
            </w:pPr>
            <w:r>
              <w:rPr>
                <w:rFonts w:ascii="Arial" w:cs="Arial" w:eastAsia="Arial" w:hAnsi="Arial"/>
                <w:sz w:val="14"/>
                <w:szCs w:val="14"/>
                <w:color w:val="auto"/>
              </w:rPr>
              <w:t>– 7.56</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1,551,626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7.11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6.97</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884,958</w:t>
            </w:r>
          </w:p>
        </w:tc>
        <w:tc>
          <w:tcPr>
            <w:tcW w:w="7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w w:val="91"/>
              </w:rPr>
              <w:t>$8.10</w:t>
            </w: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11.40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5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71,945</w:t>
            </w: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3,348,705</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6.88</w:t>
            </w:r>
          </w:p>
        </w:tc>
        <w:tc>
          <w:tcPr>
            <w:tcW w:w="36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4.70</w:t>
            </w:r>
          </w:p>
        </w:tc>
        <w:tc>
          <w:tcPr>
            <w:tcW w:w="5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2,084,463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Stock Based Compensation Transactions</w:t>
      </w:r>
    </w:p>
    <w:p>
      <w:pPr>
        <w:spacing w:after="0" w:line="83" w:lineRule="exact"/>
        <w:rPr>
          <w:sz w:val="20"/>
          <w:szCs w:val="20"/>
          <w:color w:val="auto"/>
        </w:rPr>
      </w:pPr>
    </w:p>
    <w:p>
      <w:pPr>
        <w:ind w:left="460" w:right="20"/>
        <w:spacing w:after="0" w:line="275" w:lineRule="auto"/>
        <w:rPr>
          <w:sz w:val="20"/>
          <w:szCs w:val="20"/>
          <w:color w:val="auto"/>
        </w:rPr>
      </w:pPr>
      <w:r>
        <w:rPr>
          <w:rFonts w:ascii="Arial" w:cs="Arial" w:eastAsia="Arial" w:hAnsi="Arial"/>
          <w:sz w:val="14"/>
          <w:szCs w:val="14"/>
          <w:color w:val="auto"/>
        </w:rPr>
        <w:t>During 2001, the Company entered into a consulting agreement with a non-employee, who was also a Board member and former member of the Audit Committee, pursuant to which the Company granted 33,334 options to purchase common stock at an exercise price of $21.00 in consideration for services to be performed. At the time of issuance, these options were valued at $239,000 based on a deemed fair market value of the Company’s common stock of $13.68 per share. Total expense for the years ended December 31, 2003, 2002 and 2001 related to these options was $71,000, $64,000 and $147,000, respectively.</w:t>
      </w:r>
    </w:p>
    <w:p>
      <w:pPr>
        <w:spacing w:after="0" w:line="105" w:lineRule="exact"/>
        <w:rPr>
          <w:sz w:val="20"/>
          <w:szCs w:val="20"/>
          <w:color w:val="auto"/>
        </w:rPr>
      </w:pPr>
    </w:p>
    <w:p>
      <w:pPr>
        <w:ind w:left="460"/>
        <w:spacing w:after="0" w:line="270" w:lineRule="auto"/>
        <w:rPr>
          <w:sz w:val="20"/>
          <w:szCs w:val="20"/>
          <w:color w:val="auto"/>
        </w:rPr>
      </w:pPr>
      <w:r>
        <w:rPr>
          <w:rFonts w:ascii="Arial" w:cs="Arial" w:eastAsia="Arial" w:hAnsi="Arial"/>
          <w:sz w:val="14"/>
          <w:szCs w:val="14"/>
          <w:color w:val="auto"/>
        </w:rPr>
        <w:t>In March 2002, the Company entered into a second agreement with the same non-employee, by which the Company granted 334 options a month to purchase common stock at an exercise price of $21.00 in consideration for monthly consulting services. On November 11, 2002 such agreement was superseded by an amendment, which was effective retroactively to the date of the original agreement, March 1, 2002. Under the amended agreement, the Company granted 4,000 options on March 1, 2002, which vest at a rate of 334 options per month, as services are performed. These options were valued at $11,000 using the Black-Scholes option-pricing model, based on a grant date fair value of the Company’s common stock of $12.96 per share. During 2002, the Company recorded a $41,000 charge to stock compensation expense related to the 3,334 options that vested during the year. As of December 31, 2002, the Company had deferred compensation of $11,000 that related to the remaining unvested options, which was recognized in 2003.</w:t>
      </w:r>
    </w:p>
    <w:p>
      <w:pPr>
        <w:spacing w:after="0" w:line="110" w:lineRule="exact"/>
        <w:rPr>
          <w:sz w:val="20"/>
          <w:szCs w:val="20"/>
          <w:color w:val="auto"/>
        </w:rPr>
      </w:pPr>
    </w:p>
    <w:p>
      <w:pPr>
        <w:ind w:left="460" w:right="40"/>
        <w:spacing w:after="0" w:line="272" w:lineRule="auto"/>
        <w:rPr>
          <w:sz w:val="20"/>
          <w:szCs w:val="20"/>
          <w:color w:val="auto"/>
        </w:rPr>
      </w:pPr>
      <w:r>
        <w:rPr>
          <w:rFonts w:ascii="Arial" w:cs="Arial" w:eastAsia="Arial" w:hAnsi="Arial"/>
          <w:sz w:val="14"/>
          <w:szCs w:val="14"/>
          <w:color w:val="auto"/>
        </w:rPr>
        <w:t>In June 2003, the Company entered into a third agreement with the same non-employee, by which the Company granted 4,000 options effective retroactively to March 1, 2003, which vest at a rate of 334 options per month as services are performed. These options were valued at $33,000 using the Black-Scholes option-pricing model, based on a fair market value of the Company’s common stock of $21.00 per share. The consulting arrangement was concluded on March 1, 2004. The Company recorded fair value adjustments of ($2,000) and $21,000 related to the unvested consultant options during 2004 and 2003, respectively. Total expense for the years ended December 31, 2004 and 2003 related to these options was $17,000 and $40,000, respectively.</w:t>
      </w:r>
    </w:p>
    <w:p>
      <w:pPr>
        <w:spacing w:after="0" w:line="108" w:lineRule="exact"/>
        <w:rPr>
          <w:sz w:val="20"/>
          <w:szCs w:val="20"/>
          <w:color w:val="auto"/>
        </w:rPr>
      </w:pPr>
    </w:p>
    <w:p>
      <w:pPr>
        <w:ind w:left="460" w:right="40"/>
        <w:spacing w:after="0" w:line="275" w:lineRule="auto"/>
        <w:rPr>
          <w:sz w:val="20"/>
          <w:szCs w:val="20"/>
          <w:color w:val="auto"/>
        </w:rPr>
      </w:pPr>
      <w:r>
        <w:rPr>
          <w:rFonts w:ascii="Arial" w:cs="Arial" w:eastAsia="Arial" w:hAnsi="Arial"/>
          <w:sz w:val="14"/>
          <w:szCs w:val="14"/>
          <w:color w:val="auto"/>
        </w:rPr>
        <w:t>In January 2003, the Company granted 16,667 options at an exercise price of $21.00 to a Board member for consulting services unrelated to services performed as a director. One-third of the options vested immediately and the balance vests in equal amounts on the first and second anniversaries of the award. The options were valued at $156,000 using the Black-Scholes option-pricing model, based on a fair market value of the Company’s common stock of $16.80 per share. The consulting services were completed and the consulting arrangement was concluded as of March 31, 2004. The Company recorded fair value adjustments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40"/>
          </w:cols>
          <w:pgMar w:left="220" w:top="403" w:right="2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100"/>
        <w:spacing w:after="0" w:line="296" w:lineRule="auto"/>
        <w:rPr>
          <w:sz w:val="20"/>
          <w:szCs w:val="20"/>
          <w:color w:val="auto"/>
        </w:rPr>
      </w:pPr>
      <w:r>
        <w:rPr>
          <w:rFonts w:ascii="Arial" w:cs="Arial" w:eastAsia="Arial" w:hAnsi="Arial"/>
          <w:sz w:val="14"/>
          <w:szCs w:val="14"/>
          <w:color w:val="auto"/>
        </w:rPr>
        <w:t>of $4,000 and $82,000 related to the unvested consultant options during 2004 and 2003, respectively. Total expense for the years ended December 31, 2004 and 2003 related to these options was $51,000 and $193,000, respectively.</w:t>
      </w:r>
    </w:p>
    <w:p>
      <w:pPr>
        <w:spacing w:after="0" w:line="91" w:lineRule="exact"/>
        <w:rPr>
          <w:sz w:val="20"/>
          <w:szCs w:val="20"/>
          <w:color w:val="auto"/>
        </w:rPr>
      </w:pPr>
    </w:p>
    <w:p>
      <w:pPr>
        <w:ind w:left="460" w:right="100"/>
        <w:spacing w:after="0" w:line="275" w:lineRule="auto"/>
        <w:rPr>
          <w:sz w:val="20"/>
          <w:szCs w:val="20"/>
          <w:color w:val="auto"/>
        </w:rPr>
      </w:pPr>
      <w:r>
        <w:rPr>
          <w:rFonts w:ascii="Arial" w:cs="Arial" w:eastAsia="Arial" w:hAnsi="Arial"/>
          <w:sz w:val="14"/>
          <w:szCs w:val="14"/>
          <w:color w:val="auto"/>
        </w:rPr>
        <w:t>In May 2003, the Company granted 1,667 options at an exercise price of $21.00 to a new member of the Scientific Advisory Board. One-half of the options vested immediately and the balance vests on the second anniversary. These options were valued at $16,000 using the Black-Scholes option-pricing model based on a fair market value of the Company’s common stock of $16.80 per share. The Company recorded fair value adjustments of $2,000 and $6,000 related to the unvested consultant options during 2004 and 2003, respectively. Total expense for the years ended December 31, 2004 and 2003 related to these options was $5,000 and $13,000, respectively.</w:t>
      </w:r>
    </w:p>
    <w:p>
      <w:pPr>
        <w:spacing w:after="0" w:line="105" w:lineRule="exact"/>
        <w:rPr>
          <w:sz w:val="20"/>
          <w:szCs w:val="20"/>
          <w:color w:val="auto"/>
        </w:rPr>
      </w:pPr>
    </w:p>
    <w:p>
      <w:pPr>
        <w:jc w:val="both"/>
        <w:ind w:left="460" w:right="260"/>
        <w:spacing w:after="0" w:line="280" w:lineRule="auto"/>
        <w:rPr>
          <w:sz w:val="20"/>
          <w:szCs w:val="20"/>
          <w:color w:val="auto"/>
        </w:rPr>
      </w:pPr>
      <w:r>
        <w:rPr>
          <w:rFonts w:ascii="Arial" w:cs="Arial" w:eastAsia="Arial" w:hAnsi="Arial"/>
          <w:sz w:val="14"/>
          <w:szCs w:val="14"/>
          <w:color w:val="auto"/>
        </w:rPr>
        <w:t>In September 2003, the Company granted 4,167 options each to a Board member and to a member of the Scientific Advisory Board for consulting services. The options were exercisable immediately at $24.30 per share. These options were valued using the Black-Scholes option-pricing model based on a grant date fair value of the Company’s common stock of $14.64 per share. The Company recorded a $122,000 charge to stock compensation expense in 2003 related to these awards.</w:t>
      </w:r>
    </w:p>
    <w:p>
      <w:pPr>
        <w:spacing w:after="0" w:line="102" w:lineRule="exact"/>
        <w:rPr>
          <w:sz w:val="20"/>
          <w:szCs w:val="20"/>
          <w:color w:val="auto"/>
        </w:rPr>
      </w:pPr>
    </w:p>
    <w:p>
      <w:pPr>
        <w:ind w:left="460"/>
        <w:spacing w:after="0" w:line="297" w:lineRule="auto"/>
        <w:rPr>
          <w:sz w:val="20"/>
          <w:szCs w:val="20"/>
          <w:color w:val="auto"/>
        </w:rPr>
      </w:pPr>
      <w:r>
        <w:rPr>
          <w:rFonts w:ascii="Arial" w:cs="Arial" w:eastAsia="Arial" w:hAnsi="Arial"/>
          <w:sz w:val="13"/>
          <w:szCs w:val="13"/>
          <w:color w:val="auto"/>
        </w:rPr>
        <w:t>In October 2003, in connection with the resignation of its former Chief Financial Officer, the Company accelerated the vesting on 16,667 options granted to such officer in September 2003 at an exercise price of $24.30, which was equal to the fair market value of the common stock on the date of grant. As the fair market value of the common stock was $26.70 per share at the time the vesting was accelerated, the Company recorded a $40,000 charge to stock compensation expense. Also, in October 2003, such officer exercised on a cashless basis 8,334 options at an exercise price of $17.82 per share resulting in the issuance of 2,772 shares. As the fair market value of the Company’s common stock on the date of exercise was $26.70 per share, the Company recorded a charge of $74,000 to stock compensation expense in 2003 related to the exercise of these options.</w:t>
      </w:r>
    </w:p>
    <w:p>
      <w:pPr>
        <w:spacing w:after="0" w:line="95" w:lineRule="exact"/>
        <w:rPr>
          <w:sz w:val="20"/>
          <w:szCs w:val="20"/>
          <w:color w:val="auto"/>
        </w:rPr>
      </w:pPr>
    </w:p>
    <w:p>
      <w:pPr>
        <w:ind w:left="460" w:right="140"/>
        <w:spacing w:after="0" w:line="297" w:lineRule="auto"/>
        <w:rPr>
          <w:sz w:val="20"/>
          <w:szCs w:val="20"/>
          <w:color w:val="auto"/>
        </w:rPr>
      </w:pPr>
      <w:r>
        <w:rPr>
          <w:rFonts w:ascii="Arial" w:cs="Arial" w:eastAsia="Arial" w:hAnsi="Arial"/>
          <w:sz w:val="13"/>
          <w:szCs w:val="13"/>
          <w:color w:val="auto"/>
        </w:rPr>
        <w:t>In March 2004, the Company issued 4,167 options in fulfillment of a September 2003 agreement with an investor relations firm. The agreement obligated the Company to pay a monthly retainer and issue options at a rate of 834 options per month, up to a maximum of 16,667 options, exercisable at $34.80 per share as services are performed. The Company concluded the engagement in February 2004. The options were exercisable immediately and expired on March 26, 2007. Accordingly, the Company recorded $29,000 as stock compensation expense in 2003 on the 2,500 options that vested as of December 31, 2003 and an additional stock compensation expense of $23,000 in 2004 on the 10,000 options that vested in January and February 2004. The stock compensation expense was determined based on a fair market value of the options when the options were earned. These options expired unexercised in 2007.</w:t>
      </w:r>
    </w:p>
    <w:p>
      <w:pPr>
        <w:spacing w:after="0" w:line="95" w:lineRule="exact"/>
        <w:rPr>
          <w:sz w:val="20"/>
          <w:szCs w:val="20"/>
          <w:color w:val="auto"/>
        </w:rPr>
      </w:pPr>
    </w:p>
    <w:p>
      <w:pPr>
        <w:ind w:left="460" w:right="120"/>
        <w:spacing w:after="0" w:line="272" w:lineRule="auto"/>
        <w:rPr>
          <w:sz w:val="20"/>
          <w:szCs w:val="20"/>
          <w:color w:val="auto"/>
        </w:rPr>
      </w:pPr>
      <w:r>
        <w:rPr>
          <w:rFonts w:ascii="Arial" w:cs="Arial" w:eastAsia="Arial" w:hAnsi="Arial"/>
          <w:sz w:val="14"/>
          <w:szCs w:val="14"/>
          <w:color w:val="auto"/>
        </w:rPr>
        <w:t>In April 2004, the Company entered into an agreement with an investor relations firm. The agreement obligated the Company to pay a monthly retainer and issue options at a rate of 834 per month up to a maximum of 10,000 options exercisable at $30.96 per share as services are performed. During 2004, 7,500 options were earned but not issued. During 2005, 2,500 options were earned and the full 10,000 options were issued. The Company recorded $67,000 in 2004 and $14,000 in 2005 as stock compensation expense related to this agreement. The stock compensation expense was determined based on the fair market value of the options when the options were earned. The options were exercisable immediately and expired three years from the agreement date. These options expired unexercised in 2007.</w:t>
      </w:r>
    </w:p>
    <w:p>
      <w:pPr>
        <w:spacing w:after="0" w:line="108" w:lineRule="exact"/>
        <w:rPr>
          <w:sz w:val="20"/>
          <w:szCs w:val="20"/>
          <w:color w:val="auto"/>
        </w:rPr>
      </w:pPr>
    </w:p>
    <w:p>
      <w:pPr>
        <w:ind w:left="460" w:right="40"/>
        <w:spacing w:after="0" w:line="311" w:lineRule="auto"/>
        <w:rPr>
          <w:sz w:val="20"/>
          <w:szCs w:val="20"/>
          <w:color w:val="auto"/>
        </w:rPr>
      </w:pPr>
      <w:r>
        <w:rPr>
          <w:rFonts w:ascii="Arial" w:cs="Arial" w:eastAsia="Arial" w:hAnsi="Arial"/>
          <w:sz w:val="13"/>
          <w:szCs w:val="13"/>
          <w:color w:val="auto"/>
        </w:rPr>
        <w:t>In November 2005, the Company issued 834 options to a member of the Scientific Advisory Board for consulting services. The options were exercisable immediately at $15.66 per share. These options were valued using the Black-Scholes option-pricing model based on a grant date fair value of the Company’s common stock of $8.10 per share which was the fair market value at the date of the grant. The Company recorded a $7,000 charge to stock compensation expense in 2005 related to this award. These options expired unexercised in 2010.</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460"/>
          </w:cols>
          <w:pgMar w:left="220" w:top="403" w:right="2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100"/>
        <w:spacing w:after="0" w:line="275" w:lineRule="auto"/>
        <w:rPr>
          <w:sz w:val="20"/>
          <w:szCs w:val="20"/>
          <w:color w:val="auto"/>
        </w:rPr>
      </w:pPr>
      <w:r>
        <w:rPr>
          <w:rFonts w:ascii="Arial" w:cs="Arial" w:eastAsia="Arial" w:hAnsi="Arial"/>
          <w:sz w:val="14"/>
          <w:szCs w:val="14"/>
          <w:color w:val="auto"/>
        </w:rPr>
        <w:t>In March 2006 the Company issued 2,500 options to a consultant for consulting services, of which 834 of the options were exercisable immediately, 833 options vested in March 2008 and 833 options vested in March 2009. The options are exercisable at $22.50 per share. These options were valued using the Black-Scholes option-pricing model based on a grant date fair value of the Company’s common stock of $13.20 per share which was the fair market value at the date of the grant. The Company recorded a $33,000 charge to stock compensation expense over the vesting period of the options.</w:t>
      </w:r>
    </w:p>
    <w:p>
      <w:pPr>
        <w:spacing w:after="0" w:line="105"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color w:val="auto"/>
        </w:rPr>
        <w:t>In December 2007, the Company issued 834 options to a consultant for consulting services. The options were exercisable immediately at $3.78 per share. These options were valued using the Black-Scholes option-pricing model based on a grant date fair value of the Company’s common stock of $2.76 per share which was the fair market value at the date of the grant. The Company recorded a $2,000 charge to stock compensation expense in 2007 related to this award.</w:t>
      </w:r>
    </w:p>
    <w:p>
      <w:pPr>
        <w:spacing w:after="0" w:line="102" w:lineRule="exact"/>
        <w:rPr>
          <w:sz w:val="20"/>
          <w:szCs w:val="20"/>
          <w:color w:val="auto"/>
        </w:rPr>
      </w:pPr>
    </w:p>
    <w:p>
      <w:pPr>
        <w:ind w:left="460" w:right="180"/>
        <w:spacing w:after="0" w:line="280" w:lineRule="auto"/>
        <w:rPr>
          <w:sz w:val="20"/>
          <w:szCs w:val="20"/>
          <w:color w:val="auto"/>
        </w:rPr>
      </w:pPr>
      <w:r>
        <w:rPr>
          <w:rFonts w:ascii="Arial" w:cs="Arial" w:eastAsia="Arial" w:hAnsi="Arial"/>
          <w:sz w:val="14"/>
          <w:szCs w:val="14"/>
          <w:color w:val="auto"/>
        </w:rPr>
        <w:t>In April 2008, the Company issued 8,000 options to a consultant for consulting services. The options were exercisable immediately at $2.64 per share. These options were valued using the Black-Scholes option-pricing model based on a grant date fair value of the Company’s common stock of $2.34 per share which was the fair market value at the date of the grant. The Company recorded a $15,000 charge to stock compensation expense in 2008 related to this award.</w:t>
      </w:r>
    </w:p>
    <w:p>
      <w:pPr>
        <w:spacing w:after="0" w:line="102" w:lineRule="exact"/>
        <w:rPr>
          <w:sz w:val="20"/>
          <w:szCs w:val="20"/>
          <w:color w:val="auto"/>
        </w:rPr>
      </w:pPr>
    </w:p>
    <w:p>
      <w:pPr>
        <w:ind w:left="460" w:right="80"/>
        <w:spacing w:after="0" w:line="280" w:lineRule="auto"/>
        <w:rPr>
          <w:sz w:val="20"/>
          <w:szCs w:val="20"/>
          <w:color w:val="auto"/>
        </w:rPr>
      </w:pPr>
      <w:r>
        <w:rPr>
          <w:rFonts w:ascii="Arial" w:cs="Arial" w:eastAsia="Arial" w:hAnsi="Arial"/>
          <w:sz w:val="14"/>
          <w:szCs w:val="14"/>
          <w:color w:val="auto"/>
        </w:rPr>
        <w:t>In February 2009, the Company issued 33,334 options to a consultant for consulting services. The options were exercisable immediately at $0 per share. These options were valued using the Black-Scholes option-pricing model based on a grant date fair value of the Company’s common stock of $0.72 per share which was the fair market value at the date of the grant. The Company recorded a $24,000 charge to stock compensation expense in 2009 related to this award.</w:t>
      </w:r>
    </w:p>
    <w:p>
      <w:pPr>
        <w:spacing w:after="0" w:line="102" w:lineRule="exact"/>
        <w:rPr>
          <w:sz w:val="20"/>
          <w:szCs w:val="20"/>
          <w:color w:val="auto"/>
        </w:rPr>
      </w:pPr>
    </w:p>
    <w:p>
      <w:pPr>
        <w:ind w:left="460" w:right="80"/>
        <w:spacing w:after="0" w:line="272" w:lineRule="auto"/>
        <w:rPr>
          <w:sz w:val="20"/>
          <w:szCs w:val="20"/>
          <w:color w:val="auto"/>
        </w:rPr>
      </w:pPr>
      <w:r>
        <w:rPr>
          <w:rFonts w:ascii="Arial" w:cs="Arial" w:eastAsia="Arial" w:hAnsi="Arial"/>
          <w:sz w:val="14"/>
          <w:szCs w:val="14"/>
          <w:color w:val="auto"/>
        </w:rPr>
        <w:t>During the year ended December 31, 2012, the Company modified the terms of certain option grants for four employees to extend the exercisable period from ninety days post-employment to the remaining legal life of the option grant. During the year ended December 31, 2012, the Company modified certain cashless exercise terms for one employee. The modification of these option terms resulted in additional stock-based compensation expense of $271,000 during the year ended December 31, 2012. During the year ended December 31, 2011, the Company modified the options of one employee to extend the exercisable period post-employment from ninety days to the remaining legal life of the option, resulting in additional stock-based compensation expense of $63,000.</w:t>
      </w:r>
    </w:p>
    <w:p>
      <w:pPr>
        <w:spacing w:after="0" w:line="108" w:lineRule="exact"/>
        <w:rPr>
          <w:sz w:val="20"/>
          <w:szCs w:val="20"/>
          <w:color w:val="auto"/>
        </w:rPr>
      </w:pPr>
    </w:p>
    <w:p>
      <w:pPr>
        <w:ind w:left="460" w:right="140"/>
        <w:spacing w:after="0" w:line="296" w:lineRule="auto"/>
        <w:rPr>
          <w:sz w:val="20"/>
          <w:szCs w:val="20"/>
          <w:color w:val="auto"/>
        </w:rPr>
      </w:pPr>
      <w:r>
        <w:rPr>
          <w:rFonts w:ascii="Arial" w:cs="Arial" w:eastAsia="Arial" w:hAnsi="Arial"/>
          <w:sz w:val="14"/>
          <w:szCs w:val="14"/>
          <w:color w:val="auto"/>
        </w:rPr>
        <w:t>In May 2012, the Company granted 7,000 shares of common stock to a consultant for payment of past services. These shares of common stock were valued at $16,000, based on the market value of the shares at the date of grant and are included in stock based compensation expense for the year ended December 31, 2012.</w:t>
      </w:r>
    </w:p>
    <w:p>
      <w:pPr>
        <w:spacing w:after="0" w:line="91" w:lineRule="exact"/>
        <w:rPr>
          <w:sz w:val="20"/>
          <w:szCs w:val="20"/>
          <w:color w:val="auto"/>
        </w:rPr>
      </w:pPr>
    </w:p>
    <w:p>
      <w:pPr>
        <w:ind w:left="460" w:right="260"/>
        <w:spacing w:after="0" w:line="296" w:lineRule="auto"/>
        <w:rPr>
          <w:sz w:val="20"/>
          <w:szCs w:val="20"/>
          <w:color w:val="auto"/>
        </w:rPr>
      </w:pPr>
      <w:r>
        <w:rPr>
          <w:rFonts w:ascii="Arial" w:cs="Arial" w:eastAsia="Arial" w:hAnsi="Arial"/>
          <w:sz w:val="14"/>
          <w:szCs w:val="14"/>
          <w:color w:val="auto"/>
        </w:rPr>
        <w:t>In August 2012, the Company granted 4,348 shares of common stock to a consultant for payment of services. These shares of common stock were valued at $10,000, based on the market value of the shares at the date of grant and are included in stock based compensation expense for the year ended December 31, 2012.</w:t>
      </w:r>
    </w:p>
    <w:p>
      <w:pPr>
        <w:spacing w:after="0" w:line="91" w:lineRule="exact"/>
        <w:rPr>
          <w:sz w:val="20"/>
          <w:szCs w:val="20"/>
          <w:color w:val="auto"/>
        </w:rPr>
      </w:pPr>
    </w:p>
    <w:p>
      <w:pPr>
        <w:ind w:left="460" w:right="200"/>
        <w:spacing w:after="0" w:line="275" w:lineRule="auto"/>
        <w:rPr>
          <w:sz w:val="20"/>
          <w:szCs w:val="20"/>
          <w:color w:val="auto"/>
        </w:rPr>
      </w:pPr>
      <w:r>
        <w:rPr>
          <w:rFonts w:ascii="Arial" w:cs="Arial" w:eastAsia="Arial" w:hAnsi="Arial"/>
          <w:sz w:val="14"/>
          <w:szCs w:val="14"/>
          <w:color w:val="auto"/>
        </w:rPr>
        <w:t>In September 2013, the Company modified certain vested stock options held by a former member of the Company’s board of directors. The individual left the board on May 23, 2013. The modification extended the contractual period of exercise of 103,158 stock options until the end of their original terms instead of such options expiring 3 months after service on the board ended. As a result, the Company recorded a one-time, non-cash charge of $930,000 in general and administrative expenses related to the modification in for the year ended December 31, 2013.</w:t>
      </w:r>
    </w:p>
    <w:p>
      <w:pPr>
        <w:spacing w:after="0" w:line="105" w:lineRule="exact"/>
        <w:rPr>
          <w:sz w:val="20"/>
          <w:szCs w:val="20"/>
          <w:color w:val="auto"/>
        </w:rPr>
      </w:pPr>
    </w:p>
    <w:p>
      <w:pPr>
        <w:ind w:left="460" w:right="280"/>
        <w:spacing w:after="0" w:line="296" w:lineRule="auto"/>
        <w:rPr>
          <w:sz w:val="20"/>
          <w:szCs w:val="20"/>
          <w:color w:val="auto"/>
        </w:rPr>
      </w:pPr>
      <w:r>
        <w:rPr>
          <w:rFonts w:ascii="Arial" w:cs="Arial" w:eastAsia="Arial" w:hAnsi="Arial"/>
          <w:sz w:val="14"/>
          <w:szCs w:val="14"/>
          <w:color w:val="auto"/>
        </w:rPr>
        <w:t>In June 2013 the Company issued 25,000 options to a consultant for consulting services, which vested in August 2013. The options are exercisable at $3.97 per share. These options were valued using the Black-</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60"/>
          </w:cols>
          <w:pgMar w:left="220" w:top="403" w:right="21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340"/>
        <w:spacing w:after="0" w:line="296" w:lineRule="auto"/>
        <w:rPr>
          <w:sz w:val="20"/>
          <w:szCs w:val="20"/>
          <w:color w:val="auto"/>
        </w:rPr>
      </w:pPr>
      <w:r>
        <w:rPr>
          <w:rFonts w:ascii="Arial" w:cs="Arial" w:eastAsia="Arial" w:hAnsi="Arial"/>
          <w:sz w:val="14"/>
          <w:szCs w:val="14"/>
          <w:color w:val="auto"/>
        </w:rPr>
        <w:t>Scholes option-pricing model based on a grant date fair value of the Company’s common stock ranging from $3.97 per share upon grant to $7.25 per share at completion of vesting. The Company recorded a $173,000 charge to stock compensation expense over the vesting period of the options.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83" w:lineRule="exact"/>
        <w:rPr>
          <w:sz w:val="20"/>
          <w:szCs w:val="20"/>
          <w:color w:val="auto"/>
        </w:rPr>
      </w:pPr>
    </w:p>
    <w:p>
      <w:pPr>
        <w:ind w:left="460"/>
        <w:spacing w:after="0" w:line="275" w:lineRule="auto"/>
        <w:rPr>
          <w:sz w:val="20"/>
          <w:szCs w:val="20"/>
          <w:color w:val="auto"/>
        </w:rPr>
      </w:pPr>
      <w:r>
        <w:rPr>
          <w:rFonts w:ascii="Arial" w:cs="Arial" w:eastAsia="Arial" w:hAnsi="Arial"/>
          <w:sz w:val="14"/>
          <w:szCs w:val="14"/>
          <w:color w:val="auto"/>
        </w:rPr>
        <w:t>During the year ended December 31, 2009, the Company granted 416,670 shares of restricted common stock to members of its Board of Directors. These shares were restricted and any unvested shares were subject to forfeiture upon termination and would revert back to the Company. Of the 416,670 shares, 390,628 were vested as of December 31, 2010, and the final 26,042 vested in 2011. The restricted shares were valued at $450,000 ($1.08 per share) at the date of grant and were recognized over the vesting period. During 2011, the Company recognized stock-based compensation of $18,000 related to these restricted stock grants.</w:t>
      </w:r>
    </w:p>
    <w:p>
      <w:pPr>
        <w:spacing w:after="0" w:line="105" w:lineRule="exact"/>
        <w:rPr>
          <w:sz w:val="20"/>
          <w:szCs w:val="20"/>
          <w:color w:val="auto"/>
        </w:rPr>
      </w:pPr>
    </w:p>
    <w:p>
      <w:pPr>
        <w:ind w:left="460" w:right="340"/>
        <w:spacing w:after="0" w:line="280" w:lineRule="auto"/>
        <w:rPr>
          <w:sz w:val="20"/>
          <w:szCs w:val="20"/>
          <w:color w:val="auto"/>
        </w:rPr>
      </w:pPr>
      <w:r>
        <w:rPr>
          <w:rFonts w:ascii="Arial" w:cs="Arial" w:eastAsia="Arial" w:hAnsi="Arial"/>
          <w:sz w:val="14"/>
          <w:szCs w:val="14"/>
          <w:color w:val="auto"/>
        </w:rPr>
        <w:t>In 2011, the Company issued 20,834 shares of restricted common stock to a consultant. These shares were restricted until November 15, 2011 and any unvested shares were subject to forfeiture upon termination and would revert back to the Company. At December 31, 2011 there no restricted shares remaining. The restricted shares were valued at $113,000 ($5.40 per share) at November 15, 2011, and the Company recognized expense of $110,000 during 2011 related to these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00" w:type="dxa"/>
            <w:vAlign w:val="bottom"/>
            <w:gridSpan w:val="2"/>
          </w:tcPr>
          <w:p>
            <w:pPr>
              <w:jc w:val="right"/>
              <w:ind w:right="500"/>
              <w:spacing w:after="0" w:line="122" w:lineRule="exact"/>
              <w:rPr>
                <w:sz w:val="20"/>
                <w:szCs w:val="20"/>
                <w:color w:val="auto"/>
              </w:rPr>
            </w:pPr>
            <w:r>
              <w:rPr>
                <w:rFonts w:ascii="Arial" w:cs="Arial" w:eastAsia="Arial" w:hAnsi="Arial"/>
                <w:sz w:val="11"/>
                <w:szCs w:val="11"/>
                <w:b w:val="1"/>
                <w:bCs w:val="1"/>
                <w:color w:val="auto"/>
                <w:w w:val="87"/>
              </w:rPr>
              <w:t>Number of</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Shares</w:t>
            </w:r>
          </w:p>
        </w:tc>
        <w:tc>
          <w:tcPr>
            <w:tcW w:w="460" w:type="dxa"/>
            <w:vAlign w:val="bottom"/>
          </w:tcPr>
          <w:p>
            <w:pPr>
              <w:spacing w:after="0"/>
              <w:rPr>
                <w:sz w:val="11"/>
                <w:szCs w:val="11"/>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Price on Grant</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restricted shares outstanding, December 31, 2010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26,042</w:t>
            </w:r>
          </w:p>
        </w:tc>
        <w:tc>
          <w:tcPr>
            <w:tcW w:w="4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center"/>
              <w:ind w:left="273"/>
              <w:spacing w:after="0"/>
              <w:rPr>
                <w:sz w:val="20"/>
                <w:szCs w:val="20"/>
                <w:color w:val="auto"/>
              </w:rPr>
            </w:pPr>
            <w:r>
              <w:rPr>
                <w:rFonts w:ascii="Arial" w:cs="Arial" w:eastAsia="Arial" w:hAnsi="Arial"/>
                <w:sz w:val="14"/>
                <w:szCs w:val="14"/>
                <w:color w:val="auto"/>
                <w:w w:val="95"/>
              </w:rPr>
              <w:t>1.08</w:t>
            </w: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tcPr>
          <w:p>
            <w:pPr>
              <w:ind w:left="360"/>
              <w:spacing w:after="0"/>
              <w:rPr>
                <w:sz w:val="20"/>
                <w:szCs w:val="20"/>
                <w:color w:val="auto"/>
              </w:rPr>
            </w:pPr>
            <w:r>
              <w:rPr>
                <w:rFonts w:ascii="Arial" w:cs="Arial" w:eastAsia="Arial" w:hAnsi="Arial"/>
                <w:sz w:val="14"/>
                <w:szCs w:val="14"/>
                <w:color w:val="auto"/>
              </w:rPr>
              <w:t>Restricted shares issued</w:t>
            </w:r>
          </w:p>
        </w:tc>
        <w:tc>
          <w:tcPr>
            <w:tcW w:w="520" w:type="dxa"/>
            <w:vAlign w:val="bottom"/>
          </w:tcPr>
          <w:p>
            <w:pPr>
              <w:jc w:val="right"/>
              <w:spacing w:after="0"/>
              <w:rPr>
                <w:sz w:val="20"/>
                <w:szCs w:val="20"/>
                <w:color w:val="auto"/>
              </w:rPr>
            </w:pPr>
            <w:r>
              <w:rPr>
                <w:rFonts w:ascii="Arial" w:cs="Arial" w:eastAsia="Arial" w:hAnsi="Arial"/>
                <w:sz w:val="14"/>
                <w:szCs w:val="14"/>
                <w:color w:val="auto"/>
              </w:rPr>
              <w:t>20,834</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3"/>
              <w:spacing w:after="0"/>
              <w:rPr>
                <w:sz w:val="20"/>
                <w:szCs w:val="20"/>
                <w:color w:val="auto"/>
              </w:rPr>
            </w:pPr>
            <w:r>
              <w:rPr>
                <w:rFonts w:ascii="Arial" w:cs="Arial" w:eastAsia="Arial" w:hAnsi="Arial"/>
                <w:sz w:val="14"/>
                <w:szCs w:val="14"/>
                <w:color w:val="auto"/>
                <w:w w:val="95"/>
              </w:rPr>
              <w:t>8.04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shares vested</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(46,876)</w:t>
            </w:r>
          </w:p>
        </w:tc>
        <w:tc>
          <w:tcPr>
            <w:tcW w:w="4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73"/>
              <w:spacing w:after="0"/>
              <w:rPr>
                <w:sz w:val="20"/>
                <w:szCs w:val="20"/>
                <w:color w:val="auto"/>
              </w:rPr>
            </w:pPr>
            <w:r>
              <w:rPr>
                <w:rFonts w:ascii="Arial" w:cs="Arial" w:eastAsia="Arial" w:hAnsi="Arial"/>
                <w:sz w:val="14"/>
                <w:szCs w:val="14"/>
                <w:color w:val="auto"/>
                <w:w w:val="95"/>
              </w:rPr>
              <w:t>4.17</w:t>
            </w:r>
          </w:p>
        </w:tc>
        <w:tc>
          <w:tcPr>
            <w:tcW w:w="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0" w:type="dxa"/>
            <w:vAlign w:val="bottom"/>
            <w:vMerge w:val="restart"/>
          </w:tcPr>
          <w:p>
            <w:pPr>
              <w:spacing w:after="0"/>
              <w:rPr>
                <w:sz w:val="20"/>
                <w:szCs w:val="20"/>
                <w:color w:val="auto"/>
              </w:rPr>
            </w:pPr>
            <w:r>
              <w:rPr>
                <w:rFonts w:ascii="Arial" w:cs="Arial" w:eastAsia="Arial" w:hAnsi="Arial"/>
                <w:sz w:val="14"/>
                <w:szCs w:val="14"/>
                <w:color w:val="auto"/>
              </w:rPr>
              <w:t>Unvested restricted shares outstanding, December 31, 2011</w:t>
            </w: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5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153"/>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5"/>
              </w:rPr>
              <w:t>9.</w:t>
            </w:r>
          </w:p>
        </w:tc>
        <w:tc>
          <w:tcPr>
            <w:tcW w:w="8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 of Financial Instruments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00" w:type="dxa"/>
            <w:vAlign w:val="bottom"/>
            <w:vMerge w:val="continue"/>
          </w:tcPr>
          <w:p>
            <w:pPr>
              <w:spacing w:after="0"/>
              <w:rPr>
                <w:sz w:val="24"/>
                <w:szCs w:val="24"/>
                <w:color w:val="auto"/>
              </w:rPr>
            </w:pPr>
          </w:p>
        </w:tc>
        <w:tc>
          <w:tcPr>
            <w:tcW w:w="80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8020" w:type="dxa"/>
            <w:vAlign w:val="bottom"/>
            <w:gridSpan w:val="2"/>
          </w:tcPr>
          <w:p>
            <w:pPr>
              <w:ind w:left="160"/>
              <w:spacing w:after="0"/>
              <w:rPr>
                <w:sz w:val="20"/>
                <w:szCs w:val="20"/>
                <w:color w:val="auto"/>
              </w:rPr>
            </w:pPr>
            <w:r>
              <w:rPr>
                <w:rFonts w:ascii="Arial" w:cs="Arial" w:eastAsia="Arial" w:hAnsi="Arial"/>
                <w:sz w:val="14"/>
                <w:szCs w:val="14"/>
                <w:color w:val="auto"/>
              </w:rPr>
              <w:t>A summary of changes in the Warrant Liabilities is as follows:</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Fair Value of</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rPr>
              <w:t>Warrant</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Liabilities</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(in thousands)</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2010</w:t>
            </w:r>
          </w:p>
        </w:tc>
        <w:tc>
          <w:tcPr>
            <w:tcW w:w="5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tcPr>
          <w:p>
            <w:pPr>
              <w:ind w:left="360"/>
              <w:spacing w:after="0"/>
              <w:rPr>
                <w:sz w:val="20"/>
                <w:szCs w:val="20"/>
                <w:color w:val="auto"/>
              </w:rPr>
            </w:pPr>
            <w:r>
              <w:rPr>
                <w:rFonts w:ascii="Arial" w:cs="Arial" w:eastAsia="Arial" w:hAnsi="Arial"/>
                <w:sz w:val="14"/>
                <w:szCs w:val="14"/>
                <w:color w:val="auto"/>
              </w:rPr>
              <w:t>Change in fair value of warrant liabilities</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Intrinsic value of liability warrants exercised</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0" w:type="dxa"/>
            <w:vAlign w:val="bottom"/>
            <w:vMerge w:val="restart"/>
          </w:tcPr>
          <w:p>
            <w:pPr>
              <w:spacing w:after="0"/>
              <w:rPr>
                <w:sz w:val="20"/>
                <w:szCs w:val="20"/>
                <w:color w:val="auto"/>
              </w:rPr>
            </w:pPr>
            <w:r>
              <w:rPr>
                <w:rFonts w:ascii="Arial" w:cs="Arial" w:eastAsia="Arial" w:hAnsi="Arial"/>
                <w:sz w:val="14"/>
                <w:szCs w:val="14"/>
                <w:color w:val="auto"/>
              </w:rPr>
              <w:t>Balance December 31, 2011</w:t>
            </w: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warrant liabilities in the table above were classified as a Level 2 liability and were valued using the Black-Scholes pricing model.</w:t>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460"/>
          </w:cols>
          <w:pgMar w:left="220" w:top="402" w:right="2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3" w:lineRule="exact"/>
        <w:rPr>
          <w:sz w:val="20"/>
          <w:szCs w:val="20"/>
          <w:color w:val="auto"/>
        </w:rPr>
      </w:pPr>
    </w:p>
    <w:p>
      <w:pPr>
        <w:ind w:left="460" w:hanging="451"/>
        <w:spacing w:after="0"/>
        <w:tabs>
          <w:tab w:leader="none" w:pos="46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Loss Per Share</w:t>
      </w:r>
    </w:p>
    <w:p>
      <w:pPr>
        <w:spacing w:after="0" w:line="86" w:lineRule="exact"/>
        <w:rPr>
          <w:rFonts w:ascii="Arial" w:cs="Arial" w:eastAsia="Arial" w:hAnsi="Arial"/>
          <w:sz w:val="14"/>
          <w:szCs w:val="14"/>
          <w:b w:val="1"/>
          <w:bCs w:val="1"/>
          <w:color w:val="auto"/>
        </w:rPr>
      </w:pPr>
    </w:p>
    <w:p>
      <w:pPr>
        <w:ind w:left="460"/>
        <w:spacing w:after="0" w:line="272" w:lineRule="auto"/>
        <w:rPr>
          <w:rFonts w:ascii="Arial" w:cs="Arial" w:eastAsia="Arial" w:hAnsi="Arial"/>
          <w:sz w:val="14"/>
          <w:szCs w:val="14"/>
          <w:b w:val="1"/>
          <w:bCs w:val="1"/>
          <w:color w:val="auto"/>
        </w:rPr>
      </w:pPr>
      <w:r>
        <w:rPr>
          <w:rFonts w:ascii="Arial" w:cs="Arial" w:eastAsia="Arial" w:hAnsi="Arial"/>
          <w:sz w:val="14"/>
          <w:szCs w:val="14"/>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6"/>
          </w:tcPr>
          <w:p>
            <w:pPr>
              <w:jc w:val="center"/>
              <w:ind w:right="160"/>
              <w:spacing w:after="0"/>
              <w:rPr>
                <w:sz w:val="20"/>
                <w:szCs w:val="20"/>
                <w:color w:val="auto"/>
              </w:rPr>
            </w:pPr>
            <w:r>
              <w:rPr>
                <w:rFonts w:ascii="Arial" w:cs="Arial" w:eastAsia="Arial" w:hAnsi="Arial"/>
                <w:sz w:val="11"/>
                <w:szCs w:val="11"/>
                <w:b w:val="1"/>
                <w:bCs w:val="1"/>
                <w:color w:val="auto"/>
                <w:w w:val="90"/>
              </w:rPr>
              <w:t>Year Ended December 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gridSpan w:val="5"/>
          </w:tcPr>
          <w:p>
            <w:pPr>
              <w:jc w:val="center"/>
              <w:ind w:right="30"/>
              <w:spacing w:after="0" w:line="102" w:lineRule="exact"/>
              <w:rPr>
                <w:sz w:val="20"/>
                <w:szCs w:val="20"/>
                <w:color w:val="auto"/>
              </w:rPr>
            </w:pPr>
            <w:r>
              <w:rPr>
                <w:rFonts w:ascii="Arial" w:cs="Arial" w:eastAsia="Arial" w:hAnsi="Arial"/>
                <w:sz w:val="11"/>
                <w:szCs w:val="11"/>
                <w:b w:val="1"/>
                <w:bCs w:val="1"/>
                <w:color w:val="auto"/>
                <w:w w:val="87"/>
              </w:rPr>
              <w:t>(in thousands, except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w w:val="89"/>
              </w:rPr>
              <w:t>and per share amounts)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2013</w:t>
            </w: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1"/>
                <w:szCs w:val="11"/>
                <w:b w:val="1"/>
                <w:bCs w:val="1"/>
                <w:color w:val="auto"/>
              </w:rPr>
              <w:t>2012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260" w:type="dxa"/>
            <w:vAlign w:val="bottom"/>
            <w:tcBorders>
              <w:bottom w:val="single" w:sz="8" w:color="CCEEFF"/>
            </w:tcBorders>
          </w:tcPr>
          <w:p>
            <w:pPr>
              <w:spacing w:after="0"/>
              <w:rPr>
                <w:sz w:val="8"/>
                <w:szCs w:val="8"/>
                <w:color w:val="auto"/>
              </w:rPr>
            </w:pPr>
          </w:p>
        </w:tc>
        <w:tc>
          <w:tcPr>
            <w:tcW w:w="24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(12,088)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(867)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accretion</w:t>
            </w:r>
          </w:p>
        </w:tc>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(229)</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Warrant modification</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(8,763)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Net loss applicable to common stockholders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5"/>
              </w:rPr>
              <w:t>(21,947)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(10,881)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80" w:type="dxa"/>
            <w:vAlign w:val="bottom"/>
            <w:gridSpan w:val="2"/>
            <w:vMerge w:val="continue"/>
          </w:tcPr>
          <w:p>
            <w:pPr>
              <w:spacing w:after="0"/>
              <w:rPr>
                <w:sz w:val="13"/>
                <w:szCs w:val="13"/>
                <w:color w:val="auto"/>
              </w:rPr>
            </w:pPr>
          </w:p>
        </w:tc>
        <w:tc>
          <w:tcPr>
            <w:tcW w:w="2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(1.30)</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used in computing basic and diluted net loss per share</w:t>
            </w:r>
          </w:p>
        </w:tc>
        <w:tc>
          <w:tcPr>
            <w:tcW w:w="2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16,874</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right="20"/>
        <w:spacing w:after="0" w:line="296" w:lineRule="auto"/>
        <w:rPr>
          <w:sz w:val="20"/>
          <w:szCs w:val="20"/>
          <w:color w:val="auto"/>
        </w:rPr>
      </w:pPr>
      <w:r>
        <w:rPr>
          <w:rFonts w:ascii="Arial" w:cs="Arial" w:eastAsia="Arial" w:hAnsi="Arial"/>
          <w:sz w:val="14"/>
          <w:szCs w:val="14"/>
          <w:color w:val="auto"/>
        </w:rPr>
        <w:t>Dilutive shares which could exist pursuant to the exercise of outstanding stock instruments and which were not included in the calculation because their affect would have been anti-dilutive are as follows: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560" w:type="dxa"/>
            <w:vAlign w:val="bottom"/>
            <w:gridSpan w:val="3"/>
          </w:tcPr>
          <w:p>
            <w:pPr>
              <w:jc w:val="center"/>
              <w:ind w:left="676"/>
              <w:spacing w:after="0"/>
              <w:rPr>
                <w:sz w:val="20"/>
                <w:szCs w:val="20"/>
                <w:color w:val="auto"/>
              </w:rPr>
            </w:pPr>
            <w:r>
              <w:rPr>
                <w:rFonts w:ascii="Arial" w:cs="Arial" w:eastAsia="Arial" w:hAnsi="Arial"/>
                <w:sz w:val="11"/>
                <w:szCs w:val="11"/>
                <w:b w:val="1"/>
                <w:bCs w:val="1"/>
                <w:color w:val="auto"/>
                <w:w w:val="89"/>
              </w:rPr>
              <w:t>Year 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5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1"/>
                <w:szCs w:val="11"/>
                <w:b w:val="1"/>
                <w:bCs w:val="1"/>
                <w:color w:val="auto"/>
                <w:w w:val="92"/>
              </w:rPr>
              <w:t>December 31,</w:t>
            </w: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940" w:type="dxa"/>
            <w:vAlign w:val="bottom"/>
          </w:tcPr>
          <w:p>
            <w:pPr>
              <w:jc w:val="right"/>
              <w:ind w:right="296"/>
              <w:spacing w:after="0" w:line="102" w:lineRule="exact"/>
              <w:rPr>
                <w:sz w:val="20"/>
                <w:szCs w:val="20"/>
                <w:color w:val="auto"/>
              </w:rPr>
            </w:pPr>
            <w:r>
              <w:rPr>
                <w:rFonts w:ascii="Arial" w:cs="Arial" w:eastAsia="Arial" w:hAnsi="Arial"/>
                <w:sz w:val="11"/>
                <w:szCs w:val="11"/>
                <w:b w:val="1"/>
                <w:bCs w:val="1"/>
                <w:color w:val="auto"/>
              </w:rPr>
              <w:t>2013</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ind w:right="313"/>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560" w:type="dxa"/>
            <w:vAlign w:val="bottom"/>
            <w:gridSpan w:val="3"/>
          </w:tcPr>
          <w:p>
            <w:pPr>
              <w:ind w:left="260"/>
              <w:spacing w:after="0"/>
              <w:rPr>
                <w:sz w:val="20"/>
                <w:szCs w:val="20"/>
                <w:color w:val="auto"/>
              </w:rPr>
            </w:pPr>
            <w:r>
              <w:rPr>
                <w:rFonts w:ascii="Arial" w:cs="Arial" w:eastAsia="Arial" w:hAnsi="Arial"/>
                <w:sz w:val="11"/>
                <w:szCs w:val="11"/>
                <w:b w:val="1"/>
                <w:bCs w:val="1"/>
                <w:color w:val="auto"/>
              </w:rPr>
              <w:t>(Shares)</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r>
      <w:tr>
        <w:trPr>
          <w:trHeight w:val="168"/>
        </w:trPr>
        <w:tc>
          <w:tcPr>
            <w:tcW w:w="20" w:type="dxa"/>
            <w:vAlign w:val="bottom"/>
          </w:tcPr>
          <w:p>
            <w:pPr>
              <w:spacing w:after="0"/>
              <w:rPr>
                <w:sz w:val="14"/>
                <w:szCs w:val="14"/>
                <w:color w:val="auto"/>
              </w:rPr>
            </w:pP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Warrants to purchase shares of common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6,035,229</w:t>
            </w:r>
          </w:p>
        </w:tc>
        <w:tc>
          <w:tcPr>
            <w:tcW w:w="4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7,424,241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Arial" w:cs="Arial" w:eastAsia="Arial" w:hAnsi="Arial"/>
                <w:sz w:val="14"/>
                <w:szCs w:val="14"/>
                <w:color w:val="auto"/>
              </w:rPr>
              <w:t>Options to purchase shares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3,348,705</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3,539,961</w:t>
            </w:r>
          </w:p>
        </w:tc>
        <w:tc>
          <w:tcPr>
            <w:tcW w:w="1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4"/>
                <w:szCs w:val="14"/>
                <w:color w:val="auto"/>
              </w:rPr>
              <w:t>Shares of common stock issuable upon conversion preferred 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2,568,771</w:t>
            </w:r>
          </w:p>
        </w:tc>
        <w:tc>
          <w:tcPr>
            <w:tcW w:w="4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2,627,110</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11,952,705</w:t>
            </w: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13,591,312</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ind w:left="240" w:right="8860" w:hanging="231"/>
        <w:spacing w:after="0" w:line="394" w:lineRule="auto"/>
        <w:tabs>
          <w:tab w:leader="none" w:pos="466"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Lease Commitments</w:t>
      </w:r>
    </w:p>
    <w:p>
      <w:pPr>
        <w:spacing w:after="0" w:line="1" w:lineRule="exact"/>
        <w:rPr>
          <w:sz w:val="20"/>
          <w:szCs w:val="20"/>
          <w:color w:val="auto"/>
        </w:rPr>
      </w:pPr>
    </w:p>
    <w:p>
      <w:pPr>
        <w:ind w:left="460" w:right="40"/>
        <w:spacing w:after="0" w:line="280" w:lineRule="auto"/>
        <w:rPr>
          <w:sz w:val="20"/>
          <w:szCs w:val="20"/>
          <w:color w:val="auto"/>
        </w:rPr>
      </w:pPr>
      <w:r>
        <w:rPr>
          <w:rFonts w:ascii="Arial" w:cs="Arial" w:eastAsia="Arial" w:hAnsi="Arial"/>
          <w:sz w:val="14"/>
          <w:szCs w:val="14"/>
          <w:color w:val="auto"/>
        </w:rPr>
        <w:t>In September 2012, the Company entered into an operating lease for office space in Norcross, GA for a term of twenty-six months, beginning on October 1, 2012 and ending November 30, 2014 at a rate of approximately $3,000 per month. The lease provides for free rent for the first two months of the lease and required a security deposit of $6,000. In addition to base rental payments included in the contractual obligations table above, we are responsible for our pro-rata share of the operating expenses for the building.</w:t>
      </w:r>
    </w:p>
    <w:p>
      <w:pPr>
        <w:spacing w:after="0" w:line="102" w:lineRule="exact"/>
        <w:rPr>
          <w:sz w:val="20"/>
          <w:szCs w:val="20"/>
          <w:color w:val="auto"/>
        </w:rPr>
      </w:pPr>
    </w:p>
    <w:p>
      <w:pPr>
        <w:ind w:left="460" w:right="420"/>
        <w:spacing w:after="0" w:line="385" w:lineRule="auto"/>
        <w:rPr>
          <w:sz w:val="20"/>
          <w:szCs w:val="20"/>
          <w:color w:val="auto"/>
        </w:rPr>
      </w:pPr>
      <w:r>
        <w:rPr>
          <w:rFonts w:ascii="Arial" w:cs="Arial" w:eastAsia="Arial" w:hAnsi="Arial"/>
          <w:sz w:val="12"/>
          <w:szCs w:val="12"/>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 This lease was continued on a month to month basis from October 1, 2013.</w:t>
      </w:r>
    </w:p>
    <w:p>
      <w:pPr>
        <w:spacing w:after="0" w:line="45" w:lineRule="exact"/>
        <w:rPr>
          <w:sz w:val="20"/>
          <w:szCs w:val="20"/>
          <w:color w:val="auto"/>
        </w:rPr>
      </w:pPr>
    </w:p>
    <w:p>
      <w:pPr>
        <w:ind w:left="460" w:right="160"/>
        <w:spacing w:after="0" w:line="296" w:lineRule="auto"/>
        <w:rPr>
          <w:sz w:val="20"/>
          <w:szCs w:val="20"/>
          <w:color w:val="auto"/>
        </w:rPr>
      </w:pPr>
      <w:r>
        <w:rPr>
          <w:rFonts w:ascii="Arial" w:cs="Arial" w:eastAsia="Arial" w:hAnsi="Arial"/>
          <w:sz w:val="14"/>
          <w:szCs w:val="14"/>
          <w:color w:val="auto"/>
        </w:rPr>
        <w:t>In July 2011, the Company entered into an agreement to amend its lease for offices in Newton, MA to extend the term for a period of one year, which expired on September 30, 2012, at a base rent of $235,000 for the period. In addition to base rental payments, the Company was responsible for its pro-rata share of</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360"/>
          </w:cols>
          <w:pgMar w:left="220" w:top="402" w:right="31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80"/>
        <w:spacing w:after="0" w:line="280" w:lineRule="auto"/>
        <w:rPr>
          <w:sz w:val="20"/>
          <w:szCs w:val="20"/>
          <w:color w:val="auto"/>
        </w:rPr>
      </w:pPr>
      <w:r>
        <w:rPr>
          <w:rFonts w:ascii="Arial" w:cs="Arial" w:eastAsia="Arial" w:hAnsi="Arial"/>
          <w:sz w:val="14"/>
          <w:szCs w:val="14"/>
          <w:color w:val="auto"/>
        </w:rPr>
        <w:t>increases in the operating expenses for the building. In connection with this lease, a commercial bank issued a letter of credit collateralized by cash, which the Company had on deposit with the bank of $59,000 at December 31, 2011 and which was released during 2012 after the lease term ended. In July 2011, the Company entered into an operating lease for an apartment for Company executive use for a one-year term, which ended in August 2012, at a rate of $44,000 for the term.</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Rent expense under the above operating leases was $36,000 and $216,000 for the years ended December 31, 2013 and 2012, respectively.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Future minimum payments under this lease as of December 31, 2013 are as follows (in thousands):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3810</wp:posOffset>
            </wp:positionV>
            <wp:extent cx="82359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3595" cy="6985"/>
                    </a:xfrm>
                    <a:prstGeom prst="rect">
                      <a:avLst/>
                    </a:prstGeom>
                    <a:noFill/>
                  </pic:spPr>
                </pic:pic>
              </a:graphicData>
            </a:graphic>
          </wp:anchor>
        </w:drawing>
      </w:r>
    </w:p>
    <w:p>
      <w:pPr>
        <w:ind w:left="920"/>
        <w:spacing w:after="0"/>
        <w:tabs>
          <w:tab w:leader="none" w:pos="1022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u w:val="single" w:color="auto"/>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-100965</wp:posOffset>
            </wp:positionV>
            <wp:extent cx="6102985" cy="112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02985" cy="11239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25400</wp:posOffset>
            </wp:positionV>
            <wp:extent cx="1409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0970" cy="6985"/>
                    </a:xfrm>
                    <a:prstGeom prst="rect">
                      <a:avLst/>
                    </a:prstGeom>
                    <a:noFill/>
                  </pic:spPr>
                </pic:pic>
              </a:graphicData>
            </a:graphic>
          </wp:anchor>
        </w:drawing>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Separation Agreement — Former Chief Executive Officer and Chairman of the Board of Directors</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3"/>
          <w:szCs w:val="13"/>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December 31, 2013 and 2012.</w:t>
      </w:r>
    </w:p>
    <w:p>
      <w:pPr>
        <w:spacing w:after="0" w:line="101" w:lineRule="exact"/>
        <w:rPr>
          <w:sz w:val="20"/>
          <w:szCs w:val="20"/>
          <w:color w:val="auto"/>
        </w:rPr>
      </w:pPr>
    </w:p>
    <w:p>
      <w:pPr>
        <w:ind w:left="460" w:right="120"/>
        <w:spacing w:after="0" w:line="311" w:lineRule="auto"/>
        <w:rPr>
          <w:sz w:val="20"/>
          <w:szCs w:val="20"/>
          <w:color w:val="auto"/>
        </w:rPr>
      </w:pPr>
      <w:r>
        <w:rPr>
          <w:rFonts w:ascii="Arial" w:cs="Arial" w:eastAsia="Arial" w:hAnsi="Arial"/>
          <w:sz w:val="13"/>
          <w:szCs w:val="13"/>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84" w:lineRule="exact"/>
        <w:rPr>
          <w:sz w:val="20"/>
          <w:szCs w:val="20"/>
          <w:color w:val="auto"/>
        </w:rPr>
      </w:pPr>
    </w:p>
    <w:p>
      <w:pPr>
        <w:ind w:left="460" w:right="100"/>
        <w:spacing w:after="0" w:line="275" w:lineRule="auto"/>
        <w:rPr>
          <w:sz w:val="20"/>
          <w:szCs w:val="20"/>
          <w:color w:val="auto"/>
        </w:rPr>
      </w:pPr>
      <w:r>
        <w:rPr>
          <w:rFonts w:ascii="Arial" w:cs="Arial" w:eastAsia="Arial" w:hAnsi="Arial"/>
          <w:sz w:val="14"/>
          <w:szCs w:val="14"/>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420"/>
          </w:cols>
          <w:pgMar w:left="220" w:top="403" w:right="2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spacing w:after="0" w:line="280" w:lineRule="auto"/>
        <w:rPr>
          <w:sz w:val="20"/>
          <w:szCs w:val="20"/>
          <w:color w:val="auto"/>
        </w:rPr>
      </w:pPr>
      <w:r>
        <w:rPr>
          <w:rFonts w:ascii="Arial" w:cs="Arial" w:eastAsia="Arial" w:hAnsi="Arial"/>
          <w:sz w:val="14"/>
          <w:szCs w:val="14"/>
          <w:color w:val="auto"/>
        </w:rPr>
        <w:t>attorney’s fees. Although the Company is not a party to the lawsuit, it plans to indemnify Dr. Traber and Mr. McGauley consistent with its obligations under the by-laws and applicable law, and intends a vigorous defense on their behalf. On April 29, 2013, the Court allowed Dr. Traber’s and Mr. McGauley’s motion to dismiss. On May 28, 2013, Dr. Platt filed a Notice of Appeal to appeal the Court’s order allowing the defendants’ motion to dismiss.</w:t>
      </w:r>
    </w:p>
    <w:p>
      <w:pPr>
        <w:spacing w:after="0" w:line="102" w:lineRule="exact"/>
        <w:rPr>
          <w:sz w:val="20"/>
          <w:szCs w:val="20"/>
          <w:color w:val="auto"/>
        </w:rPr>
      </w:pPr>
    </w:p>
    <w:p>
      <w:pPr>
        <w:ind w:left="460" w:right="40"/>
        <w:spacing w:after="0" w:line="272" w:lineRule="auto"/>
        <w:rPr>
          <w:sz w:val="20"/>
          <w:szCs w:val="20"/>
          <w:color w:val="auto"/>
        </w:rPr>
      </w:pPr>
      <w:r>
        <w:rPr>
          <w:rFonts w:ascii="Arial" w:cs="Arial" w:eastAsia="Arial" w:hAnsi="Arial"/>
          <w:sz w:val="14"/>
          <w:szCs w:val="14"/>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This arbitration has been scheduled for May 2014; however, the ultimate outcome is uncertain and there is no guarantee that the Company will be successful in this demand.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August 1, 2013, the market capitalization of the Company’s common stock exceeded $100 million and the Company received a letter dated October 1, 2013, demanding payment of the</w:t>
      </w:r>
    </w:p>
    <w:p>
      <w:pPr>
        <w:spacing w:after="0" w:line="33" w:lineRule="exact"/>
        <w:rPr>
          <w:sz w:val="20"/>
          <w:szCs w:val="20"/>
          <w:color w:val="auto"/>
        </w:rPr>
      </w:pPr>
    </w:p>
    <w:p>
      <w:pPr>
        <w:ind w:left="460"/>
        <w:spacing w:after="0" w:line="288" w:lineRule="auto"/>
        <w:rPr>
          <w:sz w:val="20"/>
          <w:szCs w:val="20"/>
          <w:color w:val="auto"/>
        </w:rPr>
      </w:pPr>
      <w:r>
        <w:rPr>
          <w:rFonts w:ascii="Arial" w:cs="Arial" w:eastAsia="Arial" w:hAnsi="Arial"/>
          <w:sz w:val="14"/>
          <w:szCs w:val="14"/>
          <w:color w:val="auto"/>
        </w:rPr>
        <w:t>$1 million. As described in the preceding paragraph, the Company had previously instituted an arbitration proceeding against Dr. Platt seeking to rescind the Separation Agreement, including the milestone payment provision, and the Company is currently delaying payment pending the outcome of this arbitration.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Other Legal Proceedings</w:t>
      </w:r>
    </w:p>
    <w:p>
      <w:pPr>
        <w:spacing w:after="0" w:line="83" w:lineRule="exact"/>
        <w:rPr>
          <w:sz w:val="20"/>
          <w:szCs w:val="20"/>
          <w:color w:val="auto"/>
        </w:rPr>
      </w:pPr>
    </w:p>
    <w:p>
      <w:pPr>
        <w:ind w:left="460" w:right="180"/>
        <w:spacing w:after="0" w:line="296" w:lineRule="auto"/>
        <w:rPr>
          <w:sz w:val="20"/>
          <w:szCs w:val="20"/>
          <w:color w:val="auto"/>
        </w:rPr>
      </w:pPr>
      <w:r>
        <w:rPr>
          <w:rFonts w:ascii="Arial" w:cs="Arial" w:eastAsia="Arial" w:hAnsi="Arial"/>
          <w:sz w:val="14"/>
          <w:szCs w:val="14"/>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w w:val="81"/>
              </w:rPr>
              <w:t>12.</w:t>
            </w:r>
          </w:p>
        </w:tc>
        <w:tc>
          <w:tcPr>
            <w:tcW w:w="49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Income Taxes</w:t>
            </w: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4980" w:type="dxa"/>
            <w:vAlign w:val="bottom"/>
            <w:gridSpan w:val="3"/>
          </w:tcPr>
          <w:p>
            <w:pPr>
              <w:ind w:left="140"/>
              <w:spacing w:after="0"/>
              <w:rPr>
                <w:sz w:val="20"/>
                <w:szCs w:val="20"/>
                <w:color w:val="auto"/>
              </w:rPr>
            </w:pPr>
            <w:r>
              <w:rPr>
                <w:rFonts w:ascii="Arial" w:cs="Arial" w:eastAsia="Arial" w:hAnsi="Arial"/>
                <w:sz w:val="14"/>
                <w:szCs w:val="14"/>
                <w:color w:val="auto"/>
                <w:w w:val="99"/>
              </w:rPr>
              <w:t>The components of the net deferred tax assets are as follows at December 31:</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2013</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73"/>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5"/>
          </w:tcPr>
          <w:p>
            <w:pPr>
              <w:jc w:val="right"/>
              <w:ind w:right="160"/>
              <w:spacing w:after="0" w:line="113" w:lineRule="exact"/>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loss carryforwards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25,881</w:t>
            </w:r>
          </w:p>
        </w:tc>
        <w:tc>
          <w:tcPr>
            <w:tcW w:w="26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21,753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Tax credit carryforwards</w:t>
            </w: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temporary differences</w:t>
            </w:r>
          </w:p>
        </w:tc>
        <w:tc>
          <w:tcPr>
            <w:tcW w:w="3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4,302</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2,921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30,583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24,991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valuation allowance</w:t>
            </w:r>
          </w:p>
        </w:tc>
        <w:tc>
          <w:tcPr>
            <w:tcW w:w="3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(30,583)</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(24,991)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980" w:type="dxa"/>
            <w:vAlign w:val="bottom"/>
            <w:gridSpan w:val="3"/>
            <w:vMerge w:val="restart"/>
          </w:tcPr>
          <w:p>
            <w:pPr>
              <w:ind w:left="140"/>
              <w:spacing w:after="0"/>
              <w:rPr>
                <w:sz w:val="20"/>
                <w:szCs w:val="20"/>
                <w:color w:val="auto"/>
              </w:rPr>
            </w:pPr>
            <w:r>
              <w:rPr>
                <w:rFonts w:ascii="Arial" w:cs="Arial" w:eastAsia="Arial" w:hAnsi="Arial"/>
                <w:sz w:val="14"/>
                <w:szCs w:val="14"/>
                <w:color w:val="auto"/>
              </w:rPr>
              <w:t>Net deferred tax asset</w:t>
            </w: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4980" w:type="dxa"/>
            <w:vAlign w:val="bottom"/>
            <w:gridSpan w:val="3"/>
            <w:vMerge w:val="continue"/>
          </w:tcPr>
          <w:p>
            <w:pPr>
              <w:spacing w:after="0"/>
              <w:rPr>
                <w:sz w:val="13"/>
                <w:szCs w:val="13"/>
                <w:color w:val="auto"/>
              </w:rPr>
            </w:pPr>
          </w:p>
        </w:tc>
        <w:tc>
          <w:tcPr>
            <w:tcW w:w="3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980" w:type="dxa"/>
            <w:vAlign w:val="bottom"/>
            <w:gridSpan w:val="3"/>
            <w:vMerge w:val="restart"/>
          </w:tcPr>
          <w:p>
            <w:pPr>
              <w:ind w:left="140"/>
              <w:spacing w:after="0"/>
              <w:rPr>
                <w:sz w:val="20"/>
                <w:szCs w:val="20"/>
                <w:color w:val="auto"/>
              </w:rPr>
            </w:pPr>
            <w:r>
              <w:rPr>
                <w:rFonts w:ascii="Arial" w:cs="Arial" w:eastAsia="Arial" w:hAnsi="Arial"/>
                <w:sz w:val="14"/>
                <w:szCs w:val="14"/>
                <w:color w:val="auto"/>
                <w:w w:val="99"/>
              </w:rPr>
              <w:t>The primary factors affecting the Company’s income tax rates were as follows:</w:t>
            </w: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20" w:type="dxa"/>
            <w:vAlign w:val="bottom"/>
          </w:tcPr>
          <w:p>
            <w:pPr>
              <w:spacing w:after="0"/>
              <w:rPr>
                <w:sz w:val="24"/>
                <w:szCs w:val="24"/>
                <w:color w:val="auto"/>
              </w:rPr>
            </w:pPr>
          </w:p>
        </w:tc>
        <w:tc>
          <w:tcPr>
            <w:tcW w:w="4980" w:type="dxa"/>
            <w:vAlign w:val="bottom"/>
            <w:gridSpan w:val="3"/>
            <w:vMerge w:val="continue"/>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2013</w:t>
            </w:r>
          </w:p>
        </w:tc>
        <w:tc>
          <w:tcPr>
            <w:tcW w:w="4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2012</w:t>
            </w: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Tax benefit at U.S. statutory rates</w:t>
            </w:r>
          </w:p>
        </w:tc>
        <w:tc>
          <w:tcPr>
            <w:tcW w:w="36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32"/>
              <w:spacing w:after="0"/>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State tax benefit</w:t>
            </w:r>
          </w:p>
        </w:tc>
        <w:tc>
          <w:tcPr>
            <w:tcW w:w="4460" w:type="dxa"/>
            <w:vAlign w:val="bottom"/>
            <w:gridSpan w:val="4"/>
          </w:tcPr>
          <w:p>
            <w:pPr>
              <w:jc w:val="right"/>
              <w:ind w:right="232"/>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(5.3%)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Credit</w:t>
            </w:r>
          </w:p>
        </w:tc>
        <w:tc>
          <w:tcPr>
            <w:tcW w:w="4460" w:type="dxa"/>
            <w:vAlign w:val="bottom"/>
            <w:gridSpan w:val="4"/>
            <w:shd w:val="clear" w:color="auto" w:fill="CCEEFF"/>
          </w:tcPr>
          <w:p>
            <w:pPr>
              <w:jc w:val="right"/>
              <w:ind w:right="292"/>
              <w:spacing w:after="0"/>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Permanent differences</w:t>
            </w:r>
          </w:p>
        </w:tc>
        <w:tc>
          <w:tcPr>
            <w:tcW w:w="4460" w:type="dxa"/>
            <w:vAlign w:val="bottom"/>
            <w:gridSpan w:val="4"/>
          </w:tcPr>
          <w:p>
            <w:pPr>
              <w:jc w:val="right"/>
              <w:ind w:right="292"/>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1.4%</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Expiring state NOL’s</w:t>
            </w:r>
          </w:p>
        </w:tc>
        <w:tc>
          <w:tcPr>
            <w:tcW w:w="4460" w:type="dxa"/>
            <w:vAlign w:val="bottom"/>
            <w:gridSpan w:val="4"/>
            <w:shd w:val="clear" w:color="auto" w:fill="CCEEFF"/>
          </w:tcPr>
          <w:p>
            <w:pPr>
              <w:jc w:val="right"/>
              <w:ind w:right="292"/>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Changes in valuation allowance</w:t>
            </w:r>
          </w:p>
        </w:tc>
        <w:tc>
          <w:tcPr>
            <w:tcW w:w="3680" w:type="dxa"/>
            <w:vAlign w:val="bottom"/>
          </w:tcPr>
          <w:p>
            <w:pPr>
              <w:spacing w:after="0"/>
              <w:rPr>
                <w:sz w:val="15"/>
                <w:szCs w:val="15"/>
                <w:color w:val="auto"/>
              </w:rPr>
            </w:pPr>
          </w:p>
        </w:tc>
        <w:tc>
          <w:tcPr>
            <w:tcW w:w="780" w:type="dxa"/>
            <w:vAlign w:val="bottom"/>
            <w:gridSpan w:val="3"/>
          </w:tcPr>
          <w:p>
            <w:pPr>
              <w:jc w:val="right"/>
              <w:ind w:right="292"/>
              <w:spacing w:after="0"/>
              <w:rPr>
                <w:sz w:val="20"/>
                <w:szCs w:val="20"/>
                <w:color w:val="auto"/>
              </w:rPr>
            </w:pPr>
            <w:r>
              <w:rPr>
                <w:rFonts w:ascii="Arial" w:cs="Arial" w:eastAsia="Arial" w:hAnsi="Arial"/>
                <w:sz w:val="14"/>
                <w:szCs w:val="14"/>
                <w:color w:val="auto"/>
              </w:rPr>
              <w:t>36.6%</w:t>
            </w:r>
          </w:p>
        </w:tc>
        <w:tc>
          <w:tcPr>
            <w:tcW w:w="260" w:type="dxa"/>
            <w:vAlign w:val="bottom"/>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34.8%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292"/>
              <w:spacing w:after="0"/>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5"/>
                <w:szCs w:val="15"/>
                <w:color w:val="auto"/>
              </w:rPr>
            </w:pP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980" w:type="dxa"/>
            <w:vAlign w:val="bottom"/>
            <w:gridSpan w:val="3"/>
          </w:tcPr>
          <w:p>
            <w:pPr>
              <w:jc w:val="right"/>
              <w:ind w:right="3400"/>
              <w:spacing w:after="0"/>
              <w:rPr>
                <w:sz w:val="20"/>
                <w:szCs w:val="20"/>
                <w:color w:val="auto"/>
              </w:rPr>
            </w:pPr>
            <w:r>
              <w:rPr>
                <w:rFonts w:ascii="Arial" w:cs="Arial" w:eastAsia="Arial" w:hAnsi="Arial"/>
                <w:sz w:val="14"/>
                <w:szCs w:val="14"/>
                <w:color w:val="auto"/>
              </w:rPr>
              <w:t>F-46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402" w:right="23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0755" cy="3365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49"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5">
        <w:r>
          <w:rPr>
            <w:rFonts w:ascii="Arial" w:cs="Arial" w:eastAsia="Arial" w:hAnsi="Arial"/>
            <w:sz w:val="15"/>
            <w:szCs w:val="15"/>
            <w:b w:val="1"/>
            <w:bCs w:val="1"/>
            <w:u w:val="single" w:color="auto"/>
            <w:color w:val="0000EE"/>
          </w:rPr>
          <w:t>Index to Financial Statements</w:t>
        </w:r>
      </w:hyperlink>
    </w:p>
    <w:p>
      <w:pPr>
        <w:spacing w:after="0" w:line="267" w:lineRule="exact"/>
        <w:rPr>
          <w:sz w:val="20"/>
          <w:szCs w:val="20"/>
          <w:color w:val="auto"/>
        </w:rPr>
      </w:pPr>
    </w:p>
    <w:p>
      <w:pPr>
        <w:ind w:left="460" w:right="100"/>
        <w:spacing w:after="0" w:line="270" w:lineRule="auto"/>
        <w:rPr>
          <w:sz w:val="20"/>
          <w:szCs w:val="20"/>
          <w:color w:val="auto"/>
        </w:rPr>
      </w:pPr>
      <w:r>
        <w:rPr>
          <w:rFonts w:ascii="Arial" w:cs="Arial" w:eastAsia="Arial" w:hAnsi="Arial"/>
          <w:sz w:val="14"/>
          <w:szCs w:val="14"/>
          <w:color w:val="auto"/>
        </w:rPr>
        <w:t>As of December 31, 2013, the Company has federal and state net operating loss carryforwards totaling $69,888,000 and $29,881,000 respectively, which expire through 2032. The net operating losses include Federal and State excess benefits related to stock options of $707,000 that will be charged to additional paid-in capital when utilized. In addition, the Company has federal and state research and development credits of $284,000 and $176,000, respectively, which expire through 2032. Ownership changes, as defined by Section 382 of the Internal Revenue Code, may have limited the amount of net operating loss carryforwards that can be utilized annually to offset future taxable income.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10" w:lineRule="exact"/>
        <w:rPr>
          <w:sz w:val="20"/>
          <w:szCs w:val="20"/>
          <w:color w:val="auto"/>
        </w:rPr>
      </w:pPr>
    </w:p>
    <w:p>
      <w:pPr>
        <w:ind w:left="460" w:right="280"/>
        <w:spacing w:after="0" w:line="337" w:lineRule="auto"/>
        <w:rPr>
          <w:sz w:val="20"/>
          <w:szCs w:val="20"/>
          <w:color w:val="auto"/>
        </w:rPr>
      </w:pPr>
      <w:r>
        <w:rPr>
          <w:rFonts w:ascii="Arial" w:cs="Arial" w:eastAsia="Arial" w:hAnsi="Arial"/>
          <w:sz w:val="13"/>
          <w:szCs w:val="13"/>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2013 and 2012, the Company does not have any significant uncertain tax positions.</w:t>
      </w:r>
    </w:p>
    <w:p>
      <w:pPr>
        <w:spacing w:after="0" w:line="164" w:lineRule="exact"/>
        <w:rPr>
          <w:sz w:val="20"/>
          <w:szCs w:val="20"/>
          <w:color w:val="auto"/>
        </w:rPr>
      </w:pPr>
    </w:p>
    <w:p>
      <w:pPr>
        <w:ind w:left="460" w:hanging="451"/>
        <w:spacing w:after="0"/>
        <w:tabs>
          <w:tab w:leader="none" w:pos="46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86" w:lineRule="exact"/>
        <w:rPr>
          <w:rFonts w:ascii="Arial" w:cs="Arial" w:eastAsia="Arial" w:hAnsi="Arial"/>
          <w:sz w:val="14"/>
          <w:szCs w:val="14"/>
          <w:b w:val="1"/>
          <w:bCs w:val="1"/>
          <w:color w:val="auto"/>
        </w:rPr>
      </w:pPr>
    </w:p>
    <w:p>
      <w:pPr>
        <w:ind w:left="460"/>
        <w:spacing w:after="0" w:line="296" w:lineRule="auto"/>
        <w:rPr>
          <w:rFonts w:ascii="Arial" w:cs="Arial" w:eastAsia="Arial" w:hAnsi="Arial"/>
          <w:sz w:val="14"/>
          <w:szCs w:val="14"/>
          <w:b w:val="1"/>
          <w:bCs w:val="1"/>
          <w:color w:val="auto"/>
        </w:rPr>
      </w:pPr>
      <w:r>
        <w:rPr>
          <w:rFonts w:ascii="Arial" w:cs="Arial" w:eastAsia="Arial" w:hAnsi="Arial"/>
          <w:sz w:val="14"/>
          <w:szCs w:val="14"/>
          <w:color w:val="auto"/>
        </w:rPr>
        <w:t>The Company evaluated all events and transactions occurring after December 31, 2013 through the date of which the financial statements were issued for recognition or disclosure and noted the following:</w:t>
      </w:r>
    </w:p>
    <w:p>
      <w:pPr>
        <w:spacing w:after="0" w:line="24" w:lineRule="exact"/>
        <w:rPr>
          <w:rFonts w:ascii="Arial" w:cs="Arial" w:eastAsia="Arial" w:hAnsi="Arial"/>
          <w:sz w:val="14"/>
          <w:szCs w:val="14"/>
          <w:b w:val="1"/>
          <w:bCs w:val="1"/>
          <w:color w:val="auto"/>
        </w:rPr>
      </w:pPr>
    </w:p>
    <w:p>
      <w:pPr>
        <w:ind w:left="460" w:right="180"/>
        <w:spacing w:after="0" w:line="280" w:lineRule="auto"/>
        <w:rPr>
          <w:rFonts w:ascii="Arial" w:cs="Arial" w:eastAsia="Arial" w:hAnsi="Arial"/>
          <w:sz w:val="14"/>
          <w:szCs w:val="14"/>
          <w:b w:val="1"/>
          <w:bCs w:val="1"/>
          <w:color w:val="auto"/>
        </w:rPr>
      </w:pPr>
      <w:r>
        <w:rPr>
          <w:rFonts w:ascii="Arial" w:cs="Arial" w:eastAsia="Arial" w:hAnsi="Arial"/>
          <w:sz w:val="14"/>
          <w:szCs w:val="14"/>
          <w:color w:val="auto"/>
        </w:rPr>
        <w:t>In January 2014, we created Galectin Sciences, LLC, a collaborative joint venture co-owned by SBH Sciences, to research and develop small organic molecule inhibitors of galectin-3 for oral administration. Galectin Sciences, LLC was initially capitalized with a $400,000 cash investment to fund future research and development activities, which was provided by the Company, and specific in-process research and development provided by SBH Sciences.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380"/>
          </w:cols>
          <w:pgMar w:left="220" w:top="402" w:right="29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21.1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SUBSIDIARIES OF REGISTRANT</w:t>
      </w:r>
    </w:p>
    <w:p>
      <w:pPr>
        <w:spacing w:after="0" w:line="153" w:lineRule="exact"/>
        <w:rPr>
          <w:sz w:val="20"/>
          <w:szCs w:val="20"/>
          <w:color w:val="auto"/>
        </w:rPr>
      </w:pPr>
    </w:p>
    <w:p>
      <w:pPr>
        <w:ind w:right="100" w:firstLine="458"/>
        <w:spacing w:after="0" w:line="296" w:lineRule="auto"/>
        <w:rPr>
          <w:sz w:val="20"/>
          <w:szCs w:val="20"/>
          <w:color w:val="auto"/>
        </w:rPr>
      </w:pPr>
      <w:r>
        <w:rPr>
          <w:rFonts w:ascii="Arial" w:cs="Arial" w:eastAsia="Arial" w:hAnsi="Arial"/>
          <w:sz w:val="14"/>
          <w:szCs w:val="14"/>
          <w:color w:val="auto"/>
        </w:rPr>
        <w:t>The following is a list of the Corporation’s subsidiaries as of December 31, 2013. The Corporation owns, directly or indirectly, 100% of the voting securities of each subsidiary, unless noted otherwise.</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620" w:type="dxa"/>
            <w:vAlign w:val="bottom"/>
            <w:gridSpan w:val="2"/>
          </w:tcPr>
          <w:p>
            <w:pPr>
              <w:ind w:left="1780"/>
              <w:spacing w:after="0"/>
              <w:rPr>
                <w:sz w:val="20"/>
                <w:szCs w:val="20"/>
                <w:color w:val="auto"/>
              </w:rPr>
            </w:pPr>
            <w:r>
              <w:rPr>
                <w:rFonts w:ascii="Arial" w:cs="Arial" w:eastAsia="Arial" w:hAnsi="Arial"/>
                <w:sz w:val="11"/>
                <w:szCs w:val="11"/>
                <w:b w:val="1"/>
                <w:bCs w:val="1"/>
                <w:color w:val="auto"/>
              </w:rPr>
              <w:t>STATE OR JURISDICTION</w:t>
            </w:r>
          </w:p>
        </w:tc>
      </w:tr>
      <w:tr>
        <w:trPr>
          <w:trHeight w:val="153"/>
        </w:trPr>
        <w:tc>
          <w:tcPr>
            <w:tcW w:w="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3560" w:type="dxa"/>
            <w:vAlign w:val="bottom"/>
          </w:tcPr>
          <w:p>
            <w:pPr>
              <w:spacing w:after="0"/>
              <w:rPr>
                <w:sz w:val="13"/>
                <w:szCs w:val="13"/>
                <w:color w:val="auto"/>
              </w:rPr>
            </w:pPr>
          </w:p>
        </w:tc>
        <w:tc>
          <w:tcPr>
            <w:tcW w:w="6620" w:type="dxa"/>
            <w:vAlign w:val="bottom"/>
            <w:gridSpan w:val="2"/>
          </w:tcPr>
          <w:p>
            <w:pPr>
              <w:ind w:left="1780"/>
              <w:spacing w:after="0"/>
              <w:rPr>
                <w:sz w:val="20"/>
                <w:szCs w:val="20"/>
                <w:color w:val="auto"/>
              </w:rPr>
            </w:pPr>
            <w:r>
              <w:rPr>
                <w:rFonts w:ascii="Arial" w:cs="Arial" w:eastAsia="Arial" w:hAnsi="Arial"/>
                <w:sz w:val="11"/>
                <w:szCs w:val="11"/>
                <w:b w:val="1"/>
                <w:bCs w:val="1"/>
                <w:color w:val="auto"/>
              </w:rPr>
              <w:t>OF ORGANIZATION</w:t>
            </w:r>
          </w:p>
        </w:tc>
      </w:tr>
      <w:tr>
        <w:trPr>
          <w:trHeight w:val="165"/>
        </w:trPr>
        <w:tc>
          <w:tcPr>
            <w:tcW w:w="3920" w:type="dxa"/>
            <w:vAlign w:val="bottom"/>
            <w:gridSpan w:val="2"/>
          </w:tcPr>
          <w:p>
            <w:pPr>
              <w:spacing w:after="0"/>
              <w:rPr>
                <w:sz w:val="20"/>
                <w:szCs w:val="20"/>
                <w:color w:val="auto"/>
              </w:rPr>
            </w:pPr>
            <w:r>
              <w:rPr>
                <w:rFonts w:ascii="Arial" w:cs="Arial" w:eastAsia="Arial" w:hAnsi="Arial"/>
                <w:sz w:val="14"/>
                <w:szCs w:val="14"/>
                <w:color w:val="auto"/>
              </w:rPr>
              <w:t>Galectin Therapeutics Security Corp.</w:t>
            </w:r>
          </w:p>
        </w:tc>
        <w:tc>
          <w:tcPr>
            <w:tcW w:w="1780" w:type="dxa"/>
            <w:vAlign w:val="bottom"/>
          </w:tcPr>
          <w:p>
            <w:pPr>
              <w:spacing w:after="0"/>
              <w:rPr>
                <w:sz w:val="14"/>
                <w:szCs w:val="14"/>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60"/>
          </w:cols>
          <w:pgMar w:left="220" w:top="128"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Exhibit 23.1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53" w:lineRule="exact"/>
        <w:rPr>
          <w:sz w:val="20"/>
          <w:szCs w:val="20"/>
          <w:color w:val="auto"/>
        </w:rPr>
      </w:pPr>
    </w:p>
    <w:p>
      <w:pPr>
        <w:jc w:val="both"/>
        <w:ind w:right="200" w:firstLine="458"/>
        <w:spacing w:after="0" w:line="311" w:lineRule="auto"/>
        <w:rPr>
          <w:sz w:val="20"/>
          <w:szCs w:val="20"/>
          <w:color w:val="auto"/>
        </w:rPr>
      </w:pPr>
      <w:r>
        <w:rPr>
          <w:rFonts w:ascii="Arial" w:cs="Arial" w:eastAsia="Arial" w:hAnsi="Arial"/>
          <w:sz w:val="13"/>
          <w:szCs w:val="13"/>
          <w:color w:val="auto"/>
        </w:rPr>
        <w:t>We consent to the incorporation by reference in Registration Statement Nos. 333-176306, 333-176305, 333-116629, 333-109893 and 333-159247 on Form S-8, and Registration Nos. 333-169463, 333-172849, 333-150898, 333-148911, 333-132459, 333-118907, 333-115118, 333-111650, and 333-109887 on Form S-3, of our report dated March 20, 2014 relating to our audit of the consolidated financial statements, which appear in this Annual Report on Form 10-K of Galectin Therapeutics, Inc. for the year ended December 31, 2013.</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March 21, 2014</w:t>
      </w:r>
    </w:p>
    <w:p>
      <w:pPr>
        <w:sectPr>
          <w:pgSz w:w="11900" w:h="16838" w:orient="portrait"/>
          <w:cols w:equalWidth="0" w:num="1">
            <w:col w:w="11460"/>
          </w:cols>
          <w:pgMar w:left="220" w:top="128"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of the Securities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 Peter G. Traber, certify that:</w:t>
      </w:r>
    </w:p>
    <w:p>
      <w:pPr>
        <w:spacing w:after="0" w:line="183" w:lineRule="exact"/>
        <w:rPr>
          <w:sz w:val="20"/>
          <w:szCs w:val="20"/>
          <w:color w:val="auto"/>
        </w:rPr>
      </w:pPr>
    </w:p>
    <w:p>
      <w:pPr>
        <w:ind w:left="460" w:hanging="451"/>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Galectin Therapeutics Inc.;</w:t>
      </w:r>
    </w:p>
    <w:p>
      <w:pPr>
        <w:spacing w:after="0" w:line="182" w:lineRule="exact"/>
        <w:rPr>
          <w:rFonts w:ascii="Arial" w:cs="Arial" w:eastAsia="Arial" w:hAnsi="Arial"/>
          <w:sz w:val="14"/>
          <w:szCs w:val="14"/>
          <w:color w:val="auto"/>
        </w:rPr>
      </w:pPr>
    </w:p>
    <w:p>
      <w:pPr>
        <w:ind w:left="460" w:right="760" w:hanging="451"/>
        <w:spacing w:after="0" w:line="29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4"/>
          <w:szCs w:val="14"/>
          <w:color w:val="auto"/>
        </w:rPr>
      </w:pPr>
    </w:p>
    <w:p>
      <w:pPr>
        <w:ind w:left="460" w:right="220" w:hanging="451"/>
        <w:spacing w:after="0" w:line="29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4"/>
          <w:szCs w:val="14"/>
          <w:color w:val="auto"/>
        </w:rPr>
      </w:pPr>
    </w:p>
    <w:p>
      <w:pPr>
        <w:ind w:left="460" w:right="60" w:hanging="451"/>
        <w:spacing w:after="0" w:line="29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we have:</w:t>
      </w:r>
    </w:p>
    <w:p>
      <w:pPr>
        <w:spacing w:after="0" w:line="24" w:lineRule="exact"/>
        <w:rPr>
          <w:rFonts w:ascii="Arial" w:cs="Arial" w:eastAsia="Arial" w:hAnsi="Arial"/>
          <w:sz w:val="14"/>
          <w:szCs w:val="14"/>
          <w:color w:val="auto"/>
        </w:rPr>
      </w:pPr>
    </w:p>
    <w:p>
      <w:pPr>
        <w:ind w:left="920" w:hanging="457"/>
        <w:spacing w:after="0" w:line="337" w:lineRule="auto"/>
        <w:tabs>
          <w:tab w:leader="none" w:pos="92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920" w:right="80" w:hanging="457"/>
        <w:spacing w:after="0" w:line="337" w:lineRule="auto"/>
        <w:tabs>
          <w:tab w:leader="none" w:pos="92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920" w:right="260" w:hanging="457"/>
        <w:spacing w:after="0" w:line="296" w:lineRule="auto"/>
        <w:tabs>
          <w:tab w:leader="none" w:pos="9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4"/>
          <w:szCs w:val="14"/>
          <w:color w:val="auto"/>
        </w:rPr>
      </w:pPr>
    </w:p>
    <w:p>
      <w:pPr>
        <w:ind w:left="920" w:right="240" w:hanging="457"/>
        <w:spacing w:after="0" w:line="337" w:lineRule="auto"/>
        <w:tabs>
          <w:tab w:leader="none" w:pos="92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3"/>
          <w:szCs w:val="13"/>
          <w:color w:val="auto"/>
        </w:rPr>
      </w:pPr>
    </w:p>
    <w:p>
      <w:pPr>
        <w:ind w:left="460" w:right="560" w:hanging="451"/>
        <w:spacing w:after="0" w:line="29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4"/>
          <w:szCs w:val="14"/>
          <w:color w:val="auto"/>
        </w:rPr>
      </w:pPr>
    </w:p>
    <w:p>
      <w:pPr>
        <w:ind w:left="920" w:right="620" w:hanging="457"/>
        <w:spacing w:after="0" w:line="296" w:lineRule="auto"/>
        <w:tabs>
          <w:tab w:leader="none" w:pos="9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4"/>
          <w:szCs w:val="14"/>
          <w:color w:val="auto"/>
        </w:rPr>
      </w:pPr>
    </w:p>
    <w:p>
      <w:pPr>
        <w:ind w:left="920" w:hanging="457"/>
        <w:spacing w:after="0"/>
        <w:tabs>
          <w:tab w:leader="none" w:pos="9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20"/>
                <w:szCs w:val="20"/>
                <w:color w:val="auto"/>
              </w:rPr>
            </w:pPr>
            <w:r>
              <w:rPr>
                <w:rFonts w:ascii="Arial" w:cs="Arial" w:eastAsia="Arial" w:hAnsi="Arial"/>
                <w:sz w:val="14"/>
                <w:szCs w:val="14"/>
                <w:color w:val="auto"/>
              </w:rPr>
              <w:t>March 21, 2014</w:t>
            </w:r>
          </w:p>
        </w:tc>
        <w:tc>
          <w:tcPr>
            <w:tcW w:w="5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  Peter G. Traber</w:t>
            </w:r>
          </w:p>
        </w:tc>
      </w:tr>
      <w:tr>
        <w:trPr>
          <w:trHeight w:val="162"/>
        </w:trPr>
        <w:tc>
          <w:tcPr>
            <w:tcW w:w="56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Name:</w:t>
            </w:r>
          </w:p>
        </w:tc>
        <w:tc>
          <w:tcPr>
            <w:tcW w:w="5120" w:type="dxa"/>
            <w:vAlign w:val="bottom"/>
          </w:tcPr>
          <w:p>
            <w:pPr>
              <w:ind w:left="200"/>
              <w:spacing w:after="0"/>
              <w:rPr>
                <w:sz w:val="20"/>
                <w:szCs w:val="20"/>
                <w:color w:val="auto"/>
              </w:rPr>
            </w:pPr>
            <w:r>
              <w:rPr>
                <w:rFonts w:ascii="Arial" w:cs="Arial" w:eastAsia="Arial" w:hAnsi="Arial"/>
                <w:sz w:val="14"/>
                <w:szCs w:val="14"/>
                <w:color w:val="auto"/>
              </w:rPr>
              <w:t>Peter G. Traber, M.D.</w:t>
            </w:r>
          </w:p>
        </w:tc>
      </w:tr>
      <w:tr>
        <w:trPr>
          <w:trHeight w:val="177"/>
        </w:trPr>
        <w:tc>
          <w:tcPr>
            <w:tcW w:w="564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Title:</w:t>
            </w:r>
          </w:p>
        </w:tc>
        <w:tc>
          <w:tcPr>
            <w:tcW w:w="5120" w:type="dxa"/>
            <w:vAlign w:val="bottom"/>
          </w:tcPr>
          <w:p>
            <w:pPr>
              <w:ind w:left="200"/>
              <w:spacing w:after="0"/>
              <w:rPr>
                <w:sz w:val="20"/>
                <w:szCs w:val="20"/>
                <w:color w:val="auto"/>
              </w:rPr>
            </w:pPr>
            <w:r>
              <w:rPr>
                <w:rFonts w:ascii="Arial" w:cs="Arial" w:eastAsia="Arial" w:hAnsi="Arial"/>
                <w:sz w:val="14"/>
                <w:szCs w:val="14"/>
                <w:color w:val="auto"/>
              </w:rPr>
              <w:t>Chief Executive Officer and President</w:t>
            </w:r>
          </w:p>
        </w:tc>
      </w:tr>
      <w:tr>
        <w:trPr>
          <w:trHeight w:val="182"/>
        </w:trPr>
        <w:tc>
          <w:tcPr>
            <w:tcW w:w="5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20" w:type="dxa"/>
            <w:vAlign w:val="bottom"/>
          </w:tcPr>
          <w:p>
            <w:pPr>
              <w:ind w:left="20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460"/>
          </w:cols>
          <w:pgMar w:left="220" w:top="128"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31.2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of the Securities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 Jack W. Callicutt, certify that:</w:t>
      </w:r>
    </w:p>
    <w:p>
      <w:pPr>
        <w:spacing w:after="0" w:line="183" w:lineRule="exact"/>
        <w:rPr>
          <w:sz w:val="20"/>
          <w:szCs w:val="20"/>
          <w:color w:val="auto"/>
        </w:rPr>
      </w:pPr>
    </w:p>
    <w:p>
      <w:pPr>
        <w:ind w:left="460" w:hanging="451"/>
        <w:spacing w:after="0"/>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Galectin Therapeutics Inc.;</w:t>
      </w:r>
    </w:p>
    <w:p>
      <w:pPr>
        <w:spacing w:after="0" w:line="182" w:lineRule="exact"/>
        <w:rPr>
          <w:rFonts w:ascii="Arial" w:cs="Arial" w:eastAsia="Arial" w:hAnsi="Arial"/>
          <w:sz w:val="14"/>
          <w:szCs w:val="14"/>
          <w:color w:val="auto"/>
        </w:rPr>
      </w:pPr>
    </w:p>
    <w:p>
      <w:pPr>
        <w:ind w:left="460" w:right="760" w:hanging="451"/>
        <w:spacing w:after="0" w:line="296"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4"/>
          <w:szCs w:val="14"/>
          <w:color w:val="auto"/>
        </w:rPr>
      </w:pPr>
    </w:p>
    <w:p>
      <w:pPr>
        <w:ind w:left="460" w:right="220" w:hanging="451"/>
        <w:spacing w:after="0" w:line="296"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4"/>
          <w:szCs w:val="14"/>
          <w:color w:val="auto"/>
        </w:rPr>
      </w:pPr>
    </w:p>
    <w:p>
      <w:pPr>
        <w:ind w:left="460" w:right="60" w:hanging="451"/>
        <w:spacing w:after="0" w:line="296"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we have:</w:t>
      </w:r>
    </w:p>
    <w:p>
      <w:pPr>
        <w:spacing w:after="0" w:line="24" w:lineRule="exact"/>
        <w:rPr>
          <w:rFonts w:ascii="Arial" w:cs="Arial" w:eastAsia="Arial" w:hAnsi="Arial"/>
          <w:sz w:val="14"/>
          <w:szCs w:val="14"/>
          <w:color w:val="auto"/>
        </w:rPr>
      </w:pPr>
    </w:p>
    <w:p>
      <w:pPr>
        <w:ind w:left="920" w:hanging="457"/>
        <w:spacing w:after="0" w:line="337" w:lineRule="auto"/>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920" w:right="80" w:hanging="457"/>
        <w:spacing w:after="0" w:line="337" w:lineRule="auto"/>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920" w:right="260" w:hanging="457"/>
        <w:spacing w:after="0" w:line="296"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4"/>
          <w:szCs w:val="14"/>
          <w:color w:val="auto"/>
        </w:rPr>
      </w:pPr>
    </w:p>
    <w:p>
      <w:pPr>
        <w:ind w:left="920" w:right="240" w:hanging="457"/>
        <w:spacing w:after="0" w:line="337" w:lineRule="auto"/>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3"/>
          <w:szCs w:val="13"/>
          <w:color w:val="auto"/>
        </w:rPr>
      </w:pPr>
    </w:p>
    <w:p>
      <w:pPr>
        <w:ind w:left="460" w:right="560" w:hanging="451"/>
        <w:spacing w:after="0" w:line="296"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4"/>
          <w:szCs w:val="14"/>
          <w:color w:val="auto"/>
        </w:rPr>
      </w:pPr>
    </w:p>
    <w:p>
      <w:pPr>
        <w:ind w:left="920" w:right="620" w:hanging="457"/>
        <w:spacing w:after="0" w:line="296"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4"/>
          <w:szCs w:val="14"/>
          <w:color w:val="auto"/>
        </w:rPr>
      </w:pPr>
    </w:p>
    <w:p>
      <w:pPr>
        <w:ind w:left="920" w:hanging="457"/>
        <w:spacing w:after="0"/>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20"/>
                <w:szCs w:val="20"/>
                <w:color w:val="auto"/>
              </w:rPr>
            </w:pPr>
            <w:r>
              <w:rPr>
                <w:rFonts w:ascii="Arial" w:cs="Arial" w:eastAsia="Arial" w:hAnsi="Arial"/>
                <w:sz w:val="14"/>
                <w:szCs w:val="14"/>
                <w:color w:val="auto"/>
              </w:rPr>
              <w:t>March 21, 2014</w:t>
            </w:r>
          </w:p>
        </w:tc>
        <w:tc>
          <w:tcPr>
            <w:tcW w:w="5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  Jack W. Callicutt</w:t>
            </w:r>
          </w:p>
        </w:tc>
      </w:tr>
      <w:tr>
        <w:trPr>
          <w:trHeight w:val="162"/>
        </w:trPr>
        <w:tc>
          <w:tcPr>
            <w:tcW w:w="56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Name:</w:t>
            </w:r>
          </w:p>
        </w:tc>
        <w:tc>
          <w:tcPr>
            <w:tcW w:w="5120" w:type="dxa"/>
            <w:vAlign w:val="bottom"/>
          </w:tcPr>
          <w:p>
            <w:pPr>
              <w:ind w:left="200"/>
              <w:spacing w:after="0"/>
              <w:rPr>
                <w:sz w:val="20"/>
                <w:szCs w:val="20"/>
                <w:color w:val="auto"/>
              </w:rPr>
            </w:pPr>
            <w:r>
              <w:rPr>
                <w:rFonts w:ascii="Arial" w:cs="Arial" w:eastAsia="Arial" w:hAnsi="Arial"/>
                <w:sz w:val="14"/>
                <w:szCs w:val="14"/>
                <w:color w:val="auto"/>
              </w:rPr>
              <w:t>Jack W. Callicutt</w:t>
            </w:r>
          </w:p>
        </w:tc>
      </w:tr>
      <w:tr>
        <w:trPr>
          <w:trHeight w:val="177"/>
        </w:trPr>
        <w:tc>
          <w:tcPr>
            <w:tcW w:w="564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Title:</w:t>
            </w:r>
          </w:p>
        </w:tc>
        <w:tc>
          <w:tcPr>
            <w:tcW w:w="5120" w:type="dxa"/>
            <w:vAlign w:val="bottom"/>
          </w:tcPr>
          <w:p>
            <w:pPr>
              <w:ind w:left="200"/>
              <w:spacing w:after="0"/>
              <w:rPr>
                <w:sz w:val="20"/>
                <w:szCs w:val="20"/>
                <w:color w:val="auto"/>
              </w:rPr>
            </w:pPr>
            <w:r>
              <w:rPr>
                <w:rFonts w:ascii="Arial" w:cs="Arial" w:eastAsia="Arial" w:hAnsi="Arial"/>
                <w:sz w:val="14"/>
                <w:szCs w:val="14"/>
                <w:color w:val="auto"/>
              </w:rPr>
              <w:t>Chief Financial Officer</w:t>
            </w:r>
          </w:p>
        </w:tc>
      </w:tr>
      <w:tr>
        <w:trPr>
          <w:trHeight w:val="182"/>
        </w:trPr>
        <w:tc>
          <w:tcPr>
            <w:tcW w:w="5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20" w:type="dxa"/>
            <w:vAlign w:val="bottom"/>
          </w:tcPr>
          <w:p>
            <w:pPr>
              <w:ind w:left="200"/>
              <w:spacing w:after="0"/>
              <w:rPr>
                <w:sz w:val="20"/>
                <w:szCs w:val="20"/>
                <w:color w:val="auto"/>
              </w:rPr>
            </w:pPr>
            <w:r>
              <w:rPr>
                <w:rFonts w:ascii="Arial" w:cs="Arial" w:eastAsia="Arial" w:hAnsi="Arial"/>
                <w:sz w:val="14"/>
                <w:szCs w:val="14"/>
                <w:color w:val="auto"/>
              </w:rPr>
              <w:t>(principal financial and accounting officer)</w:t>
            </w:r>
          </w:p>
        </w:tc>
      </w:tr>
    </w:tbl>
    <w:p>
      <w:pPr>
        <w:sectPr>
          <w:pgSz w:w="11900" w:h="16838" w:orient="portrait"/>
          <w:cols w:equalWidth="0" w:num="1">
            <w:col w:w="11460"/>
          </w:cols>
          <w:pgMar w:left="220" w:top="128"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4" w:lineRule="exact"/>
        <w:rPr>
          <w:sz w:val="20"/>
          <w:szCs w:val="20"/>
          <w:color w:val="auto"/>
        </w:rPr>
      </w:pPr>
    </w:p>
    <w:p>
      <w:pPr>
        <w:ind w:right="280" w:firstLine="458"/>
        <w:spacing w:after="0" w:line="280" w:lineRule="auto"/>
        <w:rPr>
          <w:sz w:val="20"/>
          <w:szCs w:val="20"/>
          <w:color w:val="auto"/>
        </w:rPr>
      </w:pPr>
      <w:r>
        <w:rPr>
          <w:rFonts w:ascii="Arial" w:cs="Arial" w:eastAsia="Arial" w:hAnsi="Arial"/>
          <w:sz w:val="14"/>
          <w:szCs w:val="14"/>
          <w:color w:val="auto"/>
        </w:rPr>
        <w:t>In connection with the Annual Report of Galectin Therapeutics Inc. (the “Company”) on Form 10-K for the period ended December 31, 2013 as filed with the Securities and Exchange Commission on the date hereof (the “Report”), I, Peter G. Traber, Chief Executive Officer and President of the Company, certify, pursuant to 18 U.S.C. §1350, as adopted pursuant to §906 of the Sarbanes-Oxley Act of 2002, that, to my knowledge:</w:t>
      </w:r>
    </w:p>
    <w:p>
      <w:pPr>
        <w:spacing w:after="0" w:line="135" w:lineRule="exact"/>
        <w:rPr>
          <w:sz w:val="20"/>
          <w:szCs w:val="20"/>
          <w:color w:val="auto"/>
        </w:rPr>
      </w:pPr>
    </w:p>
    <w:p>
      <w:pPr>
        <w:ind w:left="460" w:hanging="451"/>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82" w:lineRule="exact"/>
        <w:rPr>
          <w:rFonts w:ascii="Arial" w:cs="Arial" w:eastAsia="Arial" w:hAnsi="Arial"/>
          <w:sz w:val="14"/>
          <w:szCs w:val="14"/>
          <w:color w:val="auto"/>
        </w:rPr>
      </w:pPr>
    </w:p>
    <w:p>
      <w:pPr>
        <w:ind w:left="460" w:hanging="451"/>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20"/>
                <w:szCs w:val="20"/>
                <w:color w:val="auto"/>
              </w:rPr>
            </w:pPr>
            <w:r>
              <w:rPr>
                <w:rFonts w:ascii="Arial" w:cs="Arial" w:eastAsia="Arial" w:hAnsi="Arial"/>
                <w:sz w:val="14"/>
                <w:szCs w:val="14"/>
                <w:color w:val="auto"/>
              </w:rPr>
              <w:t>March 21, 2014</w:t>
            </w:r>
          </w:p>
        </w:tc>
        <w:tc>
          <w:tcPr>
            <w:tcW w:w="5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  Peter G. Traber</w:t>
            </w:r>
          </w:p>
        </w:tc>
      </w:tr>
      <w:tr>
        <w:trPr>
          <w:trHeight w:val="162"/>
        </w:trPr>
        <w:tc>
          <w:tcPr>
            <w:tcW w:w="56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Name:</w:t>
            </w:r>
          </w:p>
        </w:tc>
        <w:tc>
          <w:tcPr>
            <w:tcW w:w="5120" w:type="dxa"/>
            <w:vAlign w:val="bottom"/>
          </w:tcPr>
          <w:p>
            <w:pPr>
              <w:ind w:left="200"/>
              <w:spacing w:after="0"/>
              <w:rPr>
                <w:sz w:val="20"/>
                <w:szCs w:val="20"/>
                <w:color w:val="auto"/>
              </w:rPr>
            </w:pPr>
            <w:r>
              <w:rPr>
                <w:rFonts w:ascii="Arial" w:cs="Arial" w:eastAsia="Arial" w:hAnsi="Arial"/>
                <w:sz w:val="14"/>
                <w:szCs w:val="14"/>
                <w:color w:val="auto"/>
              </w:rPr>
              <w:t>Peter G. Traber, M.D.</w:t>
            </w:r>
          </w:p>
        </w:tc>
      </w:tr>
      <w:tr>
        <w:trPr>
          <w:trHeight w:val="177"/>
        </w:trPr>
        <w:tc>
          <w:tcPr>
            <w:tcW w:w="564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Title:</w:t>
            </w:r>
          </w:p>
        </w:tc>
        <w:tc>
          <w:tcPr>
            <w:tcW w:w="5120" w:type="dxa"/>
            <w:vAlign w:val="bottom"/>
          </w:tcPr>
          <w:p>
            <w:pPr>
              <w:ind w:left="200"/>
              <w:spacing w:after="0"/>
              <w:rPr>
                <w:sz w:val="20"/>
                <w:szCs w:val="20"/>
                <w:color w:val="auto"/>
              </w:rPr>
            </w:pPr>
            <w:r>
              <w:rPr>
                <w:rFonts w:ascii="Arial" w:cs="Arial" w:eastAsia="Arial" w:hAnsi="Arial"/>
                <w:sz w:val="14"/>
                <w:szCs w:val="14"/>
                <w:color w:val="auto"/>
              </w:rPr>
              <w:t>Chief Executive Officer and President</w:t>
            </w:r>
          </w:p>
        </w:tc>
      </w:tr>
      <w:tr>
        <w:trPr>
          <w:trHeight w:val="182"/>
        </w:trPr>
        <w:tc>
          <w:tcPr>
            <w:tcW w:w="5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20" w:type="dxa"/>
            <w:vAlign w:val="bottom"/>
          </w:tcPr>
          <w:p>
            <w:pPr>
              <w:ind w:left="20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460"/>
          </w:cols>
          <w:pgMar w:left="220" w:top="128"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44" w:lineRule="exact"/>
        <w:rPr>
          <w:sz w:val="20"/>
          <w:szCs w:val="20"/>
          <w:color w:val="auto"/>
        </w:rPr>
      </w:pPr>
    </w:p>
    <w:p>
      <w:pPr>
        <w:ind w:right="80" w:firstLine="458"/>
        <w:spacing w:after="0" w:line="280" w:lineRule="auto"/>
        <w:rPr>
          <w:sz w:val="20"/>
          <w:szCs w:val="20"/>
          <w:color w:val="auto"/>
        </w:rPr>
      </w:pPr>
      <w:r>
        <w:rPr>
          <w:rFonts w:ascii="Arial" w:cs="Arial" w:eastAsia="Arial" w:hAnsi="Arial"/>
          <w:sz w:val="14"/>
          <w:szCs w:val="14"/>
          <w:color w:val="auto"/>
        </w:rPr>
        <w:t>In connection with the Annual Report of Galectin Therapeutics Inc. (the “Company”) on Form 10-K for the period ended December 31, 2013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135" w:lineRule="exact"/>
        <w:rPr>
          <w:sz w:val="20"/>
          <w:szCs w:val="20"/>
          <w:color w:val="auto"/>
        </w:rPr>
      </w:pPr>
    </w:p>
    <w:p>
      <w:pPr>
        <w:ind w:left="460" w:hanging="451"/>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82" w:lineRule="exact"/>
        <w:rPr>
          <w:rFonts w:ascii="Arial" w:cs="Arial" w:eastAsia="Arial" w:hAnsi="Arial"/>
          <w:sz w:val="14"/>
          <w:szCs w:val="14"/>
          <w:color w:val="auto"/>
        </w:rPr>
      </w:pPr>
    </w:p>
    <w:p>
      <w:pPr>
        <w:ind w:left="460" w:hanging="451"/>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20"/>
                <w:szCs w:val="20"/>
                <w:color w:val="auto"/>
              </w:rPr>
            </w:pPr>
            <w:r>
              <w:rPr>
                <w:rFonts w:ascii="Arial" w:cs="Arial" w:eastAsia="Arial" w:hAnsi="Arial"/>
                <w:sz w:val="14"/>
                <w:szCs w:val="14"/>
                <w:color w:val="auto"/>
              </w:rPr>
              <w:t>March 21, 2014</w:t>
            </w:r>
          </w:p>
        </w:tc>
        <w:tc>
          <w:tcPr>
            <w:tcW w:w="5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  Jack W. Callicutt</w:t>
            </w:r>
          </w:p>
        </w:tc>
      </w:tr>
      <w:tr>
        <w:trPr>
          <w:trHeight w:val="162"/>
        </w:trPr>
        <w:tc>
          <w:tcPr>
            <w:tcW w:w="56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Name:</w:t>
            </w:r>
          </w:p>
        </w:tc>
        <w:tc>
          <w:tcPr>
            <w:tcW w:w="5120" w:type="dxa"/>
            <w:vAlign w:val="bottom"/>
          </w:tcPr>
          <w:p>
            <w:pPr>
              <w:ind w:left="200"/>
              <w:spacing w:after="0"/>
              <w:rPr>
                <w:sz w:val="20"/>
                <w:szCs w:val="20"/>
                <w:color w:val="auto"/>
              </w:rPr>
            </w:pPr>
            <w:r>
              <w:rPr>
                <w:rFonts w:ascii="Arial" w:cs="Arial" w:eastAsia="Arial" w:hAnsi="Arial"/>
                <w:sz w:val="14"/>
                <w:szCs w:val="14"/>
                <w:color w:val="auto"/>
              </w:rPr>
              <w:t>Jack W. Callicutt</w:t>
            </w:r>
          </w:p>
        </w:tc>
      </w:tr>
      <w:tr>
        <w:trPr>
          <w:trHeight w:val="177"/>
        </w:trPr>
        <w:tc>
          <w:tcPr>
            <w:tcW w:w="564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Title:</w:t>
            </w:r>
          </w:p>
        </w:tc>
        <w:tc>
          <w:tcPr>
            <w:tcW w:w="5120" w:type="dxa"/>
            <w:vAlign w:val="bottom"/>
          </w:tcPr>
          <w:p>
            <w:pPr>
              <w:ind w:left="200"/>
              <w:spacing w:after="0"/>
              <w:rPr>
                <w:sz w:val="20"/>
                <w:szCs w:val="20"/>
                <w:color w:val="auto"/>
              </w:rPr>
            </w:pPr>
            <w:r>
              <w:rPr>
                <w:rFonts w:ascii="Arial" w:cs="Arial" w:eastAsia="Arial" w:hAnsi="Arial"/>
                <w:sz w:val="14"/>
                <w:szCs w:val="14"/>
                <w:color w:val="auto"/>
              </w:rPr>
              <w:t>Chief Financial Officer</w:t>
            </w:r>
          </w:p>
        </w:tc>
      </w:tr>
      <w:tr>
        <w:trPr>
          <w:trHeight w:val="182"/>
        </w:trPr>
        <w:tc>
          <w:tcPr>
            <w:tcW w:w="5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20" w:type="dxa"/>
            <w:vAlign w:val="bottom"/>
          </w:tcPr>
          <w:p>
            <w:pPr>
              <w:ind w:left="200"/>
              <w:spacing w:after="0"/>
              <w:rPr>
                <w:sz w:val="20"/>
                <w:szCs w:val="20"/>
                <w:color w:val="auto"/>
              </w:rPr>
            </w:pPr>
            <w:r>
              <w:rPr>
                <w:rFonts w:ascii="Arial" w:cs="Arial" w:eastAsia="Arial" w:hAnsi="Arial"/>
                <w:sz w:val="14"/>
                <w:szCs w:val="14"/>
                <w:color w:val="auto"/>
              </w:rPr>
              <w:t>(principal financial and accounting officer)</w:t>
            </w:r>
          </w:p>
        </w:tc>
      </w:tr>
    </w:tbl>
    <w:p>
      <w:pPr>
        <w:spacing w:after="0" w:line="1" w:lineRule="exact"/>
        <w:rPr>
          <w:sz w:val="20"/>
          <w:szCs w:val="20"/>
          <w:color w:val="auto"/>
        </w:rPr>
      </w:pPr>
    </w:p>
    <w:sectPr>
      <w:pgSz w:w="11900" w:h="16838" w:orient="portrait"/>
      <w:cols w:equalWidth="0" w:num="1">
        <w:col w:w="11460"/>
      </w:cols>
      <w:pgMar w:left="22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4"/>
    </w:lvl>
  </w:abstractNum>
  <w:abstractNum w:abstractNumId="14">
    <w:nsid w:val="2D1D5AE9"/>
    <w:multiLevelType w:val="hybridMultilevel"/>
    <w:lvl w:ilvl="0">
      <w:lvlJc w:val="left"/>
      <w:lvlText w:val="\emdash "/>
      <w:numFmt w:val="bullet"/>
      <w:start w:val="1"/>
    </w:lvl>
    <w:lvl w:ilvl="1">
      <w:lvlJc w:val="left"/>
      <w:lvlText w:val="3"/>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2"/>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decimal"/>
      <w:start w:val="4"/>
    </w:lvl>
  </w:abstractNum>
  <w:abstractNum w:abstractNumId="19">
    <w:nsid w:val="4353D0CD"/>
    <w:multiLevelType w:val="hybridMultilevel"/>
    <w:lvl w:ilvl="0">
      <w:lvlJc w:val="left"/>
      <w:lvlText w:val="%1."/>
      <w:numFmt w:val="decimal"/>
      <w:start w:val="6"/>
    </w:lvl>
  </w:abstractNum>
  <w:abstractNum w:abstractNumId="20">
    <w:nsid w:val="B03E0C6"/>
    <w:multiLevelType w:val="hybridMultilevel"/>
    <w:lvl w:ilvl="0">
      <w:lvlJc w:val="left"/>
      <w:lvlText w:val="(%1)"/>
      <w:numFmt w:val="lowerRoman"/>
      <w:start w:val="13"/>
    </w:lvl>
  </w:abstractNum>
  <w:abstractNum w:abstractNumId="21">
    <w:nsid w:val="189A769B"/>
    <w:multiLevelType w:val="hybridMultilevel"/>
    <w:lvl w:ilvl="0">
      <w:lvlJc w:val="left"/>
      <w:lvlText w:val="(%1)"/>
      <w:numFmt w:val="decimal"/>
      <w:start w:val="30"/>
    </w:lvl>
  </w:abstractNum>
  <w:abstractNum w:abstractNumId="22">
    <w:nsid w:val="54E49EB4"/>
    <w:multiLevelType w:val="hybridMultilevel"/>
    <w:lvl w:ilvl="0">
      <w:lvlJc w:val="left"/>
      <w:lvlText w:val="%1."/>
      <w:numFmt w:val="decimal"/>
      <w:start w:val="7"/>
    </w:lvl>
  </w:abstractNum>
  <w:abstractNum w:abstractNumId="23">
    <w:nsid w:val="71F32454"/>
    <w:multiLevelType w:val="hybridMultilevel"/>
    <w:lvl w:ilvl="0">
      <w:lvlJc w:val="left"/>
      <w:lvlText w:val="%1."/>
      <w:numFmt w:val="decimal"/>
      <w:start w:val="8"/>
    </w:lvl>
  </w:abstractNum>
  <w:abstractNum w:abstractNumId="24">
    <w:nsid w:val="2CA88611"/>
    <w:multiLevelType w:val="hybridMultilevel"/>
    <w:lvl w:ilvl="0">
      <w:lvlJc w:val="left"/>
      <w:lvlText w:val="%1."/>
      <w:numFmt w:val="decimal"/>
      <w:start w:val="10"/>
    </w:lvl>
  </w:abstractNum>
  <w:abstractNum w:abstractNumId="25">
    <w:nsid w:val="836C40E"/>
    <w:multiLevelType w:val="hybridMultilevel"/>
    <w:lvl w:ilvl="0">
      <w:lvlJc w:val="left"/>
      <w:lvlText w:val="%1."/>
      <w:numFmt w:val="decimal"/>
      <w:start w:val="11"/>
    </w:lvl>
  </w:abstractNum>
  <w:abstractNum w:abstractNumId="26">
    <w:nsid w:val="2901D82"/>
    <w:multiLevelType w:val="hybridMultilevel"/>
    <w:lvl w:ilvl="0">
      <w:lvlJc w:val="left"/>
      <w:lvlText w:val="%1."/>
      <w:numFmt w:val="decimal"/>
      <w:start w:val="1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2019-12-07T01:01:31Z</dcterms:created>
  <dcterms:modified xsi:type="dcterms:W3CDTF">2019-12-07T01:01:31Z</dcterms:modified>
</cp:coreProperties>
</file>