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Uihlein Richard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4960 PEACHTREE INDUSTRIAL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NORCROSS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GALECTIN THERAPEUTICS INC</w:t>
              </w:r>
            </w:hyperlink>
            <w:r>
              <w:rPr/>
              <w:t xml:space="preserve"> [ </w:t>
            </w:r>
            <w:r>
              <w:rPr>
                <w:rFonts w:ascii="Times;serif" w:hAnsi="Times;serif"/>
                <w:color w:val="0000FF"/>
                <w:sz w:val="24"/>
                <w:shd w:fill="FFFFFF" w:val="clear"/>
              </w:rPr>
              <w:t>GALT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9"/>
        <w:gridCol w:w="919"/>
        <w:gridCol w:w="791"/>
        <w:gridCol w:w="610"/>
        <w:gridCol w:w="331"/>
        <w:gridCol w:w="1254"/>
        <w:gridCol w:w="394"/>
        <w:gridCol w:w="628"/>
        <w:gridCol w:w="1321"/>
        <w:gridCol w:w="933"/>
        <w:gridCol w:w="13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31,825,235</w:t>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42,162,911</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Richard E. Uihlein Stock Trust</w:t>
            </w:r>
          </w:p>
        </w:tc>
      </w:tr>
      <w:tr>
        <w:trPr/>
        <w:tc>
          <w:tcPr>
            <w:tcW w:w="17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2,550,932</w:t>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44,713,843</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Richard E. Uihlein Stock Trust</w:t>
            </w:r>
          </w:p>
        </w:tc>
      </w:tr>
      <w:tr>
        <w:trPr/>
        <w:tc>
          <w:tcPr>
            <w:tcW w:w="17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27,710</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Ed Uihlein Family Foundation</w:t>
            </w:r>
            <w:r>
              <w:rPr>
                <w:rFonts w:ascii="Times;serif" w:hAnsi="Times;serif"/>
                <w:color w:val="008000"/>
                <w:position w:val="7"/>
                <w:sz w:val="16"/>
                <w:sz w:val="20"/>
                <w:shd w:fill="FFFFFF" w:val="clear"/>
              </w:rPr>
              <w:t>(4)</w:t>
            </w:r>
          </w:p>
        </w:tc>
      </w:tr>
    </w:tbl>
    <w:tbl>
      <w:tblPr>
        <w:tblW w:w="1351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1131"/>
        <w:gridCol w:w="906"/>
        <w:gridCol w:w="801"/>
        <w:gridCol w:w="891"/>
        <w:gridCol w:w="1221"/>
        <w:gridCol w:w="1131"/>
        <w:gridCol w:w="936"/>
        <w:gridCol w:w="831"/>
        <w:gridCol w:w="846"/>
      </w:tblGrid>
      <w:tr>
        <w:trPr>
          <w:tblHeader w:val="true"/>
        </w:trPr>
        <w:tc>
          <w:tcPr>
            <w:tcW w:w="135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Line of Credit Convertible Notes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95,475,705</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12/19/2022</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06/30/2027</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31,825,235</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95,475,705</w:t>
            </w: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Richard E. Uihlein Stock Trust</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Line of Credit Convertible Notes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10,331,275</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12/31/2025</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06/30/2027</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2,550,932</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10,331,275</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Richard E. Uihlein Stock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$91,000,000 in principal and $14,475,705 in accrued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$10,000,000 of principal and $331,275 of accrued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Line of Credit Convertible Notes are exercisable upon issuance when the issuer draws on the Line of Credit. Notes were issued on December 19, 2022; March 31, 2023; June 30, 2023; December 29, 2023; March 29, 2024; June 28, 2024; September30, 2024; April 30, 2025; June 30, 2025 and December 31, 2025. There was no expiration date; however, the maturity date of all Line of Credit Convertible Notes was June 30,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president and director of Ed Uihlein Family Foundation, a not-for-profit corporation. The reporting person has no pecuniary interest in the shares, however, he shares voting and dispositive power over the shares and, therefore, remains the beneficial owner of the shares solely for the purposes of Section 13(d) of the Securities Exchange Act of 1934.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Jack W. Callicutt,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4903" TargetMode="External"/><Relationship Id="rId5" Type="http://schemas.openxmlformats.org/officeDocument/2006/relationships/hyperlink" Target="http://www.sec.gov/cgi-bin/browse-edgar?action=getcompany&amp;CIK=0001133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4315</Characters>
  <CharactersWithSpaces>4997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