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274320</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141605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25" w:lineRule="exact"/>
        <w:rPr>
          <w:rFonts w:ascii="MS PGothic" w:cs="MS PGothic" w:eastAsia="MS PGothic" w:hAnsi="MS PGothic"/>
          <w:sz w:val="20"/>
          <w:szCs w:val="20"/>
          <w:color w:val="auto"/>
        </w:rPr>
      </w:pPr>
    </w:p>
    <w:p>
      <w:pPr>
        <w:ind w:left="40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fiscal year ended December 31, 2018</w:t>
      </w:r>
    </w:p>
    <w:p>
      <w:pPr>
        <w:spacing w:after="0" w:line="126"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6"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5"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176530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800" w:type="dxa"/>
        <w:tblCellMar>
          <w:top w:w="0" w:type="dxa"/>
          <w:left w:w="0" w:type="dxa"/>
          <w:bottom w:w="0" w:type="dxa"/>
          <w:right w:w="0" w:type="dxa"/>
        </w:tblCellMar>
      </w:tblPr>
      <w:tr>
        <w:trPr>
          <w:trHeight w:val="212"/>
        </w:trPr>
        <w:tc>
          <w:tcPr>
            <w:tcW w:w="6900" w:type="dxa"/>
            <w:vAlign w:val="bottom"/>
          </w:tcPr>
          <w:p>
            <w:pPr>
              <w:jc w:val="center"/>
              <w:ind w:right="2440"/>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900" w:type="dxa"/>
            <w:vAlign w:val="bottom"/>
          </w:tcPr>
          <w:p>
            <w:pPr>
              <w:jc w:val="center"/>
              <w:ind w:right="246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66"/>
        </w:trPr>
        <w:tc>
          <w:tcPr>
            <w:tcW w:w="6900" w:type="dxa"/>
            <w:vAlign w:val="bottom"/>
          </w:tcPr>
          <w:p>
            <w:pPr>
              <w:jc w:val="center"/>
              <w:ind w:right="2440"/>
              <w:spacing w:after="0"/>
              <w:rPr>
                <w:sz w:val="20"/>
                <w:szCs w:val="20"/>
                <w:color w:val="auto"/>
              </w:rPr>
            </w:pPr>
            <w:r>
              <w:rPr>
                <w:rFonts w:ascii="Arial" w:cs="Arial" w:eastAsia="Arial" w:hAnsi="Arial"/>
                <w:sz w:val="14"/>
                <w:szCs w:val="14"/>
                <w:b w:val="1"/>
                <w:bCs w:val="1"/>
                <w:color w:val="auto"/>
                <w:w w:val="94"/>
              </w:rPr>
              <w:t>of incorporation)</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6900" w:type="dxa"/>
            <w:vAlign w:val="bottom"/>
          </w:tcPr>
          <w:p>
            <w:pPr>
              <w:jc w:val="center"/>
              <w:ind w:right="246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6900" w:type="dxa"/>
            <w:vAlign w:val="bottom"/>
          </w:tcPr>
          <w:p>
            <w:pPr>
              <w:jc w:val="center"/>
              <w:ind w:right="244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01"/>
              <w:spacing w:after="0"/>
              <w:rPr>
                <w:sz w:val="20"/>
                <w:szCs w:val="20"/>
                <w:color w:val="auto"/>
              </w:rPr>
            </w:pPr>
            <w:r>
              <w:rPr>
                <w:rFonts w:ascii="Arial" w:cs="Arial" w:eastAsia="Arial" w:hAnsi="Arial"/>
                <w:sz w:val="14"/>
                <w:szCs w:val="14"/>
                <w:b w:val="1"/>
                <w:bCs w:val="1"/>
                <w:color w:val="auto"/>
                <w:w w:val="95"/>
              </w:rPr>
              <w:t>(Zip Code)</w:t>
            </w:r>
          </w:p>
        </w:tc>
      </w:tr>
      <w:tr>
        <w:trPr>
          <w:trHeight w:val="286"/>
        </w:trPr>
        <w:tc>
          <w:tcPr>
            <w:tcW w:w="6900" w:type="dxa"/>
            <w:vAlign w:val="bottom"/>
          </w:tcPr>
          <w:p>
            <w:pPr>
              <w:jc w:val="right"/>
              <w:ind w:right="1340"/>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6900" w:type="dxa"/>
            <w:vAlign w:val="bottom"/>
          </w:tcPr>
          <w:p>
            <w:pPr>
              <w:jc w:val="center"/>
              <w:ind w:left="286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136525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24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4420" w:type="dxa"/>
            <w:vAlign w:val="bottom"/>
            <w:gridSpan w:val="3"/>
          </w:tcPr>
          <w:p>
            <w:pPr>
              <w:jc w:val="center"/>
              <w:ind w:right="3259"/>
              <w:spacing w:after="0"/>
              <w:rPr>
                <w:sz w:val="20"/>
                <w:szCs w:val="20"/>
                <w:color w:val="auto"/>
              </w:rPr>
            </w:pPr>
            <w:r>
              <w:rPr>
                <w:rFonts w:ascii="Arial" w:cs="Arial" w:eastAsia="Arial" w:hAnsi="Arial"/>
                <w:sz w:val="14"/>
                <w:szCs w:val="14"/>
                <w:b w:val="1"/>
                <w:bCs w:val="1"/>
                <w:color w:val="auto"/>
                <w:w w:val="89"/>
              </w:rPr>
              <w:t>Title of each class</w:t>
            </w:r>
          </w:p>
        </w:tc>
        <w:tc>
          <w:tcPr>
            <w:tcW w:w="30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1"/>
        </w:trPr>
        <w:tc>
          <w:tcPr>
            <w:tcW w:w="2200" w:type="dxa"/>
            <w:vAlign w:val="bottom"/>
          </w:tcPr>
          <w:p>
            <w:pPr>
              <w:ind w:left="1060"/>
              <w:spacing w:after="0" w:line="191" w:lineRule="exact"/>
              <w:rPr>
                <w:sz w:val="20"/>
                <w:szCs w:val="20"/>
                <w:color w:val="auto"/>
              </w:rPr>
            </w:pPr>
            <w:r>
              <w:rPr>
                <w:rFonts w:ascii="Arial" w:cs="Arial" w:eastAsia="Arial" w:hAnsi="Arial"/>
                <w:sz w:val="18"/>
                <w:szCs w:val="18"/>
                <w:b w:val="1"/>
                <w:bCs w:val="1"/>
                <w:color w:val="auto"/>
                <w:w w:val="81"/>
              </w:rPr>
              <w:t>Common Stock,</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$0.001 Par</w:t>
            </w:r>
          </w:p>
        </w:tc>
        <w:tc>
          <w:tcPr>
            <w:tcW w:w="33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Value Per Share</w:t>
            </w:r>
          </w:p>
        </w:tc>
        <w:tc>
          <w:tcPr>
            <w:tcW w:w="360" w:type="dxa"/>
            <w:vAlign w:val="bottom"/>
          </w:tcPr>
          <w:p>
            <w:pPr>
              <w:spacing w:after="0"/>
              <w:rPr>
                <w:sz w:val="16"/>
                <w:szCs w:val="16"/>
                <w:color w:val="auto"/>
              </w:rPr>
            </w:pPr>
          </w:p>
        </w:tc>
        <w:tc>
          <w:tcPr>
            <w:tcW w:w="2680" w:type="dxa"/>
            <w:vAlign w:val="bottom"/>
            <w:tcBorders>
              <w:top w:val="single" w:sz="8" w:color="auto"/>
            </w:tcBorders>
            <w:gridSpan w:val="3"/>
          </w:tcPr>
          <w:p>
            <w:pPr>
              <w:jc w:val="center"/>
              <w:spacing w:after="0" w:line="191" w:lineRule="exact"/>
              <w:rPr>
                <w:sz w:val="20"/>
                <w:szCs w:val="20"/>
                <w:color w:val="auto"/>
              </w:rPr>
            </w:pPr>
            <w:r>
              <w:rPr>
                <w:rFonts w:ascii="Arial" w:cs="Arial" w:eastAsia="Arial" w:hAnsi="Arial"/>
                <w:sz w:val="18"/>
                <w:szCs w:val="18"/>
                <w:b w:val="1"/>
                <w:bCs w:val="1"/>
                <w:color w:val="auto"/>
                <w:w w:val="96"/>
              </w:rPr>
              <w:t>The NASDAQ Capital Market</w:t>
            </w:r>
          </w:p>
        </w:tc>
        <w:tc>
          <w:tcPr>
            <w:tcW w:w="0" w:type="dxa"/>
            <w:vAlign w:val="bottom"/>
          </w:tcPr>
          <w:p>
            <w:pPr>
              <w:spacing w:after="0"/>
              <w:rPr>
                <w:sz w:val="1"/>
                <w:szCs w:val="1"/>
                <w:color w:val="auto"/>
              </w:rPr>
            </w:pPr>
          </w:p>
        </w:tc>
      </w:tr>
      <w:tr>
        <w:trPr>
          <w:trHeight w:val="216"/>
        </w:trPr>
        <w:tc>
          <w:tcPr>
            <w:tcW w:w="6620" w:type="dxa"/>
            <w:vAlign w:val="bottom"/>
            <w:gridSpan w:val="4"/>
          </w:tcPr>
          <w:p>
            <w:pPr>
              <w:jc w:val="center"/>
              <w:ind w:right="1039"/>
              <w:spacing w:after="0"/>
              <w:rPr>
                <w:sz w:val="20"/>
                <w:szCs w:val="20"/>
                <w:color w:val="auto"/>
              </w:rPr>
            </w:pPr>
            <w:r>
              <w:rPr>
                <w:rFonts w:ascii="Arial" w:cs="Arial" w:eastAsia="Arial" w:hAnsi="Arial"/>
                <w:sz w:val="18"/>
                <w:szCs w:val="18"/>
                <w:b w:val="1"/>
                <w:bCs w:val="1"/>
                <w:color w:val="auto"/>
                <w:w w:val="88"/>
              </w:rPr>
              <w:t>Units, each consisting of two shares of Common Stock and one Warrant</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4"/>
          </w:tcPr>
          <w:p>
            <w:pPr>
              <w:jc w:val="center"/>
              <w:ind w:right="1039"/>
              <w:spacing w:after="0"/>
              <w:rPr>
                <w:sz w:val="20"/>
                <w:szCs w:val="20"/>
                <w:color w:val="auto"/>
              </w:rPr>
            </w:pPr>
            <w:r>
              <w:rPr>
                <w:rFonts w:ascii="Arial" w:cs="Arial" w:eastAsia="Arial" w:hAnsi="Arial"/>
                <w:sz w:val="18"/>
                <w:szCs w:val="18"/>
                <w:b w:val="1"/>
                <w:bCs w:val="1"/>
                <w:color w:val="auto"/>
                <w:w w:val="88"/>
              </w:rPr>
              <w:t>to purchase one share of Common Stock</w:t>
            </w:r>
          </w:p>
        </w:tc>
        <w:tc>
          <w:tcPr>
            <w:tcW w:w="360" w:type="dxa"/>
            <w:vAlign w:val="bottom"/>
          </w:tcPr>
          <w:p>
            <w:pPr>
              <w:spacing w:after="0"/>
              <w:rPr>
                <w:sz w:val="18"/>
                <w:szCs w:val="18"/>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c>
          <w:tcPr>
            <w:tcW w:w="0" w:type="dxa"/>
            <w:vAlign w:val="bottom"/>
          </w:tcPr>
          <w:p>
            <w:pPr>
              <w:spacing w:after="0"/>
              <w:rPr>
                <w:sz w:val="1"/>
                <w:szCs w:val="1"/>
                <w:color w:val="auto"/>
              </w:rPr>
            </w:pPr>
          </w:p>
        </w:tc>
      </w:tr>
      <w:tr>
        <w:trPr>
          <w:trHeight w:val="234"/>
        </w:trPr>
        <w:tc>
          <w:tcPr>
            <w:tcW w:w="6620" w:type="dxa"/>
            <w:vAlign w:val="bottom"/>
            <w:gridSpan w:val="4"/>
          </w:tcPr>
          <w:p>
            <w:pPr>
              <w:jc w:val="center"/>
              <w:ind w:right="1059"/>
              <w:spacing w:after="0"/>
              <w:rPr>
                <w:sz w:val="20"/>
                <w:szCs w:val="20"/>
                <w:color w:val="auto"/>
              </w:rPr>
            </w:pPr>
            <w:r>
              <w:rPr>
                <w:rFonts w:ascii="Arial" w:cs="Arial" w:eastAsia="Arial" w:hAnsi="Arial"/>
                <w:sz w:val="18"/>
                <w:szCs w:val="18"/>
                <w:b w:val="1"/>
                <w:bCs w:val="1"/>
                <w:color w:val="auto"/>
                <w:w w:val="90"/>
              </w:rPr>
              <w:t>Common Stock Purchase Warrants</w:t>
            </w:r>
          </w:p>
        </w:tc>
        <w:tc>
          <w:tcPr>
            <w:tcW w:w="360" w:type="dxa"/>
            <w:vAlign w:val="bottom"/>
          </w:tcPr>
          <w:p>
            <w:pPr>
              <w:spacing w:after="0"/>
              <w:rPr>
                <w:sz w:val="20"/>
                <w:szCs w:val="20"/>
                <w:color w:val="auto"/>
              </w:rPr>
            </w:pPr>
          </w:p>
        </w:tc>
        <w:tc>
          <w:tcPr>
            <w:tcW w:w="2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The NASDAQ Capital Market</w:t>
            </w:r>
          </w:p>
        </w:tc>
        <w:tc>
          <w:tcPr>
            <w:tcW w:w="0" w:type="dxa"/>
            <w:vAlign w:val="bottom"/>
          </w:tcPr>
          <w:p>
            <w:pPr>
              <w:spacing w:after="0"/>
              <w:rPr>
                <w:sz w:val="1"/>
                <w:szCs w:val="1"/>
                <w:color w:val="auto"/>
              </w:rPr>
            </w:pPr>
          </w:p>
        </w:tc>
      </w:tr>
      <w:tr>
        <w:trPr>
          <w:trHeight w:val="297"/>
        </w:trPr>
        <w:tc>
          <w:tcPr>
            <w:tcW w:w="2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40" w:type="dxa"/>
            <w:vAlign w:val="bottom"/>
            <w:gridSpan w:val="4"/>
          </w:tcPr>
          <w:p>
            <w:pPr>
              <w:jc w:val="center"/>
              <w:ind w:right="290"/>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None</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gridSpan w:val="3"/>
          </w:tcPr>
          <w:p>
            <w:pPr>
              <w:spacing w:after="0"/>
              <w:rPr>
                <w:sz w:val="21"/>
                <w:szCs w:val="21"/>
                <w:color w:val="auto"/>
              </w:rPr>
            </w:pPr>
          </w:p>
        </w:tc>
        <w:tc>
          <w:tcPr>
            <w:tcW w:w="2300" w:type="dxa"/>
            <w:vAlign w:val="bottom"/>
            <w:tcBorders>
              <w:bottom w:val="single" w:sz="8" w:color="auto"/>
            </w:tcBorders>
          </w:tcPr>
          <w:p>
            <w:pPr>
              <w:spacing w:after="0"/>
              <w:rPr>
                <w:sz w:val="21"/>
                <w:szCs w:val="21"/>
                <w:color w:val="auto"/>
              </w:rPr>
            </w:pPr>
          </w:p>
        </w:tc>
        <w:tc>
          <w:tcPr>
            <w:tcW w:w="1420" w:type="dxa"/>
            <w:vAlign w:val="bottom"/>
            <w:gridSpan w:val="2"/>
          </w:tcPr>
          <w:p>
            <w:pPr>
              <w:spacing w:after="0"/>
              <w:rPr>
                <w:sz w:val="21"/>
                <w:szCs w:val="21"/>
                <w:color w:val="auto"/>
              </w:rPr>
            </w:pPr>
          </w:p>
        </w:tc>
        <w:tc>
          <w:tcPr>
            <w:tcW w:w="640" w:type="dxa"/>
            <w:vAlign w:val="bottom"/>
            <w:vMerge w:val="restart"/>
          </w:tcPr>
          <w:p>
            <w:pPr>
              <w:jc w:val="center"/>
              <w:ind w:right="5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98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6"/>
        </w:trPr>
        <w:tc>
          <w:tcPr>
            <w:tcW w:w="8040" w:type="dxa"/>
            <w:vAlign w:val="bottom"/>
            <w:gridSpan w:val="6"/>
          </w:tcPr>
          <w:p>
            <w:pPr>
              <w:ind w:left="30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040" w:type="dxa"/>
            <w:vAlign w:val="bottom"/>
            <w:gridSpan w:val="6"/>
          </w:tcPr>
          <w:p>
            <w:pPr>
              <w:ind w:left="30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98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200" w:right="80" w:firstLine="331"/>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200" w:right="120" w:firstLine="331"/>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200" w:right="240" w:firstLine="331"/>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7" w:lineRule="exact"/>
        <w:rPr>
          <w:sz w:val="24"/>
          <w:szCs w:val="24"/>
          <w:color w:val="auto"/>
        </w:rPr>
      </w:pPr>
    </w:p>
    <w:p>
      <w:pPr>
        <w:ind w:left="200" w:right="80" w:firstLine="331"/>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600" w:type="dxa"/>
            <w:vAlign w:val="bottom"/>
          </w:tcPr>
          <w:p>
            <w:pPr>
              <w:spacing w:after="0"/>
              <w:rPr>
                <w:sz w:val="20"/>
                <w:szCs w:val="20"/>
                <w:color w:val="auto"/>
              </w:rPr>
            </w:pPr>
            <w:r>
              <w:rPr>
                <w:rFonts w:ascii="Arial" w:cs="Arial" w:eastAsia="Arial" w:hAnsi="Arial"/>
                <w:sz w:val="16"/>
                <w:szCs w:val="16"/>
                <w:color w:val="auto"/>
                <w:w w:val="99"/>
              </w:rPr>
              <w:t>Large accelerated filer</w:t>
            </w:r>
          </w:p>
        </w:tc>
        <w:tc>
          <w:tcPr>
            <w:tcW w:w="37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4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00" w:type="dxa"/>
            <w:vAlign w:val="bottom"/>
          </w:tcPr>
          <w:p>
            <w:pPr>
              <w:spacing w:after="0"/>
              <w:rPr>
                <w:sz w:val="20"/>
                <w:szCs w:val="20"/>
                <w:color w:val="auto"/>
              </w:rPr>
            </w:pPr>
            <w:r>
              <w:rPr>
                <w:rFonts w:ascii="Arial" w:cs="Arial" w:eastAsia="Arial" w:hAnsi="Arial"/>
                <w:sz w:val="16"/>
                <w:szCs w:val="16"/>
                <w:color w:val="auto"/>
              </w:rPr>
              <w:t>Non-accelerated filer</w:t>
            </w:r>
          </w:p>
        </w:tc>
        <w:tc>
          <w:tcPr>
            <w:tcW w:w="3740" w:type="dxa"/>
            <w:vAlign w:val="bottom"/>
          </w:tcPr>
          <w:p>
            <w:pPr>
              <w:ind w:left="14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440"/>
              <w:spacing w:after="0"/>
              <w:rPr>
                <w:sz w:val="20"/>
                <w:szCs w:val="20"/>
                <w:color w:val="auto"/>
              </w:rPr>
            </w:pPr>
            <w:r>
              <w:rPr>
                <w:rFonts w:ascii="Arial" w:cs="Arial" w:eastAsia="Arial" w:hAnsi="Arial"/>
                <w:sz w:val="16"/>
                <w:szCs w:val="16"/>
                <w:color w:val="auto"/>
                <w:w w:val="99"/>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360" w:type="dxa"/>
            <w:vAlign w:val="bottom"/>
          </w:tcPr>
          <w:p>
            <w:pPr>
              <w:ind w:left="3440"/>
              <w:spacing w:after="0"/>
              <w:rPr>
                <w:sz w:val="20"/>
                <w:szCs w:val="20"/>
                <w:color w:val="auto"/>
              </w:rPr>
            </w:pPr>
            <w:r>
              <w:rPr>
                <w:rFonts w:ascii="Arial" w:cs="Arial" w:eastAsia="Arial" w:hAnsi="Arial"/>
                <w:sz w:val="16"/>
                <w:szCs w:val="16"/>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4"/>
          <w:szCs w:val="24"/>
          <w:color w:val="auto"/>
        </w:rPr>
      </w:pPr>
    </w:p>
    <w:p>
      <w:pPr>
        <w:ind w:left="200" w:right="40" w:firstLine="331"/>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40"/>
        <w:spacing w:after="0" w:line="184" w:lineRule="exact"/>
        <w:tabs>
          <w:tab w:leader="none" w:pos="8020" w:val="left"/>
          <w:tab w:leader="none" w:pos="8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200" w:right="40" w:firstLine="331"/>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sold, or the average bid and asked price of such common equity, as of June 30, 2018 was $213 million.</w:t>
      </w:r>
    </w:p>
    <w:p>
      <w:pPr>
        <w:spacing w:after="0" w:line="64" w:lineRule="exact"/>
        <w:rPr>
          <w:sz w:val="24"/>
          <w:szCs w:val="24"/>
          <w:color w:val="auto"/>
        </w:rPr>
      </w:pPr>
    </w:p>
    <w:p>
      <w:pPr>
        <w:ind w:left="540"/>
        <w:spacing w:after="0"/>
        <w:rPr>
          <w:sz w:val="20"/>
          <w:szCs w:val="20"/>
          <w:color w:val="auto"/>
        </w:rPr>
      </w:pPr>
      <w:r>
        <w:rPr>
          <w:rFonts w:ascii="Arial" w:cs="Arial" w:eastAsia="Arial" w:hAnsi="Arial"/>
          <w:sz w:val="16"/>
          <w:szCs w:val="16"/>
          <w:color w:val="auto"/>
        </w:rPr>
        <w:t>The number of shares outstanding of the registrant’s common stock as of February 20, 2019 was 45,550,226.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103505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146685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84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rPr>
              <w:t>INDEX TO FORM 10-K</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80" w:type="dxa"/>
            <w:vAlign w:val="bottom"/>
            <w:gridSpan w:val="11"/>
          </w:tcPr>
          <w:p>
            <w:pPr>
              <w:jc w:val="center"/>
              <w:ind w:right="2120"/>
              <w:spacing w:after="0"/>
              <w:rPr>
                <w:sz w:val="20"/>
                <w:szCs w:val="20"/>
                <w:color w:val="auto"/>
              </w:rPr>
            </w:pPr>
            <w:r>
              <w:rPr>
                <w:rFonts w:ascii="Arial" w:cs="Arial" w:eastAsia="Arial" w:hAnsi="Arial"/>
                <w:sz w:val="18"/>
                <w:szCs w:val="18"/>
                <w:b w:val="1"/>
                <w:bCs w:val="1"/>
                <w:color w:val="auto"/>
                <w:w w:val="98"/>
              </w:rPr>
              <w:t>FOR THE YEAR ENDED DECEMBER 31, 2018</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00" w:type="dxa"/>
            <w:vAlign w:val="bottom"/>
            <w:gridSpan w:val="6"/>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200" w:type="dxa"/>
            <w:vAlign w:val="bottom"/>
            <w:gridSpan w:val="6"/>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080" w:type="dxa"/>
            <w:vAlign w:val="bottom"/>
            <w:gridSpan w:val="18"/>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7820" w:type="dxa"/>
            <w:vAlign w:val="bottom"/>
            <w:gridSpan w:val="1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Unresolved Staff Comments</w:t>
              </w:r>
            </w:hyperlink>
          </w:p>
        </w:tc>
        <w:tc>
          <w:tcPr>
            <w:tcW w:w="6680" w:type="dxa"/>
            <w:vAlign w:val="bottom"/>
            <w:gridSpan w:val="11"/>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87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87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720" w:type="dxa"/>
            <w:vAlign w:val="bottom"/>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PART II</w:t>
              </w:r>
            </w:hyperlink>
          </w:p>
        </w:tc>
        <w:tc>
          <w:tcPr>
            <w:tcW w:w="54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8720" w:type="dxa"/>
            <w:vAlign w:val="bottom"/>
            <w:gridSpan w:val="19"/>
          </w:tcPr>
          <w:p>
            <w:pPr>
              <w:spacing w:after="0" w:line="196"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Market for Registrant’s Common Equity, Related Stockholder Matters and Issuer Purchases of Equity Securities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Selected Financial Data</w:t>
              </w:r>
            </w:hyperlink>
          </w:p>
        </w:tc>
        <w:tc>
          <w:tcPr>
            <w:tcW w:w="66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gridSpan w:val="4"/>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Quantitative and Qualitative Discussions About Market Risk</w:t>
              </w:r>
            </w:hyperlink>
          </w:p>
        </w:tc>
        <w:tc>
          <w:tcPr>
            <w:tcW w:w="4340" w:type="dxa"/>
            <w:vAlign w:val="bottom"/>
            <w:gridSpan w:val="6"/>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87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Financial Statements and Supplementary Data</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Changes in and Disagreements with Accountants on Accounting and Financial Disclosure</w:t>
              </w:r>
            </w:hyperlink>
          </w:p>
        </w:tc>
        <w:tc>
          <w:tcPr>
            <w:tcW w:w="2240" w:type="dxa"/>
            <w:vAlign w:val="bottom"/>
            <w:gridSpan w:val="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8720" w:type="dxa"/>
            <w:vAlign w:val="bottom"/>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6960" w:type="dxa"/>
            <w:vAlign w:val="bottom"/>
            <w:gridSpan w:val="13"/>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III</w:t>
              </w:r>
            </w:hyperlink>
          </w:p>
        </w:tc>
        <w:tc>
          <w:tcPr>
            <w:tcW w:w="4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8720" w:type="dxa"/>
            <w:vAlign w:val="bottom"/>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4640" w:type="dxa"/>
            <w:vAlign w:val="bottom"/>
            <w:gridSpan w:val="7"/>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8720" w:type="dxa"/>
            <w:vAlign w:val="bottom"/>
            <w:gridSpan w:val="1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5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Certain Relationships, Related Transactions and Director Independence</w:t>
              </w:r>
            </w:hyperlink>
          </w:p>
        </w:tc>
        <w:tc>
          <w:tcPr>
            <w:tcW w:w="2140" w:type="dxa"/>
            <w:vAlign w:val="bottom"/>
            <w:tcBorders>
              <w:top w:val="single" w:sz="8" w:color="0000EE"/>
            </w:tcBorders>
            <w:gridSpan w:val="3"/>
          </w:tcPr>
          <w:p>
            <w:pPr>
              <w:spacing w:after="0"/>
              <w:rPr>
                <w:sz w:val="17"/>
                <w:szCs w:val="17"/>
                <w:color w:val="auto"/>
              </w:rPr>
            </w:pPr>
          </w:p>
        </w:tc>
        <w:tc>
          <w:tcPr>
            <w:tcW w:w="1440" w:type="dxa"/>
            <w:vAlign w:val="bottom"/>
            <w:gridSpan w:val="2"/>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8720" w:type="dxa"/>
            <w:vAlign w:val="bottom"/>
            <w:gridSpan w:val="1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Principal Accountant Fees and Services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67">
              <w:r>
                <w:rPr>
                  <w:rFonts w:ascii="Arial" w:cs="Arial" w:eastAsia="Arial" w:hAnsi="Arial"/>
                  <w:sz w:val="18"/>
                  <w:szCs w:val="18"/>
                  <w:b w:val="1"/>
                  <w:bCs w:val="1"/>
                  <w:color w:val="0000EE"/>
                  <w:w w:val="98"/>
                </w:rPr>
                <w:t>PART IV</w:t>
              </w:r>
            </w:hyperlink>
          </w:p>
        </w:tc>
        <w:tc>
          <w:tcPr>
            <w:tcW w:w="48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720" w:type="dxa"/>
            <w:vAlign w:val="bottom"/>
            <w:gridSpan w:val="19"/>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Exhibits and Financial Statement Schedules</w:t>
              </w:r>
            </w:hyperlink>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200" w:type="dxa"/>
            <w:vAlign w:val="bottom"/>
            <w:gridSpan w:val="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significant additional resources.</w:t>
      </w:r>
    </w:p>
    <w:p>
      <w:pPr>
        <w:spacing w:after="0" w:line="16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lead galectin-3 inhibitor is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We announced, in December 2017 top line results from our Phase 2b study in NASH patients with cirrhosis (NASH-CX) and results of an End of Phase 2 meeting with the FDA in May 2018which provided direction on potentially acceptable end points for a Phase 3 trial. The company with its external NASH consultants has designed a Phase 3 study which has been sent to various contract research organizations (CROs) for their input on feasibility, timing costs and other important considerations. NASH cirrhosis is a progressive disease, currently not treatable and ultimately may result in liver failure that has poor prognosis and no effective, approved medical therapies other than liver transplant. Galectin-3 expression is highly increased in the liver of patients with liver fibrosis and liver cirrhosis. We believe that our galectin-3 inhibitor, by reducing galectin-3 at the cellular level, ultimately showing a strong anti-fibrotic potential may provide a novel treatment for various forms of liver fibrosis.</w:t>
      </w:r>
    </w:p>
    <w:p>
      <w:pPr>
        <w:spacing w:after="0" w:line="172"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We are also pursuing a development pathway to clinical enhancement and commercialization for our lead compounds in immuno-oncology for cancer therapy. However, our clinical development efforts are focused on both liver fibrosis and fatty liver disease as represented by a Phase 2 clinical trial in NASH-cirrhosis which reported top</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line data in December 2017 and on planning for Phase 3 studies. All of our proposed products are presently in development, including pre-clinical and clinical trials.</w:t>
      </w:r>
    </w:p>
    <w:p>
      <w:pPr>
        <w:spacing w:after="0" w:line="17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product pipeline is shown below:</w:t>
      </w:r>
    </w:p>
    <w:p>
      <w:pPr>
        <w:sectPr>
          <w:pgSz w:w="11900" w:h="16838" w:orient="portrait"/>
          <w:cols w:equalWidth="0" w:num="1">
            <w:col w:w="11200"/>
          </w:cols>
          <w:pgMar w:left="240" w:top="459" w:right="459" w:bottom="1440" w:gutter="0" w:footer="0" w:header="0"/>
        </w:sectPr>
      </w:pPr>
    </w:p>
    <w:p>
      <w:pPr>
        <w:spacing w:after="0" w:line="24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Indication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Drug</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Status</w:t>
      </w:r>
    </w:p>
    <w:p>
      <w:pPr>
        <w:spacing w:after="0" w:line="48" w:lineRule="exact"/>
        <w:rPr>
          <w:sz w:val="20"/>
          <w:szCs w:val="20"/>
          <w:color w:val="auto"/>
        </w:rPr>
      </w:pPr>
    </w:p>
    <w:p>
      <w:pPr>
        <w:sectPr>
          <w:pgSz w:w="11900" w:h="16838" w:orient="portrait"/>
          <w:cols w:equalWidth="0" w:num="3">
            <w:col w:w="5000" w:space="720"/>
            <w:col w:w="2400" w:space="720"/>
            <w:col w:w="236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Fibrosis</w:t>
      </w:r>
    </w:p>
    <w:p>
      <w:pPr>
        <w:sectPr>
          <w:pgSz w:w="11900" w:h="16838" w:orient="portrait"/>
          <w:cols w:equalWidth="0" w:num="1">
            <w:col w:w="11200"/>
          </w:cols>
          <w:pgMar w:left="240" w:top="459" w:right="459" w:bottom="1440" w:gutter="0" w:footer="0" w:header="0"/>
          <w:type w:val="continuous"/>
        </w:sectPr>
      </w:pPr>
    </w:p>
    <w:p>
      <w:pPr>
        <w:spacing w:after="0" w:line="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NASH with Advanced Fibrosis: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NASH-CX trial and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NASH-FX trial</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GR-MD-02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IND submitted January 2013. Results from the Phase 1 clinical trial were reported in 2014, with final results reported in January 2015. End of Phase 1 meeting held with FDA in 2014. Two Phase 2 clinical trials were designed.</w:t>
      </w:r>
    </w:p>
    <w:p>
      <w:pPr>
        <w:spacing w:after="0" w:line="67" w:lineRule="exact"/>
        <w:rPr>
          <w:sz w:val="20"/>
          <w:szCs w:val="20"/>
          <w:color w:val="auto"/>
        </w:rPr>
      </w:pPr>
    </w:p>
    <w:p>
      <w:pPr>
        <w:sectPr>
          <w:pgSz w:w="11900" w:h="16838" w:orient="portrait"/>
          <w:cols w:equalWidth="0" w:num="3">
            <w:col w:w="4460" w:space="720"/>
            <w:col w:w="920" w:space="720"/>
            <w:col w:w="4380"/>
          </w:cols>
          <w:pgMar w:left="240" w:top="459" w:right="459" w:bottom="1440" w:gutter="0" w:footer="0" w:header="0"/>
          <w:type w:val="continuous"/>
        </w:sectPr>
      </w:pPr>
    </w:p>
    <w:p>
      <w:pPr>
        <w:ind w:left="6820"/>
        <w:spacing w:after="0"/>
        <w:rPr>
          <w:sz w:val="20"/>
          <w:szCs w:val="20"/>
          <w:color w:val="auto"/>
        </w:rPr>
      </w:pPr>
      <w:r>
        <w:rPr>
          <w:rFonts w:ascii="Arial" w:cs="Arial" w:eastAsia="Arial" w:hAnsi="Arial"/>
          <w:sz w:val="16"/>
          <w:szCs w:val="16"/>
          <w:color w:val="auto"/>
        </w:rPr>
        <w:t>The NASH FX trial was designed for patients with advanced</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7"/>
          <w:szCs w:val="17"/>
          <w:color w:val="auto"/>
        </w:rPr>
        <w:t>fibrosis but not cirrhosis. The NASH FX trial top line data</w:t>
      </w:r>
    </w:p>
    <w:p>
      <w:pPr>
        <w:spacing w:after="0" w:line="2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was reported in September 2016</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00"/>
          </w:cols>
          <w:pgMar w:left="240" w:top="459"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tabs>
          <w:tab w:leader="none" w:pos="5700" w:val="left"/>
        </w:tabs>
        <w:rPr>
          <w:sz w:val="20"/>
          <w:szCs w:val="20"/>
          <w:color w:val="auto"/>
        </w:rPr>
      </w:pPr>
      <w:r>
        <w:rPr>
          <w:rFonts w:ascii="Arial" w:cs="Arial" w:eastAsia="Arial" w:hAnsi="Arial"/>
          <w:sz w:val="14"/>
          <w:szCs w:val="14"/>
          <w:b w:val="1"/>
          <w:bCs w:val="1"/>
          <w:color w:val="auto"/>
        </w:rPr>
        <w:t>Indication</w:t>
      </w:r>
      <w:r>
        <w:rPr>
          <w:sz w:val="20"/>
          <w:szCs w:val="20"/>
          <w:color w:val="auto"/>
        </w:rPr>
        <w:tab/>
      </w:r>
      <w:r>
        <w:rPr>
          <w:rFonts w:ascii="Arial" w:cs="Arial" w:eastAsia="Arial" w:hAnsi="Arial"/>
          <w:sz w:val="14"/>
          <w:szCs w:val="14"/>
          <w:b w:val="1"/>
          <w:bCs w:val="1"/>
          <w:color w:val="auto"/>
        </w:rPr>
        <w:t>Drug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NASH – RX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Lung Fibrosis</w:t>
            </w:r>
          </w:p>
        </w:tc>
        <w:tc>
          <w:tcPr>
            <w:tcW w:w="2220" w:type="dxa"/>
            <w:vAlign w:val="bottom"/>
          </w:tcPr>
          <w:p>
            <w:pPr>
              <w:ind w:left="1080"/>
              <w:spacing w:after="0"/>
              <w:rPr>
                <w:sz w:val="20"/>
                <w:szCs w:val="20"/>
                <w:color w:val="auto"/>
              </w:rPr>
            </w:pPr>
            <w:r>
              <w:rPr>
                <w:rFonts w:ascii="Arial" w:cs="Arial" w:eastAsia="Arial" w:hAnsi="Arial"/>
                <w:sz w:val="18"/>
                <w:szCs w:val="18"/>
                <w:color w:val="auto"/>
              </w:rPr>
              <w:t>GR-MD-02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Kidney Fibrosis</w:t>
            </w:r>
          </w:p>
        </w:tc>
        <w:tc>
          <w:tcPr>
            <w:tcW w:w="2220" w:type="dxa"/>
            <w:vAlign w:val="bottom"/>
          </w:tcPr>
          <w:p>
            <w:pPr>
              <w:ind w:left="1080"/>
              <w:spacing w:after="0"/>
              <w:rPr>
                <w:sz w:val="20"/>
                <w:szCs w:val="20"/>
                <w:color w:val="auto"/>
              </w:rPr>
            </w:pPr>
            <w:r>
              <w:rPr>
                <w:rFonts w:ascii="Arial" w:cs="Arial" w:eastAsia="Arial" w:hAnsi="Arial"/>
                <w:sz w:val="18"/>
                <w:szCs w:val="18"/>
                <w:color w:val="auto"/>
              </w:rPr>
              <w:t>GR-MD-02</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220" w:type="dxa"/>
            <w:vAlign w:val="bottom"/>
          </w:tcPr>
          <w:p>
            <w:pPr>
              <w:ind w:left="1080"/>
              <w:spacing w:after="0"/>
              <w:rPr>
                <w:sz w:val="20"/>
                <w:szCs w:val="20"/>
                <w:color w:val="auto"/>
              </w:rPr>
            </w:pPr>
            <w:r>
              <w:rPr>
                <w:rFonts w:ascii="Arial" w:cs="Arial" w:eastAsia="Arial" w:hAnsi="Arial"/>
                <w:sz w:val="18"/>
                <w:szCs w:val="18"/>
                <w:color w:val="auto"/>
                <w:w w:val="91"/>
              </w:rPr>
              <w:t>GR-MD-02 and</w:t>
            </w:r>
          </w:p>
        </w:tc>
        <w:tc>
          <w:tcPr>
            <w:tcW w:w="0" w:type="dxa"/>
            <w:vAlign w:val="bottom"/>
          </w:tcPr>
          <w:p>
            <w:pPr>
              <w:spacing w:after="0"/>
              <w:rPr>
                <w:sz w:val="1"/>
                <w:szCs w:val="1"/>
                <w:color w:val="auto"/>
              </w:rPr>
            </w:pPr>
          </w:p>
        </w:tc>
      </w:tr>
      <w:tr>
        <w:trPr>
          <w:trHeight w:val="230"/>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Cancer Immunotherapy</w:t>
            </w:r>
          </w:p>
        </w:tc>
        <w:tc>
          <w:tcPr>
            <w:tcW w:w="2220" w:type="dxa"/>
            <w:vAlign w:val="bottom"/>
          </w:tcPr>
          <w:p>
            <w:pPr>
              <w:ind w:left="1080"/>
              <w:spacing w:after="0"/>
              <w:rPr>
                <w:sz w:val="20"/>
                <w:szCs w:val="20"/>
                <w:color w:val="auto"/>
              </w:rPr>
            </w:pPr>
            <w:r>
              <w:rPr>
                <w:rFonts w:ascii="Arial" w:cs="Arial" w:eastAsia="Arial" w:hAnsi="Arial"/>
                <w:sz w:val="18"/>
                <w:szCs w:val="18"/>
                <w:color w:val="auto"/>
              </w:rPr>
              <w:t>GM-CT-01</w:t>
            </w:r>
          </w:p>
        </w:tc>
        <w:tc>
          <w:tcPr>
            <w:tcW w:w="0" w:type="dxa"/>
            <w:vAlign w:val="bottom"/>
          </w:tcPr>
          <w:p>
            <w:pPr>
              <w:spacing w:after="0"/>
              <w:rPr>
                <w:sz w:val="1"/>
                <w:szCs w:val="1"/>
                <w:color w:val="auto"/>
              </w:rPr>
            </w:pPr>
          </w:p>
        </w:tc>
      </w:tr>
      <w:tr>
        <w:trPr>
          <w:trHeight w:val="202"/>
        </w:trPr>
        <w:tc>
          <w:tcPr>
            <w:tcW w:w="39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Melanoma, Head,Neck Squamous Cell</w:t>
            </w:r>
          </w:p>
        </w:tc>
        <w:tc>
          <w:tcPr>
            <w:tcW w:w="2220" w:type="dxa"/>
            <w:vAlign w:val="bottom"/>
          </w:tcPr>
          <w:p>
            <w:pPr>
              <w:ind w:left="1080"/>
              <w:spacing w:after="0"/>
              <w:rPr>
                <w:sz w:val="20"/>
                <w:szCs w:val="20"/>
                <w:color w:val="auto"/>
              </w:rPr>
            </w:pPr>
            <w:r>
              <w:rPr>
                <w:rFonts w:ascii="Arial" w:cs="Arial" w:eastAsia="Arial" w:hAnsi="Arial"/>
                <w:sz w:val="18"/>
                <w:szCs w:val="18"/>
                <w:color w:val="auto"/>
              </w:rPr>
              <w:t>GR-MD-02</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Carcinoma (HNSCC)</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3900" w:type="dxa"/>
            <w:vAlign w:val="bottom"/>
          </w:tcPr>
          <w:p>
            <w:pPr>
              <w:spacing w:after="0"/>
              <w:rPr>
                <w:sz w:val="24"/>
                <w:szCs w:val="24"/>
                <w:color w:val="auto"/>
              </w:rPr>
            </w:pPr>
          </w:p>
        </w:tc>
        <w:tc>
          <w:tcPr>
            <w:tcW w:w="2220" w:type="dxa"/>
            <w:vAlign w:val="bottom"/>
          </w:tcPr>
          <w:p>
            <w:pPr>
              <w:ind w:left="15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Status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NASH CX trial, was designed for patients with well compensated cirrhosis. The NASH CX trial top line data was reported in December 2017. End of Phase 2 (EOP2) meeting held with FDA in May 2018.</w:t>
      </w:r>
    </w:p>
    <w:p>
      <w:pPr>
        <w:spacing w:after="0" w:line="10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NASH -RX trial, a Phase 3 trial designed for NASH patients with well compensated cirrhosis, is in planning stage based on feedback on potential endpoints received from FDA at EOP2 meeting and in consultation with our external hepatology consultants. As part of the planning related to the Phase 3 trial, the Company has had ongoing discussions with FDA regarding Galectin’s proposal for the next clinical study as well as the overall development program. These ongoing conversations included a recent Type C Meeting via teleconference with the Agency on February 6, 2019, to discuss Galectin’s proposal for use of progression to varices as the primary surrogate endpoint moving forward.</w:t>
      </w:r>
    </w:p>
    <w:p>
      <w:pPr>
        <w:spacing w:after="0" w:line="9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meeting, FDA confirmed that the Agency is supportive of the use of progression to varices as a potential surrogate endpoint and progression to large varices as a component of a composite clinical benefit endpoint pending additional requested information. Galectin will address and implement additional FDA requests and considerations for the Phase 3 trial, when and where possible. Given the newness of the endpoint and the new information to be generated in the trial, some information requested may not currently be available or may not be able to be addressed fully until data from the Phase 3 trial is available to address the information requests.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pre-clinical development</w:t>
      </w:r>
    </w:p>
    <w:p>
      <w:pPr>
        <w:spacing w:after="0" w:line="200" w:lineRule="exact"/>
        <w:rPr>
          <w:sz w:val="20"/>
          <w:szCs w:val="20"/>
          <w:color w:val="auto"/>
        </w:rPr>
      </w:pPr>
    </w:p>
    <w:p>
      <w:pPr>
        <w:spacing w:after="0" w:line="22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Investigator IND submitted in December 2013. Phase 1B study in process. A second Phase 1B study began in Q-1 2016. Investigator IND for that study submitted in September 2015. Early data was reported in</w:t>
      </w:r>
    </w:p>
    <w:p>
      <w:pPr>
        <w:sectPr>
          <w:pgSz w:w="11900" w:h="16838" w:orient="portrait"/>
          <w:cols w:equalWidth="0" w:num="2">
            <w:col w:w="6320" w:space="500"/>
            <w:col w:w="440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440" w:type="dxa"/>
            <w:vAlign w:val="bottom"/>
          </w:tcPr>
          <w:p>
            <w:pPr>
              <w:ind w:left="1720"/>
              <w:spacing w:after="0"/>
              <w:rPr>
                <w:sz w:val="20"/>
                <w:szCs w:val="20"/>
                <w:color w:val="auto"/>
              </w:rPr>
            </w:pPr>
            <w:r>
              <w:rPr>
                <w:rFonts w:ascii="Arial" w:cs="Arial" w:eastAsia="Arial" w:hAnsi="Arial"/>
                <w:sz w:val="14"/>
                <w:szCs w:val="14"/>
                <w:b w:val="1"/>
                <w:bCs w:val="1"/>
                <w:color w:val="auto"/>
              </w:rPr>
              <w:t>Drug</w:t>
            </w:r>
          </w:p>
        </w:tc>
        <w:tc>
          <w:tcPr>
            <w:tcW w:w="4740" w:type="dxa"/>
            <w:vAlign w:val="bottom"/>
          </w:tcPr>
          <w:p>
            <w:pPr>
              <w:ind w:left="24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0"/>
              </w:rPr>
              <w:t>February 2017 and studies with the 3</w:t>
            </w:r>
            <w:r>
              <w:rPr>
                <w:rFonts w:ascii="Arial" w:cs="Arial" w:eastAsia="Arial" w:hAnsi="Arial"/>
                <w:sz w:val="15"/>
                <w:szCs w:val="15"/>
                <w:color w:val="auto"/>
                <w:w w:val="90"/>
              </w:rPr>
              <w:t>rd</w:t>
            </w:r>
            <w:r>
              <w:rPr>
                <w:rFonts w:ascii="Arial" w:cs="Arial" w:eastAsia="Arial" w:hAnsi="Arial"/>
                <w:sz w:val="18"/>
                <w:szCs w:val="18"/>
                <w:color w:val="auto"/>
                <w:w w:val="90"/>
              </w:rPr>
              <w:t xml:space="preserve"> cohort were reported</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rPr>
              <w:t>in September 2018. Continuation of trial is ongoing to</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89"/>
              </w:rPr>
              <w:t>expand the dataset of melanoma and HNSCC patients at the</w:t>
            </w:r>
          </w:p>
        </w:tc>
        <w:tc>
          <w:tcPr>
            <w:tcW w:w="0" w:type="dxa"/>
            <w:vAlign w:val="bottom"/>
          </w:tcPr>
          <w:p>
            <w:pPr>
              <w:spacing w:after="0"/>
              <w:rPr>
                <w:sz w:val="1"/>
                <w:szCs w:val="1"/>
                <w:color w:val="auto"/>
              </w:rPr>
            </w:pPr>
          </w:p>
        </w:tc>
      </w:tr>
      <w:tr>
        <w:trPr>
          <w:trHeight w:val="23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Psoriasis</w:t>
            </w:r>
          </w:p>
        </w:tc>
        <w:tc>
          <w:tcPr>
            <w:tcW w:w="2440" w:type="dxa"/>
            <w:vAlign w:val="bottom"/>
          </w:tcPr>
          <w:p>
            <w:pPr>
              <w:spacing w:after="0"/>
              <w:rPr>
                <w:sz w:val="20"/>
                <w:szCs w:val="20"/>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rPr>
              <w:t>4 mg/Kg dose.</w:t>
            </w:r>
          </w:p>
        </w:tc>
        <w:tc>
          <w:tcPr>
            <w:tcW w:w="0" w:type="dxa"/>
            <w:vAlign w:val="bottom"/>
          </w:tcPr>
          <w:p>
            <w:pPr>
              <w:spacing w:after="0"/>
              <w:rPr>
                <w:sz w:val="1"/>
                <w:szCs w:val="1"/>
                <w:color w:val="auto"/>
              </w:rPr>
            </w:pPr>
          </w:p>
        </w:tc>
      </w:tr>
      <w:tr>
        <w:trPr>
          <w:trHeight w:val="202"/>
        </w:trPr>
        <w:tc>
          <w:tcPr>
            <w:tcW w:w="3800" w:type="dxa"/>
            <w:vAlign w:val="bottom"/>
            <w:vMerge w:val="continue"/>
          </w:tcPr>
          <w:p>
            <w:pPr>
              <w:spacing w:after="0"/>
              <w:rPr>
                <w:sz w:val="17"/>
                <w:szCs w:val="17"/>
                <w:color w:val="auto"/>
              </w:rPr>
            </w:pPr>
          </w:p>
        </w:tc>
        <w:tc>
          <w:tcPr>
            <w:tcW w:w="24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2440" w:type="dxa"/>
            <w:vAlign w:val="bottom"/>
          </w:tcPr>
          <w:p>
            <w:pPr>
              <w:ind w:left="1180"/>
              <w:spacing w:after="0"/>
              <w:rPr>
                <w:sz w:val="20"/>
                <w:szCs w:val="20"/>
                <w:color w:val="auto"/>
              </w:rPr>
            </w:pPr>
            <w:r>
              <w:rPr>
                <w:rFonts w:ascii="Arial" w:cs="Arial" w:eastAsia="Arial" w:hAnsi="Arial"/>
                <w:sz w:val="18"/>
                <w:szCs w:val="18"/>
                <w:color w:val="auto"/>
              </w:rPr>
              <w:t>GR-MD-02</w:t>
            </w:r>
          </w:p>
        </w:tc>
        <w:tc>
          <w:tcPr>
            <w:tcW w:w="4740" w:type="dxa"/>
            <w:vAlign w:val="bottom"/>
          </w:tcPr>
          <w:p>
            <w:pPr>
              <w:ind w:left="380"/>
              <w:spacing w:after="0"/>
              <w:rPr>
                <w:sz w:val="20"/>
                <w:szCs w:val="20"/>
                <w:color w:val="auto"/>
              </w:rPr>
            </w:pPr>
            <w:r>
              <w:rPr>
                <w:rFonts w:ascii="Arial" w:cs="Arial" w:eastAsia="Arial" w:hAnsi="Arial"/>
                <w:sz w:val="18"/>
                <w:szCs w:val="18"/>
                <w:color w:val="auto"/>
                <w:w w:val="92"/>
              </w:rPr>
              <w:t>IND submitted March 2015. A phase 2a trial in moderate to</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6"/>
              </w:rPr>
              <w:t>severe plaque psoriasis patients began in January 2016.</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0"/>
              </w:rPr>
              <w:t>Interim data on the first four patients were positive and were</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1"/>
              </w:rPr>
              <w:t>reported in May 2016. Further positive data was reported in</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6"/>
              </w:rPr>
              <w:t>September 2016. Investigator initiated IND submitted for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7"/>
              </w:rPr>
              <w:t>treatment of three patients with severe atopic dermatitis,</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3"/>
              </w:rPr>
              <w:t>with positive preliminary data presented in February 2017.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w w:val="90"/>
              </w:rPr>
              <w:t>Further studies are dependent on finding a suitable strategic</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740" w:type="dxa"/>
            <w:vAlign w:val="bottom"/>
          </w:tcPr>
          <w:p>
            <w:pPr>
              <w:ind w:left="380"/>
              <w:spacing w:after="0"/>
              <w:rPr>
                <w:sz w:val="20"/>
                <w:szCs w:val="20"/>
                <w:color w:val="auto"/>
              </w:rPr>
            </w:pPr>
            <w:r>
              <w:rPr>
                <w:rFonts w:ascii="Arial" w:cs="Arial" w:eastAsia="Arial" w:hAnsi="Arial"/>
                <w:sz w:val="18"/>
                <w:szCs w:val="18"/>
                <w:color w:val="auto"/>
              </w:rPr>
              <w:t>partner.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is our lead product candidate for treatment of fibrotic disease. Our preclinical data show that GR-MD-02 has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 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GR-MD-02 for treatment of liver fibrosis and resultant portal hypertension in NASH patients with well compensated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cirrhosis. A smaller, exploratory NASH-FX trial was conducted to explore potential use of various non-invasive imaging techniques in NASH patients with advanced fibrosis but not cirrhosis.</w:t>
      </w:r>
    </w:p>
    <w:p>
      <w:pPr>
        <w:spacing w:after="0" w:line="16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 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that explored use of GR-MD-02 for the treatment of</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placebo, with approximately 54 patients in each group. The primary endpoint was a reduction in change in hepatic venous pressure gradient (HVPG).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 from baseline to week 54 was 0.3 mm Hg. The mean change in HVPG from baseline was -0.37 and -0.42 for the 2 mg/kg dose and 8 mg/kg dose of GR-MD-02, respectively.</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Further analysis showed that the drug effect was significantly dependent on dose “varices” in the total group of patients (p&lt;0.02). 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Further information and details on the NASH-CX results summarized above is available in public presentations posted to our website and filed with the SEC.</w:t>
      </w:r>
    </w:p>
    <w:p>
      <w:pPr>
        <w:spacing w:after="0" w:line="166"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The NASH-RX Trial is a phase 3 trial of GR-MD-02 in NASH cirrhosis patients. We have met with the FDA to discuss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of the NASH-CX trial in an End of Phase 2 meeting as disclosed in our May 14, 2018 press release. The proposed target population of the Phase 3 clinical trial will be patients with well compensated established NASH cirrhosis and portal hypertension</w:t>
      </w:r>
      <w:r>
        <w:rPr>
          <w:rFonts w:ascii="Arial" w:cs="Arial" w:eastAsia="Arial" w:hAnsi="Arial"/>
          <w:sz w:val="17"/>
          <w:szCs w:val="17"/>
          <w:b w:val="1"/>
          <w:bCs w:val="1"/>
          <w:color w:val="auto"/>
        </w:rPr>
        <w:t>.</w:t>
      </w:r>
      <w:r>
        <w:rPr>
          <w:rFonts w:ascii="Arial" w:cs="Arial" w:eastAsia="Arial" w:hAnsi="Arial"/>
          <w:sz w:val="17"/>
          <w:szCs w:val="17"/>
          <w:color w:val="auto"/>
        </w:rPr>
        <w:t xml:space="preserve"> Patients will be selected based on criteria commonly used in clinical practice to identify patients with portal hypertension who are at risk of developing esophageal varices. Ongoing conversations with FDA included a recent Type C Meeting via teleconference with the Agency on February 6, 2019, to discuss Galectin’s proposal for use of progression to varices as the primary surrogate endpoint moving forward.</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meeting, FDA confirmed that the Agency is supportive of the use of progression to varices as a potential surrogate endpoint and progression to large varices as a component of a composite clinical benefit endpoint pending additional requested information. Galectin will address and implement additional FDA requests and considerations for the Phase 3 trial, when and where possible. Given the newness of the endpoint and the new information to be generated in the trial, some information requested may not currently be available or may not be able to be addressed fully until data from the Phase 3 trial is available to address the information requests.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focus and goal of the therapeutic program is to stop the progression of and reverse the fibrosis and/or portal hypertension in the liver and, thereby improve liver function and prevent the development of complications of fibrosis/cirrhosis and liver-related mortality in patients. The results of the NASH-CX trial substantiate that, subject to confirmation in later stage clinical trials, we believe that this goal is achievable in a significant portion of the NASH cirrhosis patient population i.e. those NASH cirrhosis patients with portal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hypertension at risk of developing esophageal varices that may bleed and experience other decompensating events. The trial design has been refined with external consultants and sent out to potential CROs in a confidential Request for Proposal (RFP) process. We are in the process of evaluating and interviewing the CRO candidates. The final primary endpoint and the Phase 3 clinical trial design, including projected timing and costs will be announced once the planning phase is completed.</w:t>
      </w:r>
    </w:p>
    <w:p>
      <w:pPr>
        <w:spacing w:after="0" w:line="18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GR-MD-02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8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GR-MD-02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200" w:right="140" w:firstLine="441"/>
        <w:spacing w:after="0" w:line="285"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2" w:lineRule="exact"/>
        <w:rPr>
          <w:sz w:val="20"/>
          <w:szCs w:val="20"/>
          <w:color w:val="auto"/>
        </w:rPr>
      </w:pPr>
    </w:p>
    <w:p>
      <w:pPr>
        <w:ind w:left="200" w:right="100"/>
        <w:spacing w:after="0" w:line="270" w:lineRule="auto"/>
        <w:rPr>
          <w:sz w:val="20"/>
          <w:szCs w:val="20"/>
          <w:color w:val="auto"/>
        </w:rPr>
      </w:pPr>
      <w:r>
        <w:rPr>
          <w:rFonts w:ascii="Arial" w:cs="Arial" w:eastAsia="Arial" w:hAnsi="Arial"/>
          <w:sz w:val="17"/>
          <w:szCs w:val="17"/>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188"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liver, fibrosis is the end result of multiple inflammatory conditions and infections. Progressive liver fibrosis leads to cirrhosis, which results in reduction of liver function, multiple medical complications and ultimately death. It is estimated that one to two million patients have cirrhosis in the United States with close to 50,000 losing their lives yearly. Only a fraction of patients’ lives, approximately 6,200 per year, are saved by liver transplantation at a cost of at least $350,000 per transplantation with significant additional costs of care and medications after the transplant.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Institutes of Health estimates that 9 to 15 million Americans are affected by NASH, and other sources suggest it may be as many as 30 million people have NASH, and forecasts that the number of Americans affected by this disease is growing due to obesity and diabetes, with the potential to become the leading cause of liver cirrhosis and liver transplantation in the future. Liver transplantation is currently the only therapeutic approach to NASH or other forms of liver fibrosis because, to the best of our knowledge, there are no drug therapies on the market. Organ transplantation is a difficult, risky and costly procedure, and organ availability is scarce. There is also the</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risk of developing cirrhosis in the transplanted liver from the same disease that damaged the patient’s original liver. Therefore, there is a great need for other therapeutic options. All diseases that affect the liver (viral hepatitis, alcoholic liver disease, and fatty liver as examples) lead to the development of scarring of the liver.</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67" w:lineRule="exact"/>
        <w:rPr>
          <w:sz w:val="20"/>
          <w:szCs w:val="20"/>
          <w:color w:val="auto"/>
        </w:rPr>
      </w:pPr>
    </w:p>
    <w:p>
      <w:pPr>
        <w:ind w:left="200" w:right="460" w:firstLine="441"/>
        <w:spacing w:after="0" w:line="312"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w:t>
      </w:r>
    </w:p>
    <w:p>
      <w:pPr>
        <w:spacing w:after="0" w:line="147"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 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 (i) GR-MD-02 was safe and well tolerated by patients with advanced NASH liver fibrosis after IV administration of four doses of 2 mg/kg, 4 mg/kg and 8mg/kg lean body weight, (ii) Pharmacokinetics in patients with advanced fibrosis, but not cirrhosis,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provided a firm foundation for entry into a Phase 2 development program (described above). Top line results of our Phase 2b in compensated NASH cirrhosis patients was reported in December 2017 and is more fully described above as well in our SEC filings.</w:t>
      </w:r>
    </w:p>
    <w:p>
      <w:pPr>
        <w:spacing w:after="0" w:line="168"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GR-MD-02 is a proprietary, patented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With respect to GR-MD-02, we currently</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have, as of December 31, 2018, 20 granted U.S. patents, and 57 foreign granted patents. These patents more fully described below, include a composition of matter patent, and methods of use including manufacture, use patient in patients with NASH, in patients with liver fibrosis, and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 Compounds for subcutaneous administration and oral delivery are currently under pre-clinical development.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81"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William L. Redmond of Providence Portland Medical Center’s Earl A. Chiles Research Institute (EACRI)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8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preclinical study found that GR-MD-02 increased tumor shrinkage and enhanced survival in immune competent mice with prostate or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 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7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study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GR-MD-02 to EACRI researchers, as well as supplying researchers with supporting analysis of the pharmacokinetics of GR-MD-02 and the right to reference the Company’s open IND on GR-MD-02. To date the first two dosing groups have been completed without serious adverse events that were determined to be related to GR-MD-02. The third dosing group is no longer enrolling due to the availability of newer agents such as the anti-PD! agents.</w:t>
      </w:r>
    </w:p>
    <w:p>
      <w:pPr>
        <w:spacing w:after="0" w:line="17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Similar to the agreement set forth for the ipilimumab (Yervoy</w:t>
      </w:r>
      <w:r>
        <w:rPr>
          <w:rFonts w:ascii="Arial" w:cs="Arial" w:eastAsia="Arial" w:hAnsi="Arial"/>
          <w:sz w:val="15"/>
          <w:szCs w:val="15"/>
          <w:color w:val="auto"/>
        </w:rPr>
        <w:t>®</w:t>
      </w:r>
      <w:r>
        <w:rPr>
          <w:rFonts w:ascii="Arial" w:cs="Arial" w:eastAsia="Arial" w:hAnsi="Arial"/>
          <w:sz w:val="18"/>
          <w:szCs w:val="18"/>
          <w:color w:val="auto"/>
        </w:rPr>
        <w:t>) Phase 1B study, Providence Portland Medical Center submitted an IND in September 2015 to conduct a Phase 1B study of GR-MD-02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pembrolizumab (Keytruda</w:t>
      </w:r>
      <w:r>
        <w:rPr>
          <w:rFonts w:ascii="Arial" w:cs="Arial" w:eastAsia="Arial" w:hAnsi="Arial"/>
          <w:sz w:val="14"/>
          <w:szCs w:val="14"/>
          <w:color w:val="auto"/>
        </w:rPr>
        <w:t>®</w:t>
      </w:r>
      <w:r>
        <w:rPr>
          <w:rFonts w:ascii="Arial" w:cs="Arial" w:eastAsia="Arial" w:hAnsi="Arial"/>
          <w:sz w:val="17"/>
          <w:szCs w:val="17"/>
          <w:color w:val="auto"/>
        </w:rPr>
        <w:t>) in patients with metastatic melanoma. The combination of GR-MD-02 and an anti-PD1 (pembrolizumab) has been shown to enhance T-cell activation, memory, and effector function, and promote better antitumor responses in multiple mouse studies. The study will test the hypothesis that galectin-3 antagonism using GR-MD-02 with enhance the probability of melanoma response using pembrolizumab in patients by inducing proliferation, activation and memory function of CD8+ T cells that recognize melanoma antigens. Similar to the ipilimumab study, the study employs a dose escalation of GR-MD-02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 Top line results of the combination of the 3 dosing cohorts was reported in September 2018 and is more fully described above as well in our SEC filings and press releases.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If these additional results should continue to be encouraging, the next step in development would entail a controlled randomized Phase 2 clinical trial.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88"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8"/>
          <w:szCs w:val="18"/>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9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GR-MD-02 and will expire in December 2031. Claims include multiple routes of administration, including intravenous, subcutaneous and oral. The application also covers therapeutic formulations for use in the treatment of NASH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89"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In May 2014, we received notice of allowance from the U.S. Patent and Trademark Office for patent application number 13/998,197 titled “Galactose-Pronged Carbohydrate Compounds for the Treatment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Diabetic Nephropathy and Associated Disorders.” The patent covers both composition claim for and uses of the Company’s carbohydrate-based galectin inhibitor compound GR-MD-02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7"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GR-MD-02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TGF-ß1. The patent, assigned U.S. Patent</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8,722,645, was issued May 13, 2014.</w:t>
      </w:r>
    </w:p>
    <w:p>
      <w:pPr>
        <w:spacing w:after="0" w:line="21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179" w:lineRule="exact"/>
        <w:rPr>
          <w:sz w:val="20"/>
          <w:szCs w:val="20"/>
          <w:color w:val="auto"/>
        </w:rPr>
      </w:pPr>
    </w:p>
    <w:p>
      <w:pPr>
        <w:ind w:left="200" w:right="120" w:firstLine="441"/>
        <w:spacing w:after="0" w:line="270" w:lineRule="auto"/>
        <w:rPr>
          <w:sz w:val="20"/>
          <w:szCs w:val="20"/>
          <w:color w:val="auto"/>
        </w:rPr>
      </w:pPr>
      <w:r>
        <w:rPr>
          <w:rFonts w:ascii="Arial" w:cs="Arial" w:eastAsia="Arial" w:hAnsi="Arial"/>
          <w:sz w:val="17"/>
          <w:szCs w:val="17"/>
          <w:color w:val="auto"/>
        </w:rPr>
        <w:t>As of December 31, 2018, Galectin Therapeutics Inc. held 20 granted U.S. patents, 57 foreign granted, 3 Foreign patent applications allowed, 25 Foreign patent applications pending, and 3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United States patents span from 2020 to 2033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 Galectin Sciences LLC has 1 US patent application pending and 10 foreign applications pending; 4 PCT International applications are pending.</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Our primary focus is on the design and testing of agents that target galectins in various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February 2013, the Company established a collaborative drug discovery program with Dr. Geert-Jan Boons’ (“Dr. Boons”) laboratory located in the Complex Carbohydrate Research Center at the University of Georgia. This on-going program is focused on the discovery of new carbohydrate molecules that can be used in the therapy of diseases where galectin proteins play a major role, including cancer, and inflammatory and fibrotic disorders. The aim of this program is to develop a pipeline of drugs that can target galectins. This is an important goal as follow-on compounds for our drugs currently in development and to extend the potential indications and routes of administration. The Complex Carbohydrate Research Center is a world-class program, and Dr. Boons is a world renowned and pre-eminent carbohydrate chemist.</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September 2014, the Company established a collaborative research program with Dr. William Redmond’s laboratory located at the Providence Portland Medical Center, Portland, Oregon. This program focuses on combination immunotherapy plus galectin inhibition to augment tumor immunogenicity.</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During the years ended December 31, 2018 and 2017, our expenditures for research and development were $6.5 million and $11.7 million, respectively. We expense all research and development costs as they are incurred.</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7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Using computer molecular modeling techniques coupled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of a variety of compound libraries, SBH Sciences had identified several small organic molecules with promising galectin-3 inhibitory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 These efforts have identified several potential compounds which are continuing to be explored to identify lead molecules that may be identified for clinical development.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and Marketing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meeting FDA requirements.</w:t>
      </w:r>
    </w:p>
    <w:p>
      <w:pPr>
        <w:spacing w:after="0" w:line="18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third parties for manufacturing, marketing, sales, managed care and distribution infrastructure channels.”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54" w:lineRule="exact"/>
        <w:rPr>
          <w:sz w:val="20"/>
          <w:szCs w:val="20"/>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7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FDA procedures provide for priority review of an NDA submitted for drugs that, compared to currently marketed products, offer a significant improvement in the treatment, diagnosis, or prevention of a disease. NDAs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24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2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7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We currently have six full-time employees, four of whom are involved primarily in management of our pre-clinical research and development and clinical trials and three who were involved primarily in management and administration of our Company. We also utilize contractors and consultants who provide product development, manufacture, analytical testing, clinical trial expertise, and clinical trial support.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is not a part of, nor is it incorporated by reference into, this Annual Report on Form 10-K.</w:t>
      </w:r>
    </w:p>
    <w:p>
      <w:pPr>
        <w:spacing w:after="0" w:line="3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54"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incurred net losses to date and must raise additional capital in order to continue to operate after December 31,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incurred net losses in each year of operation since our inception in July 2000 and have no revenues. Our accumulated deficit as of</w:t>
      </w:r>
    </w:p>
    <w:p>
      <w:pPr>
        <w:spacing w:after="0" w:line="35"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December 31, 2018 was $196.2 million. We had $8.3 million of unrestricted cash as of December 31, 2018. In December 2018, the Company announced an extension of its $10 million unsecured line of credit facility with stockholder and director, Richard E. Uihlein. The Company has not drawn under the line of credit. Additionally, the Company generated approximately $1.87 million in net proceeds via sale of common stock under its At Market Sales Agreement in January and February 2019. The Company believes there is sufficient cash, including availability of the line of credit, to fund currently planned operations at least through March 31, 2020. We will require more cash to fund our operations after March 31, 2020 and believe we will be able to obtain additional financing. The currently planned operations do not include costs related to a planned Phase 3 clinical trial. While the costs of the trial and general overhead during the Phase 3 trial are expected to be approximately $100 million, the costs and timing of such trial are not yet finalized. The Company has not made commitments for such trial that cannot be covered with available cash. The costs of a Phase 3 clinical trial will require additional funding. However, there can be no assurance that we will be successful in obtaining such new financing or, if available, that such financing will be on terms favorable to us.</w:t>
      </w:r>
    </w:p>
    <w:p>
      <w:pPr>
        <w:spacing w:after="0" w:line="180"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We may raise capital through public or private equity financings, partnerships, debt financings, bank borrowings, or other sources. Additional funding may not be available on favorable terms or at all. If adequate funds are not otherwise available, we may need to significantly curtail operations or postpone the commencement of our Phase 3 clinical trial.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117"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or any other of our products in development and, even if we do so, that we will generate revenue sufficient to become profitable. Our failure to generate revenue and profit would likely lead to loss of your investment.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Our ability to generate revenue from product sales and achieve profitability will depend upon our ability to successfully commercialize products, including any of our current product candidates,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94" w:lineRule="exact"/>
        <w:rPr>
          <w:sz w:val="20"/>
          <w:szCs w:val="20"/>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225" w:lineRule="exact"/>
        <w:rPr>
          <w:sz w:val="20"/>
          <w:szCs w:val="20"/>
          <w:color w:val="auto"/>
        </w:rPr>
      </w:pPr>
    </w:p>
    <w:p>
      <w:pPr>
        <w:ind w:left="200" w:right="20"/>
        <w:spacing w:after="0" w:line="279"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1"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89"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 GR-MD-02, and we cannot be certain that these product candidates will receive regulatory approval or be successfully commercialized.</w:t>
      </w:r>
    </w:p>
    <w:p>
      <w:pPr>
        <w:spacing w:after="0" w:line="62"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5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70"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GR-MD-02 our lead product candidate for fibrosis completed its Phase 2 of the human clinical trial phase in 2017, and during 2018 we have been designing a Phase 3 clinical trial. GR-MD-02 is also currently in investigator sponsored, human Phase 1B clinical trials being conducted by Providence Portland Medical Center in combination with Yervoy</w:t>
      </w:r>
      <w:r>
        <w:rPr>
          <w:rFonts w:ascii="Arial" w:cs="Arial" w:eastAsia="Arial" w:hAnsi="Arial"/>
          <w:sz w:val="13"/>
          <w:szCs w:val="13"/>
          <w:color w:val="auto"/>
        </w:rPr>
        <w:t>®</w:t>
      </w:r>
      <w:r>
        <w:rPr>
          <w:rFonts w:ascii="Arial" w:cs="Arial" w:eastAsia="Arial" w:hAnsi="Arial"/>
          <w:sz w:val="16"/>
          <w:szCs w:val="16"/>
          <w:color w:val="auto"/>
        </w:rPr>
        <w:t xml:space="preserve"> (ipilimumab) and Keytruda (pembrolizmab) in patients with metastatic melanoma.</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To obtain FDA approval, we will need to conduct one or more Phase 3 clinical trial for GR-MD-02; however, we cannot assure you that we will be able to finance Phase 3 trials. Additionally, we cannot assure you that future our trials will yield successful results, that they will lead to the generation of revenue, or that we will obtain regulatory approval in other countries.</w:t>
      </w:r>
    </w:p>
    <w:p>
      <w:pPr>
        <w:spacing w:after="0" w:line="181"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We filed for an IND with the FDA for GR-MD-02 in January 2013 for initiating human clinical trials in patients with NASH, and the FDA notified us in March 2013 that we may proceed with a Phase 1 clinical trial. Our Phase 1 clinical trial began in July 2013 and was completed in 2014. 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GR-MD-02, which we believe will allow us to conduct a Phase 3 trial,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117" w:lineRule="exact"/>
        <w:rPr>
          <w:sz w:val="20"/>
          <w:szCs w:val="20"/>
          <w:color w:val="auto"/>
        </w:rPr>
      </w:pPr>
    </w:p>
    <w:p>
      <w:pPr>
        <w:ind w:left="200" w:right="240"/>
        <w:spacing w:after="0" w:line="259" w:lineRule="auto"/>
        <w:rPr>
          <w:sz w:val="20"/>
          <w:szCs w:val="20"/>
          <w:color w:val="auto"/>
        </w:rPr>
      </w:pPr>
      <w:r>
        <w:rPr>
          <w:rFonts w:ascii="Arial" w:cs="Arial" w:eastAsia="Arial" w:hAnsi="Arial"/>
          <w:sz w:val="18"/>
          <w:szCs w:val="18"/>
          <w:color w:val="auto"/>
        </w:rPr>
        <w:t>Even if GR-MD-02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9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62"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As we develop products eligible for clinical trials, we will contract with independent parties to assist us in the design of the trial protocols, arrange for and monitor the clinical trials, collect data and analyze data. For instance, for our NASH-CX trial we engaged the services of PPD Development, L.P. (PPD) for the purpose of assisting us in the design, development and conduct of the trial. In addition, certain clinical trials for our products may be conducted by government-sponsored agencies and will be dependent on governmental participation and funding. Additionally, GR-MD-02 is being studied by Providence Portland Medical Center in Investigator-sponsored INDs to conduct a Phase 1B studies to determine if GR-MD-02 enhances the probability of melanoma response with ipilimumab and pembrolizumab by inducing proliferation, activation and memory function of CD8+ T cells in human patients. This study represents a novel approach for patients with metastatic melanoma. As with our Phase 2 trial, to undertake Phase 3 trials for GR-MD-02, we will need to contract with a third party for assistance with the design and conduct of the trial. We cannot be certain that the terms of any such agreement will be favorable to the company.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Our dependence on independent parties and clinical sites involves risks including reduced control over the timing and other aspects of our clinical trials.</w:t>
      </w:r>
    </w:p>
    <w:p>
      <w:pPr>
        <w:spacing w:after="0" w:line="35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62"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8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 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Even if engaged, these distributors may:</w:t>
      </w:r>
    </w:p>
    <w:p>
      <w:pPr>
        <w:spacing w:after="0" w:line="131" w:lineRule="exact"/>
        <w:rPr>
          <w:sz w:val="20"/>
          <w:szCs w:val="20"/>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22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27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62"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73" w:lineRule="exact"/>
        <w:rPr>
          <w:sz w:val="20"/>
          <w:szCs w:val="20"/>
          <w:color w:val="auto"/>
        </w:rPr>
      </w:pPr>
    </w:p>
    <w:p>
      <w:pPr>
        <w:ind w:left="200" w:right="100"/>
        <w:spacing w:after="0" w:line="293" w:lineRule="auto"/>
        <w:rPr>
          <w:sz w:val="20"/>
          <w:szCs w:val="20"/>
          <w:color w:val="auto"/>
        </w:rPr>
      </w:pPr>
      <w:r>
        <w:rPr>
          <w:rFonts w:ascii="Arial" w:cs="Arial" w:eastAsia="Arial" w:hAnsi="Arial"/>
          <w:sz w:val="16"/>
          <w:szCs w:val="16"/>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117"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biotechnology and pharmaceutical industries are intensely competitive. We face direct competition from U.S. and foreign companies focusing on pharmaceutical products, which are rapidly evolving. Our competitors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27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62"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88"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117"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We have limited experience in manufacturing or procuring products in commercial quantities, conducting other later-stage phases of the regulatory approval process, selling pharmaceutical products, or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117" w:lineRule="exact"/>
        <w:rPr>
          <w:sz w:val="20"/>
          <w:szCs w:val="20"/>
          <w:color w:val="auto"/>
        </w:rPr>
      </w:pPr>
    </w:p>
    <w:p>
      <w:pPr>
        <w:jc w:val="both"/>
        <w:ind w:left="200" w:right="40"/>
        <w:spacing w:after="0" w:line="312" w:lineRule="auto"/>
        <w:rPr>
          <w:sz w:val="20"/>
          <w:szCs w:val="20"/>
          <w:color w:val="auto"/>
        </w:rPr>
      </w:pPr>
      <w:r>
        <w:rPr>
          <w:rFonts w:ascii="Arial" w:cs="Arial" w:eastAsia="Arial" w:hAnsi="Arial"/>
          <w:sz w:val="16"/>
          <w:szCs w:val="16"/>
          <w:color w:val="auto"/>
        </w:rPr>
        <w:t>We are highly dependent on our current base of employees and external hepatology consultants. These individuals, among other things, design and lead our pre-clinical and clinical studies, as well as our U.S. and European regulatory processes. The loss of any personnel or failure to attract or retain other key personnel and consultants could prevent us from developing our products and core technologies and pursuing collaborative relationships.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117"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96"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62"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To conduct Phase 3 clinical trials or other clinical trials we will need sufficient cash resources to conduct those undertakings. We will also need to obtain sufficient dosages of GR-MD-02 for such trials. Manufacturing of GR-MD-02 is performed by third parties on a contract basis and production is ongoing to generate what we believe is sufficient quantities of GR-MD-02 for planned Phase 3 clinical trials. Manufacturing could become delayed due to circumstances beyond our control which could delay any planned Phase 3 clinical trials. Further because of limited resources, we have curtailed most of our expenditures in research focused on the development of an oral galectin inhibitor to replace our current drug candidate that is delivered via infusion.</w:t>
      </w:r>
    </w:p>
    <w:p>
      <w:pPr>
        <w:spacing w:after="0" w:line="30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We have been a defendant in a shareholder derivative action, and any future such lawsuits may adversely affect our business, financial condition, results of operations and cash flows.</w:t>
      </w:r>
    </w:p>
    <w:p>
      <w:pPr>
        <w:spacing w:after="0" w:line="62"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We and certain of our officers and directors were defendants in a state court shareholder derivative action. This lawsuit, nor concluded, is described in Part I, Item 3 “Legal Proceedings” in this Form 10-K. In addition, there is the potential for additional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our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117" w:lineRule="exact"/>
        <w:rPr>
          <w:sz w:val="20"/>
          <w:szCs w:val="20"/>
          <w:color w:val="auto"/>
        </w:rPr>
      </w:pPr>
    </w:p>
    <w:p>
      <w:pPr>
        <w:ind w:left="200" w:right="60"/>
        <w:spacing w:after="0" w:line="289" w:lineRule="auto"/>
        <w:rPr>
          <w:sz w:val="20"/>
          <w:szCs w:val="20"/>
          <w:color w:val="auto"/>
        </w:rPr>
      </w:pPr>
      <w:r>
        <w:rPr>
          <w:rFonts w:ascii="Arial" w:cs="Arial" w:eastAsia="Arial" w:hAnsi="Arial"/>
          <w:sz w:val="16"/>
          <w:szCs w:val="16"/>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62" w:lineRule="exact"/>
        <w:rPr>
          <w:sz w:val="20"/>
          <w:szCs w:val="20"/>
          <w:color w:val="auto"/>
        </w:rPr>
      </w:pPr>
    </w:p>
    <w:p>
      <w:pPr>
        <w:ind w:left="200" w:right="78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or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29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131"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the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 are conducted;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third party contractors failing to comply with regulatory requirements or meet their contractual obligations to us in a timely manner;</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130"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225"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279"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6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In other words,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It is possible that the adoption of this legislation or replacement legislation could harm our business, financial condition and results of operations.</w:t>
      </w:r>
    </w:p>
    <w:p>
      <w:pPr>
        <w:spacing w:after="0" w:line="287"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62"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having obtained promising results in earlier trials. Despite the results reported in some of our earlier clinical trials for GR-MD-02,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275"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58"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33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6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 pharmaceutical product cannot be marketed in the U.S. or other countries until it has completed rigorous and extensive regulatory review processes, including approval of a brand name. Any brand names we intend to 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our product candidates from being marketed abroad.</w:t>
      </w:r>
    </w:p>
    <w:p>
      <w:pPr>
        <w:spacing w:after="0" w:line="129"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24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117"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 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93"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58"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200" w:right="260"/>
        <w:spacing w:after="0" w:line="279" w:lineRule="auto"/>
        <w:rPr>
          <w:sz w:val="20"/>
          <w:szCs w:val="20"/>
          <w:color w:val="auto"/>
        </w:rPr>
      </w:pPr>
      <w:r>
        <w:rPr>
          <w:rFonts w:ascii="Arial" w:cs="Arial" w:eastAsia="Arial" w:hAnsi="Arial"/>
          <w:sz w:val="17"/>
          <w:szCs w:val="17"/>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71"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158"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78" w:lineRule="exact"/>
        <w:rPr>
          <w:sz w:val="20"/>
          <w:szCs w:val="20"/>
          <w:color w:val="auto"/>
        </w:rPr>
      </w:pPr>
    </w:p>
    <w:p>
      <w:pPr>
        <w:ind w:left="200" w:right="80"/>
        <w:spacing w:after="0" w:line="270" w:lineRule="auto"/>
        <w:rPr>
          <w:sz w:val="20"/>
          <w:szCs w:val="20"/>
          <w:color w:val="auto"/>
        </w:rPr>
      </w:pPr>
      <w:r>
        <w:rPr>
          <w:rFonts w:ascii="Arial" w:cs="Arial" w:eastAsia="Arial" w:hAnsi="Arial"/>
          <w:sz w:val="17"/>
          <w:szCs w:val="17"/>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82"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8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8" w:lineRule="auto"/>
        <w:rPr>
          <w:sz w:val="20"/>
          <w:szCs w:val="20"/>
          <w:color w:val="auto"/>
        </w:rPr>
      </w:pPr>
      <w:r>
        <w:rPr>
          <w:rFonts w:ascii="Arial" w:cs="Arial" w:eastAsia="Arial" w:hAnsi="Arial"/>
          <w:sz w:val="17"/>
          <w:szCs w:val="17"/>
          <w:color w:val="auto"/>
        </w:rPr>
        <w:t>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failure to secure trademark registration could adversely affect our ability to market our product candidates and our business.</w:t>
      </w:r>
    </w:p>
    <w:p>
      <w:pPr>
        <w:spacing w:after="0" w:line="12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286"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6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131" w:lineRule="exact"/>
        <w:rPr>
          <w:sz w:val="20"/>
          <w:szCs w:val="20"/>
          <w:color w:val="auto"/>
        </w:rPr>
      </w:pPr>
    </w:p>
    <w:p>
      <w:pPr>
        <w:ind w:left="5620" w:right="1760" w:hanging="4876"/>
        <w:spacing w:after="0" w:line="449" w:lineRule="auto"/>
        <w:tabs>
          <w:tab w:leader="none" w:pos="10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 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130" w:lineRule="exact"/>
        <w:rPr>
          <w:rFonts w:ascii="Arial" w:cs="Arial" w:eastAsia="Arial" w:hAnsi="Arial"/>
          <w:sz w:val="18"/>
          <w:szCs w:val="18"/>
          <w:color w:val="auto"/>
        </w:rPr>
      </w:pPr>
    </w:p>
    <w:p>
      <w:pPr>
        <w:ind w:left="1060" w:right="48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issuance of additional securities, including debt or equity or a combination thereof, which may be necessary to fund our operating expenses and the cost of our clinical trials;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industry developments, including, without limitation, changes in healthcare policies or practices or third-party reimbursement policies;</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060" w:right="12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225" w:lineRule="exact"/>
        <w:rPr>
          <w:sz w:val="20"/>
          <w:szCs w:val="20"/>
          <w:color w:val="auto"/>
        </w:rPr>
      </w:pPr>
    </w:p>
    <w:p>
      <w:pPr>
        <w:jc w:val="both"/>
        <w:ind w:left="200" w:right="460"/>
        <w:spacing w:after="0" w:line="312" w:lineRule="auto"/>
        <w:rPr>
          <w:sz w:val="20"/>
          <w:szCs w:val="20"/>
          <w:color w:val="auto"/>
        </w:rPr>
      </w:pPr>
      <w:r>
        <w:rPr>
          <w:rFonts w:ascii="Arial" w:cs="Arial" w:eastAsia="Arial" w:hAnsi="Arial"/>
          <w:sz w:val="16"/>
          <w:szCs w:val="16"/>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47"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79"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Our articles of incorporation authorize the issuance of capital stock including 20,000,000 authorized undesignated shares (all have been designated as of December 31, 2018), and empowers our board of directors 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295"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62"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117"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65" w:lineRule="exact"/>
        <w:rPr>
          <w:sz w:val="20"/>
          <w:szCs w:val="20"/>
          <w:color w:val="auto"/>
        </w:rPr>
      </w:pPr>
    </w:p>
    <w:p>
      <w:pPr>
        <w:jc w:val="both"/>
        <w:ind w:left="200"/>
        <w:spacing w:after="0" w:line="257"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80"/>
          </w:cols>
          <w:pgMar w:left="24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have not paid cash dividends on our common stock in the past and do not expect to pay cash dividends in the foreseeable future.</w:t>
      </w:r>
    </w:p>
    <w:p>
      <w:pPr>
        <w:spacing w:after="0" w:line="129"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95"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and warrants have been thinly traded, so you may be unable to sell at or near ask prices or even at all if you need to sell your shares to raise money or otherwise desire to liquidate your shares.</w:t>
      </w:r>
    </w:p>
    <w:p>
      <w:pPr>
        <w:spacing w:after="0" w:line="62"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We cannot predict the extent to which an active public market for our common stock will develop or be sustained. Our common stock is currently traded on The NASDAQ Capital Market and experiences periods when it could be considered “thinly-traded.” This situation may be attributable to a number of factors, including the fact that we are a small company that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290" w:lineRule="exact"/>
        <w:rPr>
          <w:sz w:val="20"/>
          <w:szCs w:val="20"/>
          <w:color w:val="auto"/>
        </w:rPr>
      </w:pPr>
    </w:p>
    <w:p>
      <w:pPr>
        <w:ind w:left="200" w:right="940"/>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62"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A significant percentage of our outstanding stock is held by a limited number of investors, including Richard E. Uihlein. Mr. Uihlein, the chairman of our board of directors, who beneficially owns approximately 5.7% of our outstanding common stock as of February 20, 2019 (which does not include any shares issuable upon exercise of options and warrants) and the 10X Fund, LP , which now owns 14.3% of the issued and outstanding shares of common stock of the Company as of February 20, 2019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83"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225" w:lineRule="exact"/>
        <w:rPr>
          <w:sz w:val="20"/>
          <w:szCs w:val="20"/>
          <w:color w:val="auto"/>
        </w:rPr>
      </w:pPr>
    </w:p>
    <w:p>
      <w:pPr>
        <w:ind w:left="200" w:right="700"/>
        <w:spacing w:after="0" w:line="308" w:lineRule="auto"/>
        <w:rPr>
          <w:sz w:val="20"/>
          <w:szCs w:val="20"/>
          <w:color w:val="auto"/>
        </w:rPr>
      </w:pPr>
      <w:r>
        <w:rPr>
          <w:rFonts w:ascii="Arial" w:cs="Arial" w:eastAsia="Arial" w:hAnsi="Arial"/>
          <w:sz w:val="17"/>
          <w:szCs w:val="17"/>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255"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62"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62"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30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employee and which is collocated with one of our research and development service vendors. We believe these spaces are suitable for our present operations.</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26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common stock began trading on The NASDAQ Capital Market under the symbol GALT effective March 23, 2012.</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February 20, 2019, there were 279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12,500 non-objecting beneficial owners of our shares of our common stock in addition to the record holders.</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31, 2020;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60" w:right="6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60" w:right="280" w:hanging="316"/>
        <w:spacing w:after="0" w:line="342" w:lineRule="auto"/>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from the Years Ended December 31, 2018 and 2017</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2018 as Compared to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40" w:type="dxa"/>
            <w:vAlign w:val="bottom"/>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$6,471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$11,721</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(5,250)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We have two product candidates, GR-MD-02 and GM-CT-01; however only GR-MD-02 is in active development.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$2,296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other including stock-based compensation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6,471</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11,721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during the year ended December 31, 2018 as compared to the same period in 2017. Because we completed our NASH-CX Phase 2 trial in 2017, we expected our clinical activities costs to decrease in 2018 absent additional clinical trials commencing. Other research and development expenses increased during the year ended December 31, 2018 compared to 2017 primarily due to non-cash stock-based compensation expense.</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580" w:type="dxa"/>
            <w:vAlign w:val="bottom"/>
          </w:tcPr>
          <w:p>
            <w:pPr>
              <w:spacing w:after="0"/>
              <w:rPr>
                <w:sz w:val="14"/>
                <w:szCs w:val="14"/>
                <w:color w:val="auto"/>
              </w:rPr>
            </w:pPr>
          </w:p>
        </w:tc>
        <w:tc>
          <w:tcPr>
            <w:tcW w:w="2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2018 as Compared to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268"/>
              <w:spacing w:after="0" w:line="142" w:lineRule="exact"/>
              <w:rPr>
                <w:sz w:val="20"/>
                <w:szCs w:val="20"/>
                <w:color w:val="auto"/>
              </w:rPr>
            </w:pPr>
            <w:r>
              <w:rPr>
                <w:rFonts w:ascii="Arial" w:cs="Arial" w:eastAsia="Arial" w:hAnsi="Arial"/>
                <w:sz w:val="14"/>
                <w:szCs w:val="14"/>
                <w:b w:val="1"/>
                <w:bCs w:val="1"/>
                <w:color w:val="auto"/>
                <w:w w:val="91"/>
              </w:rPr>
              <w:t>$ Change</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$7,131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5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  2,605</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2018, as compared to the same period for 2017, are due to increased non-cash stock-based compensation of $1,922,000 and increased investor relations/business development expenses of $540,000.</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During the year ended December 31, 2018, other income and expense consisted of $38,000 of interest income offset by amortization of the warrants issued with a line of credit entered into in December 2017 of $336,000 which is classified as interest expense.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 from the Years Ended December 31, 2017 and 2016</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w:t>
            </w:r>
          </w:p>
        </w:tc>
        <w:tc>
          <w:tcPr>
            <w:tcW w:w="60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2017 as Compared to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40" w:type="dxa"/>
            <w:vAlign w:val="bottom"/>
            <w:gridSpan w:val="3"/>
          </w:tcPr>
          <w:p>
            <w:pPr>
              <w:jc w:val="right"/>
              <w:ind w:right="348"/>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$11,721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(3,604)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We have two product candidates, GR-MD-02 and GM-CT-01; however only GR-MD-02 is in active development.</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right"/>
              <w:ind w:right="35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Clinical programs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9,362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Pre-clinical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Payroll and other including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11,721</w:t>
            </w: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15,325</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during the year ended December 31, 2017 as compared to the same period in 2016. As we have completed our NASH-CX Phase 2 trial in 2017, we expect our clinical activities costs will further decrease absent additional clinical trials commencing. Pre-clinical activities decreased primarily because we have completed pre-clinical work directly related to our Phase 2 clinical trial program.</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products,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costs and completion of our program and the period during which material net cash inflows will commence are unavailable at this time.</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600" w:type="dxa"/>
            <w:vAlign w:val="bottom"/>
          </w:tcPr>
          <w:p>
            <w:pPr>
              <w:spacing w:after="0"/>
              <w:rPr>
                <w:sz w:val="14"/>
                <w:szCs w:val="14"/>
                <w:color w:val="auto"/>
              </w:rPr>
            </w:pPr>
          </w:p>
        </w:tc>
        <w:tc>
          <w:tcPr>
            <w:tcW w:w="2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2017 as Compared to 2016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600" w:type="dxa"/>
            <w:vAlign w:val="bottom"/>
          </w:tcPr>
          <w:p>
            <w:pPr>
              <w:spacing w:after="0"/>
              <w:rPr>
                <w:sz w:val="14"/>
                <w:szCs w:val="14"/>
                <w:color w:val="auto"/>
              </w:rPr>
            </w:pPr>
          </w:p>
        </w:tc>
        <w:tc>
          <w:tcPr>
            <w:tcW w:w="2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40" w:type="dxa"/>
            <w:vAlign w:val="bottom"/>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(in thousands, except %)</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7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$4,526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w:t>
            </w:r>
          </w:p>
        </w:tc>
        <w:tc>
          <w:tcPr>
            <w:tcW w:w="15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 (1,630)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2017 as compared to the same period for 2016 are due to, decreased legal expenses of $251,000, decreased stock-based compensation of $1,068,000 and decreased investor relations expenses of $352,000.</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year ended December 31, 2017, other income and expense consisted of interest income offset by amortization of the warrants issued with a line of credit entered into in December 2017 of $12,000 which is classified as interest expense.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2018, we raised a net total of $147.4 million from these offerings. At December 31, 2018, the Company had $8.3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Additionally, in January 2019, the Company received $1.87 million in net proceeds from the ATM. The Company believes there is sufficient cash, including availability of the line of credit, to fund currently planned operations at least through March 31, 2020. We will require more cash to fund our operations after March 31, 2020 and believe we will be able to obtain additional financing. The currently planned operations do not include costs related to a planned Phase 3 clinical trial. While the costs of the trial and general overhead during the Phase 3 trial are expected to be approximately $100 million, the costs and timing of such trial are not yet finalized. The Company has not made commitments for such trial that cannot be covered with available cash. The costs of a Phase 3 clinical trial will require additional funding. However, there can be no assurance that we will be successful in obtaining such new financing or, if available, that such financing will be on terms favorable to 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Net cash used in operations decreased by $5,713,000 to $10,179,000 for 2018, as compared to $15,892,000 for 2017. Cash operating expenses decreased principally due to decreased research and development activities primarily related to our Phase 2 clinical programs.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equipment purchases or other investing activities in 2018 or 2017.</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Net cash provided by financing activities was $15,379,000 during 2018 as compared to $3,583,000 during 2017, due primarily to the transactions described below.</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24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In 2018, we completed sales of common stock through At the Market issuances totaling $5,603,000. Additionally, in 2018, we received proceeds totaling $6,003,000 and $3,773,000 from the exercise of common stock warrants and options, respectively. In 2017, we completed a private placement of common stock with warrants totaling $200,000 and sales of common stock through At the Market issuances totaling $3,383,000.</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2017 compared to 2016</w:t>
      </w:r>
    </w:p>
    <w:p>
      <w:pPr>
        <w:spacing w:after="0" w:line="117"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Net cash used in operations decreased by $517,000 to $15,892,000 for 2017, as compared to $16,409,000 for 2016. Cash operating expenses decreased principally due to decreased research and development activities primarily related to our Phase 2 clinical programs.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equipment purchases or other investing activities in 2017 or 2016.</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Net cash provided by financing activities was $3,583,000 during 2017 as compared to $5,925,000 during 2016, due primarily to the transactions described below.</w:t>
      </w:r>
    </w:p>
    <w:p>
      <w:pPr>
        <w:spacing w:after="0" w:line="17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In 2017, we completed a private placement of common stock with warrants totaling $200,000 and sales of common stock through At the Market issuances totaling $3,383,000. In 2016, we completed sales of Series B-3 preferred stock with warrants totaling $2,508,000, private placements of common stock and warrants totaling $3,000,000 and sales of common stock through At the Market issuances totaling $417,000.</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Effective December 31, 2018, the Company entered into an amendment to its operating lease for office space in Norcross, GA for a term of thirty-eight months, beginning on January 1, 2019 and ending February 28, 2022 at a rate of approximately $3,800 per month.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7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In October 2012, the Company entered into an operating lease for office space collocated with lab space for research and development activities. The lease is for a period of one year, beginning on October 1, 2012, for a rate of $15,000 for the term, payable in equal monthly increments. This lease was continued on a month to month basis from October 1, 2013.</w:t>
      </w:r>
    </w:p>
    <w:p>
      <w:pPr>
        <w:spacing w:after="0" w:line="177"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7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contractual obligations and commitments as of December 31, 2018:</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Payments due by period (in thousands)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Contractual Obligations</w:t>
            </w: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5"/>
              </w:rPr>
              <w:t>Total</w:t>
            </w:r>
          </w:p>
        </w:tc>
        <w:tc>
          <w:tcPr>
            <w:tcW w:w="1220" w:type="dxa"/>
            <w:vAlign w:val="bottom"/>
            <w:gridSpan w:val="3"/>
          </w:tcPr>
          <w:p>
            <w:pPr>
              <w:ind w:left="620"/>
              <w:spacing w:after="0" w:line="119" w:lineRule="exact"/>
              <w:rPr>
                <w:sz w:val="20"/>
                <w:szCs w:val="20"/>
                <w:color w:val="auto"/>
              </w:rPr>
            </w:pPr>
            <w:r>
              <w:rPr>
                <w:rFonts w:ascii="Arial" w:cs="Arial" w:eastAsia="Arial" w:hAnsi="Arial"/>
                <w:sz w:val="13"/>
                <w:szCs w:val="13"/>
                <w:b w:val="1"/>
                <w:bCs w:val="1"/>
                <w:color w:val="auto"/>
                <w:w w:val="95"/>
              </w:rPr>
              <w:t>Less than</w:t>
            </w:r>
          </w:p>
        </w:tc>
        <w:tc>
          <w:tcPr>
            <w:tcW w:w="980" w:type="dxa"/>
            <w:vAlign w:val="bottom"/>
            <w:gridSpan w:val="2"/>
          </w:tcPr>
          <w:p>
            <w:pPr>
              <w:jc w:val="center"/>
              <w:ind w:left="553"/>
              <w:spacing w:after="0" w:line="119" w:lineRule="exact"/>
              <w:rPr>
                <w:sz w:val="20"/>
                <w:szCs w:val="20"/>
                <w:color w:val="auto"/>
              </w:rPr>
            </w:pPr>
            <w:r>
              <w:rPr>
                <w:rFonts w:ascii="Arial" w:cs="Arial" w:eastAsia="Arial" w:hAnsi="Arial"/>
                <w:sz w:val="13"/>
                <w:szCs w:val="13"/>
                <w:b w:val="1"/>
                <w:bCs w:val="1"/>
                <w:color w:val="auto"/>
              </w:rPr>
              <w:t>1-3</w:t>
            </w:r>
          </w:p>
        </w:tc>
        <w:tc>
          <w:tcPr>
            <w:tcW w:w="960" w:type="dxa"/>
            <w:vAlign w:val="bottom"/>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rPr>
              <w:t>3-5</w:t>
            </w:r>
          </w:p>
        </w:tc>
        <w:tc>
          <w:tcPr>
            <w:tcW w:w="340" w:type="dxa"/>
            <w:vAlign w:val="bottom"/>
          </w:tcPr>
          <w:p>
            <w:pPr>
              <w:spacing w:after="0"/>
              <w:rPr>
                <w:sz w:val="10"/>
                <w:szCs w:val="10"/>
                <w:color w:val="auto"/>
              </w:rPr>
            </w:pPr>
          </w:p>
        </w:tc>
        <w:tc>
          <w:tcPr>
            <w:tcW w:w="920" w:type="dxa"/>
            <w:vAlign w:val="bottom"/>
            <w:gridSpan w:val="2"/>
          </w:tcPr>
          <w:p>
            <w:pPr>
              <w:jc w:val="center"/>
              <w:ind w:left="193"/>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20" w:type="dxa"/>
            <w:vAlign w:val="bottom"/>
            <w:gridSpan w:val="2"/>
            <w:vMerge w:val="continue"/>
          </w:tcPr>
          <w:p>
            <w:pPr>
              <w:spacing w:after="0"/>
              <w:rPr>
                <w:sz w:val="15"/>
                <w:szCs w:val="15"/>
                <w:color w:val="auto"/>
              </w:rPr>
            </w:pP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19"/>
              <w:spacing w:after="0" w:line="158" w:lineRule="exact"/>
              <w:rPr>
                <w:sz w:val="20"/>
                <w:szCs w:val="20"/>
                <w:color w:val="auto"/>
              </w:rPr>
            </w:pPr>
            <w:r>
              <w:rPr>
                <w:rFonts w:ascii="Arial" w:cs="Arial" w:eastAsia="Arial" w:hAnsi="Arial"/>
                <w:sz w:val="14"/>
                <w:szCs w:val="14"/>
                <w:b w:val="1"/>
                <w:bCs w:val="1"/>
                <w:color w:val="auto"/>
                <w:w w:val="93"/>
              </w:rPr>
              <w:t>1 year</w:t>
            </w:r>
          </w:p>
        </w:tc>
        <w:tc>
          <w:tcPr>
            <w:tcW w:w="620" w:type="dxa"/>
            <w:vAlign w:val="bottom"/>
          </w:tcPr>
          <w:p>
            <w:pPr>
              <w:spacing w:after="0"/>
              <w:rPr>
                <w:sz w:val="15"/>
                <w:szCs w:val="15"/>
                <w:color w:val="auto"/>
              </w:rPr>
            </w:pPr>
          </w:p>
        </w:tc>
        <w:tc>
          <w:tcPr>
            <w:tcW w:w="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years</w:t>
            </w:r>
          </w:p>
        </w:tc>
        <w:tc>
          <w:tcPr>
            <w:tcW w:w="1300" w:type="dxa"/>
            <w:vAlign w:val="bottom"/>
            <w:gridSpan w:val="3"/>
          </w:tcPr>
          <w:p>
            <w:pPr>
              <w:jc w:val="center"/>
              <w:ind w:left="191"/>
              <w:spacing w:after="0" w:line="158" w:lineRule="exact"/>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5"/>
                <w:szCs w:val="15"/>
                <w:color w:val="auto"/>
              </w:rPr>
            </w:pPr>
          </w:p>
        </w:tc>
        <w:tc>
          <w:tcPr>
            <w:tcW w:w="7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Operating Leases</w:t>
            </w:r>
          </w:p>
        </w:tc>
        <w:tc>
          <w:tcPr>
            <w:tcW w:w="3820" w:type="dxa"/>
            <w:vAlign w:val="bottom"/>
            <w:tcBorders>
              <w:top w:val="single" w:sz="8" w:color="CCEEFF"/>
            </w:tcBorders>
            <w:gridSpan w:val="2"/>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140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6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w:t>
            </w:r>
          </w:p>
        </w:tc>
        <w:tc>
          <w:tcPr>
            <w:tcW w:w="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8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140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6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Accrued Expenses</w:t>
      </w:r>
      <w:r>
        <w:rPr>
          <w:rFonts w:ascii="Arial" w:cs="Arial" w:eastAsia="Arial" w:hAnsi="Arial"/>
          <w:sz w:val="17"/>
          <w:szCs w:val="17"/>
          <w:color w:val="auto"/>
        </w:rPr>
        <w:t>. As part of the process of preparing our consolidated financial statements, we are required to estimate accrued expenses.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pre-clinical and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18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326"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2018 and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35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2018. Our management has concluded, based on their evaluation, that our disclosure controls and procedures were effective as of December 31, 2018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73" w:lineRule="exact"/>
        <w:rPr>
          <w:sz w:val="20"/>
          <w:szCs w:val="20"/>
          <w:color w:val="auto"/>
        </w:rPr>
      </w:pPr>
    </w:p>
    <w:p>
      <w:pPr>
        <w:ind w:left="200" w:right="160" w:firstLine="444"/>
        <w:spacing w:after="0" w:line="277" w:lineRule="auto"/>
        <w:tabs>
          <w:tab w:leader="none" w:pos="8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200" w:right="340" w:firstLine="444"/>
        <w:spacing w:after="0" w:line="264" w:lineRule="auto"/>
        <w:tabs>
          <w:tab w:leader="none" w:pos="8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81" w:lineRule="exact"/>
        <w:rPr>
          <w:rFonts w:ascii="Arial" w:cs="Arial" w:eastAsia="Arial" w:hAnsi="Arial"/>
          <w:sz w:val="18"/>
          <w:szCs w:val="18"/>
          <w:color w:val="auto"/>
        </w:rPr>
      </w:pPr>
    </w:p>
    <w:p>
      <w:pPr>
        <w:ind w:left="200" w:right="160" w:firstLine="444"/>
        <w:spacing w:after="0" w:line="277" w:lineRule="auto"/>
        <w:tabs>
          <w:tab w:leader="none" w:pos="8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2018.</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2018 that has materially affected, or is reasonably likely to materially affect, our internal control over financial reporting.</w:t>
      </w:r>
    </w:p>
    <w:p>
      <w:pPr>
        <w:spacing w:after="0" w:line="315"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Each of our directors is elected annually and holds office until his or her successor has been elected and qualified or until the earlier of his or her death, resignation or removal. Our board of directors currently consists of nine members, all of whom were elected at our 2018 Annual Meeting of Stockholders.</w:t>
      </w:r>
    </w:p>
    <w:p>
      <w:pPr>
        <w:spacing w:after="0" w:line="18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table sets for the certain biographical information about our directors as of February 20, 2019, and the qualifications, experiences and skills considered in determining that each such person should serve as a director.</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6"/>
                <w:szCs w:val="16"/>
                <w:color w:val="auto"/>
              </w:rPr>
            </w:pPr>
          </w:p>
        </w:tc>
        <w:tc>
          <w:tcPr>
            <w:tcW w:w="4520" w:type="dxa"/>
            <w:vAlign w:val="bottom"/>
            <w:gridSpan w:val="2"/>
          </w:tcPr>
          <w:p>
            <w:pPr>
              <w:ind w:left="1900"/>
              <w:spacing w:after="0"/>
              <w:rPr>
                <w:sz w:val="20"/>
                <w:szCs w:val="20"/>
                <w:color w:val="auto"/>
              </w:rPr>
            </w:pPr>
            <w:r>
              <w:rPr>
                <w:rFonts w:ascii="Arial" w:cs="Arial" w:eastAsia="Arial" w:hAnsi="Arial"/>
                <w:sz w:val="14"/>
                <w:szCs w:val="14"/>
                <w:b w:val="1"/>
                <w:bCs w:val="1"/>
                <w:color w:val="auto"/>
              </w:rPr>
              <w:t>Position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195"/>
        </w:trPr>
        <w:tc>
          <w:tcPr>
            <w:tcW w:w="20" w:type="dxa"/>
            <w:vAlign w:val="bottom"/>
          </w:tcPr>
          <w:p>
            <w:pPr>
              <w:spacing w:after="0"/>
              <w:rPr>
                <w:sz w:val="16"/>
                <w:szCs w:val="16"/>
                <w:color w:val="auto"/>
              </w:rPr>
            </w:pPr>
          </w:p>
        </w:tc>
        <w:tc>
          <w:tcPr>
            <w:tcW w:w="4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Gilbert F. Amelio, Ph.D (2)(3)</w:t>
            </w:r>
          </w:p>
        </w:tc>
        <w:tc>
          <w:tcPr>
            <w:tcW w:w="200" w:type="dxa"/>
            <w:vAlign w:val="bottom"/>
          </w:tcPr>
          <w:p>
            <w:pPr>
              <w:spacing w:after="0"/>
              <w:rPr>
                <w:sz w:val="16"/>
                <w:szCs w:val="16"/>
                <w:color w:val="auto"/>
              </w:rPr>
            </w:pPr>
          </w:p>
        </w:tc>
        <w:tc>
          <w:tcPr>
            <w:tcW w:w="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w:t>
            </w:r>
          </w:p>
        </w:tc>
        <w:tc>
          <w:tcPr>
            <w:tcW w:w="20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2009</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Kary Eldred (1)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Kevin D. Freeman (1)(3)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Joel Lewis (1) (2)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Gilbert S. Omenn, M.D., Ph.D. (2)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Marc Rubin, M.D. (3)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2011</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Gilbert F. Amelio, Ph.D</w:t>
      </w:r>
      <w:r>
        <w:rPr>
          <w:rFonts w:ascii="Arial" w:cs="Arial" w:eastAsia="Arial" w:hAnsi="Arial"/>
          <w:sz w:val="18"/>
          <w:szCs w:val="18"/>
          <w:color w:val="auto"/>
        </w:rPr>
        <w:t>., a director since February 2009, began his career at Bell Labs in Murray Hill, New Jersey. Since January 1, 2012,</w:t>
      </w:r>
    </w:p>
    <w:p>
      <w:pPr>
        <w:spacing w:after="0" w:line="23" w:lineRule="exact"/>
        <w:rPr>
          <w:sz w:val="20"/>
          <w:szCs w:val="20"/>
          <w:color w:val="auto"/>
        </w:rPr>
      </w:pPr>
    </w:p>
    <w:p>
      <w:pPr>
        <w:ind w:left="200" w:right="100"/>
        <w:spacing w:after="0" w:line="281" w:lineRule="auto"/>
        <w:rPr>
          <w:sz w:val="20"/>
          <w:szCs w:val="20"/>
          <w:color w:val="auto"/>
        </w:rPr>
      </w:pPr>
      <w:r>
        <w:rPr>
          <w:rFonts w:ascii="Arial" w:cs="Arial" w:eastAsia="Arial" w:hAnsi="Arial"/>
          <w:sz w:val="16"/>
          <w:szCs w:val="16"/>
          <w:color w:val="auto"/>
        </w:rPr>
        <w:t>Dr. Amelio has provided consulting and advisory services through GFA, LLC, a California limited liability company. He was a Senior Partner of Sienna Ventures (a privately-held venture capital firm in Sausalito, California) from April 2001 until the fund closed per plan on December 31, 2011.</w:t>
      </w:r>
    </w:p>
    <w:p>
      <w:pPr>
        <w:spacing w:after="0" w:line="1"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w:t>
      </w:r>
    </w:p>
    <w:p>
      <w:pPr>
        <w:spacing w:after="0" w:line="5" w:lineRule="exact"/>
        <w:rPr>
          <w:sz w:val="20"/>
          <w:szCs w:val="20"/>
          <w:color w:val="auto"/>
        </w:rPr>
      </w:pPr>
    </w:p>
    <w:p>
      <w:pPr>
        <w:ind w:left="200" w:right="580"/>
        <w:spacing w:after="0" w:line="323" w:lineRule="auto"/>
        <w:rPr>
          <w:sz w:val="20"/>
          <w:szCs w:val="20"/>
          <w:color w:val="auto"/>
        </w:rPr>
      </w:pPr>
      <w:r>
        <w:rPr>
          <w:rFonts w:ascii="Arial" w:cs="Arial" w:eastAsia="Arial" w:hAnsi="Arial"/>
          <w:sz w:val="16"/>
          <w:szCs w:val="16"/>
          <w:color w:val="auto"/>
        </w:rPr>
        <w:t>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39"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was nominated and elected by the holder(s) of the Series B Preferred Stock voting as a separate class to serve on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Mr. Czirr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received a B.B.A. degree from the University of Michigan. We believe that Mr. Czirr is best situated to sit on our Board because he is the director who was a co-founder of the Company and is familiar with our business and industry.</w:t>
      </w:r>
    </w:p>
    <w:p>
      <w:pPr>
        <w:spacing w:after="0" w:line="17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and Chief Investment Officer for the Living Stones Foundation since July 2015 and has been an active private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2"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i w:val="1"/>
          <w:iCs w:val="1"/>
          <w:color w:val="auto"/>
        </w:rPr>
        <w:t>Kevin D. Freeman</w:t>
      </w:r>
      <w:r>
        <w:rPr>
          <w:rFonts w:ascii="Arial" w:cs="Arial" w:eastAsia="Arial" w:hAnsi="Arial"/>
          <w:sz w:val="18"/>
          <w:szCs w:val="18"/>
          <w:color w:val="auto"/>
        </w:rPr>
        <w:t>, a director since May 2011, holds the Chartered Financial Analyst designation and is Chief Executive Officer of Cross</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and Services, LLC, an investment advisory and consulting firm founded in 2004. He is also author of a New York Times best-selling book about the stock market and economy and the host of television segments (Economic War Room with Kevin Freeman) that airs nationally during local newscasts on 200 stations.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89"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i w:val="1"/>
          <w:iCs w:val="1"/>
          <w:color w:val="auto"/>
        </w:rPr>
        <w:t>Joel Lewis</w:t>
      </w:r>
      <w:r>
        <w:rPr>
          <w:rFonts w:ascii="Arial" w:cs="Arial" w:eastAsia="Arial" w:hAnsi="Arial"/>
          <w:sz w:val="17"/>
          <w:szCs w:val="17"/>
          <w:color w:val="auto"/>
        </w:rPr>
        <w:t>, a director since 2017, is the Managing Director of Shareholder Services at Uline, Inc. (a distributor of shipping,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supplies), a position he has held since 2007. Mr. Lewis is a financial executive with over 25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w:t>
      </w:r>
      <w:r>
        <w:rPr>
          <w:rFonts w:ascii="Arial" w:cs="Arial" w:eastAsia="Arial" w:hAnsi="Arial"/>
          <w:sz w:val="16"/>
          <w:szCs w:val="16"/>
          <w:i w:val="1"/>
          <w:iCs w:val="1"/>
          <w:color w:val="auto"/>
        </w:rPr>
        <w:t xml:space="preserve"> </w:t>
      </w:r>
      <w:r>
        <w:rPr>
          <w:rFonts w:ascii="Arial" w:cs="Arial" w:eastAsia="Arial" w:hAnsi="Arial"/>
          <w:sz w:val="16"/>
          <w:szCs w:val="16"/>
          <w:color w:val="auto"/>
        </w:rPr>
        <w:t>Haas Company for 22 years. He currently serves on the boards of Esperion Therapeutics Inc., and Oncofusion. Dr. Omenn is Professor of Computational Medicine &amp; Bioinformatics, Internal Medicine, Human Genetics, and Public Health and Director of the university-wide Center for Computational Medicine and Bioinformatics at the University of Michigan where he leads major research programs in proteomics and integrative biomedical informatics. Dr. Omenn served as executive vice president for medical affairs and as chief executive officer of the University of Michigan Health System from 1997 to 2002. Prior to this, he was the dean of the School of Public Health and Community Medicine and professor of medicine at the University of Washington. Earlier he was Associate Director of the White House Office of Science and Technology and of the Office of Management and Budget. He is the author of more than 563 research papers and scientific reviews and author/editor of 18 books. Dr. Omenn received his B.A. summa cum laude from Princeton University, M.D. magna cum laude from Harvard Medical School, and Ph.D. in genetics from the University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Washington. We believe Dr. Omenn’s qualifications to sit on our Board of Directors include his extensive executive leadership and management experience in the medical industry and his continuing cutting-edge research.</w:t>
      </w:r>
    </w:p>
    <w:p>
      <w:pPr>
        <w:spacing w:after="0" w:line="17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since January 2016, is Executive Chairman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9"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i w:val="1"/>
          <w:iCs w:val="1"/>
          <w:color w:val="auto"/>
        </w:rPr>
        <w:t>Stephen Shulman</w:t>
      </w:r>
      <w:r>
        <w:rPr>
          <w:rFonts w:ascii="Arial" w:cs="Arial" w:eastAsia="Arial" w:hAnsi="Arial"/>
          <w:sz w:val="16"/>
          <w:szCs w:val="16"/>
          <w:color w:val="auto"/>
        </w:rPr>
        <w:t>, a director since 2017, is the Chief Executive Officer of Medical Devices Inc. (MDI), a position he has held since 1982. MDI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numerous medical device startups such as defibrillator electrodes, Fiberoptic pressure sensors, occlusive dressings, surgical glue, non-invasive body temperature control and end stage renal care. Prior to the formation of MDI, he was Director of Sales and Marketing/Asia Pacific for Medtronic from 1970 to 1981. Mr. Shulman received a B.S.C. in microbiology and physics from Wayne State University. We believe that Mr. Shulman is best situated to sit on our Board because of his extensive executive leadership and management experience in the medical device industry.</w:t>
      </w:r>
    </w:p>
    <w:p>
      <w:pPr>
        <w:spacing w:after="0" w:line="158"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i w:val="1"/>
          <w:iCs w:val="1"/>
          <w:color w:val="auto"/>
        </w:rPr>
        <w:t>Richard E. Uihlein</w:t>
      </w:r>
      <w:r>
        <w:rPr>
          <w:rFonts w:ascii="Arial" w:cs="Arial" w:eastAsia="Arial" w:hAnsi="Arial"/>
          <w:sz w:val="16"/>
          <w:szCs w:val="16"/>
          <w:color w:val="auto"/>
        </w:rPr>
        <w:t>, a director since 2017, co-founded Uline, Inc. (a leading distributor of shipping, packaging and industrial supplies) in 1980,</w:t>
      </w:r>
      <w:r>
        <w:rPr>
          <w:rFonts w:ascii="Arial" w:cs="Arial" w:eastAsia="Arial" w:hAnsi="Arial"/>
          <w:sz w:val="16"/>
          <w:szCs w:val="16"/>
          <w:i w:val="1"/>
          <w:iCs w:val="1"/>
          <w:color w:val="auto"/>
        </w:rPr>
        <w:t xml:space="preserve"> </w:t>
      </w:r>
      <w:r>
        <w:rPr>
          <w:rFonts w:ascii="Arial" w:cs="Arial" w:eastAsia="Arial" w:hAnsi="Arial"/>
          <w:sz w:val="16"/>
          <w:szCs w:val="16"/>
          <w:color w:val="auto"/>
        </w:rPr>
        <w:t>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material changes have been made to the procedures by which security holders may recommend nominees to our board of directors.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members of this committee are Joel Lewis (chair), Kary Eldred and Kevin D. Freeman. The Audit Committee is responsible for oversight of the quality and integrity of the accounting, auditing and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Lewis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 of multiple compensation vehicles that provide a balance of long- and short-term incentives with fixed and variable components; and</w:t>
      </w:r>
    </w:p>
    <w:p>
      <w:pPr>
        <w:spacing w:after="0" w:line="153" w:lineRule="exact"/>
        <w:rPr>
          <w:rFonts w:ascii="Arial" w:cs="Arial" w:eastAsia="Arial" w:hAnsi="Arial"/>
          <w:sz w:val="16"/>
          <w:szCs w:val="16"/>
          <w:color w:val="auto"/>
        </w:rPr>
      </w:pPr>
    </w:p>
    <w:p>
      <w:pPr>
        <w:ind w:left="1060" w:right="120" w:hanging="316"/>
        <w:spacing w:after="0" w:line="264"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key employees and key consultants: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Harold H. Shlevin, Ph.D.</w:t>
      </w:r>
      <w:r>
        <w:rPr>
          <w:rFonts w:ascii="Arial" w:cs="Arial" w:eastAsia="Arial" w:hAnsi="Arial"/>
          <w:sz w:val="17"/>
          <w:szCs w:val="17"/>
          <w:color w:val="auto"/>
        </w:rPr>
        <w:t>, age 69, became our Chief Operating Officer and Secretary on October 1, 2012 and was named Chief Executive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and President effective July 6, 2018. Dr. Shlevin previously had been employed at the Georgia Institute of Technology’s Advanced Technology Development Center as Principal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December 2005, he served as President and CEO of Solvay Pharmaceuticals, Inc. (US). In January 2006, he was promoted to a global senior Vice President role within Solvay Pharmaceuticals, SA and member of the Board of Solvay Pharmaceuticals, SA, until his resignation in June 2006.</w:t>
      </w:r>
    </w:p>
    <w:p>
      <w:pPr>
        <w:spacing w:after="0" w:line="18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51, became our Chief Financial Officer on July 1, 2013 and was appointed Secretary on July 6, 2018. From August 2012</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June 2012, Mr. Callicutt was the Chief Financial Officer of REACH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Health, Inc., a telemedicine technology company headquartered in Alpharetta, GA. From April 2010 through August 2012, Mr. Callicutt was the Chief Financial Officer of Vystar Corporation, a publicly-traded company that holds proprietary technology to remove antigenic proteins from natural rubber latex. Prior to that Mr. Callicutt was Chief Financial Officer of IVOX, Inc., Tikvah Therapeutics and Corautus Genetics, a publicly-traded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65"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48,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w:t>
      </w:r>
    </w:p>
    <w:p>
      <w:pPr>
        <w:spacing w:after="0" w:line="5"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9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71,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i w:val="1"/>
          <w:iCs w:val="1"/>
          <w:color w:val="auto"/>
        </w:rPr>
        <w:t xml:space="preserve">Adam E. Allgood, Pharm.D., R.Ph, </w:t>
      </w:r>
      <w:r>
        <w:rPr>
          <w:rFonts w:ascii="Arial" w:cs="Arial" w:eastAsia="Arial" w:hAnsi="Arial"/>
          <w:sz w:val="16"/>
          <w:szCs w:val="16"/>
          <w:color w:val="auto"/>
        </w:rPr>
        <w:t>age 54, became our Executive Director of Clinical Development on June 29, 2015. Dr. Allgood was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associate director of global pharmaceutical regulatory affairs at UCB Inc., a multinational biopharmaceutical company, from October 2011 to May 2015. His prior positions include leadership roles at Abbott Laboratories from February 2009 to September 2011 in regulatory affairs and Solvay Pharmaceuticals from January 1988 to January 2009 in clinical development and medical affairs, spanning a variety of therapeutic areas including gastroenterology, immunology, rheumatology, neurology, and women’s health. Dr. Allgood earned his Doctor of Pharmacy (Pharm.D.) degree summa cum laude from Mercer University College of Pharmacy and Health Sciences in Atlanta and is a Registered Pharmacist (R.Ph.). He is a member of the American Pharmacists Association (APHA), and the Association of the United States Army (AUSA).</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 of the directors, executive officers and key employees share any familial relationship.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Except as set forth below, all reports were timely filed during the fiscal year ended December 31,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On May 29, 2018, Kary Eldred filed a Form 3 relating to his appointment as a director of the Company on May 22, 2018. Upon the reporting person’s appointment as a director, he also received a grant of stock options on May 22, 2018. The reporting person filed a Form 4 relating to such grant on May 29, 2018. Both of these referenced filings should have been made within two business days of the date of grant of the stock options.</w:t>
      </w:r>
    </w:p>
    <w:p>
      <w:pPr>
        <w:spacing w:after="0" w:line="147"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On June 18, 2018, Harold H. Shlevin filed a Form 4 reporting the acquisition of a stock option, which was granted on June 8, 2018. The Form 4 should have been filed within two business days after the date of grant.</w:t>
      </w:r>
    </w:p>
    <w:p>
      <w:pPr>
        <w:spacing w:after="0" w:line="170"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On June 20, 2018, each of 10X Fund, L.P. and 10X Capital Management, LLC, the general partner of 10X Fund, L.P., filing jointly, and James C. Czirr, the managing member of 10X Capital Management, LLC, filing separately, reported on Forms 4 (i) the disposition by 10X Fund, L.P. of 31,860 shares of common stock on June 14, 2018, (ii) a separate disposition by 10X Fund, L.P. of 44,525 shares of common stock also on June 14, 2018, (iii) a disposition of 15,475 shares of common stock by 10X Fund, L.P. on June 15, 2018, and (iv) a disposition of 60,000 shares of common stock by 10X Fund, L.P. on June 18, 2018. The above transactions on June 14, 2018 and June 15, 2018, should have been reported on Forms 4 within two business days of the respective transactions.</w:t>
      </w:r>
    </w:p>
    <w:p>
      <w:pPr>
        <w:spacing w:after="0" w:line="33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2018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Title</w:t>
            </w:r>
          </w:p>
        </w:tc>
      </w:tr>
      <w:tr>
        <w:trPr>
          <w:trHeight w:val="195"/>
        </w:trPr>
        <w:tc>
          <w:tcPr>
            <w:tcW w:w="20" w:type="dxa"/>
            <w:vAlign w:val="bottom"/>
          </w:tcPr>
          <w:p>
            <w:pPr>
              <w:spacing w:after="0"/>
              <w:rPr>
                <w:sz w:val="16"/>
                <w:szCs w:val="16"/>
                <w:color w:val="auto"/>
              </w:rPr>
            </w:pPr>
          </w:p>
        </w:tc>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Peter G. Traber, M.D.</w:t>
            </w:r>
          </w:p>
        </w:tc>
        <w:tc>
          <w:tcPr>
            <w:tcW w:w="22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Chief Executive Officer, President and Chief Medical Officer until July</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6, 2018</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until July 6, 2018, then Chief Executive</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Officer and President</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At our 2016 annual meeting of stockholders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2019 annual meeting of stockholders.</w:t>
      </w:r>
    </w:p>
    <w:p>
      <w:pPr>
        <w:spacing w:after="0" w:line="17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subsequent years, including 2018.</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Compensation Committee plans to use a compensation consultant in the future and to take into account publicly-available data relating to the compensation practices and policies of other companies within and outside our industry. For 2019 and future years, the Compensation Committee intends to benchmark its executive compensation program to target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programs of our competitor companies; however, adjusted as deemed to be in the best interest of the Company to assure retention of key employees as the Phase 3 clinical trial is designed and commenced.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June 2018 after the resignation of Dr. Traber from his position as Chief Executive Officer, President and Chief Medical Officer, the Compensation Committee reviewed the base salaries of our NEOs, taking into account the considerations described above. As a result, as a result of his election as Chief Executive Officer and President, Dr. Shlevin’s base salary was adjusted to $500,000 effective June 6, 2018. As a result of his election to Secretary, Mr. Calllicutt’s base salary was adjusted to $285,000.</w:t>
      </w:r>
    </w:p>
    <w:p>
      <w:pPr>
        <w:spacing w:after="0" w:line="206"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gridSpan w:val="3"/>
          </w:tcPr>
          <w:p>
            <w:pPr>
              <w:ind w:left="1720"/>
              <w:spacing w:after="0"/>
              <w:rPr>
                <w:sz w:val="20"/>
                <w:szCs w:val="20"/>
                <w:color w:val="auto"/>
              </w:rPr>
            </w:pPr>
            <w:r>
              <w:rPr>
                <w:rFonts w:ascii="Arial" w:cs="Arial" w:eastAsia="Arial" w:hAnsi="Arial"/>
                <w:sz w:val="14"/>
                <w:szCs w:val="14"/>
                <w:b w:val="1"/>
                <w:bCs w:val="1"/>
                <w:color w:val="auto"/>
                <w:w w:val="90"/>
              </w:rPr>
              <w:t>2018 Base Salary</w:t>
            </w:r>
          </w:p>
        </w:tc>
        <w:tc>
          <w:tcPr>
            <w:tcW w:w="2060" w:type="dxa"/>
            <w:vAlign w:val="bottom"/>
            <w:gridSpan w:val="4"/>
          </w:tcPr>
          <w:p>
            <w:pPr>
              <w:ind w:left="960"/>
              <w:spacing w:after="0"/>
              <w:rPr>
                <w:sz w:val="20"/>
                <w:szCs w:val="20"/>
                <w:color w:val="auto"/>
              </w:rPr>
            </w:pPr>
            <w:r>
              <w:rPr>
                <w:rFonts w:ascii="Arial" w:cs="Arial" w:eastAsia="Arial" w:hAnsi="Arial"/>
                <w:sz w:val="14"/>
                <w:szCs w:val="14"/>
                <w:b w:val="1"/>
                <w:bCs w:val="1"/>
                <w:color w:val="auto"/>
                <w:w w:val="94"/>
              </w:rPr>
              <w:t>2017 Base Salary</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1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000" w:type="dxa"/>
            <w:vAlign w:val="bottom"/>
            <w:gridSpan w:val="2"/>
          </w:tcPr>
          <w:p>
            <w:pPr>
              <w:ind w:left="17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000" w:type="dxa"/>
            <w:vAlign w:val="bottom"/>
            <w:gridSpan w:val="2"/>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2019, the Compensation Committee made no adjustments to the base salaries of our NEO’s.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addition to the payment of base salaries, the Company believes that annual performance bonuses can play an important role in providing appropriate incentives to its NEOs to achieve the Company’s strategic objectives. 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In 2018, however, in lieu of the standard individual performance objectives, the Board approved potential cash incentive bonuses (the “Transaction Bonuses”) applicable only to employees who were employed by the Company on January 1, 2018, including Peter G. Traber, Harold H. Shlevin and Jack W. Callicutt.</w:t>
      </w:r>
    </w:p>
    <w:p>
      <w:pPr>
        <w:spacing w:after="0" w:line="17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2018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2018.</w:t>
      </w:r>
    </w:p>
    <w:p>
      <w:pPr>
        <w:spacing w:after="0" w:line="178"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Additionally, the Board also approved retention bonuses payable to certain employees of the Company, including Dr. Traber, Dr. Shlevin and Mr. Callicutt, equal to 75% of such employee’s 2018 salary (the “Retention Bonuses”) if such employees remained employed by the Company through December 31, 2018 and based upon the annualized salary level in effect on such date. If no Transaction was consummated on or prior to December 31, 2018, then the Retention Bonuses was payable no later than January 15, 2019. If a Transaction was consummated on or prior to December 31, 2018, each eligible employee was to receive that portion of the Retention Bonus equal to any cash bonuses paid to such employee for 2017 on or before January 15, 2019.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balance of the Retention Bonus was to be payable in equal monthly installments over a period of six (6) months, but only if the employee remains employed by the Company on the applicable payment date unless the employee’s employment is terminated by the Company without cause (or as a result of the death or disability of the employee), in which case any unpaid portion of the Retention Bonus was to be paid immediately upon such termination. As stated above, Dr. Traber resigned from the Company effective July 6, 2018 and therefore, no bonuses of any kind were paid to him for 2018.</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3"/>
          </w:tcPr>
          <w:p>
            <w:pPr>
              <w:ind w:left="1480"/>
              <w:spacing w:after="0"/>
              <w:rPr>
                <w:sz w:val="20"/>
                <w:szCs w:val="20"/>
                <w:color w:val="auto"/>
              </w:rPr>
            </w:pPr>
            <w:r>
              <w:rPr>
                <w:rFonts w:ascii="Arial" w:cs="Arial" w:eastAsia="Arial" w:hAnsi="Arial"/>
                <w:sz w:val="14"/>
                <w:szCs w:val="14"/>
                <w:b w:val="1"/>
                <w:bCs w:val="1"/>
                <w:color w:val="auto"/>
                <w:w w:val="91"/>
              </w:rPr>
              <w:t>Retention Bonus</w:t>
            </w:r>
          </w:p>
        </w:tc>
        <w:tc>
          <w:tcPr>
            <w:tcW w:w="108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Awarded Amount</w:t>
            </w:r>
          </w:p>
        </w:tc>
        <w:tc>
          <w:tcPr>
            <w:tcW w:w="0" w:type="dxa"/>
            <w:vAlign w:val="bottom"/>
          </w:tcPr>
          <w:p>
            <w:pPr>
              <w:spacing w:after="0"/>
              <w:rPr>
                <w:sz w:val="1"/>
                <w:szCs w:val="1"/>
                <w:color w:val="auto"/>
              </w:rPr>
            </w:pPr>
          </w:p>
        </w:tc>
      </w:tr>
      <w:tr>
        <w:trPr>
          <w:trHeight w:val="158"/>
        </w:trPr>
        <w:tc>
          <w:tcPr>
            <w:tcW w:w="3320" w:type="dxa"/>
            <w:vAlign w:val="bottom"/>
            <w:gridSpan w:val="3"/>
            <w:vMerge w:val="continue"/>
          </w:tcPr>
          <w:p>
            <w:pPr>
              <w:spacing w:after="0"/>
              <w:rPr>
                <w:sz w:val="13"/>
                <w:szCs w:val="13"/>
                <w:color w:val="auto"/>
              </w:rPr>
            </w:pPr>
          </w:p>
        </w:tc>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Amount</w:t>
            </w:r>
          </w:p>
        </w:tc>
        <w:tc>
          <w:tcPr>
            <w:tcW w:w="254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rPr>
              <w:t>As % of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1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0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66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375,000</w:t>
            </w:r>
          </w:p>
        </w:tc>
        <w:tc>
          <w:tcPr>
            <w:tcW w:w="254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66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213,750</w:t>
            </w:r>
          </w:p>
        </w:tc>
        <w:tc>
          <w:tcPr>
            <w:tcW w:w="2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There were no grants to NEO’s in 2017; however, on January 15, 2018, the NEOs were awarded the options noted below based on 2017 performance. Of the options, 25% vested immediately upon grant, 25% vesedt on June 30, 2018 and 50% vested on December 31, 2018. The exercise price of the options is set at the closing price of our stock as of the grant date.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vMerge w:val="restart"/>
          </w:tcPr>
          <w:p>
            <w:pPr>
              <w:spacing w:after="0"/>
              <w:rPr>
                <w:sz w:val="13"/>
                <w:szCs w:val="13"/>
                <w:color w:val="auto"/>
              </w:rPr>
            </w:pPr>
          </w:p>
        </w:tc>
        <w:tc>
          <w:tcPr>
            <w:tcW w:w="15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w w:val="94"/>
              </w:rPr>
              <w:t>Grant Date</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3"/>
                <w:szCs w:val="13"/>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7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4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1/5/2018</w:t>
            </w:r>
          </w:p>
        </w:tc>
        <w:tc>
          <w:tcPr>
            <w:tcW w:w="8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6"/>
              </w:rPr>
              <w:t>1/5/2018</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On May 22, 2018, the NEOs were awarded the options noted below for 2018. Of the options, 25% vested immediately upon grant, 25% vested on June 30, 2018 and 50% vested on December 31, 2018. The exercise price of the options is set at the closing price of our stock as of the grant date.</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160" w:type="dxa"/>
            <w:vAlign w:val="bottom"/>
            <w:vMerge w:val="restart"/>
          </w:tcPr>
          <w:p>
            <w:pPr>
              <w:spacing w:after="0"/>
              <w:rPr>
                <w:sz w:val="14"/>
                <w:szCs w:val="14"/>
                <w:color w:val="auto"/>
              </w:rPr>
            </w:pPr>
          </w:p>
        </w:tc>
        <w:tc>
          <w:tcPr>
            <w:tcW w:w="1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42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16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7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4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80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7"/>
              </w:rPr>
              <w:t>5/22/2018</w:t>
            </w:r>
          </w:p>
        </w:tc>
        <w:tc>
          <w:tcPr>
            <w:tcW w:w="8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5/22/2018</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5/22/2018</w:t>
            </w:r>
          </w:p>
        </w:tc>
        <w:tc>
          <w:tcPr>
            <w:tcW w:w="1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90,000</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Additionally, in conjunction with his election to Chief Executive Officer and President effective June 6, 2018, Dr. Shlevin was awarded an additional stock option grant on that date for 35,000 options with an exercise price of $6.17. Of the options, 25% vested on June 30, 2018 and 25% vested on September 30, 2018, and 50% vested on December 31, 2018. The exercise price of the options is set at the closing price of our stock as of the grant date.</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 We had an employment agreement with Dr. Traber however due to his resignation effective July 6, 2018 the material terms are not presented below.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received a base salary of $230,000 per year beginning in 2015 and received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6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On June 8, 2018, we entered into a first amendment to the employment agreement with Dr. Shlevin in recognition of his appointment as Chief Executive Officer and President of the Company. In accordance with the amendment, Dr. Shlevin will receive a base salary of $500,000, was granted 35,000 stock options as noted above, and his target bonus opportunity was increased to 50% of his base salary.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ind w:left="200"/>
        <w:spacing w:after="0" w:line="292" w:lineRule="auto"/>
        <w:rPr>
          <w:sz w:val="20"/>
          <w:szCs w:val="20"/>
          <w:color w:val="auto"/>
        </w:rPr>
      </w:pPr>
      <w:r>
        <w:rPr>
          <w:rFonts w:ascii="Arial" w:cs="Arial" w:eastAsia="Arial" w:hAnsi="Arial"/>
          <w:sz w:val="16"/>
          <w:szCs w:val="16"/>
          <w:color w:val="auto"/>
        </w:rPr>
        <w:t>Mr. Callicutt’s annual base salary was increased to $240,000, and his annual base salary was increased again to $260,000 in February 2016.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63"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On August 11, 2017, we entered into an amendment to the Callicutt Employment Agreement with Mr. Callicutt (the “Amendment”). The Amendment was entered into to correct an error in the severance provision of the Callicutt Employment Agreement. Pursuant to the Amendment, if Mr. Callicutt’s employment with the Company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or 9 months’ base salary if such termination occurs after the date that is 18 months after the Commencement Date, plus, in each case, a portion of the performance bonus for the then-current year based on the number of days elapsed in the year. Prior to the Amendment, the Callicutt Employment Agreement did not provide for any severance if Mr. Callicutt’s employment with the Company was terminated by the Company “without cause,” or by Mr. Callicutt for “good reason” after the date that was 24 months after the Commencement Date. Mr. Callicutt’s target bonus opportunity was also increased to 30% of his base salary.</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240" w:top="459" w:right="5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20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Joel Lewis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2018, 2017 and 2016.</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18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6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5"/>
                <w:szCs w:val="15"/>
                <w:color w:val="auto"/>
              </w:rPr>
            </w:pPr>
          </w:p>
        </w:tc>
        <w:tc>
          <w:tcPr>
            <w:tcW w:w="6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 (2)</w:t>
            </w:r>
          </w:p>
        </w:tc>
        <w:tc>
          <w:tcPr>
            <w:tcW w:w="1120" w:type="dxa"/>
            <w:vAlign w:val="bottom"/>
            <w:gridSpan w:val="2"/>
          </w:tcPr>
          <w:p>
            <w:pPr>
              <w:ind w:left="600"/>
              <w:spacing w:after="0" w:line="15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3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94"/>
              </w:rPr>
              <w:t>2018</w:t>
            </w:r>
          </w:p>
        </w:tc>
        <w:tc>
          <w:tcPr>
            <w:tcW w:w="440" w:type="dxa"/>
            <w:vAlign w:val="bottom"/>
            <w:tcBorders>
              <w:top w:val="single" w:sz="8" w:color="CCEEFF"/>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w w:val="81"/>
              </w:rPr>
              <w:t>(3)</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270,211</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993,499</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94"/>
              </w:rPr>
              <w:t>44,899</w:t>
            </w:r>
          </w:p>
        </w:tc>
        <w:tc>
          <w:tcPr>
            <w:tcW w:w="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81"/>
              </w:rPr>
              <w:t>(4)</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1,308,609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Former Chief Executive Officer &amp; President</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2017</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512,500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299,492</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w w:val="94"/>
              </w:rPr>
              <w:t>65,397</w:t>
            </w:r>
          </w:p>
        </w:tc>
        <w:tc>
          <w:tcPr>
            <w:tcW w:w="560" w:type="dxa"/>
            <w:vAlign w:val="bottom"/>
            <w:gridSpan w:val="2"/>
          </w:tcPr>
          <w:p>
            <w:pPr>
              <w:spacing w:after="0"/>
              <w:rPr>
                <w:sz w:val="20"/>
                <w:szCs w:val="20"/>
                <w:color w:val="auto"/>
              </w:rPr>
            </w:pPr>
            <w:r>
              <w:rPr>
                <w:rFonts w:ascii="Arial" w:cs="Arial" w:eastAsia="Arial" w:hAnsi="Arial"/>
                <w:sz w:val="18"/>
                <w:szCs w:val="18"/>
                <w:color w:val="auto"/>
              </w:rPr>
              <w:t>(5)</w:t>
            </w:r>
          </w:p>
        </w:tc>
        <w:tc>
          <w:tcPr>
            <w:tcW w:w="780" w:type="dxa"/>
            <w:vAlign w:val="bottom"/>
          </w:tcPr>
          <w:p>
            <w:pPr>
              <w:jc w:val="right"/>
              <w:spacing w:after="0"/>
              <w:rPr>
                <w:sz w:val="20"/>
                <w:szCs w:val="20"/>
                <w:color w:val="auto"/>
              </w:rPr>
            </w:pPr>
            <w:r>
              <w:rPr>
                <w:rFonts w:ascii="Arial" w:cs="Arial" w:eastAsia="Arial" w:hAnsi="Arial"/>
                <w:sz w:val="18"/>
                <w:szCs w:val="18"/>
                <w:color w:val="auto"/>
              </w:rPr>
              <w:t>877,389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160,877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288,136</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60,567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1,022,080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2018</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395,833</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891,113</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w w:val="94"/>
              </w:rPr>
              <w:t>68,869</w:t>
            </w:r>
          </w:p>
        </w:tc>
        <w:tc>
          <w:tcPr>
            <w:tcW w:w="560" w:type="dxa"/>
            <w:vAlign w:val="bottom"/>
            <w:gridSpan w:val="2"/>
          </w:tcPr>
          <w:p>
            <w:pPr>
              <w:spacing w:after="0"/>
              <w:rPr>
                <w:sz w:val="20"/>
                <w:szCs w:val="20"/>
                <w:color w:val="auto"/>
              </w:rPr>
            </w:pPr>
            <w:r>
              <w:rPr>
                <w:rFonts w:ascii="Arial" w:cs="Arial" w:eastAsia="Arial" w:hAnsi="Arial"/>
                <w:sz w:val="18"/>
                <w:szCs w:val="18"/>
                <w:color w:val="auto"/>
              </w:rPr>
              <w:t>(7)</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1,730,815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Executive Officer &amp; President</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53,992</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2016</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50,920</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140,587</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w w:val="90"/>
              </w:rPr>
              <w:t>48,118</w:t>
            </w:r>
          </w:p>
        </w:tc>
        <w:tc>
          <w:tcPr>
            <w:tcW w:w="560" w:type="dxa"/>
            <w:vAlign w:val="bottom"/>
            <w:gridSpan w:val="2"/>
          </w:tcPr>
          <w:p>
            <w:pPr>
              <w:spacing w:after="0"/>
              <w:rPr>
                <w:sz w:val="20"/>
                <w:szCs w:val="20"/>
                <w:color w:val="auto"/>
              </w:rPr>
            </w:pPr>
            <w:r>
              <w:rPr>
                <w:rFonts w:ascii="Arial" w:cs="Arial" w:eastAsia="Arial" w:hAnsi="Arial"/>
                <w:sz w:val="18"/>
                <w:szCs w:val="18"/>
                <w:color w:val="auto"/>
              </w:rPr>
              <w:t>(9)</w:t>
            </w:r>
          </w:p>
        </w:tc>
        <w:tc>
          <w:tcPr>
            <w:tcW w:w="780" w:type="dxa"/>
            <w:vAlign w:val="bottom"/>
          </w:tcPr>
          <w:p>
            <w:pPr>
              <w:jc w:val="right"/>
              <w:spacing w:after="0"/>
              <w:rPr>
                <w:sz w:val="20"/>
                <w:szCs w:val="20"/>
                <w:color w:val="auto"/>
              </w:rPr>
            </w:pPr>
            <w:r>
              <w:rPr>
                <w:rFonts w:ascii="Arial" w:cs="Arial" w:eastAsia="Arial" w:hAnsi="Arial"/>
                <w:sz w:val="18"/>
                <w:szCs w:val="18"/>
                <w:color w:val="auto"/>
              </w:rPr>
              <w:t>499,625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275,278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213,750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715,319</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62,150</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1,266,497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c>
          <w:tcPr>
            <w:tcW w:w="460" w:type="dxa"/>
            <w:vAlign w:val="bottom"/>
          </w:tcPr>
          <w:p>
            <w:pPr>
              <w:ind w:left="100"/>
              <w:spacing w:after="0"/>
              <w:rPr>
                <w:sz w:val="20"/>
                <w:szCs w:val="20"/>
                <w:color w:val="auto"/>
              </w:rPr>
            </w:pPr>
            <w:r>
              <w:rPr>
                <w:rFonts w:ascii="Arial" w:cs="Arial" w:eastAsia="Arial" w:hAnsi="Arial"/>
                <w:sz w:val="18"/>
                <w:szCs w:val="18"/>
                <w:color w:val="auto"/>
                <w:w w:val="84"/>
              </w:rPr>
              <w:t>2017</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91,163</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w w:val="94"/>
              </w:rPr>
              <w:t>54,848</w:t>
            </w:r>
          </w:p>
        </w:tc>
        <w:tc>
          <w:tcPr>
            <w:tcW w:w="560" w:type="dxa"/>
            <w:vAlign w:val="bottom"/>
            <w:gridSpan w:val="2"/>
          </w:tcPr>
          <w:p>
            <w:pPr>
              <w:spacing w:after="0"/>
              <w:rPr>
                <w:sz w:val="20"/>
                <w:szCs w:val="20"/>
                <w:color w:val="auto"/>
              </w:rPr>
            </w:pPr>
            <w:r>
              <w:rPr>
                <w:rFonts w:ascii="Arial" w:cs="Arial" w:eastAsia="Arial" w:hAnsi="Arial"/>
                <w:sz w:val="18"/>
                <w:szCs w:val="18"/>
                <w:color w:val="auto"/>
              </w:rPr>
              <w:t>(11)</w:t>
            </w:r>
          </w:p>
        </w:tc>
        <w:tc>
          <w:tcPr>
            <w:tcW w:w="780" w:type="dxa"/>
            <w:vAlign w:val="bottom"/>
          </w:tcPr>
          <w:p>
            <w:pPr>
              <w:jc w:val="right"/>
              <w:spacing w:after="0"/>
              <w:rPr>
                <w:sz w:val="20"/>
                <w:szCs w:val="20"/>
                <w:color w:val="auto"/>
              </w:rPr>
            </w:pPr>
            <w:r>
              <w:rPr>
                <w:rFonts w:ascii="Arial" w:cs="Arial" w:eastAsia="Arial" w:hAnsi="Arial"/>
                <w:sz w:val="18"/>
                <w:szCs w:val="18"/>
                <w:color w:val="auto"/>
              </w:rPr>
              <w:t>406,011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2016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140,587</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4"/>
              </w:rPr>
              <w:t>49,097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Bonuses for 2018 were paid in January 2019. Bonuses for 2017 were paid in January 2018. Bonuses for 2016 were paid in February 2017.</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52</w:t>
      </w:r>
    </w:p>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40" w:hanging="436"/>
        <w:spacing w:after="0" w:line="286"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made during 2018, 2017 and 2016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2018, 2017 and 2016.</w:t>
      </w:r>
    </w:p>
    <w:p>
      <w:pPr>
        <w:spacing w:after="0" w:line="1" w:lineRule="exact"/>
        <w:rPr>
          <w:rFonts w:ascii="Arial" w:cs="Arial" w:eastAsia="Arial" w:hAnsi="Arial"/>
          <w:sz w:val="16"/>
          <w:szCs w:val="16"/>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Traber resigned from the Company effective July 6, 2018. He received no compensation after that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$33,899 for health and other insurance and $11,000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$54,597 for health and other insurance and $10,800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$60,634 for health and other insurance and $8,235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$45,927 for health and other insurance and $8,065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$51,910 for health and other insurance and $10,240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$46,765 for health and other insurance and $8,083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 IN 2018</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5"/>
            <w:vMerge w:val="restart"/>
          </w:tcPr>
          <w:p>
            <w:pPr>
              <w:jc w:val="center"/>
              <w:ind w:right="20"/>
              <w:spacing w:after="0"/>
              <w:rPr>
                <w:sz w:val="20"/>
                <w:szCs w:val="20"/>
                <w:color w:val="auto"/>
              </w:rPr>
            </w:pPr>
            <w:r>
              <w:rPr>
                <w:rFonts w:ascii="Arial" w:cs="Arial" w:eastAsia="Arial" w:hAnsi="Arial"/>
                <w:sz w:val="14"/>
                <w:szCs w:val="14"/>
                <w:b w:val="1"/>
                <w:bCs w:val="1"/>
                <w:color w:val="auto"/>
                <w:w w:val="89"/>
              </w:rPr>
              <w:t>Estimated Possible Payouts</w:t>
            </w:r>
          </w:p>
        </w:tc>
        <w:tc>
          <w:tcPr>
            <w:tcW w:w="220" w:type="dxa"/>
            <w:vAlign w:val="bottom"/>
          </w:tcPr>
          <w:p>
            <w:pPr>
              <w:spacing w:after="0"/>
              <w:rPr>
                <w:sz w:val="12"/>
                <w:szCs w:val="12"/>
                <w:color w:val="auto"/>
              </w:rPr>
            </w:pPr>
          </w:p>
        </w:tc>
        <w:tc>
          <w:tcPr>
            <w:tcW w:w="2160" w:type="dxa"/>
            <w:vAlign w:val="bottom"/>
            <w:gridSpan w:val="6"/>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gridSpan w:val="2"/>
            <w:vMerge w:val="restart"/>
          </w:tcPr>
          <w:p>
            <w:pPr>
              <w:jc w:val="center"/>
              <w:ind w:right="163"/>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40" w:type="dxa"/>
            <w:vAlign w:val="bottom"/>
            <w:gridSpan w:val="5"/>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220" w:type="dxa"/>
            <w:vAlign w:val="bottom"/>
          </w:tcPr>
          <w:p>
            <w:pPr>
              <w:spacing w:after="0"/>
              <w:rPr>
                <w:sz w:val="4"/>
                <w:szCs w:val="4"/>
                <w:color w:val="auto"/>
              </w:rPr>
            </w:pPr>
          </w:p>
        </w:tc>
        <w:tc>
          <w:tcPr>
            <w:tcW w:w="2160" w:type="dxa"/>
            <w:vAlign w:val="bottom"/>
            <w:gridSpan w:val="6"/>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8"/>
                <w:szCs w:val="8"/>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vMerge w:val="restart"/>
          </w:tcPr>
          <w:p>
            <w:pPr>
              <w:ind w:left="220"/>
              <w:spacing w:after="0" w:line="149" w:lineRule="exact"/>
              <w:rPr>
                <w:sz w:val="20"/>
                <w:szCs w:val="20"/>
                <w:color w:val="auto"/>
              </w:rPr>
            </w:pPr>
            <w:r>
              <w:rPr>
                <w:rFonts w:ascii="Arial" w:cs="Arial" w:eastAsia="Arial" w:hAnsi="Arial"/>
                <w:sz w:val="14"/>
                <w:szCs w:val="14"/>
                <w:b w:val="1"/>
                <w:bCs w:val="1"/>
                <w:color w:val="auto"/>
                <w:w w:val="90"/>
              </w:rPr>
              <w:t>Exercise or</w:t>
            </w:r>
          </w:p>
        </w:tc>
        <w:tc>
          <w:tcPr>
            <w:tcW w:w="220" w:type="dxa"/>
            <w:vAlign w:val="bottom"/>
          </w:tcPr>
          <w:p>
            <w:pPr>
              <w:spacing w:after="0"/>
              <w:rPr>
                <w:sz w:val="8"/>
                <w:szCs w:val="8"/>
                <w:color w:val="auto"/>
              </w:rPr>
            </w:pPr>
          </w:p>
        </w:tc>
        <w:tc>
          <w:tcPr>
            <w:tcW w:w="860" w:type="dxa"/>
            <w:vAlign w:val="bottom"/>
            <w:gridSpan w:val="2"/>
            <w:vMerge w:val="restart"/>
          </w:tcPr>
          <w:p>
            <w:pPr>
              <w:jc w:val="center"/>
              <w:ind w:right="163"/>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140" w:type="dxa"/>
            <w:vAlign w:val="bottom"/>
            <w:gridSpan w:val="5"/>
            <w:vMerge w:val="restart"/>
          </w:tcPr>
          <w:p>
            <w:pPr>
              <w:jc w:val="center"/>
              <w:ind w:right="40"/>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Plan Awards</w:t>
            </w: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40" w:type="dxa"/>
            <w:vAlign w:val="bottom"/>
            <w:tcBorders>
              <w:bottom w:val="single" w:sz="8" w:color="auto"/>
            </w:tcBorders>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Base Price</w:t>
            </w:r>
          </w:p>
        </w:tc>
        <w:tc>
          <w:tcPr>
            <w:tcW w:w="220" w:type="dxa"/>
            <w:vAlign w:val="bottom"/>
          </w:tcPr>
          <w:p>
            <w:pPr>
              <w:spacing w:after="0"/>
              <w:rPr>
                <w:sz w:val="11"/>
                <w:szCs w:val="11"/>
                <w:color w:val="auto"/>
              </w:rPr>
            </w:pPr>
          </w:p>
        </w:tc>
        <w:tc>
          <w:tcPr>
            <w:tcW w:w="860" w:type="dxa"/>
            <w:vAlign w:val="bottom"/>
            <w:gridSpan w:val="2"/>
          </w:tcPr>
          <w:p>
            <w:pPr>
              <w:jc w:val="center"/>
              <w:ind w:right="163"/>
              <w:spacing w:after="0" w:line="12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restart"/>
          </w:tcPr>
          <w:p>
            <w:pPr>
              <w:jc w:val="right"/>
              <w:ind w:right="463"/>
              <w:spacing w:after="0"/>
              <w:rPr>
                <w:sz w:val="20"/>
                <w:szCs w:val="20"/>
                <w:color w:val="auto"/>
              </w:rPr>
            </w:pPr>
            <w:r>
              <w:rPr>
                <w:rFonts w:ascii="Arial" w:cs="Arial" w:eastAsia="Arial" w:hAnsi="Arial"/>
                <w:sz w:val="14"/>
                <w:szCs w:val="14"/>
                <w:b w:val="1"/>
                <w:bCs w:val="1"/>
                <w:color w:val="auto"/>
              </w:rPr>
              <w:t>Grant</w:t>
            </w:r>
          </w:p>
        </w:tc>
        <w:tc>
          <w:tcPr>
            <w:tcW w:w="800" w:type="dxa"/>
            <w:vAlign w:val="bottom"/>
            <w:gridSpan w:val="2"/>
            <w:vMerge w:val="restart"/>
          </w:tcPr>
          <w:p>
            <w:pPr>
              <w:jc w:val="center"/>
              <w:ind w:left="88"/>
              <w:spacing w:after="0"/>
              <w:rPr>
                <w:sz w:val="20"/>
                <w:szCs w:val="20"/>
                <w:color w:val="auto"/>
              </w:rPr>
            </w:pPr>
            <w:r>
              <w:rPr>
                <w:rFonts w:ascii="Arial" w:cs="Arial" w:eastAsia="Arial" w:hAnsi="Arial"/>
                <w:sz w:val="14"/>
                <w:szCs w:val="14"/>
                <w:b w:val="1"/>
                <w:bCs w:val="1"/>
                <w:color w:val="auto"/>
                <w:w w:val="94"/>
              </w:rPr>
              <w:t>Threshold</w:t>
            </w:r>
          </w:p>
        </w:tc>
        <w:tc>
          <w:tcPr>
            <w:tcW w:w="64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93"/>
              </w:rPr>
              <w:t>Target</w:t>
            </w:r>
          </w:p>
        </w:tc>
        <w:tc>
          <w:tcPr>
            <w:tcW w:w="88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9"/>
              </w:rPr>
              <w:t>Maximum</w:t>
            </w:r>
          </w:p>
        </w:tc>
        <w:tc>
          <w:tcPr>
            <w:tcW w:w="86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4"/>
              </w:rPr>
              <w:t>Threshold</w:t>
            </w: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8"/>
              </w:rPr>
              <w:t>Target</w:t>
            </w: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940" w:type="dxa"/>
            <w:vAlign w:val="bottom"/>
            <w:gridSpan w:val="2"/>
          </w:tcPr>
          <w:p>
            <w:pPr>
              <w:jc w:val="center"/>
              <w:ind w:left="125"/>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of Option</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Stock and</w:t>
            </w:r>
          </w:p>
        </w:tc>
        <w:tc>
          <w:tcPr>
            <w:tcW w:w="0" w:type="dxa"/>
            <w:vAlign w:val="bottom"/>
          </w:tcPr>
          <w:p>
            <w:pPr>
              <w:spacing w:after="0"/>
              <w:rPr>
                <w:sz w:val="1"/>
                <w:szCs w:val="1"/>
                <w:color w:val="auto"/>
              </w:rPr>
            </w:pPr>
          </w:p>
        </w:tc>
      </w:tr>
      <w:tr>
        <w:trPr>
          <w:trHeight w:val="149"/>
        </w:trPr>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4"/>
              </w:rPr>
              <w:t>Awards</w:t>
            </w:r>
          </w:p>
        </w:tc>
        <w:tc>
          <w:tcPr>
            <w:tcW w:w="220" w:type="dxa"/>
            <w:vAlign w:val="bottom"/>
          </w:tcPr>
          <w:p>
            <w:pPr>
              <w:spacing w:after="0"/>
              <w:rPr>
                <w:sz w:val="12"/>
                <w:szCs w:val="12"/>
                <w:color w:val="auto"/>
              </w:rPr>
            </w:pPr>
          </w:p>
        </w:tc>
        <w:tc>
          <w:tcPr>
            <w:tcW w:w="86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58"/>
        </w:trPr>
        <w:tc>
          <w:tcPr>
            <w:tcW w:w="142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right"/>
              <w:ind w:right="503"/>
              <w:spacing w:after="0" w:line="158"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2"/>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68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145"/>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24"/>
              <w:spacing w:after="0" w:line="158" w:lineRule="exact"/>
              <w:rPr>
                <w:sz w:val="20"/>
                <w:szCs w:val="20"/>
                <w:color w:val="auto"/>
              </w:rPr>
            </w:pPr>
            <w:r>
              <w:rPr>
                <w:rFonts w:ascii="Arial" w:cs="Arial" w:eastAsia="Arial" w:hAnsi="Arial"/>
                <w:sz w:val="14"/>
                <w:szCs w:val="14"/>
                <w:b w:val="1"/>
                <w:bCs w:val="1"/>
                <w:color w:val="auto"/>
                <w:w w:val="92"/>
              </w:rPr>
              <w:t>($/Sh)</w:t>
            </w:r>
          </w:p>
        </w:tc>
        <w:tc>
          <w:tcPr>
            <w:tcW w:w="220" w:type="dxa"/>
            <w:vAlign w:val="bottom"/>
          </w:tcPr>
          <w:p>
            <w:pPr>
              <w:spacing w:after="0"/>
              <w:rPr>
                <w:sz w:val="13"/>
                <w:szCs w:val="13"/>
                <w:color w:val="auto"/>
              </w:rPr>
            </w:pPr>
          </w:p>
        </w:tc>
        <w:tc>
          <w:tcPr>
            <w:tcW w:w="860" w:type="dxa"/>
            <w:vAlign w:val="bottom"/>
            <w:gridSpan w:val="2"/>
          </w:tcPr>
          <w:p>
            <w:pPr>
              <w:jc w:val="center"/>
              <w:ind w:right="183"/>
              <w:spacing w:after="0" w:line="158"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400" w:type="dxa"/>
            <w:vAlign w:val="bottom"/>
            <w:gridSpan w:val="2"/>
            <w:shd w:val="clear" w:color="auto" w:fill="CCEEFF"/>
          </w:tcPr>
          <w:p>
            <w:pPr>
              <w:spacing w:after="0" w:line="136" w:lineRule="exact"/>
              <w:rPr>
                <w:sz w:val="20"/>
                <w:szCs w:val="20"/>
                <w:color w:val="auto"/>
              </w:rPr>
            </w:pPr>
            <w:r>
              <w:rPr>
                <w:rFonts w:ascii="Arial" w:cs="Arial" w:eastAsia="Arial" w:hAnsi="Arial"/>
                <w:sz w:val="15"/>
                <w:szCs w:val="15"/>
                <w:color w:val="auto"/>
                <w:w w:val="95"/>
              </w:rPr>
              <w:t>Peter G. Traber, M.D.</w:t>
            </w:r>
          </w:p>
        </w:tc>
        <w:tc>
          <w:tcPr>
            <w:tcW w:w="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5"/>
                <w:szCs w:val="15"/>
                <w:color w:val="auto"/>
                <w:w w:val="95"/>
              </w:rPr>
              <w:t>01/15/2018</w:t>
            </w:r>
          </w:p>
        </w:tc>
        <w:tc>
          <w:tcPr>
            <w:tcW w:w="320" w:type="dxa"/>
            <w:vAlign w:val="bottom"/>
            <w:shd w:val="clear" w:color="auto" w:fill="CCEEFF"/>
          </w:tcPr>
          <w:p>
            <w:pPr>
              <w:jc w:val="right"/>
              <w:ind w:right="83"/>
              <w:spacing w:after="0" w:line="136" w:lineRule="exact"/>
              <w:rPr>
                <w:sz w:val="20"/>
                <w:szCs w:val="20"/>
                <w:color w:val="auto"/>
              </w:rPr>
            </w:pPr>
            <w:r>
              <w:rPr>
                <w:rFonts w:ascii="Arial" w:cs="Arial" w:eastAsia="Arial" w:hAnsi="Arial"/>
                <w:sz w:val="15"/>
                <w:szCs w:val="15"/>
                <w:color w:val="auto"/>
                <w:w w:val="76"/>
              </w:rPr>
              <w:t>(1)</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rPr>
              <w:t>125,000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rPr>
              <w:t>5.87</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w w:val="89"/>
              </w:rPr>
              <w:t>$570,738</w:t>
            </w: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5/22/2018 (1)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125,000</w:t>
            </w:r>
          </w:p>
        </w:tc>
        <w:tc>
          <w:tcPr>
            <w:tcW w:w="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4.16</w:t>
            </w:r>
          </w:p>
        </w:tc>
        <w:tc>
          <w:tcPr>
            <w:tcW w:w="10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$422,761 (2)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4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5"/>
                <w:szCs w:val="15"/>
                <w:color w:val="auto"/>
              </w:rPr>
              <w:t>Harold H. Shlevin,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right"/>
              <w:ind w:right="83"/>
              <w:spacing w:after="0" w:line="149" w:lineRule="exact"/>
              <w:rPr>
                <w:sz w:val="20"/>
                <w:szCs w:val="20"/>
                <w:color w:val="auto"/>
              </w:rPr>
            </w:pPr>
            <w:r>
              <w:rPr>
                <w:rFonts w:ascii="Arial" w:cs="Arial" w:eastAsia="Arial" w:hAnsi="Arial"/>
                <w:sz w:val="15"/>
                <w:szCs w:val="15"/>
                <w:color w:val="auto"/>
                <w:w w:val="92"/>
              </w:rPr>
              <w:t>01/15/2018 (1)</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90,000</w:t>
            </w:r>
          </w:p>
        </w:tc>
        <w:tc>
          <w:tcPr>
            <w:tcW w:w="300" w:type="dxa"/>
            <w:vAlign w:val="bottom"/>
            <w:gridSpan w:val="2"/>
          </w:tcPr>
          <w:p>
            <w:pPr>
              <w:ind w:left="220"/>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5"/>
                <w:szCs w:val="15"/>
                <w:color w:val="auto"/>
              </w:rPr>
              <w:t>5.87</w:t>
            </w:r>
          </w:p>
        </w:tc>
        <w:tc>
          <w:tcPr>
            <w:tcW w:w="1080" w:type="dxa"/>
            <w:vAlign w:val="bottom"/>
            <w:gridSpan w:val="3"/>
          </w:tcPr>
          <w:p>
            <w:pPr>
              <w:jc w:val="right"/>
              <w:spacing w:after="0" w:line="149" w:lineRule="exact"/>
              <w:rPr>
                <w:sz w:val="20"/>
                <w:szCs w:val="20"/>
                <w:color w:val="auto"/>
              </w:rPr>
            </w:pPr>
            <w:r>
              <w:rPr>
                <w:rFonts w:ascii="Arial" w:cs="Arial" w:eastAsia="Arial" w:hAnsi="Arial"/>
                <w:sz w:val="15"/>
                <w:szCs w:val="15"/>
                <w:color w:val="auto"/>
              </w:rPr>
              <w:t>$410,931 (2)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Ph.D.</w:t>
            </w:r>
          </w:p>
        </w:tc>
        <w:tc>
          <w:tcPr>
            <w:tcW w:w="1160" w:type="dxa"/>
            <w:vAlign w:val="bottom"/>
            <w:gridSpan w:val="4"/>
          </w:tcPr>
          <w:p>
            <w:pPr>
              <w:jc w:val="right"/>
              <w:ind w:right="83"/>
              <w:spacing w:after="0" w:line="162" w:lineRule="exact"/>
              <w:rPr>
                <w:sz w:val="20"/>
                <w:szCs w:val="20"/>
                <w:color w:val="auto"/>
              </w:rPr>
            </w:pPr>
            <w:r>
              <w:rPr>
                <w:rFonts w:ascii="Arial" w:cs="Arial" w:eastAsia="Arial" w:hAnsi="Arial"/>
                <w:sz w:val="15"/>
                <w:szCs w:val="15"/>
                <w:color w:val="auto"/>
              </w:rPr>
              <w:t>5/22/2018 (1)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90,000</w:t>
            </w:r>
          </w:p>
        </w:tc>
        <w:tc>
          <w:tcPr>
            <w:tcW w:w="300" w:type="dxa"/>
            <w:vAlign w:val="bottom"/>
            <w:gridSpan w:val="2"/>
          </w:tcPr>
          <w:p>
            <w:pPr>
              <w:ind w:left="220"/>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4.16</w:t>
            </w: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$304,388 (2)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gridSpan w:val="4"/>
          </w:tcPr>
          <w:p>
            <w:pPr>
              <w:jc w:val="right"/>
              <w:ind w:right="83"/>
              <w:spacing w:after="0" w:line="162" w:lineRule="exact"/>
              <w:rPr>
                <w:sz w:val="20"/>
                <w:szCs w:val="20"/>
                <w:color w:val="auto"/>
              </w:rPr>
            </w:pPr>
            <w:r>
              <w:rPr>
                <w:rFonts w:ascii="Arial" w:cs="Arial" w:eastAsia="Arial" w:hAnsi="Arial"/>
                <w:sz w:val="15"/>
                <w:szCs w:val="15"/>
                <w:color w:val="auto"/>
              </w:rPr>
              <w:t>6/8/2018 (1)</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35,000</w:t>
            </w:r>
          </w:p>
        </w:tc>
        <w:tc>
          <w:tcPr>
            <w:tcW w:w="300" w:type="dxa"/>
            <w:vAlign w:val="bottom"/>
            <w:gridSpan w:val="2"/>
          </w:tcPr>
          <w:p>
            <w:pPr>
              <w:ind w:left="220"/>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6.17</w:t>
            </w:r>
          </w:p>
        </w:tc>
        <w:tc>
          <w:tcPr>
            <w:tcW w:w="1080" w:type="dxa"/>
            <w:vAlign w:val="bottom"/>
            <w:gridSpan w:val="3"/>
          </w:tcPr>
          <w:p>
            <w:pPr>
              <w:jc w:val="right"/>
              <w:spacing w:after="0" w:line="162" w:lineRule="exact"/>
              <w:rPr>
                <w:sz w:val="20"/>
                <w:szCs w:val="20"/>
                <w:color w:val="auto"/>
              </w:rPr>
            </w:pPr>
            <w:r>
              <w:rPr>
                <w:rFonts w:ascii="Arial" w:cs="Arial" w:eastAsia="Arial" w:hAnsi="Arial"/>
                <w:sz w:val="15"/>
                <w:szCs w:val="15"/>
                <w:color w:val="auto"/>
              </w:rPr>
              <w:t>$175,793 (2)</w:t>
            </w:r>
          </w:p>
        </w:tc>
        <w:tc>
          <w:tcPr>
            <w:tcW w:w="0" w:type="dxa"/>
            <w:vAlign w:val="bottom"/>
          </w:tcPr>
          <w:p>
            <w:pPr>
              <w:spacing w:after="0"/>
              <w:rPr>
                <w:sz w:val="1"/>
                <w:szCs w:val="1"/>
                <w:color w:val="auto"/>
              </w:rPr>
            </w:pPr>
          </w:p>
        </w:tc>
      </w:tr>
      <w:tr>
        <w:trPr>
          <w:trHeight w:val="175"/>
        </w:trPr>
        <w:tc>
          <w:tcPr>
            <w:tcW w:w="1420" w:type="dxa"/>
            <w:vAlign w:val="bottom"/>
            <w:gridSpan w:val="3"/>
            <w:vMerge w:val="restart"/>
          </w:tcPr>
          <w:p>
            <w:pPr>
              <w:spacing w:after="0"/>
              <w:rPr>
                <w:sz w:val="20"/>
                <w:szCs w:val="20"/>
                <w:color w:val="auto"/>
              </w:rPr>
            </w:pPr>
            <w:r>
              <w:rPr>
                <w:rFonts w:ascii="Arial" w:cs="Arial" w:eastAsia="Arial" w:hAnsi="Arial"/>
                <w:sz w:val="15"/>
                <w:szCs w:val="15"/>
                <w:color w:val="auto"/>
              </w:rPr>
              <w:t>Jack W. Callicutt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jc w:val="right"/>
              <w:ind w:right="34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20" w:type="dxa"/>
            <w:vAlign w:val="bottom"/>
            <w:gridSpan w:val="3"/>
            <w:vMerge w:val="continue"/>
          </w:tcPr>
          <w:p>
            <w:pPr>
              <w:spacing w:after="0"/>
              <w:rPr>
                <w:sz w:val="14"/>
                <w:szCs w:val="14"/>
                <w:color w:val="auto"/>
              </w:rPr>
            </w:pPr>
          </w:p>
        </w:tc>
        <w:tc>
          <w:tcPr>
            <w:tcW w:w="1160" w:type="dxa"/>
            <w:vAlign w:val="bottom"/>
            <w:gridSpan w:val="4"/>
            <w:shd w:val="clear" w:color="auto" w:fill="CCEEFF"/>
          </w:tcPr>
          <w:p>
            <w:pPr>
              <w:jc w:val="right"/>
              <w:ind w:right="83"/>
              <w:spacing w:after="0" w:line="149" w:lineRule="exact"/>
              <w:rPr>
                <w:sz w:val="20"/>
                <w:szCs w:val="20"/>
                <w:color w:val="auto"/>
              </w:rPr>
            </w:pPr>
            <w:r>
              <w:rPr>
                <w:rFonts w:ascii="Arial" w:cs="Arial" w:eastAsia="Arial" w:hAnsi="Arial"/>
                <w:sz w:val="15"/>
                <w:szCs w:val="15"/>
                <w:color w:val="auto"/>
              </w:rPr>
              <w:t>01/15/2018 (1)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90,000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5.87</w:t>
            </w:r>
          </w:p>
        </w:tc>
        <w:tc>
          <w:tcPr>
            <w:tcW w:w="10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5"/>
                <w:szCs w:val="15"/>
                <w:color w:val="auto"/>
              </w:rPr>
              <w:t>$410,931 (2)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shd w:val="clear" w:color="auto" w:fill="CCEEFF"/>
          </w:tcPr>
          <w:p>
            <w:pPr>
              <w:jc w:val="right"/>
              <w:ind w:right="83"/>
              <w:spacing w:after="0" w:line="162" w:lineRule="exact"/>
              <w:rPr>
                <w:sz w:val="20"/>
                <w:szCs w:val="20"/>
                <w:color w:val="auto"/>
              </w:rPr>
            </w:pPr>
            <w:r>
              <w:rPr>
                <w:rFonts w:ascii="Arial" w:cs="Arial" w:eastAsia="Arial" w:hAnsi="Arial"/>
                <w:sz w:val="15"/>
                <w:szCs w:val="15"/>
                <w:color w:val="auto"/>
              </w:rPr>
              <w:t>5/22/2018 (1)</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90,000</w:t>
            </w:r>
          </w:p>
        </w:tc>
        <w:tc>
          <w:tcPr>
            <w:tcW w:w="3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4.16</w:t>
            </w:r>
          </w:p>
        </w:tc>
        <w:tc>
          <w:tcPr>
            <w:tcW w:w="1080" w:type="dxa"/>
            <w:vAlign w:val="bottom"/>
            <w:gridSpan w:val="3"/>
            <w:shd w:val="clear" w:color="auto" w:fill="CCEEFF"/>
          </w:tcPr>
          <w:p>
            <w:pPr>
              <w:jc w:val="right"/>
              <w:spacing w:after="0" w:line="162" w:lineRule="exact"/>
              <w:rPr>
                <w:sz w:val="20"/>
                <w:szCs w:val="20"/>
                <w:color w:val="auto"/>
              </w:rPr>
            </w:pPr>
            <w:r>
              <w:rPr>
                <w:rFonts w:ascii="Arial" w:cs="Arial" w:eastAsia="Arial" w:hAnsi="Arial"/>
                <w:sz w:val="15"/>
                <w:szCs w:val="15"/>
                <w:color w:val="auto"/>
              </w:rPr>
              <w:t>$304,388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-205105</wp:posOffset>
            </wp:positionV>
            <wp:extent cx="6997700" cy="3346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334645"/>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97790</wp:posOffset>
            </wp:positionV>
            <wp:extent cx="694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8" w:lineRule="exact"/>
        <w:rPr>
          <w:sz w:val="20"/>
          <w:szCs w:val="20"/>
          <w:color w:val="auto"/>
        </w:rPr>
      </w:pPr>
    </w:p>
    <w:p>
      <w:pPr>
        <w:ind w:left="520" w:hanging="316"/>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Grants of stock options under our 2009 Incentive Compensation Plan in accordance with the Program.</w:t>
      </w:r>
    </w:p>
    <w:p>
      <w:pPr>
        <w:spacing w:after="0" w:line="22" w:lineRule="exact"/>
        <w:rPr>
          <w:rFonts w:ascii="Arial" w:cs="Arial" w:eastAsia="Arial" w:hAnsi="Arial"/>
          <w:sz w:val="16"/>
          <w:szCs w:val="16"/>
          <w:color w:val="auto"/>
        </w:rPr>
      </w:pPr>
    </w:p>
    <w:p>
      <w:pPr>
        <w:jc w:val="both"/>
        <w:ind w:left="520" w:right="360" w:hanging="316"/>
        <w:spacing w:after="0" w:line="276"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2018. For a description of the assumptions used to determine these amounts, see footnote 7 to the Notes to the Consolidated Financial Statements included in this Annual Report on Form 10-K for the fiscal year ended December 31, 2018.</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 201</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2018. The exercise price of the options is set at the closing price of our stock at the date prior to or as of the date of grant. Outstanding options have been approved by our Compensation Committee and our Board.</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2"/>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92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8"/>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90"/>
              </w:rPr>
              <w:t>of Shares</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348"/>
              <w:spacing w:after="0" w:line="14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40" w:type="dxa"/>
            <w:vAlign w:val="bottom"/>
          </w:tcPr>
          <w:p>
            <w:pPr>
              <w:spacing w:after="0"/>
              <w:rPr>
                <w:sz w:val="12"/>
                <w:szCs w:val="12"/>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20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10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vMerge w:val="continue"/>
          </w:tcPr>
          <w:p>
            <w:pPr>
              <w:spacing w:after="0"/>
              <w:rPr>
                <w:sz w:val="12"/>
                <w:szCs w:val="12"/>
                <w:color w:val="auto"/>
              </w:rPr>
            </w:pPr>
          </w:p>
        </w:tc>
        <w:tc>
          <w:tcPr>
            <w:tcW w:w="84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gridSpan w:val="2"/>
          </w:tcPr>
          <w:p>
            <w:pPr>
              <w:jc w:val="center"/>
              <w:ind w:left="188"/>
              <w:spacing w:after="0" w:line="149" w:lineRule="exact"/>
              <w:rPr>
                <w:sz w:val="20"/>
                <w:szCs w:val="20"/>
                <w:color w:val="auto"/>
              </w:rPr>
            </w:pPr>
            <w:r>
              <w:rPr>
                <w:rFonts w:ascii="Arial" w:cs="Arial" w:eastAsia="Arial" w:hAnsi="Arial"/>
                <w:sz w:val="14"/>
                <w:szCs w:val="14"/>
                <w:b w:val="1"/>
                <w:bCs w:val="1"/>
                <w:color w:val="auto"/>
                <w:w w:val="95"/>
              </w:rPr>
              <w:t>Have Not</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4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left="114"/>
              <w:spacing w:after="0" w:line="149"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4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212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3"/>
          </w:tcPr>
          <w:p>
            <w:pPr>
              <w:jc w:val="center"/>
              <w:ind w:right="148"/>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80" w:type="dxa"/>
            <w:vAlign w:val="bottom"/>
            <w:gridSpan w:val="2"/>
          </w:tcPr>
          <w:p>
            <w:pPr>
              <w:jc w:val="center"/>
              <w:ind w:left="48"/>
              <w:spacing w:after="0" w:line="158" w:lineRule="exact"/>
              <w:rPr>
                <w:sz w:val="20"/>
                <w:szCs w:val="20"/>
                <w:color w:val="auto"/>
              </w:rPr>
            </w:pPr>
            <w:r>
              <w:rPr>
                <w:rFonts w:ascii="Arial" w:cs="Arial" w:eastAsia="Arial" w:hAnsi="Arial"/>
                <w:sz w:val="14"/>
                <w:szCs w:val="14"/>
                <w:b w:val="1"/>
                <w:bCs w:val="1"/>
                <w:color w:val="auto"/>
                <w:w w:val="93"/>
              </w:rPr>
              <w:t>(#)</w:t>
            </w:r>
          </w:p>
        </w:tc>
        <w:tc>
          <w:tcPr>
            <w:tcW w:w="780" w:type="dxa"/>
            <w:vAlign w:val="bottom"/>
            <w:gridSpan w:val="2"/>
          </w:tcPr>
          <w:p>
            <w:pPr>
              <w:jc w:val="center"/>
              <w:ind w:left="133"/>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840" w:type="dxa"/>
            <w:vAlign w:val="bottom"/>
            <w:gridSpan w:val="2"/>
          </w:tcPr>
          <w:p>
            <w:pPr>
              <w:jc w:val="center"/>
              <w:ind w:left="188"/>
              <w:spacing w:after="0" w:line="158"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 (5)</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Harold H. Shlevin, Ph.D.</w:t>
            </w:r>
          </w:p>
        </w:tc>
        <w:tc>
          <w:tcPr>
            <w:tcW w:w="1280" w:type="dxa"/>
            <w:vAlign w:val="bottom"/>
            <w:gridSpan w:val="4"/>
          </w:tcPr>
          <w:p>
            <w:pPr>
              <w:jc w:val="right"/>
              <w:ind w:right="140"/>
              <w:spacing w:after="0" w:line="201" w:lineRule="exact"/>
              <w:rPr>
                <w:sz w:val="20"/>
                <w:szCs w:val="20"/>
                <w:color w:val="auto"/>
              </w:rPr>
            </w:pPr>
            <w:r>
              <w:rPr>
                <w:rFonts w:ascii="Arial" w:cs="Arial" w:eastAsia="Arial" w:hAnsi="Arial"/>
                <w:sz w:val="18"/>
                <w:szCs w:val="18"/>
                <w:color w:val="auto"/>
              </w:rPr>
              <w:t>38,000 (1)</w:t>
            </w:r>
          </w:p>
        </w:tc>
        <w:tc>
          <w:tcPr>
            <w:tcW w:w="120" w:type="dxa"/>
            <w:vAlign w:val="bottom"/>
          </w:tcPr>
          <w:p>
            <w:pPr>
              <w:spacing w:after="0"/>
              <w:rPr>
                <w:sz w:val="17"/>
                <w:szCs w:val="17"/>
                <w:color w:val="auto"/>
              </w:rPr>
            </w:pPr>
          </w:p>
        </w:tc>
        <w:tc>
          <w:tcPr>
            <w:tcW w:w="1200" w:type="dxa"/>
            <w:vAlign w:val="bottom"/>
            <w:gridSpan w:val="2"/>
          </w:tcPr>
          <w:p>
            <w:pPr>
              <w:jc w:val="right"/>
              <w:ind w:right="368"/>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13.38</w:t>
            </w: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5"/>
              </w:rPr>
              <w:t>01/21/2024</w:t>
            </w:r>
          </w:p>
        </w:tc>
        <w:tc>
          <w:tcPr>
            <w:tcW w:w="260" w:type="dxa"/>
            <w:vAlign w:val="bottom"/>
          </w:tcPr>
          <w:p>
            <w:pPr>
              <w:spacing w:after="0"/>
              <w:rPr>
                <w:sz w:val="17"/>
                <w:szCs w:val="17"/>
                <w:color w:val="auto"/>
              </w:rPr>
            </w:pPr>
          </w:p>
        </w:tc>
        <w:tc>
          <w:tcPr>
            <w:tcW w:w="580" w:type="dxa"/>
            <w:vAlign w:val="bottom"/>
          </w:tcPr>
          <w:p>
            <w:pPr>
              <w:ind w:left="30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80" w:type="dxa"/>
            <w:vAlign w:val="bottom"/>
          </w:tcPr>
          <w:p>
            <w:pPr>
              <w:ind w:left="30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680" w:type="dxa"/>
            <w:vAlign w:val="bottom"/>
          </w:tcPr>
          <w:p>
            <w:pPr>
              <w:ind w:left="400"/>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8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7,915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w:t>
            </w:r>
          </w:p>
        </w:tc>
        <w:tc>
          <w:tcPr>
            <w:tcW w:w="1320" w:type="dxa"/>
            <w:vAlign w:val="bottom"/>
            <w:gridSpan w:val="3"/>
          </w:tcPr>
          <w:p>
            <w:pPr>
              <w:jc w:val="right"/>
              <w:ind w:right="68"/>
              <w:spacing w:after="0"/>
              <w:rPr>
                <w:sz w:val="20"/>
                <w:szCs w:val="20"/>
                <w:color w:val="auto"/>
              </w:rPr>
            </w:pPr>
            <w:r>
              <w:rPr>
                <w:rFonts w:ascii="Arial" w:cs="Arial" w:eastAsia="Arial" w:hAnsi="Arial"/>
                <w:sz w:val="18"/>
                <w:szCs w:val="18"/>
                <w:color w:val="auto"/>
              </w:rPr>
              <w:t>791 (2)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01/20/2026</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8"/>
                <w:szCs w:val="18"/>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01/15/2028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8"/>
                <w:szCs w:val="18"/>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05/22/2028</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0"/>
                <w:szCs w:val="20"/>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06/08/2028</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2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26,000 (1)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01/21/2024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w:t>
            </w:r>
          </w:p>
        </w:tc>
        <w:tc>
          <w:tcPr>
            <w:tcW w:w="132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791 (2)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01/20/2026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01/15/2028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05/22/2028</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three-year period.</w:t>
      </w:r>
    </w:p>
    <w:p>
      <w:pPr>
        <w:spacing w:after="0" w:line="46" w:lineRule="exact"/>
        <w:rPr>
          <w:rFonts w:ascii="Arial" w:cs="Arial" w:eastAsia="Arial" w:hAnsi="Arial"/>
          <w:sz w:val="16"/>
          <w:szCs w:val="16"/>
          <w:color w:val="auto"/>
        </w:rPr>
      </w:pPr>
    </w:p>
    <w:p>
      <w:pPr>
        <w:ind w:left="640" w:hanging="43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vesting ratably on a monthly basis over a three-year period.</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the options vested on January 15, 2018 (grant date), 25% vested on June 30, 2018, and 50% vested on December 31,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25% of the options vested on June 30, 2018, 25% vested on September 30, 2018, and 50% vested on December 31,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Traber resigned effective July 6, 2018 and had no outstanding stock option or stock awards as of December 31, 2018.</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 Table in 2018</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table sets forth the number of shares and value realized by the named executive officers during 2018 on the exercise of stock options and the vesting of restricted stock (or restricted stock units).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21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44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Number of</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680" w:type="dxa"/>
            <w:vAlign w:val="bottom"/>
          </w:tcPr>
          <w:p>
            <w:pPr>
              <w:spacing w:after="0"/>
              <w:rPr>
                <w:sz w:val="10"/>
                <w:szCs w:val="10"/>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Shares</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80" w:type="dxa"/>
            <w:vAlign w:val="bottom"/>
            <w:gridSpan w:val="3"/>
          </w:tcPr>
          <w:p>
            <w:pPr>
              <w:jc w:val="center"/>
              <w:ind w:left="879"/>
              <w:spacing w:after="0" w:line="149" w:lineRule="exact"/>
              <w:rPr>
                <w:sz w:val="20"/>
                <w:szCs w:val="20"/>
                <w:color w:val="auto"/>
              </w:rPr>
            </w:pPr>
            <w:r>
              <w:rPr>
                <w:rFonts w:ascii="Arial" w:cs="Arial" w:eastAsia="Arial" w:hAnsi="Arial"/>
                <w:sz w:val="14"/>
                <w:szCs w:val="14"/>
                <w:b w:val="1"/>
                <w:bCs w:val="1"/>
                <w:color w:val="auto"/>
                <w:w w:val="92"/>
              </w:rPr>
              <w:t>Acquired on</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440" w:type="dxa"/>
            <w:vAlign w:val="bottom"/>
            <w:gridSpan w:val="2"/>
          </w:tcPr>
          <w:p>
            <w:pPr>
              <w:jc w:val="center"/>
              <w:ind w:left="60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68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40" w:type="dxa"/>
            <w:vAlign w:val="bottom"/>
          </w:tcPr>
          <w:p>
            <w:pPr>
              <w:spacing w:after="0"/>
              <w:rPr>
                <w:sz w:val="12"/>
                <w:szCs w:val="12"/>
                <w:color w:val="auto"/>
              </w:rPr>
            </w:pP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380" w:type="dxa"/>
            <w:vAlign w:val="bottom"/>
            <w:gridSpan w:val="3"/>
          </w:tcPr>
          <w:p>
            <w:pPr>
              <w:jc w:val="center"/>
              <w:ind w:left="548"/>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2400" w:type="dxa"/>
            <w:vAlign w:val="bottom"/>
            <w:gridSpan w:val="2"/>
          </w:tcPr>
          <w:p>
            <w:pPr>
              <w:jc w:val="center"/>
              <w:ind w:left="1539"/>
              <w:spacing w:after="0" w:line="158" w:lineRule="exact"/>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(1)</w:t>
            </w:r>
          </w:p>
        </w:tc>
        <w:tc>
          <w:tcPr>
            <w:tcW w:w="1440" w:type="dxa"/>
            <w:vAlign w:val="bottom"/>
            <w:gridSpan w:val="2"/>
          </w:tcPr>
          <w:p>
            <w:pPr>
              <w:jc w:val="center"/>
              <w:ind w:left="608"/>
              <w:spacing w:after="0" w:line="158" w:lineRule="exact"/>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588"/>
              <w:spacing w:after="0" w:line="158" w:lineRule="exact"/>
              <w:rPr>
                <w:sz w:val="20"/>
                <w:szCs w:val="20"/>
                <w:color w:val="auto"/>
              </w:rPr>
            </w:pPr>
            <w:r>
              <w:rPr>
                <w:rFonts w:ascii="Arial" w:cs="Arial" w:eastAsia="Arial" w:hAnsi="Arial"/>
                <w:sz w:val="14"/>
                <w:szCs w:val="14"/>
                <w:b w:val="1"/>
                <w:bCs w:val="1"/>
                <w:color w:val="auto"/>
                <w:w w:val="94"/>
              </w:rPr>
              <w:t>($) (2)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 (3)</w:t>
            </w:r>
          </w:p>
        </w:tc>
        <w:tc>
          <w:tcPr>
            <w:tcW w:w="16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393,369</w:t>
            </w: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2,512,906</w:t>
            </w: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367,294</w:t>
            </w:r>
          </w:p>
        </w:tc>
        <w:tc>
          <w:tcPr>
            <w:tcW w:w="6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1,394,518</w:t>
            </w:r>
          </w:p>
        </w:tc>
        <w:tc>
          <w:tcPr>
            <w:tcW w:w="68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405,294</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1,820,755</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0" w:hanging="436"/>
        <w:spacing w:after="0" w:line="258"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realized on the exercise of options was calculated by multiplying the number of options exercised on the applicable exercise date by the difference between the closing market price of the shares on such date and the exercise price of the options.</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realized on the vesting of restricted stock (or restricted stock units) was calculated by multiplying the number of shares vesting on the applicable vesting date by the closing market price of the shares on such date.</w:t>
      </w: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transactions occurring prior to Dr. Traber’s resignation from the Company effective July 6,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1060" w:right="460" w:hanging="424"/>
        <w:spacing w:after="0" w:line="28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60" w:hanging="424"/>
        <w:spacing w:after="0" w:line="253"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 (i) 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 (ii) 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102"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Peter G. Traber, MD</w:t>
      </w:r>
    </w:p>
    <w:p>
      <w:pPr>
        <w:spacing w:after="0" w:line="117" w:lineRule="exact"/>
        <w:rPr>
          <w:sz w:val="20"/>
          <w:szCs w:val="20"/>
          <w:color w:val="auto"/>
        </w:rPr>
      </w:pPr>
    </w:p>
    <w:p>
      <w:pPr>
        <w:ind w:left="200" w:right="220" w:firstLine="441"/>
        <w:spacing w:after="0" w:line="288" w:lineRule="auto"/>
        <w:rPr>
          <w:sz w:val="20"/>
          <w:szCs w:val="20"/>
          <w:color w:val="auto"/>
        </w:rPr>
      </w:pPr>
      <w:r>
        <w:rPr>
          <w:rFonts w:ascii="Arial" w:cs="Arial" w:eastAsia="Arial" w:hAnsi="Arial"/>
          <w:sz w:val="16"/>
          <w:szCs w:val="16"/>
          <w:color w:val="auto"/>
        </w:rPr>
        <w:t>On May 6, 2016, the Company entered into an amended and restated employment agreement with Dr. Traber. Under his restated employment agreement, if his employment is terminated (i) by the Company without Cause (as defined in the Employment Agreement), or (ii) by Dr. Traber for Good Reason (as defined in the Employment Agreement), subject to his execution of a release of claims against the Company, Dr. Traber will receive</w:t>
      </w:r>
    </w:p>
    <w:p>
      <w:pPr>
        <w:ind w:left="200" w:right="40" w:firstLine="4"/>
        <w:spacing w:after="0" w:line="290" w:lineRule="auto"/>
        <w:tabs>
          <w:tab w:leader="none" w:pos="4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severance benefits equal to one year of his then current base salary (paid over time, but subject to Dr. Traber’s ability to request a lump-sum payment if such election does not otherwise violate Section 409A of the Internal Revenue Code of 1986, as amended (the “Code”)), (B) any bonus for the year prior to termination to the extent not otherwise paid prior to such termination, (C) a prorated bonus for the year of termination, (D) COBRA coverage at a reduced premium (or a cash payment in lieu of such reduced-cost coverage) for the two-year period following termination, (E) immediate vesting of all unvested options held by Dr. Traber at the time of his termination, and (F) an extension of the post-termination exercise period of all of his options until the date such options would have otherwise expired if he remained employed by the Company.</w:t>
      </w:r>
    </w:p>
    <w:p>
      <w:pPr>
        <w:spacing w:after="0" w:line="164"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restated employment agreement provides that during its term Dr. Traber will not engage in any business competitive with the Company, whether as employee, consultant, agent, principal, officer, director, shareholder or otherwise. Following employment, the restated employment agreement provides that Dr. Traber will not (i) accept business from the Company’s customers or accounts relating to “competing products” or services of the Company for a period of 12 months, or (ii) render services to any “competing organization” (as such quoted terms are defined in the Employment Agreement) for a period of six months. The restated employment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agreement also contains provisions binding Dr. Traber with respect to (A) protection of the Company’s confidential information; (B) requirements to disclose and assign inventions or other intellectual property to the Company; (C) non-solicitation of the Company’s executives, or persons with whom the Company has a business relationship such as investors, suppliers and customers; and (D) advance review and approval of all writings he proposes to publish.</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Dr. Traber voluntarily resigned from the Company effective July 6, 2018 and no termination or other benefits of any kind were paid to him post employment.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Harold H. Shlevin , PhD</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78"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Mr. Callicutt’s employment agreement, as amended, provides that, if his employment is terminated by the Company “without cause,” or by Mr. Callicutt for “good reason,” (as such terms are defined in his agreement)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his employment is terminated “for cause”, subject to “cure rights” in certain instances, he is not entitled to severance. If the agreement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9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agreement provides that during its term Mr. Callicutt shall not engage in any business competitive with the Company. Following termination of employment, Mr. Callicutt shall not, for 18 months (i) solicit customers or employees of the Company or (ii) render services to any “competing business” (as defined in the agreement). The agreement also contains provisions binding on Mr. Callicutt with respect to protection of our confidential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2018.</w:t>
      </w:r>
    </w:p>
    <w:p>
      <w:pPr>
        <w:spacing w:after="0" w:line="17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4"/>
              </w:rPr>
              <w:t>Benefit/Plan/Program</w:t>
            </w:r>
          </w:p>
        </w:tc>
        <w:tc>
          <w:tcPr>
            <w:tcW w:w="406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Peter G.</w:t>
            </w:r>
          </w:p>
        </w:tc>
        <w:tc>
          <w:tcPr>
            <w:tcW w:w="100" w:type="dxa"/>
            <w:vAlign w:val="bottom"/>
          </w:tcPr>
          <w:p>
            <w:pPr>
              <w:spacing w:after="0"/>
              <w:rPr>
                <w:sz w:val="14"/>
                <w:szCs w:val="14"/>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Harold H.</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Jack W.</w:t>
            </w:r>
          </w:p>
        </w:tc>
        <w:tc>
          <w:tcPr>
            <w:tcW w:w="0" w:type="dxa"/>
            <w:vAlign w:val="bottom"/>
          </w:tcPr>
          <w:p>
            <w:pPr>
              <w:spacing w:after="0"/>
              <w:rPr>
                <w:sz w:val="1"/>
                <w:szCs w:val="1"/>
                <w:color w:val="auto"/>
              </w:rPr>
            </w:pPr>
          </w:p>
        </w:tc>
      </w:tr>
      <w:tr>
        <w:trPr>
          <w:trHeight w:val="178"/>
        </w:trPr>
        <w:tc>
          <w:tcPr>
            <w:tcW w:w="136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16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Traber, M.D. (6)</w:t>
            </w:r>
          </w:p>
        </w:tc>
        <w:tc>
          <w:tcPr>
            <w:tcW w:w="14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Shlevin, Ph.D.</w:t>
            </w: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b w:val="1"/>
                <w:bCs w:val="1"/>
                <w:color w:val="auto"/>
              </w:rPr>
              <w:t>Callicutt</w:t>
            </w:r>
          </w:p>
        </w:tc>
        <w:tc>
          <w:tcPr>
            <w:tcW w:w="0" w:type="dxa"/>
            <w:vAlign w:val="bottom"/>
          </w:tcPr>
          <w:p>
            <w:pPr>
              <w:spacing w:after="0"/>
              <w:rPr>
                <w:sz w:val="1"/>
                <w:szCs w:val="1"/>
                <w:color w:val="auto"/>
              </w:rPr>
            </w:pPr>
          </w:p>
        </w:tc>
      </w:tr>
      <w:tr>
        <w:trPr>
          <w:trHeight w:val="203"/>
        </w:trPr>
        <w:tc>
          <w:tcPr>
            <w:tcW w:w="5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1,629</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285,000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213,750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501,629</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286,629</w:t>
            </w:r>
          </w:p>
        </w:tc>
        <w:tc>
          <w:tcPr>
            <w:tcW w:w="0" w:type="dxa"/>
            <w:vAlign w:val="bottom"/>
          </w:tcPr>
          <w:p>
            <w:pPr>
              <w:spacing w:after="0"/>
              <w:rPr>
                <w:sz w:val="1"/>
                <w:szCs w:val="1"/>
                <w:color w:val="auto"/>
              </w:rPr>
            </w:pPr>
          </w:p>
        </w:tc>
      </w:tr>
      <w:tr>
        <w:trPr>
          <w:trHeight w:val="202"/>
        </w:trPr>
        <w:tc>
          <w:tcPr>
            <w:tcW w:w="5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value upon termination of employment due to death 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disability (5)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56"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2018, based on a price of $3.43 per share, the closing price of our common stock on December 31, 2018.</w:t>
      </w:r>
    </w:p>
    <w:p>
      <w:pPr>
        <w:ind w:left="640" w:right="62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2018.</w:t>
      </w:r>
    </w:p>
    <w:p>
      <w:pPr>
        <w:ind w:left="640" w:right="14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640" w:right="20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2018.</w:t>
      </w:r>
    </w:p>
    <w:p>
      <w:pPr>
        <w:spacing w:after="0" w:line="1" w:lineRule="exact"/>
        <w:rPr>
          <w:rFonts w:ascii="Arial" w:cs="Arial" w:eastAsia="Arial" w:hAnsi="Arial"/>
          <w:sz w:val="18"/>
          <w:szCs w:val="18"/>
          <w:color w:val="auto"/>
        </w:rPr>
      </w:pPr>
    </w:p>
    <w:p>
      <w:pPr>
        <w:ind w:left="640" w:right="18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2018.</w:t>
      </w:r>
    </w:p>
    <w:p>
      <w:pPr>
        <w:ind w:left="640" w:hanging="43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for Dr. Traber reflect actual amounts payable to Dr. Traber upon termination of his employment on July 6,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40" w:type="dxa"/>
            <w:vAlign w:val="bottom"/>
            <w:gridSpan w:val="2"/>
            <w:vMerge w:val="restart"/>
          </w:tcPr>
          <w:p>
            <w:pPr>
              <w:jc w:val="center"/>
              <w:ind w:left="892"/>
              <w:spacing w:after="0"/>
              <w:rPr>
                <w:sz w:val="20"/>
                <w:szCs w:val="20"/>
                <w:color w:val="auto"/>
              </w:rPr>
            </w:pPr>
            <w:r>
              <w:rPr>
                <w:rFonts w:ascii="Arial" w:cs="Arial" w:eastAsia="Arial" w:hAnsi="Arial"/>
                <w:sz w:val="14"/>
                <w:szCs w:val="14"/>
                <w:b w:val="1"/>
                <w:bCs w:val="1"/>
                <w:color w:val="auto"/>
                <w:w w:val="91"/>
              </w:rPr>
              <w:t>Fees Earned</w:t>
            </w:r>
          </w:p>
        </w:tc>
        <w:tc>
          <w:tcPr>
            <w:tcW w:w="1560" w:type="dxa"/>
            <w:vAlign w:val="bottom"/>
            <w:gridSpan w:val="3"/>
          </w:tcPr>
          <w:p>
            <w:pPr>
              <w:ind w:left="460"/>
              <w:spacing w:after="0"/>
              <w:rPr>
                <w:sz w:val="20"/>
                <w:szCs w:val="20"/>
                <w:color w:val="auto"/>
              </w:rPr>
            </w:pPr>
            <w:r>
              <w:rPr>
                <w:rFonts w:ascii="Arial" w:cs="Arial" w:eastAsia="Arial" w:hAnsi="Arial"/>
                <w:sz w:val="14"/>
                <w:szCs w:val="14"/>
                <w:b w:val="1"/>
                <w:bCs w:val="1"/>
                <w:color w:val="auto"/>
              </w:rPr>
              <w:t>Restricted</w:t>
            </w:r>
          </w:p>
        </w:tc>
        <w:tc>
          <w:tcPr>
            <w:tcW w:w="6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Option</w:t>
            </w:r>
          </w:p>
        </w:tc>
        <w:tc>
          <w:tcPr>
            <w:tcW w:w="46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auto"/>
              </w:rPr>
              <w:t>Non-Equity</w:t>
            </w:r>
          </w:p>
        </w:tc>
        <w:tc>
          <w:tcPr>
            <w:tcW w:w="4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640" w:type="dxa"/>
            <w:vAlign w:val="bottom"/>
            <w:vMerge w:val="continue"/>
          </w:tcPr>
          <w:p>
            <w:pPr>
              <w:spacing w:after="0"/>
              <w:rPr>
                <w:sz w:val="12"/>
                <w:szCs w:val="12"/>
                <w:color w:val="auto"/>
              </w:rPr>
            </w:pPr>
          </w:p>
        </w:tc>
        <w:tc>
          <w:tcPr>
            <w:tcW w:w="1360" w:type="dxa"/>
            <w:vAlign w:val="bottom"/>
            <w:gridSpan w:val="2"/>
          </w:tcPr>
          <w:p>
            <w:pPr>
              <w:jc w:val="center"/>
              <w:ind w:left="36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4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4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1360" w:type="dxa"/>
            <w:vAlign w:val="bottom"/>
            <w:gridSpan w:val="2"/>
          </w:tcPr>
          <w:p>
            <w:pPr>
              <w:jc w:val="center"/>
              <w:ind w:left="388"/>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1100" w:type="dxa"/>
            <w:vAlign w:val="bottom"/>
            <w:gridSpan w:val="2"/>
          </w:tcPr>
          <w:p>
            <w:pPr>
              <w:ind w:left="600"/>
              <w:spacing w:after="0" w:line="158" w:lineRule="exact"/>
              <w:rPr>
                <w:sz w:val="20"/>
                <w:szCs w:val="20"/>
                <w:color w:val="auto"/>
              </w:rPr>
            </w:pPr>
            <w:r>
              <w:rPr>
                <w:rFonts w:ascii="Arial" w:cs="Arial" w:eastAsia="Arial" w:hAnsi="Arial"/>
                <w:sz w:val="14"/>
                <w:szCs w:val="14"/>
                <w:b w:val="1"/>
                <w:bCs w:val="1"/>
                <w:color w:val="auto"/>
              </w:rPr>
              <w:t>($) (5)</w:t>
            </w:r>
          </w:p>
        </w:tc>
        <w:tc>
          <w:tcPr>
            <w:tcW w:w="460" w:type="dxa"/>
            <w:vAlign w:val="bottom"/>
          </w:tcPr>
          <w:p>
            <w:pPr>
              <w:spacing w:after="0"/>
              <w:rPr>
                <w:sz w:val="13"/>
                <w:szCs w:val="13"/>
                <w:color w:val="auto"/>
              </w:rPr>
            </w:pPr>
          </w:p>
        </w:tc>
        <w:tc>
          <w:tcPr>
            <w:tcW w:w="640" w:type="dxa"/>
            <w:vAlign w:val="bottom"/>
          </w:tcPr>
          <w:p>
            <w:pPr>
              <w:jc w:val="right"/>
              <w:ind w:right="54"/>
              <w:spacing w:after="0" w:line="158" w:lineRule="exact"/>
              <w:rPr>
                <w:sz w:val="20"/>
                <w:szCs w:val="20"/>
                <w:color w:val="auto"/>
              </w:rPr>
            </w:pPr>
            <w:r>
              <w:rPr>
                <w:rFonts w:ascii="Arial" w:cs="Arial" w:eastAsia="Arial" w:hAnsi="Arial"/>
                <w:sz w:val="14"/>
                <w:szCs w:val="14"/>
                <w:b w:val="1"/>
                <w:bCs w:val="1"/>
                <w:color w:val="auto"/>
              </w:rPr>
              <w:t>($) (3)</w:t>
            </w:r>
          </w:p>
        </w:tc>
        <w:tc>
          <w:tcPr>
            <w:tcW w:w="136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rPr>
              <w:t>($)</w:t>
            </w:r>
          </w:p>
        </w:tc>
        <w:tc>
          <w:tcPr>
            <w:tcW w:w="134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w w:val="94"/>
              </w:rPr>
              <w:t>($) (4)</w:t>
            </w:r>
          </w:p>
        </w:tc>
        <w:tc>
          <w:tcPr>
            <w:tcW w:w="460" w:type="dxa"/>
            <w:vAlign w:val="bottom"/>
          </w:tcPr>
          <w:p>
            <w:pPr>
              <w:spacing w:after="0"/>
              <w:rPr>
                <w:sz w:val="13"/>
                <w:szCs w:val="13"/>
                <w:color w:val="auto"/>
              </w:rPr>
            </w:pPr>
          </w:p>
        </w:tc>
        <w:tc>
          <w:tcPr>
            <w:tcW w:w="66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9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4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Kary Eldred (1)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42,645</w:t>
            </w:r>
          </w:p>
        </w:tc>
        <w:tc>
          <w:tcPr>
            <w:tcW w:w="4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158,535</w:t>
            </w:r>
          </w:p>
        </w:tc>
        <w:tc>
          <w:tcPr>
            <w:tcW w:w="4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201,180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7"/>
              </w:rPr>
              <w:t>55,000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4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41,444</w:t>
            </w:r>
          </w:p>
        </w:tc>
        <w:tc>
          <w:tcPr>
            <w:tcW w:w="460" w:type="dxa"/>
            <w:vAlign w:val="bottom"/>
          </w:tcPr>
          <w:p>
            <w:pPr>
              <w:spacing w:after="0"/>
              <w:rPr>
                <w:sz w:val="18"/>
                <w:szCs w:val="18"/>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9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7"/>
              </w:rPr>
              <w:t>35,000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Theodore Zucconi, Ph.D. (2)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9,625</w:t>
            </w:r>
          </w:p>
        </w:tc>
        <w:tc>
          <w:tcPr>
            <w:tcW w:w="460" w:type="dxa"/>
            <w:vAlign w:val="bottom"/>
          </w:tcPr>
          <w:p>
            <w:pPr>
              <w:spacing w:after="0"/>
              <w:rPr>
                <w:sz w:val="20"/>
                <w:szCs w:val="20"/>
                <w:color w:val="auto"/>
              </w:rPr>
            </w:pP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5440" w:hanging="5416"/>
        <w:spacing w:after="0" w:line="536" w:lineRule="auto"/>
        <w:tabs>
          <w:tab w:leader="none" w:pos="6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Eldred was elected to the board for the first time on May 22, 2018. 58</w:t>
      </w:r>
    </w:p>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Dr. Zucconi was not nominated for reelection to the board and his service ended on May 22,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2018. Options were granted on</w:t>
      </w:r>
    </w:p>
    <w:p>
      <w:pPr>
        <w:spacing w:after="0" w:line="32" w:lineRule="exact"/>
        <w:rPr>
          <w:rFonts w:ascii="Arial" w:cs="Arial" w:eastAsia="Arial" w:hAnsi="Arial"/>
          <w:sz w:val="16"/>
          <w:szCs w:val="16"/>
          <w:color w:val="auto"/>
        </w:rPr>
      </w:pPr>
    </w:p>
    <w:p>
      <w:pPr>
        <w:ind w:left="640"/>
        <w:spacing w:after="0" w:line="265" w:lineRule="auto"/>
        <w:rPr>
          <w:rFonts w:ascii="Arial" w:cs="Arial" w:eastAsia="Arial" w:hAnsi="Arial"/>
          <w:sz w:val="16"/>
          <w:szCs w:val="16"/>
          <w:color w:val="auto"/>
        </w:rPr>
      </w:pPr>
      <w:r>
        <w:rPr>
          <w:rFonts w:ascii="Arial" w:cs="Arial" w:eastAsia="Arial" w:hAnsi="Arial"/>
          <w:sz w:val="17"/>
          <w:szCs w:val="17"/>
          <w:color w:val="auto"/>
        </w:rPr>
        <w:t>May 22, 2018 and will vest in full on May 22, 2019. For a description of the assumptions used to determine these amounts, see Note 7 to the Notes to the Consolidated Financial Statements herein our Annual Report on Form 10-K for the fiscal year ended December 31, 2018.</w:t>
      </w: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640" w:right="580" w:hanging="436"/>
        <w:spacing w:after="0" w:line="26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The restricted shares vested in full on December 14, 2018.</w:t>
      </w:r>
    </w:p>
    <w:p>
      <w:pPr>
        <w:spacing w:after="0" w:line="190"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to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220" w:type="dxa"/>
            <w:vAlign w:val="bottom"/>
            <w:gridSpan w:val="3"/>
          </w:tcPr>
          <w:p>
            <w:pPr>
              <w:jc w:val="center"/>
              <w:ind w:left="1893"/>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3160" w:type="dxa"/>
            <w:vAlign w:val="bottom"/>
            <w:gridSpan w:val="2"/>
          </w:tcPr>
          <w:p>
            <w:pPr>
              <w:jc w:val="center"/>
              <w:ind w:left="1953"/>
              <w:spacing w:after="0" w:line="158"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20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103,750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700,125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94,839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103,750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2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 — Critical Accounting Policies and Estimates — Stock-Based Compensation” included herein the Form 10-K for the 2018 fiscal year.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Pursuant to the Company’s cash compensation program for directors non-employee directors of the Company will receive an annual cash retainer</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$35,000. Each Nominating and Corporate Governance Committee member will receive an additional cash retainer of $3,500; each Compensation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Committee member will receive an additional cash retainer of $5,000; and each Audit Committee member will receive an additional cash retainer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$7,500. In addition to the annual fee and committee membership retainers, the Nominating and Corporate Governance Committee Chairman will receive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 annual cash retainer of $3,500; the Compensation Committee Chairman will receive an annual cash retainer of $5,000; and the Audit Committee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will receive an annual cash retainer of $7,500. Additionally, in December 2016, the Board approved cash retainers of $3,500 to be paid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member of the Board’s investor relation/public relations committee.</w:t>
      </w:r>
    </w:p>
    <w:p>
      <w:pPr>
        <w:spacing w:after="0" w:line="211"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On January 16, 2019, stock option grants were made to non-employee directors which vest 100% on January 16, 2020. The Chairman was granted 40,000 stock options, the chairs of the Nominating and Corporate Governance Committee, the Audit Committee and the Compensation Committee were each granted 35,000 stock options and remaining non-employee directors were each granted 25,000 stock options.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following table sets forth, as of February 20, 2019,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20, 2019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Shares of</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2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9"/>
        </w:trPr>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(1)</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Common</w:t>
            </w: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4680" w:type="dxa"/>
            <w:vAlign w:val="bottom"/>
            <w:gridSpan w:val="3"/>
            <w:vMerge w:val="continue"/>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 (2)</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Stock (3)</w:t>
            </w:r>
          </w:p>
        </w:tc>
        <w:tc>
          <w:tcPr>
            <w:tcW w:w="280" w:type="dxa"/>
            <w:vAlign w:val="bottom"/>
          </w:tcPr>
          <w:p>
            <w:pPr>
              <w:spacing w:after="0"/>
              <w:rPr>
                <w:sz w:val="15"/>
                <w:szCs w:val="15"/>
                <w:color w:val="auto"/>
              </w:rPr>
            </w:pPr>
          </w:p>
        </w:tc>
        <w:tc>
          <w:tcPr>
            <w:tcW w:w="122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4"/>
              </w:rPr>
              <w:t>Owned</w:t>
            </w:r>
          </w:p>
        </w:tc>
        <w:tc>
          <w:tcPr>
            <w:tcW w:w="280" w:type="dxa"/>
            <w:vAlign w:val="bottom"/>
          </w:tcPr>
          <w:p>
            <w:pPr>
              <w:spacing w:after="0"/>
              <w:rPr>
                <w:sz w:val="15"/>
                <w:szCs w:val="15"/>
                <w:color w:val="auto"/>
              </w:rPr>
            </w:pPr>
          </w:p>
        </w:tc>
        <w:tc>
          <w:tcPr>
            <w:tcW w:w="8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Stock (4)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3"/>
              </w:rPr>
              <w:t>5% Stockholders</w:t>
            </w:r>
          </w:p>
        </w:tc>
        <w:tc>
          <w:tcPr>
            <w:tcW w:w="32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13,949,651</w:t>
            </w:r>
          </w:p>
        </w:tc>
        <w:tc>
          <w:tcPr>
            <w:tcW w:w="600" w:type="dxa"/>
            <w:vAlign w:val="bottom"/>
            <w:gridSpan w:val="2"/>
          </w:tcPr>
          <w:p>
            <w:pPr>
              <w:spacing w:after="0"/>
              <w:rPr>
                <w:sz w:val="20"/>
                <w:szCs w:val="20"/>
                <w:color w:val="auto"/>
              </w:rPr>
            </w:pPr>
            <w:r>
              <w:rPr>
                <w:rFonts w:ascii="Arial" w:cs="Arial" w:eastAsia="Arial" w:hAnsi="Arial"/>
                <w:sz w:val="18"/>
                <w:szCs w:val="18"/>
                <w:color w:val="auto"/>
              </w:rPr>
              <w:t>(5)</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12,343,229</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David Smith (9)</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4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Fivex LLC (9)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100,000 (7)</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Richard E. Uihlein (11)</w:t>
            </w:r>
          </w:p>
        </w:tc>
        <w:tc>
          <w:tcPr>
            <w:tcW w:w="900" w:type="dxa"/>
            <w:vAlign w:val="bottom"/>
          </w:tcPr>
          <w:p>
            <w:pPr>
              <w:jc w:val="right"/>
              <w:spacing w:after="0"/>
              <w:rPr>
                <w:sz w:val="20"/>
                <w:szCs w:val="20"/>
                <w:color w:val="auto"/>
              </w:rPr>
            </w:pPr>
            <w:r>
              <w:rPr>
                <w:rFonts w:ascii="Arial" w:cs="Arial" w:eastAsia="Arial" w:hAnsi="Arial"/>
                <w:sz w:val="18"/>
                <w:szCs w:val="18"/>
                <w:color w:val="auto"/>
              </w:rPr>
              <w:t>5,203,202</w:t>
            </w:r>
          </w:p>
        </w:tc>
        <w:tc>
          <w:tcPr>
            <w:tcW w:w="600" w:type="dxa"/>
            <w:vAlign w:val="bottom"/>
            <w:gridSpan w:val="2"/>
          </w:tcPr>
          <w:p>
            <w:pPr>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New Director</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Nominee and Other Named</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9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13,949,651</w:t>
            </w:r>
          </w:p>
        </w:tc>
        <w:tc>
          <w:tcPr>
            <w:tcW w:w="600" w:type="dxa"/>
            <w:vAlign w:val="bottom"/>
            <w:gridSpan w:val="2"/>
          </w:tcPr>
          <w:p>
            <w:pPr>
              <w:spacing w:after="0"/>
              <w:rPr>
                <w:sz w:val="20"/>
                <w:szCs w:val="20"/>
                <w:color w:val="auto"/>
              </w:rPr>
            </w:pPr>
            <w:r>
              <w:rPr>
                <w:rFonts w:ascii="Arial" w:cs="Arial" w:eastAsia="Arial" w:hAnsi="Arial"/>
                <w:sz w:val="18"/>
                <w:szCs w:val="18"/>
                <w:color w:val="auto"/>
              </w:rPr>
              <w:t>(5)</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26.8%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154,614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900" w:type="dxa"/>
            <w:vAlign w:val="bottom"/>
          </w:tcPr>
          <w:p>
            <w:pPr>
              <w:jc w:val="right"/>
              <w:spacing w:after="0"/>
              <w:rPr>
                <w:sz w:val="20"/>
                <w:szCs w:val="20"/>
                <w:color w:val="auto"/>
              </w:rPr>
            </w:pPr>
            <w:r>
              <w:rPr>
                <w:rFonts w:ascii="Arial" w:cs="Arial" w:eastAsia="Arial" w:hAnsi="Arial"/>
                <w:sz w:val="18"/>
                <w:szCs w:val="18"/>
                <w:color w:val="auto"/>
              </w:rPr>
              <w:t>301,110</w:t>
            </w:r>
          </w:p>
        </w:tc>
        <w:tc>
          <w:tcPr>
            <w:tcW w:w="600" w:type="dxa"/>
            <w:vAlign w:val="bottom"/>
            <w:gridSpan w:val="2"/>
          </w:tcPr>
          <w:p>
            <w:pPr>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127,383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900" w:type="dxa"/>
            <w:vAlign w:val="bottom"/>
          </w:tcPr>
          <w:p>
            <w:pPr>
              <w:jc w:val="right"/>
              <w:spacing w:after="0"/>
              <w:rPr>
                <w:sz w:val="20"/>
                <w:szCs w:val="20"/>
                <w:color w:val="auto"/>
              </w:rPr>
            </w:pPr>
            <w:r>
              <w:rPr>
                <w:rFonts w:ascii="Arial" w:cs="Arial" w:eastAsia="Arial" w:hAnsi="Arial"/>
                <w:sz w:val="18"/>
                <w:szCs w:val="18"/>
                <w:color w:val="auto"/>
              </w:rPr>
              <w:t>179,144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114,331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900" w:type="dxa"/>
            <w:vAlign w:val="bottom"/>
          </w:tcPr>
          <w:p>
            <w:pPr>
              <w:jc w:val="right"/>
              <w:spacing w:after="0"/>
              <w:rPr>
                <w:sz w:val="20"/>
                <w:szCs w:val="20"/>
                <w:color w:val="auto"/>
              </w:rPr>
            </w:pPr>
            <w:r>
              <w:rPr>
                <w:rFonts w:ascii="Arial" w:cs="Arial" w:eastAsia="Arial" w:hAnsi="Arial"/>
                <w:sz w:val="18"/>
                <w:szCs w:val="18"/>
                <w:color w:val="auto"/>
              </w:rPr>
              <w:t>58,875</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5,203,202</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900" w:type="dxa"/>
            <w:vAlign w:val="bottom"/>
          </w:tcPr>
          <w:p>
            <w:pPr>
              <w:jc w:val="right"/>
              <w:spacing w:after="0"/>
              <w:rPr>
                <w:sz w:val="20"/>
                <w:szCs w:val="20"/>
                <w:color w:val="auto"/>
              </w:rPr>
            </w:pPr>
            <w:r>
              <w:rPr>
                <w:rFonts w:ascii="Arial" w:cs="Arial" w:eastAsia="Arial" w:hAnsi="Arial"/>
                <w:sz w:val="18"/>
                <w:szCs w:val="18"/>
                <w:color w:val="auto"/>
              </w:rPr>
              <w:t>820,029</w:t>
            </w:r>
          </w:p>
        </w:tc>
        <w:tc>
          <w:tcPr>
            <w:tcW w:w="600" w:type="dxa"/>
            <w:vAlign w:val="bottom"/>
            <w:gridSpan w:val="2"/>
          </w:tcPr>
          <w:p>
            <w:pPr>
              <w:spacing w:after="0"/>
              <w:rPr>
                <w:sz w:val="20"/>
                <w:szCs w:val="20"/>
                <w:color w:val="auto"/>
              </w:rPr>
            </w:pPr>
            <w:r>
              <w:rPr>
                <w:rFonts w:ascii="Arial" w:cs="Arial" w:eastAsia="Arial" w:hAnsi="Arial"/>
                <w:sz w:val="18"/>
                <w:szCs w:val="18"/>
                <w:color w:val="auto"/>
              </w:rPr>
              <w:t>(13)</w:t>
            </w:r>
          </w:p>
        </w:tc>
        <w:tc>
          <w:tcPr>
            <w:tcW w:w="1340" w:type="dxa"/>
            <w:vAlign w:val="bottom"/>
            <w:gridSpan w:val="3"/>
          </w:tcPr>
          <w:p>
            <w:pPr>
              <w:jc w:val="right"/>
              <w:ind w:right="2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900" w:type="dxa"/>
            <w:vAlign w:val="bottom"/>
          </w:tcPr>
          <w:p>
            <w:pPr>
              <w:jc w:val="right"/>
              <w:spacing w:after="0"/>
              <w:rPr>
                <w:sz w:val="20"/>
                <w:szCs w:val="20"/>
                <w:color w:val="auto"/>
              </w:rPr>
            </w:pPr>
            <w:r>
              <w:rPr>
                <w:rFonts w:ascii="Arial" w:cs="Arial" w:eastAsia="Arial" w:hAnsi="Arial"/>
                <w:sz w:val="18"/>
                <w:szCs w:val="18"/>
                <w:color w:val="auto"/>
              </w:rPr>
              <w:t>215,966</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(11 persons)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21,386,011</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w:t>
            </w:r>
          </w:p>
        </w:tc>
        <w:tc>
          <w:tcPr>
            <w:tcW w:w="1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8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220" w:hanging="436"/>
        <w:spacing w:after="0" w:line="261"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24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February 20, 2019.</w:t>
      </w:r>
    </w:p>
    <w:p>
      <w:pPr>
        <w:spacing w:after="0" w:line="5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2740" w:type="dxa"/>
            <w:vAlign w:val="bottom"/>
            <w:gridSpan w:val="3"/>
          </w:tcPr>
          <w:p>
            <w:pPr>
              <w:jc w:val="center"/>
              <w:ind w:left="1292"/>
              <w:spacing w:after="0"/>
              <w:rPr>
                <w:sz w:val="20"/>
                <w:szCs w:val="20"/>
                <w:color w:val="auto"/>
              </w:rPr>
            </w:pPr>
            <w:r>
              <w:rPr>
                <w:rFonts w:ascii="Arial" w:cs="Arial" w:eastAsia="Arial" w:hAnsi="Arial"/>
                <w:sz w:val="14"/>
                <w:szCs w:val="14"/>
                <w:b w:val="1"/>
                <w:bCs w:val="1"/>
                <w:color w:val="auto"/>
                <w:w w:val="92"/>
              </w:rPr>
              <w:t>Options Exercisable</w:t>
            </w:r>
          </w:p>
        </w:tc>
        <w:tc>
          <w:tcPr>
            <w:tcW w:w="0" w:type="dxa"/>
            <w:vAlign w:val="bottom"/>
          </w:tcPr>
          <w:p>
            <w:pPr>
              <w:spacing w:after="0"/>
              <w:rPr>
                <w:sz w:val="1"/>
                <w:szCs w:val="1"/>
                <w:color w:val="auto"/>
              </w:rPr>
            </w:pPr>
          </w:p>
        </w:tc>
      </w:tr>
      <w:tr>
        <w:trPr>
          <w:trHeight w:val="178"/>
        </w:trPr>
        <w:tc>
          <w:tcPr>
            <w:tcW w:w="4740" w:type="dxa"/>
            <w:vAlign w:val="bottom"/>
            <w:gridSpan w:val="3"/>
            <w:vMerge w:val="continue"/>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Within 60 Days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15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700,125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103,750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369,109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144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14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40" w:right="20" w:hanging="436"/>
        <w:spacing w:after="0" w:line="254"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45,550,226 shares of our common stock outstanding as of February 20, 2019 and (ii) the number of shares of our common stock that such person has the right to acquire within 60 days after February 20, 2019.</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1,327,500 shares of Series A preferred stock outstanding as of February 20, 2019.</w:t>
      </w:r>
    </w:p>
    <w:p>
      <w:pPr>
        <w:spacing w:after="0" w:line="9"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(i) 12,343,229 shares of common stock held by 10X Fund, L.P., as to which Mr. Czirr, in his capacity as a managing member of 10X Capital Management Fund, LLC, a Florida limited liability company and general partner of 10X Fund (referred to herein as 10X Management) has shared voting and investment power, and disclaims beneficial ownership, which shares consist of: 5,823,680 common shares issuable upon exercise of warrants; shares of common stock acquired upon exercise of warrants; and common shares issued as stock dividends paid on the Series B preferred stock which is net of shares sold or distributed to 10X Fund, L.P.; and (ii) 1,606,422 shares of common stock owned directly by</w:t>
      </w:r>
    </w:p>
    <w:p>
      <w:pPr>
        <w:spacing w:after="0" w:line="3" w:lineRule="exact"/>
        <w:rPr>
          <w:rFonts w:ascii="Arial" w:cs="Arial" w:eastAsia="Arial" w:hAnsi="Arial"/>
          <w:sz w:val="16"/>
          <w:szCs w:val="16"/>
          <w:color w:val="auto"/>
        </w:rPr>
      </w:pPr>
    </w:p>
    <w:p>
      <w:pPr>
        <w:ind w:left="640" w:right="240"/>
        <w:spacing w:after="0" w:line="281" w:lineRule="auto"/>
        <w:rPr>
          <w:rFonts w:ascii="Arial" w:cs="Arial" w:eastAsia="Arial" w:hAnsi="Arial"/>
          <w:sz w:val="16"/>
          <w:szCs w:val="16"/>
          <w:color w:val="auto"/>
        </w:rPr>
      </w:pPr>
      <w:r>
        <w:rPr>
          <w:rFonts w:ascii="Arial" w:cs="Arial" w:eastAsia="Arial" w:hAnsi="Arial"/>
          <w:sz w:val="16"/>
          <w:szCs w:val="16"/>
          <w:color w:val="auto"/>
        </w:rPr>
        <w:t>Mr. Czirr, consisting of 889,630 shares of common stock owned by Mr. Czirr, 700,125 shares issuable upon the exercise of vested stock options owned by Mr. Czirr, and 16,667 shares of our common stock issuable upon conversion of Series A preferred stock owned by Mr. Czirr.</w:t>
      </w:r>
    </w:p>
    <w:p>
      <w:pPr>
        <w:spacing w:after="0" w:line="1" w:lineRule="exact"/>
        <w:rPr>
          <w:rFonts w:ascii="Arial" w:cs="Arial" w:eastAsia="Arial" w:hAnsi="Arial"/>
          <w:sz w:val="16"/>
          <w:szCs w:val="16"/>
          <w:color w:val="auto"/>
        </w:rPr>
      </w:pPr>
    </w:p>
    <w:p>
      <w:pPr>
        <w:jc w:val="both"/>
        <w:ind w:left="640" w:right="80" w:hanging="436"/>
        <w:spacing w:after="0" w:line="281"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5,823,680 common shares issuable upon exercise of warrants; shares of common stock acquired upon exercise of warrants; and common shares issued as stock dividends paid on the Series B preferred stock which is net of shares sold or distributed to 10X Fund limited partners, as to which Mr. Czirr, in his capacity as a managing member of 10X Capital Management Fund, LLC, a Florida limited liability company and general partner of 10X Fund, has voting and investment power, and disclaims beneficial ownership, of these securities.</w:t>
      </w:r>
    </w:p>
    <w:p>
      <w:pPr>
        <w:spacing w:after="0" w:line="2" w:lineRule="exact"/>
        <w:rPr>
          <w:rFonts w:ascii="Arial" w:cs="Arial" w:eastAsia="Arial" w:hAnsi="Arial"/>
          <w:sz w:val="16"/>
          <w:szCs w:val="16"/>
          <w:color w:val="auto"/>
        </w:rPr>
      </w:pPr>
    </w:p>
    <w:p>
      <w:pPr>
        <w:ind w:left="640" w:right="10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Smith is the manager of Fivex LLC, a Connecticut limited liability company, and may be deemed to have voting and investment control over, but disclaims beneficial ownership of, the shares of Series A preferred stock.</w:t>
      </w:r>
    </w:p>
    <w:p>
      <w:pPr>
        <w:ind w:left="640" w:right="5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10X Capital Management, LLC at Investment Law Group attn: Bob Mottern 545 Dutch Valley Road NE, Suite A, Atlanta, GA 30324.</w:t>
      </w: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640" w:right="30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166,728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280" w:hanging="436"/>
        <w:spacing w:after="0" w:line="25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 2,606,789 shares of common stock, (ii) 2,466,204 common shares issuable upon the exercise of common stock purchase warrants, (iii) 46,875 common shares issuable upon the exercise of common stock options, and (iv) 83,334 common shares issuable upon conversion of Series C preferred non-voting stock.</w:t>
      </w:r>
    </w:p>
    <w:p>
      <w:pPr>
        <w:ind w:left="640" w:right="28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41,382 shares of common stock, 16,111 common stock purchase warrants, and 46,875 common stock options personally owned by Mr. Eldred and 409,538 shares of common stock and 306,123 common stock purchase warrants owned by trusts over which Mr. Eldred shares management control; however, Mr. Eldred disclaims beneficial ownership of the shares and warrants owned by such trusts.</w:t>
      </w:r>
    </w:p>
    <w:p>
      <w:pPr>
        <w:spacing w:after="0" w:line="2" w:lineRule="exact"/>
        <w:rPr>
          <w:rFonts w:ascii="Arial" w:cs="Arial" w:eastAsia="Arial" w:hAnsi="Arial"/>
          <w:sz w:val="16"/>
          <w:szCs w:val="16"/>
          <w:color w:val="auto"/>
        </w:rPr>
      </w:pPr>
    </w:p>
    <w:p>
      <w:pPr>
        <w:ind w:left="640" w:right="100" w:hanging="436"/>
        <w:spacing w:after="0" w:line="254"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5,823,680 common shares issuable upon exercise of warrants and common shares acquired upon exercise of warrants or issued as stock dividends on the Series B preferred stock net of shares sold or distributed to 10X Fund limited partners, as to which Mr. Czirr has voting and investment control but are counted one time for purposes of this total. For additional information about the beneficial ownership of our capital stock by Mr. Czirr, see note 5.</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table provides information as of December 31, 2018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520" w:type="dxa"/>
            <w:vAlign w:val="bottom"/>
            <w:gridSpan w:val="3"/>
          </w:tcPr>
          <w:p>
            <w:pPr>
              <w:jc w:val="center"/>
              <w:ind w:left="876"/>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80" w:type="dxa"/>
            <w:vAlign w:val="bottom"/>
            <w:gridSpan w:val="2"/>
            <w:vMerge w:val="restart"/>
          </w:tcPr>
          <w:p>
            <w:pPr>
              <w:jc w:val="center"/>
              <w:ind w:left="459"/>
              <w:spacing w:after="0"/>
              <w:rPr>
                <w:sz w:val="20"/>
                <w:szCs w:val="20"/>
                <w:color w:val="auto"/>
              </w:rPr>
            </w:pPr>
            <w:r>
              <w:rPr>
                <w:rFonts w:ascii="Arial" w:cs="Arial" w:eastAsia="Arial" w:hAnsi="Arial"/>
                <w:sz w:val="14"/>
                <w:szCs w:val="14"/>
                <w:b w:val="1"/>
                <w:bCs w:val="1"/>
                <w:color w:val="auto"/>
                <w:w w:val="92"/>
              </w:rPr>
              <w:t>Number of Securities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2020" w:type="dxa"/>
            <w:vAlign w:val="bottom"/>
            <w:gridSpan w:val="3"/>
          </w:tcPr>
          <w:p>
            <w:pPr>
              <w:ind w:left="10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20" w:type="dxa"/>
            <w:vAlign w:val="bottom"/>
          </w:tcPr>
          <w:p>
            <w:pPr>
              <w:spacing w:after="0"/>
              <w:rPr>
                <w:sz w:val="12"/>
                <w:szCs w:val="12"/>
                <w:color w:val="auto"/>
              </w:rPr>
            </w:pP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3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20" w:type="dxa"/>
            <w:vAlign w:val="bottom"/>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372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tcPr>
          <w:p>
            <w:pPr>
              <w:spacing w:after="0"/>
              <w:rPr>
                <w:sz w:val="13"/>
                <w:szCs w:val="13"/>
                <w:color w:val="auto"/>
              </w:rPr>
            </w:pP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5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2,213,979</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889,920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5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gridSpan w:val="2"/>
          </w:tcPr>
          <w:p>
            <w:pPr>
              <w:ind w:left="160"/>
              <w:spacing w:after="0"/>
              <w:rPr>
                <w:sz w:val="20"/>
                <w:szCs w:val="20"/>
                <w:color w:val="auto"/>
              </w:rPr>
            </w:pPr>
            <w:r>
              <w:rPr>
                <w:rFonts w:ascii="Arial" w:cs="Arial" w:eastAsia="Arial" w:hAnsi="Arial"/>
                <w:sz w:val="18"/>
                <w:szCs w:val="18"/>
                <w:color w:val="auto"/>
              </w:rPr>
              <w:t>security holders (1)</w:t>
            </w:r>
          </w:p>
        </w:tc>
        <w:tc>
          <w:tcPr>
            <w:tcW w:w="5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500,000</w:t>
            </w:r>
          </w:p>
        </w:tc>
        <w:tc>
          <w:tcPr>
            <w:tcW w:w="1120" w:type="dxa"/>
            <w:vAlign w:val="bottom"/>
            <w:gridSpan w:val="2"/>
          </w:tcPr>
          <w:p>
            <w:pPr>
              <w:ind w:left="10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1020" w:type="dxa"/>
            <w:vAlign w:val="bottom"/>
          </w:tcPr>
          <w:p>
            <w:pPr>
              <w:spacing w:after="0"/>
              <w:rPr>
                <w:sz w:val="20"/>
                <w:szCs w:val="20"/>
                <w:color w:val="auto"/>
              </w:rPr>
            </w:pP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2,713,979</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889,920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line="342"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26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Except as set forth below, since the beginning of fiscal year 2018,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2018.</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shareholder who has an approximate 7% ownership interest in the Company on a fully-diluted basis at December 31, 2017. Originally, borrowings may be made by the Company through December 31, 2018. Borrowings bear interest at the Applicable Federal Rate for short term loans published by the Internal Revenue Service (2.7% in January 2019). All borrowings and interest are due on December 31, 2019 but may be</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As of the date of this Annual Report, there have been no borrowings under the Line of Credit.</w:t>
      </w:r>
    </w:p>
    <w:p>
      <w:pPr>
        <w:spacing w:after="0" w:line="166"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December 20, 2018, the Line of Credit arrangement was extended for one year for both borrowings and maturity. Further, on January 15,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the Company, either directly or indirectly. Based upon this review, our board has determined that all of our directors other than Mr. Czirr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Lewis,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Lewis is an “audit committee financial expert” within the meaning of SEC rules. With respect to our compensation committee, our board of directors has determined that Drs. Omenn, Amelio and Mr. Lewis satisfy the independence standards for such committee established by Rule 10C-1 under the Exchange Act, the SEC and the NASDAQ Marketplace Rules, as applicable.</w:t>
      </w:r>
    </w:p>
    <w:p>
      <w:pPr>
        <w:spacing w:after="0" w:line="17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2018.</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Fiscal Year</w:t>
            </w:r>
          </w:p>
        </w:tc>
        <w:tc>
          <w:tcPr>
            <w:tcW w:w="5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2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2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$155,000</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$ 123,000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Audit-Related Fees (2)</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23,300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All Other Fees</w:t>
            </w:r>
          </w:p>
        </w:tc>
        <w:tc>
          <w:tcPr>
            <w:tcW w:w="2360" w:type="dxa"/>
            <w:vAlign w:val="bottom"/>
          </w:tcPr>
          <w:p>
            <w:pPr>
              <w:spacing w:after="0"/>
              <w:rPr>
                <w:sz w:val="19"/>
                <w:szCs w:val="19"/>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Fees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191,700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$ 141,630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line="291"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for professional services for the audit of our annual financial statements dated December 31, 2018 and 2017 and the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internal control over financial reporting for the Company as of December 31, 2018 included in our Annual Reports on Form</w:t>
      </w:r>
    </w:p>
    <w:p>
      <w:pPr>
        <w:ind w:left="640" w:right="20"/>
        <w:spacing w:after="0" w:line="250" w:lineRule="auto"/>
        <w:rPr>
          <w:rFonts w:ascii="Arial" w:cs="Arial" w:eastAsia="Arial" w:hAnsi="Arial"/>
          <w:sz w:val="16"/>
          <w:szCs w:val="16"/>
          <w:color w:val="auto"/>
        </w:rPr>
      </w:pPr>
      <w:r>
        <w:rPr>
          <w:rFonts w:ascii="Arial" w:cs="Arial" w:eastAsia="Arial" w:hAnsi="Arial"/>
          <w:sz w:val="18"/>
          <w:szCs w:val="18"/>
          <w:color w:val="auto"/>
        </w:rPr>
        <w:t>10-K for fiscal years then ended, and review of financial statements included in our Quarterly Reports on Form 10-Q for each fiscal quarter during the 2018 and 2017 fiscal years.</w:t>
      </w:r>
    </w:p>
    <w:p>
      <w:pPr>
        <w:ind w:left="640" w:right="100" w:hanging="436"/>
        <w:spacing w:after="0" w:line="254"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58"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1. Consolidated Financial Statement Schedules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0320" w:type="dxa"/>
            <w:vAlign w:val="bottom"/>
            <w:gridSpan w:val="22"/>
          </w:tcPr>
          <w:p>
            <w:pPr>
              <w:ind w:left="160"/>
              <w:spacing w:after="0"/>
              <w:rPr>
                <w:sz w:val="20"/>
                <w:szCs w:val="20"/>
                <w:color w:val="auto"/>
              </w:rPr>
            </w:pPr>
            <w:r>
              <w:rPr>
                <w:rFonts w:ascii="Arial" w:cs="Arial" w:eastAsia="Arial" w:hAnsi="Arial"/>
                <w:sz w:val="18"/>
                <w:szCs w:val="18"/>
                <w:color w:val="auto"/>
              </w:rPr>
              <w:t>The Consolidated Financial Statements are filed as part of this report.</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320" w:type="dxa"/>
            <w:vAlign w:val="bottom"/>
            <w:gridSpan w:val="22"/>
          </w:tcPr>
          <w:p>
            <w:pPr>
              <w:ind w:left="160"/>
              <w:spacing w:after="0"/>
              <w:rPr>
                <w:sz w:val="20"/>
                <w:szCs w:val="20"/>
                <w:color w:val="auto"/>
              </w:rPr>
            </w:pPr>
            <w:r>
              <w:rPr>
                <w:rFonts w:ascii="Arial" w:cs="Arial" w:eastAsia="Arial" w:hAnsi="Arial"/>
                <w:sz w:val="18"/>
                <w:szCs w:val="18"/>
                <w:color w:val="auto"/>
              </w:rPr>
              <w:t>2. Consolidated Financial Statement Schedules</w:t>
            </w:r>
          </w:p>
        </w:tc>
        <w:tc>
          <w:tcPr>
            <w:tcW w:w="0" w:type="dxa"/>
            <w:vAlign w:val="bottom"/>
          </w:tcPr>
          <w:p>
            <w:pPr>
              <w:spacing w:after="0"/>
              <w:rPr>
                <w:sz w:val="1"/>
                <w:szCs w:val="1"/>
                <w:color w:val="auto"/>
              </w:rPr>
            </w:pPr>
          </w:p>
        </w:tc>
      </w:tr>
      <w:tr>
        <w:trPr>
          <w:trHeight w:val="310"/>
        </w:trPr>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740" w:type="dxa"/>
            <w:vAlign w:val="bottom"/>
            <w:gridSpan w:val="21"/>
          </w:tcPr>
          <w:p>
            <w:pPr>
              <w:ind w:left="160"/>
              <w:spacing w:after="0"/>
              <w:rPr>
                <w:sz w:val="20"/>
                <w:szCs w:val="20"/>
                <w:color w:val="auto"/>
              </w:rPr>
            </w:pPr>
            <w:r>
              <w:rPr>
                <w:rFonts w:ascii="Arial" w:cs="Arial" w:eastAsia="Arial" w:hAnsi="Arial"/>
                <w:sz w:val="18"/>
                <w:szCs w:val="18"/>
                <w:color w:val="auto"/>
                <w:w w:val="90"/>
              </w:rPr>
              <w:t>All schedules are omitted because of the absence of conditions under which they are required or because the required information is</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740" w:type="dxa"/>
            <w:vAlign w:val="bottom"/>
            <w:gridSpan w:val="21"/>
          </w:tcPr>
          <w:p>
            <w:pPr>
              <w:ind w:left="160"/>
              <w:spacing w:after="0"/>
              <w:rPr>
                <w:sz w:val="20"/>
                <w:szCs w:val="20"/>
                <w:color w:val="auto"/>
              </w:rPr>
            </w:pPr>
            <w:r>
              <w:rPr>
                <w:rFonts w:ascii="Arial" w:cs="Arial" w:eastAsia="Arial" w:hAnsi="Arial"/>
                <w:sz w:val="18"/>
                <w:szCs w:val="18"/>
                <w:color w:val="auto"/>
              </w:rPr>
              <w:t>included in the Consolidated Financial Statements or notes thereto.</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320" w:type="dxa"/>
            <w:vAlign w:val="bottom"/>
            <w:gridSpan w:val="22"/>
          </w:tcPr>
          <w:p>
            <w:pPr>
              <w:ind w:left="160"/>
              <w:spacing w:after="0"/>
              <w:rPr>
                <w:sz w:val="20"/>
                <w:szCs w:val="20"/>
                <w:color w:val="auto"/>
              </w:rPr>
            </w:pPr>
            <w:r>
              <w:rPr>
                <w:rFonts w:ascii="Arial" w:cs="Arial" w:eastAsia="Arial" w:hAnsi="Arial"/>
                <w:sz w:val="18"/>
                <w:szCs w:val="18"/>
                <w:color w:val="auto"/>
              </w:rPr>
              <w:t>3. Exhibits</w:t>
            </w:r>
          </w:p>
        </w:tc>
        <w:tc>
          <w:tcPr>
            <w:tcW w:w="0" w:type="dxa"/>
            <w:vAlign w:val="bottom"/>
          </w:tcPr>
          <w:p>
            <w:pPr>
              <w:spacing w:after="0"/>
              <w:rPr>
                <w:sz w:val="1"/>
                <w:szCs w:val="1"/>
                <w:color w:val="auto"/>
              </w:rPr>
            </w:pPr>
          </w:p>
        </w:tc>
      </w:tr>
      <w:tr>
        <w:trPr>
          <w:trHeight w:val="369"/>
        </w:trPr>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740" w:type="dxa"/>
            <w:vAlign w:val="bottom"/>
            <w:gridSpan w:val="21"/>
            <w:vMerge w:val="restart"/>
          </w:tcPr>
          <w:p>
            <w:pPr>
              <w:ind w:left="4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7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700" w:type="dxa"/>
            <w:vAlign w:val="bottom"/>
          </w:tcPr>
          <w:p>
            <w:pPr>
              <w:ind w:left="18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3"/>
                <w:szCs w:val="23"/>
                <w:color w:val="auto"/>
              </w:rPr>
            </w:pPr>
          </w:p>
        </w:tc>
        <w:tc>
          <w:tcPr>
            <w:tcW w:w="6580" w:type="dxa"/>
            <w:vAlign w:val="bottom"/>
            <w:tcBorders>
              <w:bottom w:val="single" w:sz="8" w:color="0000EE"/>
            </w:tcBorders>
            <w:gridSpan w:val="7"/>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Amended and Restated Articles of Incorporation of Galectin Therapeutics Inc., as amended</w:t>
              </w:r>
            </w:hyperlink>
          </w:p>
        </w:tc>
        <w:tc>
          <w:tcPr>
            <w:tcW w:w="3160" w:type="dxa"/>
            <w:vAlign w:val="bottom"/>
            <w:gridSpan w:val="14"/>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Amended and Restated Bylaws of Galectin Therapeutics Inc., as amended (Incorporated by reference to the Company’s Current Report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7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on Form 8-K filed with the Commission on September 27, 2016.)</w:t>
              </w:r>
            </w:hyperlink>
          </w:p>
        </w:tc>
        <w:tc>
          <w:tcPr>
            <w:tcW w:w="50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9740" w:type="dxa"/>
            <w:vAlign w:val="bottom"/>
            <w:tcBorders>
              <w:bottom w:val="single" w:sz="8" w:color="0000EE"/>
            </w:tcBorders>
            <w:gridSpan w:val="2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Certificate of Designation of Preferences, Rights and Limitations of Series A 12% Convertible Preferred Stock of Pro Pharmaceuticals,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6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Inc., as filed with the Secretary of State of the State of Nevada on October 5, 2007. (Incorporated by reference to the Company’s</w:t>
              </w:r>
            </w:hyperlink>
          </w:p>
        </w:tc>
        <w:tc>
          <w:tcPr>
            <w:tcW w:w="4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Current Report on Form 8-K filed with the Commission on October 9, 2007.)</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9680" w:type="dxa"/>
            <w:vAlign w:val="bottom"/>
            <w:tcBorders>
              <w:bottom w:val="single" w:sz="8" w:color="0000EE"/>
            </w:tcBorders>
            <w:gridSpan w:val="20"/>
          </w:tcPr>
          <w:p>
            <w:pPr>
              <w:spacing w:after="0"/>
              <w:rPr>
                <w:rFonts w:ascii="Arial" w:cs="Arial" w:eastAsia="Arial" w:hAnsi="Arial"/>
                <w:sz w:val="18"/>
                <w:szCs w:val="18"/>
                <w:color w:val="0000EE"/>
                <w:w w:val="91"/>
              </w:rPr>
            </w:pPr>
            <w:hyperlink r:id="rId96">
              <w:r>
                <w:rPr>
                  <w:rFonts w:ascii="Arial" w:cs="Arial" w:eastAsia="Arial" w:hAnsi="Arial"/>
                  <w:sz w:val="18"/>
                  <w:szCs w:val="18"/>
                  <w:color w:val="0000EE"/>
                  <w:w w:val="91"/>
                </w:rPr>
                <w:t>First Amendment to Certificate of Designation of Preferences, Rights and Limitations of Series A 12% Convertible Preferred Stock of</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Galectin Therapeutics, Inc., as filed with the Secretary of State of the State of Nevada on May 15, 2017. (Incorporated by reference to</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5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the Company’s Current Report on Form 8-K filed with the Commission on May 19, 2017.)</w:t>
              </w:r>
            </w:hyperlink>
          </w:p>
        </w:tc>
        <w:tc>
          <w:tcPr>
            <w:tcW w:w="32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24"/>
                <w:szCs w:val="24"/>
                <w:color w:val="auto"/>
              </w:rPr>
            </w:pPr>
          </w:p>
        </w:tc>
        <w:tc>
          <w:tcPr>
            <w:tcW w:w="9580" w:type="dxa"/>
            <w:vAlign w:val="bottom"/>
            <w:tcBorders>
              <w:bottom w:val="single" w:sz="8" w:color="0000EE"/>
            </w:tcBorders>
            <w:gridSpan w:val="15"/>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Second Amended and Restated Certificate of Designation of Preferences, Rights and Limitations of Series B-1 Convertible Preferred</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Stock, Series B-2 Convertible Preferred Stock and Series B-3 Convertible Preferred Stock of Galectin Therapeutics, Inc., as filed with</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1"/>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the Secretary of State of the State of Nevada on September 22, 2016. (Incorporated by reference to the Company’s Current Report 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Form 8-K filed with the Commission on September 27, 2016.)</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24"/>
                <w:szCs w:val="24"/>
                <w:color w:val="auto"/>
              </w:rPr>
            </w:pPr>
          </w:p>
        </w:tc>
        <w:tc>
          <w:tcPr>
            <w:tcW w:w="9740" w:type="dxa"/>
            <w:vAlign w:val="bottom"/>
            <w:gridSpan w:val="21"/>
          </w:tcPr>
          <w:p>
            <w:pPr>
              <w:spacing w:after="0"/>
              <w:rPr>
                <w:rFonts w:ascii="Arial" w:cs="Arial" w:eastAsia="Arial" w:hAnsi="Arial"/>
                <w:sz w:val="18"/>
                <w:szCs w:val="18"/>
                <w:color w:val="0000EE"/>
                <w:w w:val="93"/>
              </w:rPr>
            </w:pPr>
            <w:hyperlink r:id="rId98">
              <w:r>
                <w:rPr>
                  <w:rFonts w:ascii="Arial" w:cs="Arial" w:eastAsia="Arial" w:hAnsi="Arial"/>
                  <w:sz w:val="18"/>
                  <w:szCs w:val="18"/>
                  <w:color w:val="0000EE"/>
                  <w:w w:val="93"/>
                </w:rPr>
                <w:t>First Amendment to Second Amended and Restated Certificate of Designation of Preferences, Rights and Limitations of Series B-1</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60" w:type="dxa"/>
            <w:vAlign w:val="bottom"/>
            <w:tcBorders>
              <w:top w:val="single" w:sz="8" w:color="0000EE"/>
            </w:tcBorders>
            <w:gridSpan w:val="14"/>
          </w:tcPr>
          <w:p>
            <w:pPr>
              <w:spacing w:after="0" w:line="196" w:lineRule="exact"/>
              <w:rPr>
                <w:rFonts w:ascii="Arial" w:cs="Arial" w:eastAsia="Arial" w:hAnsi="Arial"/>
                <w:sz w:val="18"/>
                <w:szCs w:val="18"/>
                <w:color w:val="0000EE"/>
                <w:w w:val="96"/>
              </w:rPr>
            </w:pPr>
            <w:hyperlink r:id="rId98">
              <w:r>
                <w:rPr>
                  <w:rFonts w:ascii="Arial" w:cs="Arial" w:eastAsia="Arial" w:hAnsi="Arial"/>
                  <w:sz w:val="18"/>
                  <w:szCs w:val="18"/>
                  <w:color w:val="0000EE"/>
                  <w:w w:val="96"/>
                </w:rPr>
                <w:t>Convertible Preferred Stock, Series B-2 Convertible Preferred Stock and Series B-3 Convertible Preferred Stock of Galectin</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1"/>
          </w:tcPr>
          <w:p>
            <w:pPr>
              <w:spacing w:after="0" w:line="19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Therapeutics, Inc., as filed with the Secretary of State of the State of Nevada on May 15, 2017. (Incorporated by reference to the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Company’s Current Report on Form 8-K filed with the Commission on May 19, 2017.)</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9740" w:type="dxa"/>
            <w:vAlign w:val="bottom"/>
            <w:gridSpan w:val="21"/>
          </w:tcPr>
          <w:p>
            <w:pPr>
              <w:spacing w:after="0"/>
              <w:rPr>
                <w:rFonts w:ascii="Arial" w:cs="Arial" w:eastAsia="Arial" w:hAnsi="Arial"/>
                <w:sz w:val="18"/>
                <w:szCs w:val="18"/>
                <w:color w:val="0000EE"/>
                <w:w w:val="92"/>
              </w:rPr>
            </w:pPr>
            <w:hyperlink r:id="rId99">
              <w:r>
                <w:rPr>
                  <w:rFonts w:ascii="Arial" w:cs="Arial" w:eastAsia="Arial" w:hAnsi="Arial"/>
                  <w:sz w:val="18"/>
                  <w:szCs w:val="18"/>
                  <w:color w:val="0000EE"/>
                  <w:w w:val="92"/>
                </w:rPr>
                <w:t>Certificate of Designation of Preferences, Rights and Limitations of Common Stock (Class W) of Galectin Therapeutics, Inc., as filed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20" w:type="dxa"/>
            <w:vAlign w:val="bottom"/>
            <w:tcBorders>
              <w:top w:val="single" w:sz="8" w:color="0000EE"/>
            </w:tcBorders>
            <w:gridSpan w:val="17"/>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with the Secretary of State of the State of Nevada on February 13, 2017. (Incorporated by reference to the Company’s Current Report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on Form 8-K filed with the Commission on February 17, 2017.)</w:t>
              </w:r>
            </w:hyperlink>
          </w:p>
        </w:tc>
        <w:tc>
          <w:tcPr>
            <w:tcW w:w="5000" w:type="dxa"/>
            <w:vAlign w:val="bottom"/>
            <w:tcBorders>
              <w:top w:val="single" w:sz="8" w:color="0000EE"/>
            </w:tcBorders>
            <w:gridSpan w:val="14"/>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4"/>
                <w:szCs w:val="24"/>
                <w:color w:val="auto"/>
              </w:rPr>
            </w:pPr>
          </w:p>
        </w:tc>
        <w:tc>
          <w:tcPr>
            <w:tcW w:w="9740" w:type="dxa"/>
            <w:vAlign w:val="bottom"/>
            <w:gridSpan w:val="21"/>
          </w:tcPr>
          <w:p>
            <w:pPr>
              <w:spacing w:after="0"/>
              <w:rPr>
                <w:rFonts w:ascii="Arial" w:cs="Arial" w:eastAsia="Arial" w:hAnsi="Arial"/>
                <w:sz w:val="18"/>
                <w:szCs w:val="18"/>
                <w:color w:val="0000EE"/>
                <w:w w:val="97"/>
              </w:rPr>
            </w:pPr>
            <w:hyperlink r:id="rId100">
              <w:r>
                <w:rPr>
                  <w:rFonts w:ascii="Arial" w:cs="Arial" w:eastAsia="Arial" w:hAnsi="Arial"/>
                  <w:sz w:val="18"/>
                  <w:szCs w:val="18"/>
                  <w:color w:val="0000EE"/>
                  <w:w w:val="97"/>
                </w:rPr>
                <w:t>First Amendment to Certificate of Designation of Preferences, Rights and Limitations of Common Stock (Class W) of Galectin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0" w:type="dxa"/>
            <w:vAlign w:val="bottom"/>
            <w:gridSpan w:val="8"/>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740" w:type="dxa"/>
            <w:vAlign w:val="bottom"/>
            <w:gridSpan w:val="21"/>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Therapeutics, Inc., as filed with the Secretary of State of the State of Nevada on May 15, 2017. (Incorporated by reference to the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Company’s Current Report on Form 8-K filed with the Commission on May 19, 2017.)</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60" w:type="dxa"/>
            <w:vAlign w:val="bottom"/>
            <w:gridSpan w:val="5"/>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ind w:left="18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24"/>
                <w:szCs w:val="24"/>
                <w:color w:val="auto"/>
              </w:rPr>
            </w:pPr>
          </w:p>
        </w:tc>
        <w:tc>
          <w:tcPr>
            <w:tcW w:w="9260" w:type="dxa"/>
            <w:vAlign w:val="bottom"/>
            <w:tcBorders>
              <w:bottom w:val="single" w:sz="8" w:color="0000EE"/>
            </w:tcBorders>
            <w:gridSpan w:val="13"/>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Certificate of Designation of Preferences, Rights and Limitation of Series C Super Dividend Convertible Preferred Stock of Pro-</w:t>
              </w:r>
            </w:hyperlink>
          </w:p>
        </w:tc>
        <w:tc>
          <w:tcPr>
            <w:tcW w:w="4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101">
              <w:r>
                <w:rPr>
                  <w:rFonts w:ascii="Arial" w:cs="Arial" w:eastAsia="Arial" w:hAnsi="Arial"/>
                  <w:sz w:val="18"/>
                  <w:szCs w:val="18"/>
                  <w:color w:val="0000EE"/>
                  <w:w w:val="89"/>
                </w:rPr>
                <w:t>Pharmaceuticals, Inc., as filed with the Secretary of State of Nevada on December 30, 2010. (Incorporated by reference to the</w:t>
              </w:r>
            </w:hyperlink>
          </w:p>
        </w:tc>
        <w:tc>
          <w:tcPr>
            <w:tcW w:w="7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Company’s Current Report on Form 8-K as filed with the Commission on January 6, 2011.)</w:t>
              </w:r>
            </w:hyperlink>
          </w:p>
        </w:tc>
        <w:tc>
          <w:tcPr>
            <w:tcW w:w="3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00" w:type="dxa"/>
            <w:vAlign w:val="bottom"/>
          </w:tcPr>
          <w:p>
            <w:pPr>
              <w:spacing w:after="0"/>
              <w:rPr>
                <w:sz w:val="24"/>
                <w:szCs w:val="24"/>
                <w:color w:val="auto"/>
              </w:rPr>
            </w:pPr>
          </w:p>
        </w:tc>
        <w:tc>
          <w:tcPr>
            <w:tcW w:w="5060" w:type="dxa"/>
            <w:vAlign w:val="bottom"/>
            <w:gridSpan w:val="2"/>
          </w:tcPr>
          <w:p>
            <w:pPr>
              <w:jc w:val="right"/>
              <w:ind w:right="7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740" w:type="dxa"/>
            <w:vAlign w:val="bottom"/>
            <w:gridSpan w:val="18"/>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1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4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40" w:type="dxa"/>
            <w:vAlign w:val="bottom"/>
          </w:tcPr>
          <w:p>
            <w:pPr>
              <w:ind w:left="100"/>
              <w:spacing w:after="0"/>
              <w:rPr>
                <w:sz w:val="20"/>
                <w:szCs w:val="20"/>
                <w:color w:val="auto"/>
              </w:rPr>
            </w:pPr>
            <w:r>
              <w:rPr>
                <w:rFonts w:ascii="Arial" w:cs="Arial" w:eastAsia="Arial" w:hAnsi="Arial"/>
                <w:sz w:val="18"/>
                <w:szCs w:val="18"/>
                <w:color w:val="auto"/>
              </w:rPr>
              <w:t>3.10</w:t>
            </w:r>
          </w:p>
        </w:tc>
        <w:tc>
          <w:tcPr>
            <w:tcW w:w="9780" w:type="dxa"/>
            <w:vAlign w:val="bottom"/>
            <w:gridSpan w:val="27"/>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Certificate of Change as filed with the Nevada Secretary of State on March 1, 2012. (Incorporated by reference to the Company’s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as filed with the Commission on March 23, 2012.)</w:t>
              </w:r>
            </w:hyperlink>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Class A-1 Common Stock Purchase Warrant (Incorporated by reference to the Company’s Current Report on Form 8-K filed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with the Commission on February 18, 2009.)</w:t>
              </w:r>
            </w:hyperlink>
          </w:p>
        </w:tc>
        <w:tc>
          <w:tcPr>
            <w:tcW w:w="6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4.2</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Class A-2 Common Stock Purchase Warrant (Incorporated by reference to the Company’s Current Report on Form 8-K filed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with the Commission on February 18, 2009.)</w:t>
              </w:r>
            </w:hyperlink>
          </w:p>
        </w:tc>
        <w:tc>
          <w:tcPr>
            <w:tcW w:w="6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4.3</w:t>
            </w:r>
          </w:p>
        </w:tc>
        <w:tc>
          <w:tcPr>
            <w:tcW w:w="9500" w:type="dxa"/>
            <w:vAlign w:val="bottom"/>
            <w:tcBorders>
              <w:bottom w:val="single" w:sz="8" w:color="0000EE"/>
            </w:tcBorders>
            <w:gridSpan w:val="20"/>
          </w:tcPr>
          <w:p>
            <w:pPr>
              <w:spacing w:after="0"/>
              <w:rPr>
                <w:rFonts w:ascii="Arial" w:cs="Arial" w:eastAsia="Arial" w:hAnsi="Arial"/>
                <w:sz w:val="18"/>
                <w:szCs w:val="18"/>
                <w:color w:val="0000EE"/>
                <w:w w:val="91"/>
              </w:rPr>
            </w:pPr>
            <w:hyperlink r:id="rId106">
              <w:r>
                <w:rPr>
                  <w:rFonts w:ascii="Arial" w:cs="Arial" w:eastAsia="Arial" w:hAnsi="Arial"/>
                  <w:sz w:val="18"/>
                  <w:szCs w:val="18"/>
                  <w:color w:val="0000EE"/>
                  <w:w w:val="91"/>
                </w:rPr>
                <w:t>Form of Class B Common Stock Purchase Warrant (Incorporated by reference to the Company’s Current Report on Form 8-K filed</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with the Commission on February 18, 2009.)</w:t>
              </w:r>
            </w:hyperlink>
          </w:p>
        </w:tc>
        <w:tc>
          <w:tcPr>
            <w:tcW w:w="65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4.4</w:t>
            </w: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Form of Class A-1 Common Stock Purchase Warrant (Incorporated by reference to the Company’s Current Report on Form</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8-K as filed with the Commission on January 27, 2011.)</w:t>
              </w:r>
            </w:hyperlink>
          </w:p>
        </w:tc>
        <w:tc>
          <w:tcPr>
            <w:tcW w:w="5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4.5</w:t>
            </w: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Form of Class A-2 Common Stock Purchase Warrant (Incorporated by reference to the Company’s Current Report on Form</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8-K as filed with the Commission on January 27, 2011.)</w:t>
              </w:r>
            </w:hyperlink>
          </w:p>
        </w:tc>
        <w:tc>
          <w:tcPr>
            <w:tcW w:w="57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4.6</w:t>
            </w:r>
          </w:p>
        </w:tc>
        <w:tc>
          <w:tcPr>
            <w:tcW w:w="9780" w:type="dxa"/>
            <w:vAlign w:val="bottom"/>
            <w:gridSpan w:val="27"/>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Form of Class B Common Stock Purchase Warrant (Incorporated by reference to the Company’s Current Report on Form 8-</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K as filed with the Commission on January 27, 2011.)</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4.7</w:t>
            </w:r>
          </w:p>
        </w:tc>
        <w:tc>
          <w:tcPr>
            <w:tcW w:w="9780" w:type="dxa"/>
            <w:vAlign w:val="bottom"/>
            <w:gridSpan w:val="27"/>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Warrant Agreement between Galectin Therapeutics Inc. and Continental Stock Transfer and Trust Company, as warrant agent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6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(including form of warrant certificate) (Incorporated by reference to the Company’s Current Report on Form 8-K as filed with the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Commission on March 23, 2012.)</w:t>
              </w:r>
            </w:hyperlink>
          </w:p>
        </w:tc>
        <w:tc>
          <w:tcPr>
            <w:tcW w:w="4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4.8</w:t>
            </w:r>
          </w:p>
        </w:tc>
        <w:tc>
          <w:tcPr>
            <w:tcW w:w="9780" w:type="dxa"/>
            <w:vAlign w:val="bottom"/>
            <w:gridSpan w:val="27"/>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Commission on November 20, 2015.)</w:t>
              </w:r>
            </w:hyperlink>
          </w:p>
        </w:tc>
        <w:tc>
          <w:tcPr>
            <w:tcW w:w="6940" w:type="dxa"/>
            <w:vAlign w:val="bottom"/>
            <w:tcBorders>
              <w:top w:val="single" w:sz="8" w:color="0000EE"/>
            </w:tcBorders>
            <w:gridSpan w:val="19"/>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4.9</w:t>
            </w:r>
          </w:p>
        </w:tc>
        <w:tc>
          <w:tcPr>
            <w:tcW w:w="9640" w:type="dxa"/>
            <w:vAlign w:val="bottom"/>
            <w:tcBorders>
              <w:bottom w:val="single" w:sz="8" w:color="0000EE"/>
            </w:tcBorders>
            <w:gridSpan w:val="22"/>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Class B-3 Common Stock Purchase Warrant (Incorporated by reference to the Company’s Current Report on Form 8-K filed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with the Commission on September 27, 2016.)</w:t>
              </w:r>
            </w:hyperlink>
          </w:p>
        </w:tc>
        <w:tc>
          <w:tcPr>
            <w:tcW w:w="64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4.10</w:t>
            </w:r>
          </w:p>
        </w:tc>
        <w:tc>
          <w:tcPr>
            <w:tcW w:w="9540" w:type="dxa"/>
            <w:vAlign w:val="bottom"/>
            <w:tcBorders>
              <w:bottom w:val="single" w:sz="8" w:color="0000EE"/>
            </w:tcBorders>
            <w:gridSpan w:val="21"/>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Lock-Up Common Stock Purchase Warrant (Incorporated by reference to the Company’s Current Report on Form 8-K filed</w:t>
              </w:r>
            </w:hyperlink>
          </w:p>
        </w:tc>
        <w:tc>
          <w:tcPr>
            <w:tcW w:w="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with the Commission on September 27, 2016.)</w:t>
              </w:r>
            </w:hyperlink>
          </w:p>
        </w:tc>
        <w:tc>
          <w:tcPr>
            <w:tcW w:w="64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4.11</w:t>
            </w:r>
          </w:p>
        </w:tc>
        <w:tc>
          <w:tcPr>
            <w:tcW w:w="9780" w:type="dxa"/>
            <w:vAlign w:val="bottom"/>
            <w:gridSpan w:val="27"/>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14">
              <w:r>
                <w:rPr>
                  <w:rFonts w:ascii="Arial" w:cs="Arial" w:eastAsia="Arial" w:hAnsi="Arial"/>
                  <w:sz w:val="18"/>
                  <w:szCs w:val="18"/>
                  <w:color w:val="0000EE"/>
                  <w:w w:val="89"/>
                </w:rPr>
                <w:t>Commission on December 29, 2016.)</w:t>
              </w:r>
            </w:hyperlink>
          </w:p>
        </w:tc>
        <w:tc>
          <w:tcPr>
            <w:tcW w:w="6960" w:type="dxa"/>
            <w:vAlign w:val="bottom"/>
            <w:tcBorders>
              <w:top w:val="single" w:sz="8" w:color="0000EE"/>
            </w:tcBorders>
            <w:gridSpan w:val="20"/>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4.12</w:t>
            </w:r>
          </w:p>
        </w:tc>
        <w:tc>
          <w:tcPr>
            <w:tcW w:w="9780" w:type="dxa"/>
            <w:vAlign w:val="bottom"/>
            <w:tcBorders>
              <w:bottom w:val="single" w:sz="8" w:color="0000EE"/>
            </w:tcBorders>
            <w:gridSpan w:val="27"/>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Form of Common Stock Purchase Warrant issued to Richard E. Uihlein (Incorporated by reference to the Company’s Current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8-K as filed with the Commission on December 19, 2017.)</w:t>
              </w:r>
            </w:hyperlink>
          </w:p>
        </w:tc>
        <w:tc>
          <w:tcPr>
            <w:tcW w:w="51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4.13</w:t>
            </w:r>
          </w:p>
        </w:tc>
        <w:tc>
          <w:tcPr>
            <w:tcW w:w="9780" w:type="dxa"/>
            <w:vAlign w:val="bottom"/>
            <w:gridSpan w:val="27"/>
          </w:tcPr>
          <w:p>
            <w:pPr>
              <w:spacing w:after="0"/>
              <w:rPr>
                <w:rFonts w:ascii="Arial" w:cs="Arial" w:eastAsia="Arial" w:hAnsi="Arial"/>
                <w:sz w:val="18"/>
                <w:szCs w:val="18"/>
                <w:color w:val="0000EE"/>
                <w:w w:val="97"/>
              </w:rPr>
            </w:pPr>
            <w:hyperlink r:id="rId116">
              <w:r>
                <w:rPr>
                  <w:rFonts w:ascii="Arial" w:cs="Arial" w:eastAsia="Arial" w:hAnsi="Arial"/>
                  <w:sz w:val="18"/>
                  <w:szCs w:val="18"/>
                  <w:color w:val="0000EE"/>
                  <w:w w:val="97"/>
                </w:rPr>
                <w:t>First Amendment to Common Stock Purchase Warrant, dated December 20, 2018, by and between Richard E. Uihlein and the</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78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Company (Incorporated by reference to the Company’s Current Report on Form 8-K as filed with the Commission on January 3, 2019.)</w:t>
              </w:r>
            </w:hyperlink>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4.14</w:t>
            </w:r>
          </w:p>
        </w:tc>
        <w:tc>
          <w:tcPr>
            <w:tcW w:w="91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r:id="rId116">
              <w:r>
                <w:rPr>
                  <w:rFonts w:ascii="Arial" w:cs="Arial" w:eastAsia="Arial" w:hAnsi="Arial"/>
                  <w:sz w:val="18"/>
                  <w:szCs w:val="18"/>
                  <w:color w:val="0000EE"/>
                  <w:w w:val="89"/>
                </w:rPr>
                <w:t>Second Amendment to Common Stock Purchase Warrant, dated January 11, 2019, by and between Richard E. Uihlein and the</w:t>
              </w:r>
            </w:hyperlink>
          </w:p>
        </w:tc>
        <w:tc>
          <w:tcPr>
            <w:tcW w:w="660" w:type="dxa"/>
            <w:vAlign w:val="bottom"/>
            <w:tcBorders>
              <w:top w:val="single" w:sz="8" w:color="0000EE"/>
            </w:tcBorders>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80" w:type="dxa"/>
            <w:vAlign w:val="bottom"/>
            <w:gridSpan w:val="27"/>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Company (Incorporated by reference to the Company’s Current Report on Form 8-K as filed with the Commission on January 15,</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6">
              <w:r>
                <w:rPr>
                  <w:rFonts w:ascii="Arial" w:cs="Arial" w:eastAsia="Arial" w:hAnsi="Arial"/>
                  <w:sz w:val="18"/>
                  <w:szCs w:val="18"/>
                  <w:color w:val="0000EE"/>
                  <w:w w:val="86"/>
                </w:rPr>
                <w:t>2019.</w:t>
              </w:r>
              <w:r>
                <w:rPr>
                  <w:rFonts w:ascii="Arial" w:cs="Arial" w:eastAsia="Arial" w:hAnsi="Arial"/>
                  <w:sz w:val="18"/>
                  <w:szCs w:val="18"/>
                  <w:u w:val="single" w:color="auto"/>
                  <w:color w:val="0000EE"/>
                  <w:w w:val="86"/>
                </w:rPr>
                <w:t>)</w:t>
              </w:r>
            </w:hyperlink>
          </w:p>
        </w:tc>
        <w:tc>
          <w:tcPr>
            <w:tcW w:w="19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4.15</w:t>
            </w:r>
          </w:p>
        </w:tc>
        <w:tc>
          <w:tcPr>
            <w:tcW w:w="9780" w:type="dxa"/>
            <w:vAlign w:val="bottom"/>
            <w:gridSpan w:val="27"/>
          </w:tcPr>
          <w:p>
            <w:pPr>
              <w:spacing w:after="0"/>
              <w:rPr>
                <w:rFonts w:ascii="Arial" w:cs="Arial" w:eastAsia="Arial" w:hAnsi="Arial"/>
                <w:sz w:val="18"/>
                <w:szCs w:val="18"/>
                <w:color w:val="0000EE"/>
                <w:w w:val="94"/>
              </w:rPr>
            </w:pPr>
            <w:hyperlink r:id="rId117">
              <w:r>
                <w:rPr>
                  <w:rFonts w:ascii="Arial" w:cs="Arial" w:eastAsia="Arial" w:hAnsi="Arial"/>
                  <w:sz w:val="18"/>
                  <w:szCs w:val="18"/>
                  <w:color w:val="0000EE"/>
                  <w:w w:val="94"/>
                </w:rPr>
                <w:t>Form of Amended and Restated Class B Common Stock Purchase Warrant (Incorporated by reference to the Company’s Current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Report on Form 8-K as filed with the Commission on January 15, 2019.)</w:t>
              </w:r>
            </w:hyperlink>
          </w:p>
        </w:tc>
        <w:tc>
          <w:tcPr>
            <w:tcW w:w="4060" w:type="dxa"/>
            <w:vAlign w:val="bottom"/>
            <w:tcBorders>
              <w:top w:val="single" w:sz="8" w:color="0000EE"/>
            </w:tcBorders>
            <w:gridSpan w:val="5"/>
          </w:tcPr>
          <w:p>
            <w:pPr>
              <w:spacing w:after="0"/>
              <w:rPr>
                <w:sz w:val="17"/>
                <w:szCs w:val="17"/>
                <w:color w:val="auto"/>
              </w:rPr>
            </w:pPr>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100"/>
              <w:spacing w:after="0"/>
              <w:rPr>
                <w:sz w:val="20"/>
                <w:szCs w:val="20"/>
                <w:color w:val="auto"/>
              </w:rPr>
            </w:pPr>
            <w:r>
              <w:rPr>
                <w:rFonts w:ascii="Arial" w:cs="Arial" w:eastAsia="Arial" w:hAnsi="Arial"/>
                <w:sz w:val="18"/>
                <w:szCs w:val="18"/>
                <w:color w:val="auto"/>
              </w:rPr>
              <w:t>4.16</w:t>
            </w:r>
          </w:p>
        </w:tc>
        <w:tc>
          <w:tcPr>
            <w:tcW w:w="9480" w:type="dxa"/>
            <w:vAlign w:val="bottom"/>
            <w:tcBorders>
              <w:bottom w:val="single" w:sz="8" w:color="0000EE"/>
            </w:tcBorders>
            <w:gridSpan w:val="19"/>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Form of Amended and Restated 10X Fund Class B Common Stock Purchase Warrant (Incorporated by reference to the Company’s</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8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Current Report on Form 8-K as filed with the Commission on January 15, 2019.)</w:t>
              </w:r>
            </w:hyperlink>
          </w:p>
        </w:tc>
        <w:tc>
          <w:tcPr>
            <w:tcW w:w="39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ind w:left="20"/>
              <w:spacing w:after="0"/>
              <w:rPr>
                <w:sz w:val="20"/>
                <w:szCs w:val="20"/>
                <w:color w:val="auto"/>
              </w:rPr>
            </w:pPr>
            <w:r>
              <w:rPr>
                <w:rFonts w:ascii="Arial" w:cs="Arial" w:eastAsia="Arial" w:hAnsi="Arial"/>
                <w:sz w:val="18"/>
                <w:szCs w:val="18"/>
                <w:color w:val="auto"/>
              </w:rPr>
              <w:t>10.1†</w:t>
            </w:r>
          </w:p>
        </w:tc>
        <w:tc>
          <w:tcPr>
            <w:tcW w:w="9780" w:type="dxa"/>
            <w:vAlign w:val="bottom"/>
            <w:gridSpan w:val="27"/>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Pro-Pharmaceuticals, Inc. 2001 Stock Incentive Plan. (Incorporated by reference to the Company’s Quarterly Report on Form 10-QSB</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6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for the quarter ended September 30, 2001 filed with the Commission on November 14, 2001.)</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4660" w:type="dxa"/>
            <w:vAlign w:val="bottom"/>
            <w:tcBorders>
              <w:top w:val="single" w:sz="8" w:color="0000EE"/>
            </w:tcBorders>
            <w:gridSpan w:val="10"/>
          </w:tcPr>
          <w:p>
            <w:pPr>
              <w:ind w:left="4200"/>
              <w:spacing w:after="0"/>
              <w:rPr>
                <w:sz w:val="20"/>
                <w:szCs w:val="20"/>
                <w:color w:val="auto"/>
              </w:rPr>
            </w:pPr>
            <w:r>
              <w:rPr>
                <w:rFonts w:ascii="Arial" w:cs="Arial" w:eastAsia="Arial" w:hAnsi="Arial"/>
                <w:sz w:val="18"/>
                <w:szCs w:val="18"/>
                <w:color w:val="auto"/>
              </w:rPr>
              <w:t>66</w:t>
            </w:r>
          </w:p>
        </w:tc>
        <w:tc>
          <w:tcPr>
            <w:tcW w:w="5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100" w:type="dxa"/>
            <w:vAlign w:val="bottom"/>
            <w:gridSpan w:val="25"/>
            <w:vMerge w:val="restart"/>
          </w:tcPr>
          <w:p>
            <w:pPr>
              <w:ind w:left="4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1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10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0"/>
                <w:szCs w:val="20"/>
                <w:color w:val="auto"/>
              </w:rPr>
            </w:pPr>
            <w:r>
              <w:rPr>
                <w:rFonts w:ascii="Arial" w:cs="Arial" w:eastAsia="Arial" w:hAnsi="Arial"/>
                <w:sz w:val="18"/>
                <w:szCs w:val="18"/>
                <w:color w:val="auto"/>
              </w:rPr>
              <w:t>10.2†</w:t>
            </w:r>
          </w:p>
        </w:tc>
        <w:tc>
          <w:tcPr>
            <w:tcW w:w="9800" w:type="dxa"/>
            <w:vAlign w:val="bottom"/>
            <w:tcBorders>
              <w:bottom w:val="single" w:sz="8" w:color="0000EE"/>
            </w:tcBorders>
            <w:gridSpan w:val="28"/>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Pro-Pharmaceuticals, Inc. 2003 Non-employee Director Stock Incentive Plan. (Incorporated by reference to the Company’s Registration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Statement on Form S-8, as filed with the Commission on October 22, 2003.)</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w:t>
            </w:r>
          </w:p>
        </w:tc>
        <w:tc>
          <w:tcPr>
            <w:tcW w:w="9800" w:type="dxa"/>
            <w:vAlign w:val="bottom"/>
            <w:gridSpan w:val="28"/>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Form of Incentive Stock Option Agreement (under the 2001 Stock Incentive Plan). (Incorporated by reference to the Company’s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2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Quarterly Report on Form 10-Q for the period ended September 30, 2004 as filed with the Commission on November 19, 2004.)</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10.4†</w:t>
            </w:r>
          </w:p>
        </w:tc>
        <w:tc>
          <w:tcPr>
            <w:tcW w:w="9800" w:type="dxa"/>
            <w:vAlign w:val="bottom"/>
            <w:gridSpan w:val="28"/>
          </w:tcPr>
          <w:p>
            <w:pPr>
              <w:spacing w:after="0"/>
              <w:rPr>
                <w:rFonts w:ascii="Arial" w:cs="Arial" w:eastAsia="Arial" w:hAnsi="Arial"/>
                <w:sz w:val="18"/>
                <w:szCs w:val="18"/>
                <w:color w:val="0000EE"/>
                <w:w w:val="96"/>
              </w:rPr>
            </w:pPr>
            <w:hyperlink r:id="rId123">
              <w:r>
                <w:rPr>
                  <w:rFonts w:ascii="Arial" w:cs="Arial" w:eastAsia="Arial" w:hAnsi="Arial"/>
                  <w:sz w:val="18"/>
                  <w:szCs w:val="18"/>
                  <w:color w:val="0000EE"/>
                  <w:w w:val="96"/>
                </w:rPr>
                <w:t>Form of Non-Qualified Stock Option Agreement (under the 2003 Non-Employee Director Stock Incentive Plan). (Incorporated by</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reference to the Company’s Quarterly Report on Form 10-Q for the period ended September 30, 2004 as filed with the Commission 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4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November 19, 2004.)</w:t>
              </w:r>
            </w:hyperlink>
          </w:p>
        </w:tc>
        <w:tc>
          <w:tcPr>
            <w:tcW w:w="82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10.5</w:t>
            </w:r>
          </w:p>
        </w:tc>
        <w:tc>
          <w:tcPr>
            <w:tcW w:w="9800" w:type="dxa"/>
            <w:vAlign w:val="bottom"/>
            <w:gridSpan w:val="28"/>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70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Commission on February 15, 2008.)</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10.6</w:t>
            </w:r>
          </w:p>
        </w:tc>
        <w:tc>
          <w:tcPr>
            <w:tcW w:w="9380" w:type="dxa"/>
            <w:vAlign w:val="bottom"/>
            <w:tcBorders>
              <w:bottom w:val="single" w:sz="8" w:color="0000EE"/>
            </w:tcBorders>
            <w:gridSpan w:val="19"/>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Registration Rights Agreement dated February 12, 2009 between Pro Pharmaceuticals, Inc. and 10X Fund, L.P. (Incorporated by</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7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reference to the Company’s Current Report on Form 8-K filed with the Commission on February 18, 2009.)</w:t>
              </w:r>
            </w:hyperlink>
          </w:p>
        </w:tc>
        <w:tc>
          <w:tcPr>
            <w:tcW w:w="20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10.7†*</w:t>
            </w:r>
          </w:p>
        </w:tc>
        <w:tc>
          <w:tcPr>
            <w:tcW w:w="9800" w:type="dxa"/>
            <w:vAlign w:val="bottom"/>
            <w:gridSpan w:val="2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Galectin Therapeutics 2009 Incentive Compensation Plan (as amended).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10.8†</w:t>
            </w:r>
          </w:p>
        </w:tc>
        <w:tc>
          <w:tcPr>
            <w:tcW w:w="9800" w:type="dxa"/>
            <w:vAlign w:val="bottom"/>
            <w:gridSpan w:val="28"/>
          </w:tcPr>
          <w:p>
            <w:pPr>
              <w:spacing w:after="0"/>
              <w:rPr>
                <w:rFonts w:ascii="Arial" w:cs="Arial" w:eastAsia="Arial" w:hAnsi="Arial"/>
                <w:sz w:val="18"/>
                <w:szCs w:val="18"/>
                <w:color w:val="0000EE"/>
                <w:w w:val="98"/>
              </w:rPr>
            </w:pPr>
            <w:hyperlink r:id="rId126">
              <w:r>
                <w:rPr>
                  <w:rFonts w:ascii="Arial" w:cs="Arial" w:eastAsia="Arial" w:hAnsi="Arial"/>
                  <w:sz w:val="18"/>
                  <w:szCs w:val="18"/>
                  <w:color w:val="0000EE"/>
                  <w:w w:val="98"/>
                </w:rPr>
                <w:t>Form of Restricted Stock Grant Agreement (under the 2009 Incentive Compensation Plan). (Incorporated by reference to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Company’s Annual Report on Form 10-K as filed with the Commission on March 30, 2009.)</w:t>
              </w:r>
            </w:hyperlink>
          </w:p>
        </w:tc>
        <w:tc>
          <w:tcPr>
            <w:tcW w:w="2300" w:type="dxa"/>
            <w:vAlign w:val="bottom"/>
            <w:tcBorders>
              <w:top w:val="single" w:sz="8" w:color="0000EE"/>
            </w:tcBorders>
            <w:gridSpan w:val="5"/>
          </w:tcPr>
          <w:p>
            <w:pPr>
              <w:spacing w:after="0"/>
              <w:rPr>
                <w:sz w:val="17"/>
                <w:szCs w:val="17"/>
                <w:color w:val="auto"/>
              </w:rPr>
            </w:pPr>
          </w:p>
        </w:tc>
        <w:tc>
          <w:tcPr>
            <w:tcW w:w="8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10.9†</w:t>
            </w:r>
          </w:p>
        </w:tc>
        <w:tc>
          <w:tcPr>
            <w:tcW w:w="9800" w:type="dxa"/>
            <w:vAlign w:val="bottom"/>
            <w:gridSpan w:val="28"/>
          </w:tcPr>
          <w:p>
            <w:pPr>
              <w:spacing w:after="0"/>
              <w:rPr>
                <w:rFonts w:ascii="Arial" w:cs="Arial" w:eastAsia="Arial" w:hAnsi="Arial"/>
                <w:sz w:val="18"/>
                <w:szCs w:val="18"/>
                <w:color w:val="0000EE"/>
                <w:w w:val="93"/>
              </w:rPr>
            </w:pPr>
            <w:hyperlink r:id="rId127">
              <w:r>
                <w:rPr>
                  <w:rFonts w:ascii="Arial" w:cs="Arial" w:eastAsia="Arial" w:hAnsi="Arial"/>
                  <w:sz w:val="18"/>
                  <w:szCs w:val="18"/>
                  <w:color w:val="0000EE"/>
                  <w:w w:val="93"/>
                </w:rPr>
                <w:t>Form of Non-Qualified Stock Option Grant Agreement (under the 2009 Incentive Compensation Plan). (Incorporated by reference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5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the Company’s Annual Report on Form 10-K as filed with the Commission on March 30, 2009.)</w:t>
              </w:r>
            </w:hyperlink>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10.10†</w:t>
            </w:r>
          </w:p>
        </w:tc>
        <w:tc>
          <w:tcPr>
            <w:tcW w:w="9800" w:type="dxa"/>
            <w:vAlign w:val="bottom"/>
            <w:gridSpan w:val="28"/>
          </w:tcPr>
          <w:p>
            <w:pPr>
              <w:spacing w:after="0"/>
              <w:rPr>
                <w:rFonts w:ascii="Arial" w:cs="Arial" w:eastAsia="Arial" w:hAnsi="Arial"/>
                <w:sz w:val="18"/>
                <w:szCs w:val="18"/>
                <w:color w:val="0000EE"/>
                <w:w w:val="94"/>
              </w:rPr>
            </w:pPr>
            <w:hyperlink r:id="rId128">
              <w:r>
                <w:rPr>
                  <w:rFonts w:ascii="Arial" w:cs="Arial" w:eastAsia="Arial" w:hAnsi="Arial"/>
                  <w:sz w:val="18"/>
                  <w:szCs w:val="18"/>
                  <w:color w:val="0000EE"/>
                  <w:w w:val="94"/>
                </w:rPr>
                <w:t>Form of Incentive Stock Option Grant Agreement (under the 2009 Incentive Compensation Plan). (Incorporated by reference to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Company’s Annual Report on Form 10-K as filed with the Commission on March 30, 2009.)</w:t>
              </w:r>
            </w:hyperlink>
          </w:p>
        </w:tc>
        <w:tc>
          <w:tcPr>
            <w:tcW w:w="278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10.12†</w:t>
            </w:r>
          </w:p>
        </w:tc>
        <w:tc>
          <w:tcPr>
            <w:tcW w:w="9740" w:type="dxa"/>
            <w:vAlign w:val="bottom"/>
            <w:tcBorders>
              <w:bottom w:val="single" w:sz="8" w:color="0000EE"/>
            </w:tcBorders>
            <w:gridSpan w:val="27"/>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Common Stock Purchase Warrant dated August 3, 2010 issued to Peter Traber. (Incorporated by reference to the Company’s Quarterly</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Report on Form 10-Q as filed with the Commission on August 13, 2010.)</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10.14</w:t>
            </w:r>
          </w:p>
        </w:tc>
        <w:tc>
          <w:tcPr>
            <w:tcW w:w="9800" w:type="dxa"/>
            <w:vAlign w:val="bottom"/>
            <w:gridSpan w:val="28"/>
          </w:tcPr>
          <w:p>
            <w:pPr>
              <w:spacing w:after="0"/>
              <w:rPr>
                <w:rFonts w:ascii="Arial" w:cs="Arial" w:eastAsia="Arial" w:hAnsi="Arial"/>
                <w:sz w:val="18"/>
                <w:szCs w:val="18"/>
                <w:color w:val="0000EE"/>
                <w:w w:val="93"/>
              </w:rPr>
            </w:pPr>
            <w:hyperlink r:id="rId130">
              <w:r>
                <w:rPr>
                  <w:rFonts w:ascii="Arial" w:cs="Arial" w:eastAsia="Arial" w:hAnsi="Arial"/>
                  <w:sz w:val="18"/>
                  <w:szCs w:val="18"/>
                  <w:color w:val="0000EE"/>
                  <w:w w:val="93"/>
                </w:rPr>
                <w:t>Form of Securities Purchase Agreement for Series C Super Dividend Convertible Preferred Stock (Incorporated by reference to the</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Company’s Current Report on Form 8-K as filed with the Commission on January 6, 2011.)</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8960" w:type="dxa"/>
            <w:vAlign w:val="bottom"/>
            <w:tcBorders>
              <w:bottom w:val="single" w:sz="8" w:color="0000EE"/>
            </w:tcBorders>
            <w:gridSpan w:val="14"/>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Agreement dated January 21, 2011, between Pro-Pharmaceuticals, Inc. and 10X Fund L.P. (Incorporated by reference to the</w:t>
              </w:r>
            </w:hyperlink>
          </w:p>
        </w:tc>
        <w:tc>
          <w:tcPr>
            <w:tcW w:w="8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Company’s Current Report on Form 8-K as filed with the Commission on January 27, 2011.)</w:t>
              </w:r>
            </w:hyperlink>
          </w:p>
        </w:tc>
        <w:tc>
          <w:tcPr>
            <w:tcW w:w="31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800" w:type="dxa"/>
            <w:vAlign w:val="bottom"/>
            <w:gridSpan w:val="28"/>
          </w:tcPr>
          <w:p>
            <w:pPr>
              <w:spacing w:after="0"/>
              <w:rPr>
                <w:rFonts w:ascii="Arial" w:cs="Arial" w:eastAsia="Arial" w:hAnsi="Arial"/>
                <w:sz w:val="18"/>
                <w:szCs w:val="18"/>
                <w:color w:val="0000EE"/>
                <w:w w:val="92"/>
              </w:rPr>
            </w:pPr>
            <w:hyperlink r:id="rId132">
              <w:r>
                <w:rPr>
                  <w:rFonts w:ascii="Arial" w:cs="Arial" w:eastAsia="Arial" w:hAnsi="Arial"/>
                  <w:sz w:val="18"/>
                  <w:szCs w:val="18"/>
                  <w:color w:val="0000EE"/>
                  <w:w w:val="92"/>
                </w:rPr>
                <w:t>Non-Qualified Stock Option Agreement dated March 7, 2011 (Incorporated by reference to the Company’s Current Report on Form 8-</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K as filed with the Commission on March 9, 2011.)</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10.17†</w:t>
            </w:r>
          </w:p>
        </w:tc>
        <w:tc>
          <w:tcPr>
            <w:tcW w:w="9480" w:type="dxa"/>
            <w:vAlign w:val="bottom"/>
            <w:tcBorders>
              <w:bottom w:val="single" w:sz="8" w:color="0000EE"/>
            </w:tcBorders>
            <w:gridSpan w:val="22"/>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Employment Agreement dated March 31, 2011 between Eli Zomer and Pro-Pharmaceuticals, Inc. (Incorporated by reference to the</w:t>
              </w:r>
            </w:hyperlink>
          </w:p>
        </w:tc>
        <w:tc>
          <w:tcPr>
            <w:tcW w:w="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Company’s Current Report on Form 8-K as filed with the Commission on April 6, 2011.)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2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10.18</w:t>
            </w:r>
          </w:p>
        </w:tc>
        <w:tc>
          <w:tcPr>
            <w:tcW w:w="9160" w:type="dxa"/>
            <w:vAlign w:val="bottom"/>
            <w:tcBorders>
              <w:bottom w:val="single" w:sz="8" w:color="0000EE"/>
            </w:tcBorders>
            <w:gridSpan w:val="16"/>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Agreement dated April 22, 2011, between Pro-Pharmaceuticals, Inc. and Sigma-Aldrich, Inc. (Incorporated by reference to the</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5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Company’s Current Report on Form 8-K as filed with the Commission on April 28, 2011.)</w:t>
              </w:r>
            </w:hyperlink>
          </w:p>
        </w:tc>
        <w:tc>
          <w:tcPr>
            <w:tcW w:w="32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10.19†</w:t>
            </w:r>
          </w:p>
        </w:tc>
        <w:tc>
          <w:tcPr>
            <w:tcW w:w="9500" w:type="dxa"/>
            <w:vAlign w:val="bottom"/>
            <w:tcBorders>
              <w:bottom w:val="single" w:sz="8" w:color="0000EE"/>
            </w:tcBorders>
            <w:gridSpan w:val="23"/>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Employment Agreement dated May 6, 2016 between Peter Traber, and Galectin Therapeutics Inc. (Incorporated by reference to the</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Company’s Quarterly Report on Form 10-Q as filed with the Commission on May 10, 2016.)</w:t>
              </w:r>
            </w:hyperlink>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5200" w:type="dxa"/>
            <w:vAlign w:val="bottom"/>
            <w:tcBorders>
              <w:top w:val="single" w:sz="8" w:color="0000EE"/>
            </w:tcBorders>
            <w:gridSpan w:val="4"/>
          </w:tcPr>
          <w:p>
            <w:pPr>
              <w:ind w:left="4200"/>
              <w:spacing w:after="0"/>
              <w:rPr>
                <w:sz w:val="20"/>
                <w:szCs w:val="20"/>
                <w:color w:val="auto"/>
              </w:rPr>
            </w:pPr>
            <w:r>
              <w:rPr>
                <w:rFonts w:ascii="Arial" w:cs="Arial" w:eastAsia="Arial" w:hAnsi="Arial"/>
                <w:sz w:val="18"/>
                <w:szCs w:val="18"/>
                <w:color w:val="auto"/>
              </w:rPr>
              <w:t>67</w:t>
            </w: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gridSpan w:val="24"/>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700" w:type="dxa"/>
            <w:vAlign w:val="bottom"/>
            <w:gridSpan w:val="2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120" w:type="dxa"/>
            <w:vAlign w:val="bottom"/>
          </w:tcPr>
          <w:p>
            <w:pPr>
              <w:spacing w:after="0"/>
              <w:rPr>
                <w:sz w:val="20"/>
                <w:szCs w:val="20"/>
                <w:color w:val="auto"/>
              </w:rPr>
            </w:pPr>
            <w:r>
              <w:rPr>
                <w:rFonts w:ascii="Arial" w:cs="Arial" w:eastAsia="Arial" w:hAnsi="Arial"/>
                <w:sz w:val="18"/>
                <w:szCs w:val="18"/>
                <w:color w:val="auto"/>
              </w:rPr>
              <w:t>10.21†</w:t>
            </w:r>
          </w:p>
        </w:tc>
        <w:tc>
          <w:tcPr>
            <w:tcW w:w="9740" w:type="dxa"/>
            <w:vAlign w:val="bottom"/>
            <w:tcBorders>
              <w:bottom w:val="single" w:sz="8" w:color="0000EE"/>
            </w:tcBorders>
            <w:gridSpan w:val="27"/>
          </w:tcPr>
          <w:p>
            <w:pPr>
              <w:spacing w:after="0"/>
              <w:rPr>
                <w:rFonts w:ascii="Arial" w:cs="Arial" w:eastAsia="Arial" w:hAnsi="Arial"/>
                <w:sz w:val="18"/>
                <w:szCs w:val="18"/>
                <w:color w:val="0000EE"/>
                <w:w w:val="91"/>
              </w:rPr>
            </w:pPr>
            <w:hyperlink r:id="rId137">
              <w:r>
                <w:rPr>
                  <w:rFonts w:ascii="Arial" w:cs="Arial" w:eastAsia="Arial" w:hAnsi="Arial"/>
                  <w:sz w:val="18"/>
                  <w:szCs w:val="18"/>
                  <w:color w:val="0000EE"/>
                  <w:w w:val="91"/>
                </w:rPr>
                <w:t>Non-Qualified Stock Option Agreement for Peter G. Traber, M.D. (Incorporated by reference to the Company’s Registration Statement</w:t>
              </w:r>
            </w:hyperlink>
          </w:p>
        </w:tc>
        <w:tc>
          <w:tcPr>
            <w:tcW w:w="6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on Form S-8, as filed with the Commission on August 15, 2011.)</w:t>
              </w:r>
            </w:hyperlink>
          </w:p>
        </w:tc>
        <w:tc>
          <w:tcPr>
            <w:tcW w:w="51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10.22†</w:t>
            </w:r>
          </w:p>
        </w:tc>
        <w:tc>
          <w:tcPr>
            <w:tcW w:w="9460" w:type="dxa"/>
            <w:vAlign w:val="bottom"/>
            <w:tcBorders>
              <w:bottom w:val="single" w:sz="8" w:color="0000EE"/>
            </w:tcBorders>
            <w:gridSpan w:val="19"/>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Non-Qualified Stock Option Agreement for James C. Czirr (Incorporated by reference to the Company’s Registration Statement on</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9"/>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Form S-8, as filed with the Commission on August 15, 2011.)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10.23†</w:t>
            </w:r>
          </w:p>
        </w:tc>
        <w:tc>
          <w:tcPr>
            <w:tcW w:w="9680" w:type="dxa"/>
            <w:vAlign w:val="bottom"/>
            <w:tcBorders>
              <w:bottom w:val="single" w:sz="8" w:color="0000EE"/>
            </w:tcBorders>
            <w:gridSpan w:val="24"/>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Amended and Restated Employment Agreement dated December 11, 2014 between Harold H. Shlevin and Galectin Therapeutics Inc.</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3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(Incorporated by reference to the Company’s Current Report on Form 8-K as filed with the Commission on December 12, 2014.)</w:t>
              </w:r>
            </w:hyperlink>
          </w:p>
        </w:tc>
        <w:tc>
          <w:tcPr>
            <w:tcW w:w="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10.24†</w:t>
            </w:r>
          </w:p>
        </w:tc>
        <w:tc>
          <w:tcPr>
            <w:tcW w:w="9800" w:type="dxa"/>
            <w:vAlign w:val="bottom"/>
            <w:gridSpan w:val="29"/>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First Amendment to Employment Agreement, dated June 8, 2018, by and between Galectin Therapeutics Inc. and Harold H. Shlevin,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Ph.D. (Incorporated by reference to the Company’s Current Report on Form 8-K as filed with the Commission on June 12, 2018)</w:t>
              </w:r>
            </w:hyperlink>
          </w:p>
        </w:tc>
        <w:tc>
          <w:tcPr>
            <w:tcW w:w="280" w:type="dxa"/>
            <w:vAlign w:val="bottom"/>
            <w:tcBorders>
              <w:top w:val="single" w:sz="8" w:color="0000EE"/>
            </w:tcBorders>
            <w:gridSpan w:val="8"/>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10.25†</w:t>
            </w:r>
          </w:p>
        </w:tc>
        <w:tc>
          <w:tcPr>
            <w:tcW w:w="9720" w:type="dxa"/>
            <w:vAlign w:val="bottom"/>
            <w:tcBorders>
              <w:bottom w:val="single" w:sz="8" w:color="0000EE"/>
            </w:tcBorders>
            <w:gridSpan w:val="26"/>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Amended and Restated Master Services Agreement dated February 1, 2013 between Galectin Therapeutics Inc. and CTI Clinical Trial</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9"/>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Services, Inc. and CTI Clinical Consulting Services Inc. (Incorporated by reference to the Company’s Quarterly Report on Form 10-Q</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as filed with the Commission on May 10, 2013.)</w:t>
              </w:r>
            </w:hyperlink>
          </w:p>
        </w:tc>
        <w:tc>
          <w:tcPr>
            <w:tcW w:w="6120" w:type="dxa"/>
            <w:vAlign w:val="bottom"/>
            <w:tcBorders>
              <w:top w:val="single" w:sz="8" w:color="0000EE"/>
            </w:tcBorders>
            <w:gridSpan w:val="19"/>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10.26</w:t>
            </w:r>
          </w:p>
        </w:tc>
        <w:tc>
          <w:tcPr>
            <w:tcW w:w="9800" w:type="dxa"/>
            <w:vAlign w:val="bottom"/>
            <w:gridSpan w:val="29"/>
          </w:tcPr>
          <w:p>
            <w:pPr>
              <w:spacing w:after="0"/>
              <w:rPr>
                <w:rFonts w:ascii="Arial" w:cs="Arial" w:eastAsia="Arial" w:hAnsi="Arial"/>
                <w:sz w:val="18"/>
                <w:szCs w:val="18"/>
                <w:color w:val="0000EE"/>
                <w:w w:val="94"/>
              </w:rPr>
            </w:pPr>
            <w:hyperlink r:id="rId142">
              <w:r>
                <w:rPr>
                  <w:rFonts w:ascii="Arial" w:cs="Arial" w:eastAsia="Arial" w:hAnsi="Arial"/>
                  <w:sz w:val="18"/>
                  <w:szCs w:val="18"/>
                  <w:color w:val="0000EE"/>
                  <w:w w:val="94"/>
                </w:rPr>
                <w:t>Amended Form of Class A-2 Common Stock Purchase Warrant (Incorporated by reference to the Company’s Quarterly Report on</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Form 10-Q as filed with the Commission on August 14, 2013.)</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10.27</w:t>
            </w:r>
          </w:p>
        </w:tc>
        <w:tc>
          <w:tcPr>
            <w:tcW w:w="9800" w:type="dxa"/>
            <w:vAlign w:val="bottom"/>
            <w:gridSpan w:val="29"/>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Amended Form of Class B Common Stock Purchase Warrant (Incorporated by reference to the Company’s Quarterly Report on Form</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10-Q as filed with the Commission on August 14, 2013.)</w:t>
              </w:r>
            </w:hyperlink>
          </w:p>
        </w:tc>
        <w:tc>
          <w:tcPr>
            <w:tcW w:w="5560" w:type="dxa"/>
            <w:vAlign w:val="bottom"/>
            <w:tcBorders>
              <w:top w:val="single" w:sz="8" w:color="0000EE"/>
            </w:tcBorders>
            <w:gridSpan w:val="18"/>
          </w:tcPr>
          <w:p>
            <w:pPr>
              <w:spacing w:after="0"/>
              <w:rPr>
                <w:sz w:val="17"/>
                <w:szCs w:val="17"/>
                <w:color w:val="auto"/>
              </w:rPr>
            </w:pPr>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gridSpan w:val="29"/>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Employment Agreement dated June 20, 2013 between Jack W. Callicutt and Galectin Therapeutics Inc. (Incorporated by reference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7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the Company’s Quarterly Report on Form 10-Q as filed with the Commission on August 14, 2013.)</w:t>
              </w:r>
            </w:hyperlink>
          </w:p>
        </w:tc>
        <w:tc>
          <w:tcPr>
            <w:tcW w:w="2460" w:type="dxa"/>
            <w:vAlign w:val="bottom"/>
            <w:tcBorders>
              <w:top w:val="single" w:sz="8" w:color="0000EE"/>
            </w:tcBorders>
            <w:gridSpan w:val="12"/>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10.29†</w:t>
            </w:r>
          </w:p>
        </w:tc>
        <w:tc>
          <w:tcPr>
            <w:tcW w:w="9800" w:type="dxa"/>
            <w:vAlign w:val="bottom"/>
            <w:tcBorders>
              <w:bottom w:val="single" w:sz="8" w:color="0000EE"/>
            </w:tcBorders>
            <w:gridSpan w:val="29"/>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Amendment to Employment Agreement dated August 11, 2017 between Jack W. Callicutt and Galectin Therapeutics Inc. (Incorporated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828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by reference to the Company’s Quarterly Report on Form 10-Q as filed with the Commission on August 14, 2017.)</w:t>
              </w:r>
            </w:hyperlink>
          </w:p>
        </w:tc>
        <w:tc>
          <w:tcPr>
            <w:tcW w:w="15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10.30†</w:t>
            </w:r>
          </w:p>
        </w:tc>
        <w:tc>
          <w:tcPr>
            <w:tcW w:w="9360" w:type="dxa"/>
            <w:vAlign w:val="bottom"/>
            <w:tcBorders>
              <w:bottom w:val="single" w:sz="8" w:color="0000EE"/>
            </w:tcBorders>
            <w:gridSpan w:val="16"/>
          </w:tcPr>
          <w:p>
            <w:pPr>
              <w:spacing w:after="0"/>
              <w:rPr>
                <w:rFonts w:ascii="Arial" w:cs="Arial" w:eastAsia="Arial" w:hAnsi="Arial"/>
                <w:sz w:val="18"/>
                <w:szCs w:val="18"/>
                <w:color w:val="0000EE"/>
                <w:w w:val="91"/>
              </w:rPr>
            </w:pPr>
            <w:hyperlink r:id="rId146">
              <w:r>
                <w:rPr>
                  <w:rFonts w:ascii="Arial" w:cs="Arial" w:eastAsia="Arial" w:hAnsi="Arial"/>
                  <w:sz w:val="18"/>
                  <w:szCs w:val="18"/>
                  <w:color w:val="0000EE"/>
                  <w:w w:val="91"/>
                </w:rPr>
                <w:t>Stock Option Agreement with Thomas A. McGauley dated June 19, 2013 (Incorporated by reference to the Company’s Quarterly</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Report on Form 10-Q as filed with the Commission on August 14, 2013.)</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360" w:type="dxa"/>
            <w:vAlign w:val="bottom"/>
            <w:gridSpan w:val="6"/>
            <w:shd w:val="clear" w:color="auto" w:fill="0000EE"/>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10.31†</w:t>
            </w:r>
          </w:p>
        </w:tc>
        <w:tc>
          <w:tcPr>
            <w:tcW w:w="9360" w:type="dxa"/>
            <w:vAlign w:val="bottom"/>
            <w:tcBorders>
              <w:bottom w:val="single" w:sz="8" w:color="0000EE"/>
            </w:tcBorders>
            <w:gridSpan w:val="16"/>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Project Addendum (with Master Services Agreement), dated March 6, 2015, by and between Galectin Therapeutics Inc. and PPD</w:t>
              </w:r>
            </w:hyperlink>
          </w:p>
        </w:tc>
        <w:tc>
          <w:tcPr>
            <w:tcW w:w="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12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Development, L.P. (Incorporated by reference to the Company’s Current Report on Form 8-K as filed with the Commission on</w:t>
              </w:r>
            </w:hyperlink>
          </w:p>
        </w:tc>
        <w:tc>
          <w:tcPr>
            <w:tcW w:w="6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52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147">
              <w:r>
                <w:rPr>
                  <w:rFonts w:ascii="Arial" w:cs="Arial" w:eastAsia="Arial" w:hAnsi="Arial"/>
                  <w:sz w:val="18"/>
                  <w:szCs w:val="18"/>
                  <w:color w:val="0000EE"/>
                  <w:w w:val="95"/>
                </w:rPr>
                <w:t>March 12, 2015.)***</w:t>
              </w:r>
            </w:hyperlink>
          </w:p>
        </w:tc>
        <w:tc>
          <w:tcPr>
            <w:tcW w:w="828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10.32</w:t>
            </w:r>
          </w:p>
        </w:tc>
        <w:tc>
          <w:tcPr>
            <w:tcW w:w="9800" w:type="dxa"/>
            <w:vAlign w:val="bottom"/>
            <w:gridSpan w:val="29"/>
          </w:tcPr>
          <w:p>
            <w:pPr>
              <w:spacing w:after="0"/>
              <w:rPr>
                <w:rFonts w:ascii="Arial" w:cs="Arial" w:eastAsia="Arial" w:hAnsi="Arial"/>
                <w:sz w:val="18"/>
                <w:szCs w:val="18"/>
                <w:color w:val="0000EE"/>
                <w:w w:val="93"/>
              </w:rPr>
            </w:pPr>
            <w:hyperlink r:id="rId148">
              <w:r>
                <w:rPr>
                  <w:rFonts w:ascii="Arial" w:cs="Arial" w:eastAsia="Arial" w:hAnsi="Arial"/>
                  <w:sz w:val="18"/>
                  <w:szCs w:val="18"/>
                  <w:color w:val="0000EE"/>
                  <w:w w:val="93"/>
                </w:rPr>
                <w:t>Securities Purchase Agreement, dated November 19, 2015, by and among Galectin Therapeutics Inc. and the Purchasers identified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440" w:type="dxa"/>
            <w:vAlign w:val="bottom"/>
            <w:tcBorders>
              <w:top w:val="single" w:sz="8" w:color="0000EE"/>
            </w:tcBorders>
            <w:gridSpan w:val="18"/>
          </w:tcPr>
          <w:p>
            <w:pPr>
              <w:spacing w:after="0" w:line="19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therein (Incorporated by reference to the Company’s Current Report on Form 8-K as filed with the Commission on November 20,</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8">
              <w:r>
                <w:rPr>
                  <w:rFonts w:ascii="Arial" w:cs="Arial" w:eastAsia="Arial" w:hAnsi="Arial"/>
                  <w:sz w:val="18"/>
                  <w:szCs w:val="18"/>
                  <w:color w:val="0000EE"/>
                  <w:w w:val="86"/>
                </w:rPr>
                <w:t>2015.</w:t>
              </w:r>
              <w:r>
                <w:rPr>
                  <w:rFonts w:ascii="Arial" w:cs="Arial" w:eastAsia="Arial" w:hAnsi="Arial"/>
                  <w:sz w:val="18"/>
                  <w:szCs w:val="18"/>
                  <w:u w:val="single" w:color="auto"/>
                  <w:color w:val="0000EE"/>
                  <w:w w:val="86"/>
                </w:rPr>
                <w:t>)</w:t>
              </w:r>
            </w:hyperlink>
          </w:p>
        </w:tc>
        <w:tc>
          <w:tcPr>
            <w:tcW w:w="10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10.33</w:t>
            </w:r>
          </w:p>
        </w:tc>
        <w:tc>
          <w:tcPr>
            <w:tcW w:w="9800" w:type="dxa"/>
            <w:vAlign w:val="bottom"/>
            <w:gridSpan w:val="29"/>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Placement Agency Agreement, dated November 19, 2015, by and between Galectin Therapeutics Inc. and Roth Capital Partners, LLC</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(Incorporated by reference to the Company’s Current Report on Form 8-K as filed with the Commission on November 20, 2015.)</w:t>
              </w:r>
            </w:hyperlink>
          </w:p>
        </w:tc>
        <w:tc>
          <w:tcPr>
            <w:tcW w:w="380" w:type="dxa"/>
            <w:vAlign w:val="bottom"/>
            <w:tcBorders>
              <w:top w:val="single" w:sz="8" w:color="0000EE"/>
            </w:tcBorders>
            <w:gridSpan w:val="11"/>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10.34</w:t>
            </w:r>
          </w:p>
        </w:tc>
        <w:tc>
          <w:tcPr>
            <w:tcW w:w="9800" w:type="dxa"/>
            <w:vAlign w:val="bottom"/>
            <w:gridSpan w:val="29"/>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Registration Rights Agreement, dated November 19, 2015, by and between Galectin Therapeutics Inc. and the Purchasers signatory</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952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thereto (Incorporated by reference to the Company’s Current Report on Form 8-K as filed with the Commission on November 20,</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50">
              <w:r>
                <w:rPr>
                  <w:rFonts w:ascii="Arial" w:cs="Arial" w:eastAsia="Arial" w:hAnsi="Arial"/>
                  <w:sz w:val="18"/>
                  <w:szCs w:val="18"/>
                  <w:color w:val="0000EE"/>
                  <w:w w:val="86"/>
                </w:rPr>
                <w:t>2015.</w:t>
              </w:r>
              <w:r>
                <w:rPr>
                  <w:rFonts w:ascii="Arial" w:cs="Arial" w:eastAsia="Arial" w:hAnsi="Arial"/>
                  <w:sz w:val="18"/>
                  <w:szCs w:val="18"/>
                  <w:u w:val="single" w:color="auto"/>
                  <w:color w:val="0000EE"/>
                  <w:w w:val="86"/>
                </w:rPr>
                <w:t>)</w:t>
              </w:r>
            </w:hyperlink>
          </w:p>
        </w:tc>
        <w:tc>
          <w:tcPr>
            <w:tcW w:w="10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10.35</w:t>
            </w:r>
          </w:p>
        </w:tc>
        <w:tc>
          <w:tcPr>
            <w:tcW w:w="9800" w:type="dxa"/>
            <w:vAlign w:val="bottom"/>
            <w:gridSpan w:val="29"/>
          </w:tcPr>
          <w:p>
            <w:pPr>
              <w:spacing w:after="0"/>
              <w:rPr>
                <w:rFonts w:ascii="Arial" w:cs="Arial" w:eastAsia="Arial" w:hAnsi="Arial"/>
                <w:sz w:val="18"/>
                <w:szCs w:val="18"/>
                <w:color w:val="0000EE"/>
                <w:w w:val="95"/>
              </w:rPr>
            </w:pPr>
            <w:hyperlink r:id="rId151">
              <w:r>
                <w:rPr>
                  <w:rFonts w:ascii="Arial" w:cs="Arial" w:eastAsia="Arial" w:hAnsi="Arial"/>
                  <w:sz w:val="18"/>
                  <w:szCs w:val="18"/>
                  <w:color w:val="0000EE"/>
                  <w:w w:val="95"/>
                </w:rPr>
                <w:t>Project Addendum Modification, dated March 11, 2016, by and between Galectin Therapeutics, Inc. and PPD Development, L.P.</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640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800" w:type="dxa"/>
            <w:vAlign w:val="bottom"/>
            <w:gridSpan w:val="29"/>
          </w:tcPr>
          <w:p>
            <w:pPr>
              <w:spacing w:after="0" w:line="196" w:lineRule="exact"/>
              <w:rPr>
                <w:rFonts w:ascii="Arial" w:cs="Arial" w:eastAsia="Arial" w:hAnsi="Arial"/>
                <w:sz w:val="18"/>
                <w:szCs w:val="18"/>
                <w:color w:val="0000EE"/>
                <w:w w:val="96"/>
              </w:rPr>
            </w:pPr>
            <w:hyperlink r:id="rId151">
              <w:r>
                <w:rPr>
                  <w:rFonts w:ascii="Arial" w:cs="Arial" w:eastAsia="Arial" w:hAnsi="Arial"/>
                  <w:sz w:val="18"/>
                  <w:szCs w:val="18"/>
                  <w:color w:val="0000EE"/>
                  <w:w w:val="96"/>
                </w:rPr>
                <w:t>(Incorporated by reference to the Company’s Annual Report on Form 10-K as filed with the Commission on March 15, 2016.)***</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6440" w:type="dxa"/>
            <w:vAlign w:val="bottom"/>
            <w:gridSpan w:val="13"/>
            <w:shd w:val="clear" w:color="auto" w:fill="0000EE"/>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10.36</w:t>
            </w:r>
          </w:p>
        </w:tc>
        <w:tc>
          <w:tcPr>
            <w:tcW w:w="9760" w:type="dxa"/>
            <w:vAlign w:val="bottom"/>
            <w:tcBorders>
              <w:bottom w:val="single" w:sz="8" w:color="0000EE"/>
            </w:tcBorders>
            <w:gridSpan w:val="28"/>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Jack W. Callicutt Retention Bonus Letter Agreement (Incorporated by reference to the Company’s Current Report on Form 8-K as filed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9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with the Commission on June 20, 2016.)</w:t>
              </w:r>
            </w:hyperlink>
          </w:p>
        </w:tc>
        <w:tc>
          <w:tcPr>
            <w:tcW w:w="68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20" w:type="dxa"/>
            <w:vAlign w:val="bottom"/>
          </w:tcPr>
          <w:p>
            <w:pPr>
              <w:spacing w:after="0"/>
              <w:rPr>
                <w:sz w:val="24"/>
                <w:szCs w:val="24"/>
                <w:color w:val="auto"/>
              </w:rPr>
            </w:pPr>
          </w:p>
        </w:tc>
        <w:tc>
          <w:tcPr>
            <w:tcW w:w="4440" w:type="dxa"/>
            <w:vAlign w:val="bottom"/>
            <w:gridSpan w:val="6"/>
          </w:tcPr>
          <w:p>
            <w:pPr>
              <w:ind w:left="420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00" w:type="dxa"/>
            <w:vAlign w:val="bottom"/>
          </w:tcPr>
          <w:p>
            <w:pPr>
              <w:jc w:val="center"/>
              <w:ind w:right="532"/>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760" w:type="dxa"/>
            <w:vAlign w:val="bottom"/>
            <w:gridSpan w:val="18"/>
            <w:vMerge w:val="restart"/>
          </w:tcPr>
          <w:p>
            <w:pPr>
              <w:ind w:left="2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400" w:type="dxa"/>
            <w:vAlign w:val="bottom"/>
          </w:tcPr>
          <w:p>
            <w:pPr>
              <w:jc w:val="center"/>
              <w:ind w:right="532"/>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7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400" w:type="dxa"/>
            <w:vAlign w:val="bottom"/>
          </w:tcPr>
          <w:p>
            <w:pPr>
              <w:ind w:left="100"/>
              <w:spacing w:after="0"/>
              <w:rPr>
                <w:sz w:val="20"/>
                <w:szCs w:val="20"/>
                <w:color w:val="auto"/>
              </w:rPr>
            </w:pPr>
            <w:r>
              <w:rPr>
                <w:rFonts w:ascii="Arial" w:cs="Arial" w:eastAsia="Arial" w:hAnsi="Arial"/>
                <w:sz w:val="18"/>
                <w:szCs w:val="18"/>
                <w:color w:val="auto"/>
              </w:rPr>
              <w:t>10.37†</w:t>
            </w:r>
          </w:p>
        </w:tc>
        <w:tc>
          <w:tcPr>
            <w:tcW w:w="9580" w:type="dxa"/>
            <w:vAlign w:val="bottom"/>
            <w:gridSpan w:val="21"/>
          </w:tcPr>
          <w:p>
            <w:pPr>
              <w:spacing w:after="0"/>
              <w:rPr>
                <w:rFonts w:ascii="Arial" w:cs="Arial" w:eastAsia="Arial" w:hAnsi="Arial"/>
                <w:sz w:val="18"/>
                <w:szCs w:val="18"/>
                <w:color w:val="0000EE"/>
                <w:w w:val="92"/>
              </w:rPr>
            </w:pPr>
            <w:hyperlink r:id="rId154">
              <w:r>
                <w:rPr>
                  <w:rFonts w:ascii="Arial" w:cs="Arial" w:eastAsia="Arial" w:hAnsi="Arial"/>
                  <w:sz w:val="18"/>
                  <w:szCs w:val="18"/>
                  <w:color w:val="0000EE"/>
                  <w:w w:val="92"/>
                </w:rPr>
                <w:t>Harold H. Shlevin, Ph.D. Retention Bonus Letter Agreement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4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8-K as filed with the Commission on June 20, 2016.)</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10.38†</w:t>
            </w:r>
          </w:p>
        </w:tc>
        <w:tc>
          <w:tcPr>
            <w:tcW w:w="8900" w:type="dxa"/>
            <w:vAlign w:val="bottom"/>
            <w:tcBorders>
              <w:bottom w:val="single" w:sz="8" w:color="0000EE"/>
            </w:tcBorders>
            <w:gridSpan w:val="11"/>
          </w:tcPr>
          <w:p>
            <w:pPr>
              <w:spacing w:after="0"/>
              <w:rPr>
                <w:rFonts w:ascii="Arial" w:cs="Arial" w:eastAsia="Arial" w:hAnsi="Arial"/>
                <w:sz w:val="18"/>
                <w:szCs w:val="18"/>
                <w:color w:val="0000EE"/>
                <w:w w:val="89"/>
              </w:rPr>
            </w:pPr>
            <w:hyperlink r:id="rId155">
              <w:r>
                <w:rPr>
                  <w:rFonts w:ascii="Arial" w:cs="Arial" w:eastAsia="Arial" w:hAnsi="Arial"/>
                  <w:sz w:val="18"/>
                  <w:szCs w:val="18"/>
                  <w:color w:val="0000EE"/>
                  <w:w w:val="89"/>
                </w:rPr>
                <w:t>Securities Purchase Agreement, dated September 22, 2016, by and between Galectin Therapeutics Inc. and 10X Fund, L.P.</w:t>
              </w:r>
            </w:hyperlink>
          </w:p>
        </w:tc>
        <w:tc>
          <w:tcPr>
            <w:tcW w:w="6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3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5">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10.39</w:t>
            </w:r>
          </w:p>
        </w:tc>
        <w:tc>
          <w:tcPr>
            <w:tcW w:w="8880" w:type="dxa"/>
            <w:vAlign w:val="bottom"/>
            <w:tcBorders>
              <w:bottom w:val="single" w:sz="8" w:color="0000EE"/>
            </w:tcBorders>
            <w:gridSpan w:val="10"/>
          </w:tcPr>
          <w:p>
            <w:pPr>
              <w:spacing w:after="0"/>
              <w:rPr>
                <w:rFonts w:ascii="Arial" w:cs="Arial" w:eastAsia="Arial" w:hAnsi="Arial"/>
                <w:sz w:val="18"/>
                <w:szCs w:val="18"/>
                <w:color w:val="0000EE"/>
                <w:w w:val="90"/>
              </w:rPr>
            </w:pPr>
            <w:hyperlink r:id="rId156">
              <w:r>
                <w:rPr>
                  <w:rFonts w:ascii="Arial" w:cs="Arial" w:eastAsia="Arial" w:hAnsi="Arial"/>
                  <w:sz w:val="18"/>
                  <w:szCs w:val="18"/>
                  <w:color w:val="0000EE"/>
                  <w:w w:val="90"/>
                </w:rPr>
                <w:t>Registration Rights Agreement, dated September 22, 2016, by and between Galectin Therapeutics Inc. and 10X Fund, L.P.</w:t>
              </w:r>
            </w:hyperlink>
          </w:p>
        </w:tc>
        <w:tc>
          <w:tcPr>
            <w:tcW w:w="7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3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56">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10.41</w:t>
            </w:r>
          </w:p>
        </w:tc>
        <w:tc>
          <w:tcPr>
            <w:tcW w:w="9580" w:type="dxa"/>
            <w:vAlign w:val="bottom"/>
            <w:gridSpan w:val="21"/>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Form of Subscription Agreement entered into between Galectin Therapeutics Inc. and certain purchasers (Incorporated by reference</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57">
              <w:r>
                <w:rPr>
                  <w:rFonts w:ascii="Arial" w:cs="Arial" w:eastAsia="Arial" w:hAnsi="Arial"/>
                  <w:sz w:val="18"/>
                  <w:szCs w:val="18"/>
                  <w:color w:val="0000EE"/>
                  <w:w w:val="91"/>
                </w:rPr>
                <w:t>to the Company’s Current Report on Form 8-K as filed with the Commission on December 29, 2016.)</w:t>
              </w:r>
            </w:hyperlink>
          </w:p>
        </w:tc>
        <w:tc>
          <w:tcPr>
            <w:tcW w:w="2160" w:type="dxa"/>
            <w:vAlign w:val="bottom"/>
            <w:tcBorders>
              <w:top w:val="single" w:sz="8" w:color="0000EE"/>
            </w:tcBorders>
            <w:gridSpan w:val="1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10.42</w:t>
            </w:r>
          </w:p>
        </w:tc>
        <w:tc>
          <w:tcPr>
            <w:tcW w:w="9200" w:type="dxa"/>
            <w:vAlign w:val="bottom"/>
            <w:tcBorders>
              <w:bottom w:val="single" w:sz="8" w:color="0000EE"/>
            </w:tcBorders>
            <w:gridSpan w:val="14"/>
          </w:tcPr>
          <w:p>
            <w:pPr>
              <w:spacing w:after="0"/>
              <w:rPr>
                <w:rFonts w:ascii="Arial" w:cs="Arial" w:eastAsia="Arial" w:hAnsi="Arial"/>
                <w:sz w:val="18"/>
                <w:szCs w:val="18"/>
                <w:color w:val="0000EE"/>
                <w:w w:val="90"/>
              </w:rPr>
            </w:pPr>
            <w:hyperlink r:id="rId158">
              <w:r>
                <w:rPr>
                  <w:rFonts w:ascii="Arial" w:cs="Arial" w:eastAsia="Arial" w:hAnsi="Arial"/>
                  <w:sz w:val="18"/>
                  <w:szCs w:val="18"/>
                  <w:color w:val="0000EE"/>
                  <w:w w:val="90"/>
                </w:rPr>
                <w:t>Amendment to Securities Purchase Agreement, dated December 23, 2016, by and between Galectin Therapeutics Inc. and 10X</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Fund, L.P. (Incorporated by reference to the Company’s Current Report on Form 8-K as filed with the Commission on December 29,</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2016.</w:t>
              </w:r>
              <w:r>
                <w:rPr>
                  <w:rFonts w:ascii="Arial" w:cs="Arial" w:eastAsia="Arial" w:hAnsi="Arial"/>
                  <w:sz w:val="18"/>
                  <w:szCs w:val="18"/>
                  <w:u w:val="single" w:color="auto"/>
                  <w:color w:val="0000EE"/>
                  <w:w w:val="90"/>
                </w:rPr>
                <w:t>)</w:t>
              </w:r>
            </w:hyperlink>
          </w:p>
        </w:tc>
        <w:tc>
          <w:tcPr>
            <w:tcW w:w="2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10.43</w:t>
            </w:r>
          </w:p>
        </w:tc>
        <w:tc>
          <w:tcPr>
            <w:tcW w:w="9580" w:type="dxa"/>
            <w:vAlign w:val="bottom"/>
            <w:gridSpan w:val="21"/>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At Market Issuance Sales Agreement, dated May 19, 2017, by and between Galectin Therapeutics Inc. and FBR Capital Markets &amp;</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2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59">
              <w:r>
                <w:rPr>
                  <w:rFonts w:ascii="Arial" w:cs="Arial" w:eastAsia="Arial" w:hAnsi="Arial"/>
                  <w:sz w:val="18"/>
                  <w:szCs w:val="18"/>
                  <w:color w:val="0000EE"/>
                  <w:w w:val="91"/>
                </w:rPr>
                <w:t>Co. (Incorporated by reference to the Company’s Current Report on Form 8-K as filed with the Commission on May 19, 2017.)</w:t>
              </w:r>
            </w:hyperlink>
          </w:p>
        </w:tc>
        <w:tc>
          <w:tcPr>
            <w:tcW w:w="300" w:type="dxa"/>
            <w:vAlign w:val="bottom"/>
            <w:tcBorders>
              <w:top w:val="single" w:sz="8" w:color="0000EE"/>
            </w:tcBorders>
            <w:gridSpan w:val="6"/>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10.44</w:t>
            </w:r>
          </w:p>
        </w:tc>
        <w:tc>
          <w:tcPr>
            <w:tcW w:w="8780" w:type="dxa"/>
            <w:vAlign w:val="bottom"/>
            <w:tcBorders>
              <w:bottom w:val="single" w:sz="8" w:color="0000EE"/>
            </w:tcBorders>
            <w:gridSpan w:val="7"/>
          </w:tcPr>
          <w:p>
            <w:pPr>
              <w:spacing w:after="0"/>
              <w:rPr>
                <w:rFonts w:ascii="Arial" w:cs="Arial" w:eastAsia="Arial" w:hAnsi="Arial"/>
                <w:sz w:val="18"/>
                <w:szCs w:val="18"/>
                <w:color w:val="0000EE"/>
                <w:w w:val="91"/>
              </w:rPr>
            </w:pPr>
            <w:hyperlink r:id="rId160">
              <w:r>
                <w:rPr>
                  <w:rFonts w:ascii="Arial" w:cs="Arial" w:eastAsia="Arial" w:hAnsi="Arial"/>
                  <w:sz w:val="18"/>
                  <w:szCs w:val="18"/>
                  <w:color w:val="0000EE"/>
                  <w:w w:val="91"/>
                </w:rPr>
                <w:t>Line of Credit Agreement, dated December 19, 2017, by and between Galectin Therapeutics Inc. and Richard E. Uihlein.</w:t>
              </w:r>
            </w:hyperlink>
          </w:p>
        </w:tc>
        <w:tc>
          <w:tcPr>
            <w:tcW w:w="8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w w:val="93"/>
              </w:rPr>
            </w:pPr>
            <w:hyperlink r:id="rId160">
              <w:r>
                <w:rPr>
                  <w:rFonts w:ascii="Arial" w:cs="Arial" w:eastAsia="Arial" w:hAnsi="Arial"/>
                  <w:sz w:val="18"/>
                  <w:szCs w:val="18"/>
                  <w:color w:val="0000EE"/>
                  <w:w w:val="93"/>
                </w:rPr>
                <w:t>(Incorporated by reference to the Company’s Current Report on Form 8-K as filed with the Commission on December 19, 2017.)</w:t>
              </w:r>
            </w:hyperlink>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10.45</w:t>
            </w:r>
          </w:p>
        </w:tc>
        <w:tc>
          <w:tcPr>
            <w:tcW w:w="89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First Amendment to Line of Credit Agreement, dated as of December 20, 2018, by and between Richard E. Uihlein and the</w:t>
              </w:r>
            </w:hyperlink>
          </w:p>
        </w:tc>
        <w:tc>
          <w:tcPr>
            <w:tcW w:w="360" w:type="dxa"/>
            <w:vAlign w:val="bottom"/>
            <w:tcBorders>
              <w:top w:val="single" w:sz="8" w:color="0000EE"/>
            </w:tcBorders>
            <w:gridSpan w:val="4"/>
          </w:tcPr>
          <w:p>
            <w:pPr>
              <w:spacing w:after="0"/>
              <w:rPr>
                <w:sz w:val="24"/>
                <w:szCs w:val="24"/>
                <w:color w:val="auto"/>
              </w:rPr>
            </w:pPr>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w w:val="94"/>
              </w:rPr>
            </w:pPr>
            <w:hyperlink r:id="rId159">
              <w:r>
                <w:rPr>
                  <w:rFonts w:ascii="Arial" w:cs="Arial" w:eastAsia="Arial" w:hAnsi="Arial"/>
                  <w:sz w:val="18"/>
                  <w:szCs w:val="18"/>
                  <w:color w:val="0000EE"/>
                  <w:w w:val="94"/>
                </w:rPr>
                <w:t>Company (Incorporated by reference to the Company’s Current Report on Form 8-K as filed with the Commission on January 3,</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2019.</w:t>
              </w:r>
              <w:r>
                <w:rPr>
                  <w:rFonts w:ascii="Arial" w:cs="Arial" w:eastAsia="Arial" w:hAnsi="Arial"/>
                  <w:sz w:val="18"/>
                  <w:szCs w:val="18"/>
                  <w:u w:val="single" w:color="auto"/>
                  <w:color w:val="0000EE"/>
                  <w:w w:val="90"/>
                </w:rPr>
                <w:t>)</w:t>
              </w:r>
            </w:hyperlink>
          </w:p>
        </w:tc>
        <w:tc>
          <w:tcPr>
            <w:tcW w:w="2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10.46</w:t>
            </w:r>
          </w:p>
        </w:tc>
        <w:tc>
          <w:tcPr>
            <w:tcW w:w="9580" w:type="dxa"/>
            <w:vAlign w:val="bottom"/>
            <w:gridSpan w:val="21"/>
          </w:tcPr>
          <w:p>
            <w:pPr>
              <w:spacing w:after="0"/>
              <w:rPr>
                <w:rFonts w:ascii="Arial" w:cs="Arial" w:eastAsia="Arial" w:hAnsi="Arial"/>
                <w:sz w:val="18"/>
                <w:szCs w:val="18"/>
                <w:color w:val="0000EE"/>
                <w:w w:val="96"/>
              </w:rPr>
            </w:pPr>
            <w:hyperlink r:id="rId161">
              <w:r>
                <w:rPr>
                  <w:rFonts w:ascii="Arial" w:cs="Arial" w:eastAsia="Arial" w:hAnsi="Arial"/>
                  <w:sz w:val="18"/>
                  <w:szCs w:val="18"/>
                  <w:color w:val="0000EE"/>
                  <w:w w:val="96"/>
                </w:rPr>
                <w:t>Second Amendment to Line of Credit Letter Agreement, dated January 11, 2019, by and between Richard E. Uihlein and the</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3040" w:type="dxa"/>
            <w:vAlign w:val="bottom"/>
            <w:gridSpan w:val="2"/>
            <w:shd w:val="clear" w:color="auto" w:fill="0000EE"/>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Company (Incorporated by reference to the Company’s Current Report on Form 8-K as filed with the Commission on January 15,</w:t>
              </w:r>
            </w:hyperlink>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61">
              <w:r>
                <w:rPr>
                  <w:rFonts w:ascii="Arial" w:cs="Arial" w:eastAsia="Arial" w:hAnsi="Arial"/>
                  <w:sz w:val="18"/>
                  <w:szCs w:val="18"/>
                  <w:color w:val="0000EE"/>
                  <w:w w:val="90"/>
                </w:rPr>
                <w:t>2019.</w:t>
              </w:r>
              <w:r>
                <w:rPr>
                  <w:rFonts w:ascii="Arial" w:cs="Arial" w:eastAsia="Arial" w:hAnsi="Arial"/>
                  <w:sz w:val="18"/>
                  <w:szCs w:val="18"/>
                  <w:u w:val="single" w:color="auto"/>
                  <w:color w:val="0000EE"/>
                  <w:w w:val="90"/>
                </w:rPr>
                <w:t>)</w:t>
              </w:r>
            </w:hyperlink>
          </w:p>
        </w:tc>
        <w:tc>
          <w:tcPr>
            <w:tcW w:w="25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21.1*</w:t>
            </w:r>
          </w:p>
        </w:tc>
        <w:tc>
          <w:tcPr>
            <w:tcW w:w="30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6">
              <w:r>
                <w:rPr>
                  <w:rFonts w:ascii="Arial" w:cs="Arial" w:eastAsia="Arial" w:hAnsi="Arial"/>
                  <w:sz w:val="18"/>
                  <w:szCs w:val="18"/>
                  <w:color w:val="0000EE"/>
                  <w:w w:val="90"/>
                </w:rPr>
                <w:t>Subsidiaries of Galectin Therapeutics Inc.</w:t>
              </w:r>
            </w:hyperlink>
          </w:p>
        </w:tc>
        <w:tc>
          <w:tcPr>
            <w:tcW w:w="654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23.1*</w:t>
            </w:r>
          </w:p>
        </w:tc>
        <w:tc>
          <w:tcPr>
            <w:tcW w:w="59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17">
              <w:r>
                <w:rPr>
                  <w:rFonts w:ascii="Arial" w:cs="Arial" w:eastAsia="Arial" w:hAnsi="Arial"/>
                  <w:sz w:val="18"/>
                  <w:szCs w:val="18"/>
                  <w:color w:val="0000EE"/>
                  <w:w w:val="90"/>
                </w:rPr>
                <w:t>Consent of Cherry Bekaert LLP, an independent registered public accounting firm.</w:t>
              </w:r>
            </w:hyperlink>
          </w:p>
        </w:tc>
        <w:tc>
          <w:tcPr>
            <w:tcW w:w="36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31.1*</w:t>
            </w:r>
          </w:p>
        </w:tc>
        <w:tc>
          <w:tcPr>
            <w:tcW w:w="9580" w:type="dxa"/>
            <w:vAlign w:val="bottom"/>
            <w:gridSpan w:val="21"/>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820" w:type="dxa"/>
            <w:vAlign w:val="bottom"/>
            <w:gridSpan w:val="4"/>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31.2*</w:t>
            </w:r>
          </w:p>
        </w:tc>
        <w:tc>
          <w:tcPr>
            <w:tcW w:w="9580" w:type="dxa"/>
            <w:vAlign w:val="bottom"/>
            <w:gridSpan w:val="2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820" w:type="dxa"/>
            <w:vAlign w:val="bottom"/>
            <w:gridSpan w:val="4"/>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32.1*#</w:t>
            </w:r>
          </w:p>
        </w:tc>
        <w:tc>
          <w:tcPr>
            <w:tcW w:w="88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Certification Pursuant to 18 U.S.C. Section 1350, as Adopted Pursuant to Section 906 of the Sarbanes-Oxley Act of 2002.</w:t>
              </w:r>
            </w:hyperlink>
          </w:p>
        </w:tc>
        <w:tc>
          <w:tcPr>
            <w:tcW w:w="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00" w:type="dxa"/>
            <w:vAlign w:val="bottom"/>
          </w:tcPr>
          <w:p>
            <w:pPr>
              <w:ind w:left="100"/>
              <w:spacing w:after="0"/>
              <w:rPr>
                <w:sz w:val="20"/>
                <w:szCs w:val="20"/>
                <w:color w:val="auto"/>
              </w:rPr>
            </w:pPr>
            <w:r>
              <w:rPr>
                <w:rFonts w:ascii="Arial" w:cs="Arial" w:eastAsia="Arial" w:hAnsi="Arial"/>
                <w:sz w:val="18"/>
                <w:szCs w:val="18"/>
                <w:color w:val="auto"/>
              </w:rPr>
              <w:t>32.2*#</w:t>
            </w:r>
          </w:p>
        </w:tc>
        <w:tc>
          <w:tcPr>
            <w:tcW w:w="88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21">
              <w:r>
                <w:rPr>
                  <w:rFonts w:ascii="Arial" w:cs="Arial" w:eastAsia="Arial" w:hAnsi="Arial"/>
                  <w:sz w:val="18"/>
                  <w:szCs w:val="18"/>
                  <w:color w:val="0000EE"/>
                  <w:w w:val="90"/>
                </w:rPr>
                <w:t>Certification Pursuant to 18 U.S.C. Section 1350, as Adopted Pursuant to Section 906 of the Sarbanes-Oxley Act of 2002.</w:t>
              </w:r>
            </w:hyperlink>
          </w:p>
        </w:tc>
        <w:tc>
          <w:tcPr>
            <w:tcW w:w="7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101.INS*</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4"/>
              </w:rPr>
              <w:t>101.SCH*</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8"/>
              </w:rPr>
              <w:t>101.CAL*</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72"/>
              <w:spacing w:after="0"/>
              <w:rPr>
                <w:sz w:val="20"/>
                <w:szCs w:val="20"/>
                <w:color w:val="auto"/>
              </w:rPr>
            </w:pPr>
            <w:r>
              <w:rPr>
                <w:rFonts w:ascii="Arial" w:cs="Arial" w:eastAsia="Arial" w:hAnsi="Arial"/>
                <w:sz w:val="18"/>
                <w:szCs w:val="18"/>
                <w:color w:val="auto"/>
                <w:w w:val="94"/>
              </w:rPr>
              <w:t>101.DEF*</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52"/>
              <w:spacing w:after="0"/>
              <w:rPr>
                <w:sz w:val="20"/>
                <w:szCs w:val="20"/>
                <w:color w:val="auto"/>
              </w:rPr>
            </w:pPr>
            <w:r>
              <w:rPr>
                <w:rFonts w:ascii="Arial" w:cs="Arial" w:eastAsia="Arial" w:hAnsi="Arial"/>
                <w:sz w:val="18"/>
                <w:szCs w:val="18"/>
                <w:color w:val="auto"/>
                <w:w w:val="99"/>
              </w:rPr>
              <w:t>101.LAB*</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400" w:type="dxa"/>
            <w:vAlign w:val="bottom"/>
          </w:tcPr>
          <w:p>
            <w:pPr>
              <w:jc w:val="center"/>
              <w:ind w:right="572"/>
              <w:spacing w:after="0"/>
              <w:rPr>
                <w:sz w:val="20"/>
                <w:szCs w:val="20"/>
                <w:color w:val="auto"/>
              </w:rPr>
            </w:pPr>
            <w:r>
              <w:rPr>
                <w:rFonts w:ascii="Arial" w:cs="Arial" w:eastAsia="Arial" w:hAnsi="Arial"/>
                <w:sz w:val="18"/>
                <w:szCs w:val="18"/>
                <w:color w:val="auto"/>
                <w:w w:val="93"/>
              </w:rPr>
              <w:t>101.PRE*</w:t>
            </w:r>
          </w:p>
        </w:tc>
        <w:tc>
          <w:tcPr>
            <w:tcW w:w="9580" w:type="dxa"/>
            <w:vAlign w:val="bottom"/>
            <w:gridSpan w:val="21"/>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23" w:lineRule="exact"/>
        <w:rPr>
          <w:sz w:val="20"/>
          <w:szCs w:val="20"/>
          <w:color w:val="auto"/>
        </w:rPr>
      </w:pPr>
    </w:p>
    <w:p>
      <w:pPr>
        <w:ind w:left="640" w:hanging="436"/>
        <w:spacing w:after="0" w:line="250"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620" w:right="4200" w:hanging="5416"/>
        <w:spacing w:after="0" w:line="473" w:lineRule="auto"/>
        <w:tabs>
          <w:tab w:leader="none" w:pos="632"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Executive Compensation Arrangement pursuant to 601(b)(10)(iii)(A) of Regulation S-K 70</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6, 2019.</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Harold H. Shlevin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Executive Officer and President</w:t>
      </w:r>
    </w:p>
    <w:p>
      <w:pPr>
        <w:spacing w:after="0" w:line="224"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6"/>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HAROLD H. SHLEVIN, PhD.</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Chief Executive Officer and President</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Harold H. Shlevin.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JACK W. CALLICUTT</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Jack W. Callicutt</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RICHARD E. UIHLEIN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Board</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Richard E. Uihlein</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MARC RUBIN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Marc Rubin</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GILBERT F. AMELIO</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Gilbert F. Amelio</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JAMES C. CZIRR</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James C. Czirr</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KEVIN D. FREEMAN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Kevin D. Freeman</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JOEL LEWIS</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Joel Lewis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GILBERT S. OMENN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Gilbert S. Omenn</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STEPHEN SHULMAN</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Stephen Shulman</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KARY ELDRED</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80" w:type="dxa"/>
            <w:vAlign w:val="bottom"/>
            <w:gridSpan w:val="3"/>
          </w:tcPr>
          <w:p>
            <w:pPr>
              <w:jc w:val="center"/>
              <w:ind w:left="950"/>
              <w:spacing w:after="0"/>
              <w:rPr>
                <w:sz w:val="20"/>
                <w:szCs w:val="20"/>
                <w:color w:val="auto"/>
              </w:rPr>
            </w:pPr>
            <w:r>
              <w:rPr>
                <w:rFonts w:ascii="Arial" w:cs="Arial" w:eastAsia="Arial" w:hAnsi="Arial"/>
                <w:sz w:val="18"/>
                <w:szCs w:val="18"/>
                <w:color w:val="auto"/>
                <w:w w:val="90"/>
              </w:rPr>
              <w:t>March 6, 2019</w:t>
            </w:r>
          </w:p>
        </w:tc>
      </w:tr>
      <w:tr>
        <w:trPr>
          <w:trHeight w:val="224"/>
        </w:trPr>
        <w:tc>
          <w:tcPr>
            <w:tcW w:w="4240" w:type="dxa"/>
            <w:vAlign w:val="bottom"/>
            <w:gridSpan w:val="3"/>
          </w:tcPr>
          <w:p>
            <w:pPr>
              <w:spacing w:after="0"/>
              <w:rPr>
                <w:sz w:val="20"/>
                <w:szCs w:val="20"/>
                <w:color w:val="auto"/>
              </w:rPr>
            </w:pPr>
            <w:r>
              <w:rPr>
                <w:rFonts w:ascii="Arial" w:cs="Arial" w:eastAsia="Arial" w:hAnsi="Arial"/>
                <w:sz w:val="18"/>
                <w:szCs w:val="18"/>
                <w:color w:val="auto"/>
              </w:rPr>
              <w:t>Kary Eldred</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Pr>
          <w:p>
            <w:pPr>
              <w:ind w:left="118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73" w:name="page74"/>
    <w:bookmarkEnd w:id="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0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80" w:type="dxa"/>
            <w:vAlign w:val="bottom"/>
          </w:tcPr>
          <w:p>
            <w:pPr>
              <w:spacing w:after="0"/>
              <w:rPr>
                <w:sz w:val="17"/>
                <w:szCs w:val="17"/>
                <w:color w:val="auto"/>
              </w:rPr>
            </w:pPr>
          </w:p>
        </w:tc>
      </w:tr>
      <w:tr>
        <w:trPr>
          <w:trHeight w:val="515"/>
        </w:trPr>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6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w w:val="89"/>
              </w:rPr>
              <w:t>Galectin Therapeutics Inc. and subsidiaries</w:t>
            </w:r>
          </w:p>
        </w:tc>
        <w:tc>
          <w:tcPr>
            <w:tcW w:w="580" w:type="dxa"/>
            <w:vAlign w:val="bottom"/>
          </w:tcPr>
          <w:p>
            <w:pPr>
              <w:spacing w:after="0"/>
              <w:rPr>
                <w:sz w:val="24"/>
                <w:szCs w:val="24"/>
                <w:color w:val="auto"/>
              </w:rPr>
            </w:pPr>
          </w:p>
        </w:tc>
      </w:tr>
      <w:tr>
        <w:trPr>
          <w:trHeight w:val="234"/>
        </w:trPr>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4"/>
          </w:tcPr>
          <w:p>
            <w:pPr>
              <w:jc w:val="center"/>
              <w:ind w:right="420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0"/>
                <w:szCs w:val="20"/>
                <w:color w:val="auto"/>
              </w:rPr>
            </w:pPr>
          </w:p>
        </w:tc>
      </w:tr>
      <w:tr>
        <w:trPr>
          <w:trHeight w:val="419"/>
        </w:trPr>
        <w:tc>
          <w:tcPr>
            <w:tcW w:w="38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1.</w:t>
              </w:r>
            </w:hyperlink>
          </w:p>
        </w:tc>
        <w:tc>
          <w:tcPr>
            <w:tcW w:w="1022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Reports of Independent Registered Public Accounting Firm</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22"/>
        </w:trPr>
        <w:tc>
          <w:tcPr>
            <w:tcW w:w="2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0"/>
        </w:trPr>
        <w:tc>
          <w:tcPr>
            <w:tcW w:w="380" w:type="dxa"/>
            <w:vAlign w:val="bottom"/>
            <w:gridSpan w:val="2"/>
          </w:tcPr>
          <w:p>
            <w:pPr>
              <w:jc w:val="right"/>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2.</w:t>
              </w:r>
            </w:hyperlink>
          </w:p>
        </w:tc>
        <w:tc>
          <w:tcPr>
            <w:tcW w:w="10220" w:type="dxa"/>
            <w:vAlign w:val="bottom"/>
            <w:gridSpan w:val="9"/>
          </w:tcPr>
          <w:p>
            <w:pPr>
              <w:spacing w:after="0" w:line="190"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 as of December 31, 2018 and 2017</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2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0"/>
        </w:trPr>
        <w:tc>
          <w:tcPr>
            <w:tcW w:w="380" w:type="dxa"/>
            <w:vAlign w:val="bottom"/>
            <w:gridSpan w:val="2"/>
          </w:tcPr>
          <w:p>
            <w:pPr>
              <w:jc w:val="right"/>
              <w:spacing w:after="0" w:line="190" w:lineRule="exact"/>
              <w:rPr>
                <w:rFonts w:ascii="Arial" w:cs="Arial" w:eastAsia="Arial" w:hAnsi="Arial"/>
                <w:sz w:val="18"/>
                <w:szCs w:val="18"/>
                <w:color w:val="0000EE"/>
              </w:rPr>
            </w:pPr>
            <w:hyperlink w:anchor="page78">
              <w:r>
                <w:rPr>
                  <w:rFonts w:ascii="Arial" w:cs="Arial" w:eastAsia="Arial" w:hAnsi="Arial"/>
                  <w:sz w:val="18"/>
                  <w:szCs w:val="18"/>
                  <w:color w:val="0000EE"/>
                </w:rPr>
                <w:t>3.</w:t>
              </w:r>
            </w:hyperlink>
          </w:p>
        </w:tc>
        <w:tc>
          <w:tcPr>
            <w:tcW w:w="10220" w:type="dxa"/>
            <w:vAlign w:val="bottom"/>
            <w:gridSpan w:val="9"/>
          </w:tcPr>
          <w:p>
            <w:pPr>
              <w:spacing w:after="0" w:line="190"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Operations for the years ended December 31, 2018 and 2017</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22"/>
        </w:trPr>
        <w:tc>
          <w:tcPr>
            <w:tcW w:w="2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20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0"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4.</w:t>
              </w:r>
            </w:hyperlink>
          </w:p>
        </w:tc>
        <w:tc>
          <w:tcPr>
            <w:tcW w:w="9800" w:type="dxa"/>
            <w:vAlign w:val="bottom"/>
            <w:tcBorders>
              <w:bottom w:val="single" w:sz="8" w:color="0000EE"/>
            </w:tcBorders>
            <w:gridSpan w:val="8"/>
          </w:tcPr>
          <w:p>
            <w:pPr>
              <w:spacing w:after="0" w:line="190"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Consolidated Statements of Changes in Redeemable Convertible Preferred Stock and Stockholders’ Equity (Deficit) for the years ended</w:t>
              </w:r>
            </w:hyperlink>
          </w:p>
        </w:tc>
        <w:tc>
          <w:tcPr>
            <w:tcW w:w="420" w:type="dxa"/>
            <w:vAlign w:val="bottom"/>
          </w:tcPr>
          <w:p>
            <w:pPr>
              <w:spacing w:after="0"/>
              <w:rPr>
                <w:sz w:val="16"/>
                <w:szCs w:val="16"/>
                <w:color w:val="auto"/>
              </w:rPr>
            </w:pPr>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196"/>
        </w:trPr>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2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December 31, 2018 and 2017</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80" w:type="dxa"/>
            <w:vAlign w:val="bottom"/>
            <w:gridSpan w:val="2"/>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380" w:type="dxa"/>
            <w:vAlign w:val="bottom"/>
            <w:gridSpan w:val="2"/>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5.</w:t>
              </w:r>
            </w:hyperlink>
          </w:p>
        </w:tc>
        <w:tc>
          <w:tcPr>
            <w:tcW w:w="10220" w:type="dxa"/>
            <w:vAlign w:val="bottom"/>
            <w:gridSpan w:val="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 for the years ended December 31, 2018 and 2017</w:t>
              </w:r>
            </w:hyperlink>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r>
      <w:tr>
        <w:trPr>
          <w:trHeight w:val="222"/>
        </w:trPr>
        <w:tc>
          <w:tcPr>
            <w:tcW w:w="20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98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8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0"/>
        </w:trPr>
        <w:tc>
          <w:tcPr>
            <w:tcW w:w="380" w:type="dxa"/>
            <w:vAlign w:val="bottom"/>
            <w:gridSpan w:val="2"/>
          </w:tcPr>
          <w:p>
            <w:pPr>
              <w:jc w:val="right"/>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6.</w:t>
              </w:r>
            </w:hyperlink>
          </w:p>
        </w:tc>
        <w:tc>
          <w:tcPr>
            <w:tcW w:w="10220" w:type="dxa"/>
            <w:vAlign w:val="bottom"/>
            <w:gridSpan w:val="9"/>
          </w:tcPr>
          <w:p>
            <w:pPr>
              <w:spacing w:after="0" w:line="190" w:lineRule="exact"/>
              <w:rPr>
                <w:rFonts w:ascii="Arial" w:cs="Arial" w:eastAsia="Arial" w:hAnsi="Arial"/>
                <w:sz w:val="18"/>
                <w:szCs w:val="18"/>
                <w:color w:val="0000EE"/>
              </w:rPr>
            </w:pPr>
            <w:hyperlink w:anchor="page82">
              <w:r>
                <w:rPr>
                  <w:rFonts w:ascii="Arial" w:cs="Arial" w:eastAsia="Arial" w:hAnsi="Arial"/>
                  <w:sz w:val="18"/>
                  <w:szCs w:val="18"/>
                  <w:color w:val="0000EE"/>
                </w:rPr>
                <w:t>Notes to Consolidated Financial Statements</w:t>
              </w:r>
            </w:hyperlink>
          </w:p>
        </w:tc>
        <w:tc>
          <w:tcPr>
            <w:tcW w:w="58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237"/>
        </w:trPr>
        <w:tc>
          <w:tcPr>
            <w:tcW w:w="200" w:type="dxa"/>
            <w:vAlign w:val="bottom"/>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1040" w:type="dxa"/>
            <w:vAlign w:val="bottom"/>
            <w:tcBorders>
              <w:top w:val="single" w:sz="8" w:color="0000EE"/>
            </w:tcBorders>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65"/>
        </w:trPr>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6"/>
          </w:tcPr>
          <w:p>
            <w:pPr>
              <w:jc w:val="center"/>
              <w:ind w:left="4110"/>
              <w:spacing w:after="0"/>
              <w:rPr>
                <w:sz w:val="20"/>
                <w:szCs w:val="20"/>
                <w:color w:val="auto"/>
              </w:rPr>
            </w:pPr>
            <w:r>
              <w:rPr>
                <w:rFonts w:ascii="Arial" w:cs="Arial" w:eastAsia="Arial" w:hAnsi="Arial"/>
                <w:sz w:val="18"/>
                <w:szCs w:val="18"/>
                <w:color w:val="auto"/>
                <w:w w:val="89"/>
              </w:rPr>
              <w:t>72</w:t>
            </w:r>
          </w:p>
        </w:tc>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180"/>
          </w:cols>
          <w:pgMar w:left="240" w:top="446"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 Galectin Therapeutics,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left="200" w:right="80"/>
        <w:spacing w:after="0" w:line="297" w:lineRule="auto"/>
        <w:rPr>
          <w:sz w:val="20"/>
          <w:szCs w:val="20"/>
          <w:color w:val="auto"/>
        </w:rPr>
      </w:pPr>
      <w:r>
        <w:rPr>
          <w:rFonts w:ascii="Arial" w:cs="Arial" w:eastAsia="Arial" w:hAnsi="Arial"/>
          <w:sz w:val="16"/>
          <w:szCs w:val="16"/>
          <w:color w:val="auto"/>
        </w:rPr>
        <w:t>We have audited the accompanying consolidated balance sheets of Galectin Therapeutics, Inc. and Subsidiaries (the “Company”) as of December 31, 2018 and 2017, and the related consolidated statements of operations, changes in redeemable convertible preferred stock and stockholders’ equity (deficit), and cash flows for each of the years then ended and the related notes (collectively referred to as the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58"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COSO.</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of Internal Control over Financial Reporting included in Item 9A — Controls and Procedures in the Company’s 2018 Annual Report on Form 10-K.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CHERRY BEKAERT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6,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8,253</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assets</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8,832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Intangible assets, net</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9,006</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20" w:type="dxa"/>
            <w:vAlign w:val="bottom"/>
          </w:tcPr>
          <w:p>
            <w:pPr>
              <w:ind w:left="160"/>
              <w:spacing w:after="0"/>
              <w:rPr>
                <w:sz w:val="20"/>
                <w:szCs w:val="20"/>
                <w:color w:val="auto"/>
              </w:rPr>
            </w:pPr>
            <w:r>
              <w:rPr>
                <w:rFonts w:ascii="Arial" w:cs="Arial" w:eastAsia="Arial" w:hAnsi="Arial"/>
                <w:sz w:val="17"/>
                <w:szCs w:val="17"/>
                <w:b w:val="1"/>
                <w:bCs w:val="1"/>
                <w:color w:val="auto"/>
              </w:rPr>
              <w:t>(DEFICIT) EQUITY</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297</w:t>
            </w:r>
          </w:p>
        </w:tc>
        <w:tc>
          <w:tcPr>
            <w:tcW w:w="38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608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7"/>
                <w:szCs w:val="17"/>
                <w:color w:val="auto"/>
              </w:rPr>
              <w:t>Accrued dividends payable</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2,108</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20" w:type="dxa"/>
            <w:vAlign w:val="bottom"/>
          </w:tcPr>
          <w:p>
            <w:pPr>
              <w:spacing w:after="0" w:line="185" w:lineRule="exact"/>
              <w:rPr>
                <w:sz w:val="20"/>
                <w:szCs w:val="20"/>
                <w:color w:val="auto"/>
              </w:rPr>
            </w:pPr>
            <w:r>
              <w:rPr>
                <w:rFonts w:ascii="Arial" w:cs="Arial" w:eastAsia="Arial" w:hAnsi="Arial"/>
                <w:sz w:val="17"/>
                <w:szCs w:val="17"/>
                <w:color w:val="auto"/>
              </w:rPr>
              <w:t>Series C 6% super dividend redeemable convertible preferred stock; 1,000 shares authorized, 176 issued and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outstanding at December 31, 2018 and 2017, redemption value: $8,863,000, liquidation value: $1,786,000 at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7"/>
                <w:szCs w:val="17"/>
                <w:color w:val="auto"/>
              </w:rPr>
              <w:t>December 31, 2018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1,723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8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20" w:type="dxa"/>
            <w:vAlign w:val="bottom"/>
          </w:tcPr>
          <w:p>
            <w:pPr>
              <w:ind w:left="660"/>
              <w:spacing w:after="0" w:line="185" w:lineRule="exact"/>
              <w:rPr>
                <w:sz w:val="20"/>
                <w:szCs w:val="20"/>
                <w:color w:val="auto"/>
              </w:rPr>
            </w:pPr>
            <w:r>
              <w:rPr>
                <w:rFonts w:ascii="Arial" w:cs="Arial" w:eastAsia="Arial" w:hAnsi="Arial"/>
                <w:sz w:val="17"/>
                <w:szCs w:val="17"/>
                <w:color w:val="auto"/>
              </w:rPr>
              <w:t>Undesignated stock, $0.01 par value; 20,000,000 shares authorized at December 31, 2018 and 2017,</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tcPr>
          <w:p>
            <w:pPr>
              <w:ind w:left="840"/>
              <w:spacing w:after="0"/>
              <w:rPr>
                <w:sz w:val="20"/>
                <w:szCs w:val="20"/>
                <w:color w:val="auto"/>
              </w:rPr>
            </w:pPr>
            <w:r>
              <w:rPr>
                <w:rFonts w:ascii="Arial" w:cs="Arial" w:eastAsia="Arial" w:hAnsi="Arial"/>
                <w:sz w:val="17"/>
                <w:szCs w:val="17"/>
                <w:color w:val="auto"/>
              </w:rPr>
              <w:t>20,000,000 shares designated at December 31, 2018 and 2017, respectively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w w:val="94"/>
              </w:rPr>
              <w:t>Series A 12% convertible preferred stock; 1,742,500 shares authorized, 1,327,500 and 1,377,500 issued and</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outstanding at December 31, 2018 and 2017, respectively, liquidation value $1,367,000 at December 31,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2018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20" w:type="dxa"/>
            <w:vAlign w:val="bottom"/>
          </w:tcPr>
          <w:p>
            <w:pPr>
              <w:ind w:left="660"/>
              <w:spacing w:after="0" w:line="185" w:lineRule="exact"/>
              <w:rPr>
                <w:sz w:val="20"/>
                <w:szCs w:val="20"/>
                <w:color w:val="auto"/>
              </w:rPr>
            </w:pPr>
            <w:r>
              <w:rPr>
                <w:rFonts w:ascii="Arial" w:cs="Arial" w:eastAsia="Arial" w:hAnsi="Arial"/>
                <w:sz w:val="17"/>
                <w:szCs w:val="17"/>
                <w:color w:val="auto"/>
              </w:rPr>
              <w:t>Series B-1 12% convertible preferred stock; 900,000 shares authorized, issued and outstanding at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tcPr>
          <w:p>
            <w:pPr>
              <w:ind w:left="840"/>
              <w:spacing w:after="0"/>
              <w:rPr>
                <w:sz w:val="20"/>
                <w:szCs w:val="20"/>
                <w:color w:val="auto"/>
              </w:rPr>
            </w:pPr>
            <w:r>
              <w:rPr>
                <w:rFonts w:ascii="Arial" w:cs="Arial" w:eastAsia="Arial" w:hAnsi="Arial"/>
                <w:sz w:val="17"/>
                <w:szCs w:val="17"/>
                <w:color w:val="auto"/>
              </w:rPr>
              <w:t>December 31, 2018 and 2017, liquidation value $1,800,000 at December 31, 2018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1,761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rPr>
              <w:t>Series B-2 12% convertible preferred stock; 2,100,000 shares authorized, issued and outstanding at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December 31, 2018 and 2017, liquidation value $4,200,000 at December 31, 2018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20" w:type="dxa"/>
            <w:vAlign w:val="bottom"/>
          </w:tcPr>
          <w:p>
            <w:pPr>
              <w:ind w:left="660"/>
              <w:spacing w:after="0" w:line="185" w:lineRule="exact"/>
              <w:rPr>
                <w:sz w:val="20"/>
                <w:szCs w:val="20"/>
                <w:color w:val="auto"/>
              </w:rPr>
            </w:pPr>
            <w:r>
              <w:rPr>
                <w:rFonts w:ascii="Arial" w:cs="Arial" w:eastAsia="Arial" w:hAnsi="Arial"/>
                <w:sz w:val="17"/>
                <w:szCs w:val="17"/>
                <w:color w:val="auto"/>
                <w:w w:val="94"/>
              </w:rPr>
              <w:t>Series B-3 8% convertible preferred stock; 2,508,000 shares authorized, 2,508,000 issued and outstanding at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20" w:type="dxa"/>
            <w:vAlign w:val="bottom"/>
          </w:tcPr>
          <w:p>
            <w:pPr>
              <w:ind w:left="840"/>
              <w:spacing w:after="0"/>
              <w:rPr>
                <w:sz w:val="20"/>
                <w:szCs w:val="20"/>
                <w:color w:val="auto"/>
              </w:rPr>
            </w:pPr>
            <w:r>
              <w:rPr>
                <w:rFonts w:ascii="Arial" w:cs="Arial" w:eastAsia="Arial" w:hAnsi="Arial"/>
                <w:sz w:val="17"/>
                <w:szCs w:val="17"/>
                <w:color w:val="auto"/>
              </w:rPr>
              <w:t>December 31, 2018 and 2017, liquidation value $2,508,000 at December 31, 2018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1,224</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420" w:type="dxa"/>
            <w:vAlign w:val="bottom"/>
            <w:shd w:val="clear" w:color="auto" w:fill="CCEEFF"/>
          </w:tcPr>
          <w:p>
            <w:pPr>
              <w:ind w:left="660"/>
              <w:spacing w:after="0" w:line="187" w:lineRule="exact"/>
              <w:rPr>
                <w:sz w:val="20"/>
                <w:szCs w:val="20"/>
                <w:color w:val="auto"/>
              </w:rPr>
            </w:pPr>
            <w:r>
              <w:rPr>
                <w:rFonts w:ascii="Arial" w:cs="Arial" w:eastAsia="Arial" w:hAnsi="Arial"/>
                <w:sz w:val="17"/>
                <w:szCs w:val="17"/>
                <w:color w:val="auto"/>
                <w:w w:val="94"/>
              </w:rPr>
              <w:t>Common stock, $0.001 par value; 100,000,000 and 50,000,000 shares authorized at December 31, 2018 and</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840"/>
              <w:spacing w:after="0"/>
              <w:rPr>
                <w:sz w:val="20"/>
                <w:szCs w:val="20"/>
                <w:color w:val="auto"/>
              </w:rPr>
            </w:pPr>
            <w:r>
              <w:rPr>
                <w:rFonts w:ascii="Arial" w:cs="Arial" w:eastAsia="Arial" w:hAnsi="Arial"/>
                <w:sz w:val="17"/>
                <w:szCs w:val="17"/>
                <w:color w:val="auto"/>
                <w:w w:val="96"/>
              </w:rPr>
              <w:t>2017, respectively, 41,190,905 and 35,789,388 issued and outstanding at December 31, 2018 and 2017,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420" w:type="dxa"/>
            <w:vAlign w:val="bottom"/>
            <w:shd w:val="clear" w:color="auto" w:fill="CCEEFF"/>
          </w:tcPr>
          <w:p>
            <w:pPr>
              <w:ind w:left="840"/>
              <w:spacing w:after="0"/>
              <w:rPr>
                <w:sz w:val="20"/>
                <w:szCs w:val="20"/>
                <w:color w:val="auto"/>
              </w:rPr>
            </w:pPr>
            <w:r>
              <w:rPr>
                <w:rFonts w:ascii="Arial" w:cs="Arial" w:eastAsia="Arial" w:hAnsi="Arial"/>
                <w:sz w:val="17"/>
                <w:szCs w:val="17"/>
                <w:color w:val="auto"/>
              </w:rPr>
              <w:t>respectively</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660"/>
              <w:spacing w:after="0"/>
              <w:rPr>
                <w:sz w:val="20"/>
                <w:szCs w:val="20"/>
                <w:color w:val="auto"/>
              </w:rPr>
            </w:pPr>
            <w:r>
              <w:rPr>
                <w:rFonts w:ascii="Arial" w:cs="Arial" w:eastAsia="Arial" w:hAnsi="Arial"/>
                <w:sz w:val="17"/>
                <w:szCs w:val="17"/>
                <w:color w:val="auto"/>
              </w:rPr>
              <w:t>Additional paid-in capital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194,130</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173,363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Retained deficit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0"/>
              </w:rPr>
              <w:t>(196,215)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(181,168)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20" w:type="dxa"/>
            <w:vAlign w:val="bottom"/>
          </w:tcPr>
          <w:p>
            <w:pPr>
              <w:ind w:left="1020"/>
              <w:spacing w:after="0"/>
              <w:rPr>
                <w:sz w:val="20"/>
                <w:szCs w:val="20"/>
                <w:color w:val="auto"/>
              </w:rPr>
            </w:pPr>
            <w:r>
              <w:rPr>
                <w:rFonts w:ascii="Arial" w:cs="Arial" w:eastAsia="Arial" w:hAnsi="Arial"/>
                <w:sz w:val="17"/>
                <w:szCs w:val="17"/>
                <w:color w:val="auto"/>
              </w:rPr>
              <w:t>Total stockholders’ (deficit) equity</w:t>
            </w:r>
          </w:p>
        </w:tc>
        <w:tc>
          <w:tcPr>
            <w:tcW w:w="3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redeemable convertible preferred stock and stockholders’ (deficit) equity</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9,006</w:t>
            </w:r>
          </w:p>
        </w:tc>
        <w:tc>
          <w:tcPr>
            <w:tcW w:w="3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5"/>
          </w:tcPr>
          <w:p>
            <w:pPr>
              <w:jc w:val="right"/>
              <w:ind w:right="151"/>
              <w:spacing w:after="0" w:line="119" w:lineRule="exact"/>
              <w:rPr>
                <w:sz w:val="20"/>
                <w:szCs w:val="20"/>
                <w:color w:val="auto"/>
              </w:rPr>
            </w:pPr>
            <w:r>
              <w:rPr>
                <w:rFonts w:ascii="Arial" w:cs="Arial" w:eastAsia="Arial" w:hAnsi="Arial"/>
                <w:sz w:val="13"/>
                <w:szCs w:val="13"/>
                <w:b w:val="1"/>
                <w:bCs w:val="1"/>
                <w:color w:val="auto"/>
              </w:rPr>
              <w:t>(in thousands, except</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per share amounts)</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6,471</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11,721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16,247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(16,247)</w:t>
            </w: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(13,900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(16,235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23"/>
        </w:trPr>
        <w:tc>
          <w:tcPr>
            <w:tcW w:w="20" w:type="dxa"/>
            <w:vAlign w:val="bottom"/>
          </w:tcPr>
          <w:p>
            <w:pPr>
              <w:spacing w:after="0"/>
              <w:rPr>
                <w:sz w:val="19"/>
                <w:szCs w:val="19"/>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2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(15,047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(17,467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39,414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35,521</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Series C Super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Dividend Redeemable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40" w:type="dxa"/>
            <w:vAlign w:val="bottom"/>
            <w:gridSpan w:val="2"/>
          </w:tcPr>
          <w:p>
            <w:pPr>
              <w:jc w:val="center"/>
              <w:ind w:left="444"/>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24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w w:val="98"/>
              </w:rPr>
              <w:t>Number of</w:t>
            </w:r>
          </w:p>
        </w:tc>
        <w:tc>
          <w:tcPr>
            <w:tcW w:w="2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jc w:val="right"/>
              <w:ind w:right="3350"/>
              <w:spacing w:after="0"/>
              <w:rPr>
                <w:sz w:val="20"/>
                <w:szCs w:val="20"/>
                <w:color w:val="auto"/>
              </w:rPr>
            </w:pPr>
            <w:r>
              <w:rPr>
                <w:rFonts w:ascii="Arial" w:cs="Arial" w:eastAsia="Arial" w:hAnsi="Arial"/>
                <w:sz w:val="18"/>
                <w:szCs w:val="18"/>
                <w:b w:val="1"/>
                <w:bCs w:val="1"/>
                <w:color w:val="auto"/>
                <w:w w:val="87"/>
              </w:rPr>
              <w:t>Balance at December 31, 2016</w:t>
            </w:r>
          </w:p>
        </w:tc>
        <w:tc>
          <w:tcPr>
            <w:tcW w:w="3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jc w:val="right"/>
              <w:ind w:right="3350"/>
              <w:spacing w:after="0"/>
              <w:rPr>
                <w:sz w:val="20"/>
                <w:szCs w:val="20"/>
                <w:color w:val="auto"/>
              </w:rPr>
            </w:pPr>
            <w:r>
              <w:rPr>
                <w:rFonts w:ascii="Arial" w:cs="Arial" w:eastAsia="Arial" w:hAnsi="Arial"/>
                <w:sz w:val="18"/>
                <w:szCs w:val="18"/>
                <w:b w:val="1"/>
                <w:bCs w:val="1"/>
                <w:color w:val="auto"/>
                <w:w w:val="88"/>
              </w:rPr>
              <w:t>Balance at December 31, 2017</w:t>
            </w:r>
          </w:p>
        </w:tc>
        <w:tc>
          <w:tcPr>
            <w:tcW w:w="346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jc w:val="right"/>
              <w:ind w:right="3350"/>
              <w:spacing w:after="0"/>
              <w:rPr>
                <w:sz w:val="20"/>
                <w:szCs w:val="20"/>
                <w:color w:val="auto"/>
              </w:rPr>
            </w:pPr>
            <w:r>
              <w:rPr>
                <w:rFonts w:ascii="Arial" w:cs="Arial" w:eastAsia="Arial" w:hAnsi="Arial"/>
                <w:sz w:val="18"/>
                <w:szCs w:val="18"/>
                <w:b w:val="1"/>
                <w:bCs w:val="1"/>
                <w:color w:val="auto"/>
                <w:w w:val="87"/>
              </w:rPr>
              <w:t>Balance at December 31, 2018</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5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$ 1,723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20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gridSpan w:val="4"/>
          </w:tcPr>
          <w:p>
            <w:pPr>
              <w:jc w:val="center"/>
              <w:ind w:left="153"/>
              <w:spacing w:after="0"/>
              <w:rPr>
                <w:sz w:val="20"/>
                <w:szCs w:val="20"/>
                <w:color w:val="auto"/>
              </w:rPr>
            </w:pPr>
            <w:r>
              <w:rPr>
                <w:rFonts w:ascii="Arial" w:cs="Arial" w:eastAsia="Arial" w:hAnsi="Arial"/>
                <w:sz w:val="13"/>
                <w:szCs w:val="13"/>
                <w:b w:val="1"/>
                <w:bCs w:val="1"/>
                <w:color w:val="auto"/>
                <w:w w:val="88"/>
              </w:rPr>
              <w:t>Series A 12%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B-1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Series B-2 12%</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Series B-3 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gridSpan w:val="4"/>
          </w:tcPr>
          <w:p>
            <w:pPr>
              <w:jc w:val="center"/>
              <w:ind w:left="153"/>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11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00" w:type="dxa"/>
            <w:vAlign w:val="bottom"/>
            <w:gridSpan w:val="6"/>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40" w:type="dxa"/>
            <w:vAlign w:val="bottom"/>
          </w:tcPr>
          <w:p>
            <w:pPr>
              <w:spacing w:after="0"/>
              <w:rPr>
                <w:sz w:val="13"/>
                <w:szCs w:val="13"/>
                <w:color w:val="auto"/>
              </w:rPr>
            </w:pPr>
          </w:p>
        </w:tc>
        <w:tc>
          <w:tcPr>
            <w:tcW w:w="11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1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3"/>
                <w:szCs w:val="13"/>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b w:val="1"/>
                <w:bCs w:val="1"/>
                <w:color w:val="auto"/>
                <w:w w:val="90"/>
              </w:rPr>
              <w:t>Common Stock</w:t>
            </w:r>
          </w:p>
        </w:tc>
        <w:tc>
          <w:tcPr>
            <w:tcW w:w="180" w:type="dxa"/>
            <w:vAlign w:val="bottom"/>
          </w:tcPr>
          <w:p>
            <w:pPr>
              <w:spacing w:after="0"/>
              <w:rPr>
                <w:sz w:val="13"/>
                <w:szCs w:val="13"/>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2"/>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33"/>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94"/>
              </w:rPr>
              <w:t>Retained</w:t>
            </w:r>
          </w:p>
        </w:tc>
        <w:tc>
          <w:tcPr>
            <w:tcW w:w="6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580" w:type="dxa"/>
            <w:vAlign w:val="bottom"/>
            <w:gridSpan w:val="4"/>
          </w:tcPr>
          <w:p>
            <w:pPr>
              <w:ind w:left="6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600" w:type="dxa"/>
            <w:vAlign w:val="bottom"/>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7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620" w:type="dxa"/>
            <w:vAlign w:val="bottom"/>
          </w:tcPr>
          <w:p>
            <w:pPr>
              <w:jc w:val="right"/>
              <w:ind w:right="54"/>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3"/>
                <w:szCs w:val="13"/>
                <w:color w:val="auto"/>
              </w:rPr>
            </w:pPr>
          </w:p>
        </w:tc>
        <w:tc>
          <w:tcPr>
            <w:tcW w:w="700" w:type="dxa"/>
            <w:vAlign w:val="bottom"/>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580" w:type="dxa"/>
            <w:vAlign w:val="bottom"/>
          </w:tcPr>
          <w:p>
            <w:pPr>
              <w:jc w:val="right"/>
              <w:ind w:right="3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1,377,500</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557</w:t>
            </w: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900,000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$ 1,761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2,100,000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$ 3,697</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2,508,000</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$ 1,224</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32,912,942</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33</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$ 166,721</w:t>
            </w: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 (163,701)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10,292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w w:val="95"/>
              </w:rPr>
              <w:t>Series A 12% convertible preferred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27,550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62</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(62)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 convertible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103,691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Series B-2 12%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241,945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599</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(599)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B-3 8% convertible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95,998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35,200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2,213,360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3,380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Issuance of common stock and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warrants in private placements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102,368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18,677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Issuance of restricted common</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stock to directors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37,657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warrants in connection</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with line of credit</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w w:val="92"/>
              </w:rPr>
              <w:t>Stock-based compensation expense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(16,235)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(16,235)</w:t>
            </w:r>
          </w:p>
        </w:tc>
        <w:tc>
          <w:tcPr>
            <w:tcW w:w="0" w:type="dxa"/>
            <w:vAlign w:val="bottom"/>
          </w:tcPr>
          <w:p>
            <w:pPr>
              <w:spacing w:after="0"/>
              <w:rPr>
                <w:sz w:val="1"/>
                <w:szCs w:val="1"/>
                <w:color w:val="auto"/>
              </w:rPr>
            </w:pPr>
          </w:p>
        </w:tc>
      </w:tr>
      <w:tr>
        <w:trPr>
          <w:trHeight w:val="156"/>
        </w:trPr>
        <w:tc>
          <w:tcPr>
            <w:tcW w:w="2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1,377,500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557</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900,000</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$ 1,761</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2,100,000</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$ 3,697</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2,508,000</w:t>
            </w:r>
          </w:p>
        </w:tc>
        <w:tc>
          <w:tcPr>
            <w:tcW w:w="12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$ 1,224</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35,789,388</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36</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9"/>
              </w:rPr>
              <w:t>$ 173,363</w:t>
            </w:r>
          </w:p>
        </w:tc>
        <w:tc>
          <w:tcPr>
            <w:tcW w:w="1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 (181,168)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Series A 12% convertible preferred</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27,126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(146)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Series B-1 12%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27,835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(210)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B-2 12% convertible</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64,948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(490)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Series B-3 8% convertible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25,769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redeemable convertible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 dividend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669,714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5,602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warrant exercises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2,455,595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services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2,883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for</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 exercises</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2,098,829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3,771</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00" w:type="dxa"/>
            <w:vAlign w:val="bottom"/>
          </w:tcPr>
          <w:p>
            <w:pPr>
              <w:spacing w:after="0" w:line="130" w:lineRule="exact"/>
              <w:rPr>
                <w:sz w:val="20"/>
                <w:szCs w:val="20"/>
                <w:color w:val="auto"/>
              </w:rPr>
            </w:pPr>
            <w:r>
              <w:rPr>
                <w:rFonts w:ascii="Arial" w:cs="Arial" w:eastAsia="Arial" w:hAnsi="Arial"/>
                <w:sz w:val="14"/>
                <w:szCs w:val="14"/>
                <w:color w:val="auto"/>
              </w:rPr>
              <w:t>Issuance of common stock from</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Series A conversion</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8,424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2"/>
              </w:rPr>
              <w:t>Stock-based compensation expense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4,445</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1,327,500</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537</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900,000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$ 1,761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2,100,000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$ 3,697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2,508,000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$ 1,224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41,190,905</w:t>
            </w:r>
          </w:p>
        </w:tc>
        <w:tc>
          <w:tcPr>
            <w:tcW w:w="3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41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$ 194,130</w:t>
            </w: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 (196,215)</w:t>
            </w:r>
          </w:p>
        </w:tc>
        <w:tc>
          <w:tcPr>
            <w:tcW w:w="220" w:type="dxa"/>
            <w:vAlign w:val="bottom"/>
            <w:gridSpan w:val="2"/>
            <w:shd w:val="clear" w:color="auto" w:fill="CCEEFF"/>
          </w:tcPr>
          <w:p>
            <w:pPr>
              <w:jc w:val="right"/>
              <w:ind w:right="45"/>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5"/>
          </w:tcPr>
          <w:p>
            <w:pPr>
              <w:jc w:val="right"/>
              <w:ind w:right="35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(13,900)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6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Stock-based compensation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60"/>
              <w:spacing w:after="0"/>
              <w:rPr>
                <w:sz w:val="20"/>
                <w:szCs w:val="20"/>
                <w:color w:val="auto"/>
              </w:rPr>
            </w:pPr>
            <w:r>
              <w:rPr>
                <w:rFonts w:ascii="Arial" w:cs="Arial" w:eastAsia="Arial" w:hAnsi="Arial"/>
                <w:sz w:val="18"/>
                <w:szCs w:val="18"/>
                <w:color w:val="auto"/>
              </w:rPr>
              <w:t>Issuance of common stock for services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interest expense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Prepaid expenses and other assets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420"/>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from operating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(10,179)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(15,892)</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Net cash from investing activities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proceeds from issuance of common stock and warrants</w:t>
            </w:r>
          </w:p>
        </w:tc>
        <w:tc>
          <w:tcPr>
            <w:tcW w:w="1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15,379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1780"/>
              <w:spacing w:after="0"/>
              <w:rPr>
                <w:sz w:val="20"/>
                <w:szCs w:val="20"/>
                <w:color w:val="auto"/>
              </w:rPr>
            </w:pPr>
            <w:r>
              <w:rPr>
                <w:rFonts w:ascii="Arial" w:cs="Arial" w:eastAsia="Arial" w:hAnsi="Arial"/>
                <w:sz w:val="18"/>
                <w:szCs w:val="18"/>
                <w:color w:val="auto"/>
              </w:rPr>
              <w:t>Net cash from financing activities</w:t>
            </w: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 of preferred stock dividends in common stock</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60" w:type="dxa"/>
            <w:vAlign w:val="bottom"/>
          </w:tcPr>
          <w:p>
            <w:pPr>
              <w:ind w:left="700"/>
              <w:spacing w:after="0"/>
              <w:rPr>
                <w:sz w:val="20"/>
                <w:szCs w:val="20"/>
                <w:color w:val="auto"/>
              </w:rPr>
            </w:pPr>
            <w:r>
              <w:rPr>
                <w:rFonts w:ascii="Arial" w:cs="Arial" w:eastAsia="Arial" w:hAnsi="Arial"/>
                <w:sz w:val="18"/>
                <w:szCs w:val="18"/>
                <w:color w:val="auto"/>
              </w:rPr>
              <w:t>Common stock purchase warrants issued in connection with line of credit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rFonts w:ascii="Arial" w:cs="Arial" w:eastAsia="Arial" w:hAnsi="Arial"/>
          <w:sz w:val="18"/>
          <w:szCs w:val="18"/>
          <w:b w:val="1"/>
          <w:bCs w:val="1"/>
          <w:color w:val="auto"/>
        </w:rPr>
      </w:pPr>
    </w:p>
    <w:p>
      <w:pPr>
        <w:ind w:left="64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78" w:lineRule="exact"/>
        <w:rPr>
          <w:rFonts w:ascii="Arial" w:cs="Arial" w:eastAsia="Arial" w:hAnsi="Arial"/>
          <w:sz w:val="18"/>
          <w:szCs w:val="18"/>
          <w:b w:val="1"/>
          <w:bCs w:val="1"/>
          <w:color w:val="auto"/>
        </w:rPr>
      </w:pPr>
    </w:p>
    <w:p>
      <w:pPr>
        <w:ind w:left="64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 was founded in July 2000, was incorporated in the State of Nevada in January 2001 under the name “Pro-Pharmaceuticals, Inc.,” and changed its name to “Galectin Therapeutics Inc.” on May 26, 2011. On March 23, 2012, the Company effected a one-for-six reverse stock split. All common share and per share amounts in these financial statements have been adjusted to reflect the effect of the reverse split.</w:t>
      </w:r>
    </w:p>
    <w:p>
      <w:pPr>
        <w:spacing w:after="0" w:line="38" w:lineRule="exact"/>
        <w:rPr>
          <w:rFonts w:ascii="Arial" w:cs="Arial" w:eastAsia="Arial" w:hAnsi="Arial"/>
          <w:sz w:val="18"/>
          <w:szCs w:val="18"/>
          <w:b w:val="1"/>
          <w:bCs w:val="1"/>
          <w:color w:val="auto"/>
        </w:rPr>
      </w:pPr>
    </w:p>
    <w:p>
      <w:pPr>
        <w:ind w:left="6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has operated at a loss since its inception and has had no revenues. The Company anticipates that losses will continue for the foreseeable future. At December 31, 2018, the Company had $8,253,000 of unrestricted cash and cash equivalents available to fund future operations. Additionally, the Company generated approximately $1.87 million in net proceeds via sale of common stock under its At Market Sales Agreement in January and February 2019 (see Note 5). The Company believes there is sufficient cash, including availability of the line of credit (see Note 8), to fund currently planned operations at least through March 31, 2020. We will require more cash to fund our operations after March 31, 2020 and believe we will be able to obtain additional financing. The currently planned operations do not include costs related to a planned Phase 3 clinical trial. While the costs of the trial and general overhead during the Phase 3 trial are expected to be approximately $100 million, the costs and timing of such trial is not yet finalized. These costs will require additional funding. However, there can be no assurance that we will be successful in obtaining such new financing or, if available, that such financing will be on terms favorable to us. If we are unsuccessful in raising additional capital to fund operations before March 31, 2020, we may be required to cease operations.</w:t>
      </w:r>
    </w:p>
    <w:p>
      <w:pPr>
        <w:spacing w:after="0" w:line="69" w:lineRule="exact"/>
        <w:rPr>
          <w:rFonts w:ascii="Arial" w:cs="Arial" w:eastAsia="Arial" w:hAnsi="Arial"/>
          <w:sz w:val="18"/>
          <w:szCs w:val="18"/>
          <w:b w:val="1"/>
          <w:bCs w:val="1"/>
          <w:color w:val="auto"/>
        </w:rPr>
      </w:pPr>
    </w:p>
    <w:p>
      <w:pPr>
        <w:ind w:left="64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311" w:lineRule="exact"/>
        <w:rPr>
          <w:rFonts w:ascii="Arial" w:cs="Arial" w:eastAsia="Arial" w:hAnsi="Arial"/>
          <w:sz w:val="18"/>
          <w:szCs w:val="18"/>
          <w:b w:val="1"/>
          <w:bCs w:val="1"/>
          <w:color w:val="auto"/>
        </w:rPr>
      </w:pPr>
    </w:p>
    <w:p>
      <w:pPr>
        <w:ind w:left="640" w:hanging="436"/>
        <w:spacing w:after="0"/>
        <w:tabs>
          <w:tab w:leader="none" w:pos="6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4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62" w:lineRule="exact"/>
        <w:rPr>
          <w:rFonts w:ascii="Arial" w:cs="Arial" w:eastAsia="Arial" w:hAnsi="Arial"/>
          <w:sz w:val="18"/>
          <w:szCs w:val="18"/>
          <w:b w:val="1"/>
          <w:bCs w:val="1"/>
          <w:color w:val="auto"/>
        </w:rPr>
      </w:pPr>
    </w:p>
    <w:p>
      <w:pPr>
        <w:ind w:left="640" w:right="8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which was incorporated in Delaware on December 23, 2003 and Galectin Sciences LLC (see Note 11). All intercompany transactions have been eliminated.</w:t>
      </w:r>
    </w:p>
    <w:p>
      <w:pPr>
        <w:spacing w:after="0" w:line="73" w:lineRule="exact"/>
        <w:rPr>
          <w:rFonts w:ascii="Arial" w:cs="Arial" w:eastAsia="Arial" w:hAnsi="Arial"/>
          <w:sz w:val="18"/>
          <w:szCs w:val="18"/>
          <w:b w:val="1"/>
          <w:bCs w:val="1"/>
          <w:color w:val="auto"/>
        </w:rPr>
      </w:pPr>
    </w:p>
    <w:p>
      <w:pPr>
        <w:ind w:left="640" w:right="400"/>
        <w:spacing w:after="0" w:line="264"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judgments that may affect the reported amounts of assets, liabilities, equity, revenue, expenses and related disclosure of</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312" w:lineRule="auto"/>
        <w:rPr>
          <w:sz w:val="20"/>
          <w:szCs w:val="20"/>
          <w:color w:val="auto"/>
        </w:rPr>
      </w:pPr>
      <w:r>
        <w:rPr>
          <w:rFonts w:ascii="Arial" w:cs="Arial" w:eastAsia="Arial" w:hAnsi="Arial"/>
          <w:sz w:val="16"/>
          <w:szCs w:val="16"/>
          <w:color w:val="auto"/>
        </w:rPr>
        <w:t>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39"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2018 or 2017.</w:t>
      </w:r>
    </w:p>
    <w:p>
      <w:pPr>
        <w:spacing w:after="0" w:line="85"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The Company had no cash equivalents at December 31, 2018 or 2017.</w:t>
      </w:r>
    </w:p>
    <w:p>
      <w:pPr>
        <w:spacing w:after="0" w:line="62"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 and deferred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(see Note 8).</w:t>
      </w:r>
    </w:p>
    <w:p>
      <w:pPr>
        <w:spacing w:after="0" w:line="62"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including leasehold improvements, are stated at cost, net of accumulated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79"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2018 and 2017, the Company had a security deposit of $6,000 for leased office space included in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Current Assets.</w:t>
      </w:r>
    </w:p>
    <w:p>
      <w:pPr>
        <w:spacing w:after="0" w:line="62"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patent costs, consisting primarily of related capitalized legal fees, which are amortized over an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useful life of five years from issuance. Amortization expense in 2018 and 2017 was approximately $0 and $1,000, respectively. Gross intangible assets at December 31, 2018 and 2017 totaled $78,000 each year, and accumulated amortization at December 31, 2018 and 2017 totaled $78,000 and $78,000, respectively.</w:t>
      </w:r>
    </w:p>
    <w:p>
      <w:pPr>
        <w:spacing w:after="0" w:line="79" w:lineRule="exact"/>
        <w:rPr>
          <w:sz w:val="20"/>
          <w:szCs w:val="20"/>
          <w:color w:val="auto"/>
        </w:rPr>
      </w:pPr>
    </w:p>
    <w:p>
      <w:pPr>
        <w:jc w:val="both"/>
        <w:ind w:left="640" w:right="60"/>
        <w:spacing w:after="0" w:line="302"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46" w:lineRule="exact"/>
        <w:rPr>
          <w:sz w:val="20"/>
          <w:szCs w:val="20"/>
          <w:color w:val="auto"/>
        </w:rPr>
      </w:pPr>
    </w:p>
    <w:p>
      <w:pPr>
        <w:ind w:left="640" w:right="40"/>
        <w:spacing w:after="0" w:line="288"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contract service fees in conjunction with clinical trials,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31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Company has issued common stock warrants in connection with the execution of certain equity and debt financings.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warrants is determined using the Black-Scholes option-pricing model using assumptions regarding volatility of our common share price, remaining life of the warrant, and risk-free interest rates at each period end. There were no warrant liabilities as of December 31, 2018 or 2017.</w:t>
      </w:r>
    </w:p>
    <w:p>
      <w:pPr>
        <w:spacing w:after="0" w:line="39" w:lineRule="exact"/>
        <w:rPr>
          <w:sz w:val="20"/>
          <w:szCs w:val="20"/>
          <w:color w:val="auto"/>
        </w:rPr>
      </w:pPr>
    </w:p>
    <w:p>
      <w:pPr>
        <w:ind w:left="640" w:right="280"/>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73" w:lineRule="exact"/>
        <w:rPr>
          <w:sz w:val="20"/>
          <w:szCs w:val="20"/>
          <w:color w:val="auto"/>
        </w:rPr>
      </w:pPr>
    </w:p>
    <w:p>
      <w:pPr>
        <w:ind w:left="640" w:right="18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50" w:lineRule="exact"/>
        <w:rPr>
          <w:sz w:val="20"/>
          <w:szCs w:val="20"/>
          <w:color w:val="auto"/>
        </w:rPr>
      </w:pPr>
    </w:p>
    <w:p>
      <w:pPr>
        <w:ind w:left="640"/>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57" w:lineRule="exact"/>
        <w:rPr>
          <w:sz w:val="20"/>
          <w:szCs w:val="20"/>
          <w:color w:val="auto"/>
        </w:rPr>
      </w:pPr>
    </w:p>
    <w:p>
      <w:pPr>
        <w:ind w:left="640"/>
        <w:spacing w:after="0" w:line="289"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For options that only vest upon the achievement of market conditions, the Company values the options using a Monte Carlo model to calculate the grant date fair value of the stock options. The expense related to options that vest based on market conditions is not reversed should those options not ultimately vest.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valuing the stock options using an option pricing model (the Company uses Black-Scholes) and measuring such stock options to their current fair value when they vest.</w:t>
      </w:r>
    </w:p>
    <w:p>
      <w:pPr>
        <w:spacing w:after="0" w:line="59" w:lineRule="exact"/>
        <w:rPr>
          <w:sz w:val="20"/>
          <w:szCs w:val="20"/>
          <w:color w:val="auto"/>
        </w:rPr>
      </w:pPr>
    </w:p>
    <w:p>
      <w:pPr>
        <w:ind w:left="640" w:right="40"/>
        <w:spacing w:after="0" w:line="279" w:lineRule="auto"/>
        <w:rPr>
          <w:sz w:val="20"/>
          <w:szCs w:val="20"/>
          <w:color w:val="auto"/>
        </w:rPr>
      </w:pPr>
      <w:r>
        <w:rPr>
          <w:rFonts w:ascii="Arial" w:cs="Arial" w:eastAsia="Arial" w:hAnsi="Arial"/>
          <w:sz w:val="17"/>
          <w:szCs w:val="17"/>
          <w:i w:val="1"/>
          <w:iCs w:val="1"/>
          <w:color w:val="auto"/>
        </w:rPr>
        <w:t xml:space="preserve">New Accounting Pronouncements. </w:t>
      </w: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xml:space="preserve"> Leases (Topic 842)</w:t>
      </w:r>
      <w:r>
        <w:rPr>
          <w:rFonts w:ascii="Arial" w:cs="Arial" w:eastAsia="Arial" w:hAnsi="Arial"/>
          <w:sz w:val="17"/>
          <w:szCs w:val="17"/>
          <w:color w:val="auto"/>
        </w:rPr>
        <w:t>, which requires lessees to recognize</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leases on the balance sheet. The provisions of this guidance are effective for the annual periods beginning after December 15, 2018, and interim periods within those years, with early adoption permitted. The Company is evaluating the requirements of this guidance and has not yet determined the impact of the adoption on our financial position or results of operations.</w:t>
      </w:r>
    </w:p>
    <w:p>
      <w:pPr>
        <w:spacing w:after="0" w:line="316"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December 31:</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13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6"/>
              </w:rPr>
              <w:t>Less accumulated depreciation and amortization</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(74)</w:t>
            </w:r>
          </w:p>
        </w:tc>
      </w:tr>
      <w:tr>
        <w:trPr>
          <w:trHeight w:val="223"/>
        </w:trPr>
        <w:tc>
          <w:tcPr>
            <w:tcW w:w="20" w:type="dxa"/>
            <w:vAlign w:val="bottom"/>
          </w:tcPr>
          <w:p>
            <w:pPr>
              <w:spacing w:after="0"/>
              <w:rPr>
                <w:sz w:val="19"/>
                <w:szCs w:val="19"/>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Property and equipment — net</w:t>
            </w:r>
          </w:p>
        </w:tc>
        <w:tc>
          <w:tcPr>
            <w:tcW w:w="3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300" w:type="dxa"/>
            <w:vAlign w:val="bottom"/>
            <w:gridSpan w:val="2"/>
          </w:tcPr>
          <w:p>
            <w:pPr>
              <w:jc w:val="right"/>
              <w:ind w:right="2610"/>
              <w:spacing w:after="0"/>
              <w:rPr>
                <w:sz w:val="20"/>
                <w:szCs w:val="20"/>
                <w:color w:val="auto"/>
              </w:rPr>
            </w:pPr>
            <w:r>
              <w:rPr>
                <w:rFonts w:ascii="Arial" w:cs="Arial" w:eastAsia="Arial" w:hAnsi="Arial"/>
                <w:sz w:val="18"/>
                <w:szCs w:val="18"/>
                <w:color w:val="auto"/>
              </w:rPr>
              <w:t>F-10</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years ended December 31, 2018 and 2017 was $0 and $0, respectively.</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7820" w:type="dxa"/>
            <w:vAlign w:val="bottom"/>
            <w:gridSpan w:val="2"/>
          </w:tcPr>
          <w:p>
            <w:pPr>
              <w:ind w:left="160"/>
              <w:spacing w:after="0"/>
              <w:rPr>
                <w:sz w:val="20"/>
                <w:szCs w:val="20"/>
                <w:color w:val="auto"/>
              </w:rPr>
            </w:pPr>
            <w:r>
              <w:rPr>
                <w:rFonts w:ascii="Arial" w:cs="Arial" w:eastAsia="Arial" w:hAnsi="Arial"/>
                <w:sz w:val="18"/>
                <w:szCs w:val="18"/>
                <w:b w:val="1"/>
                <w:bCs w:val="1"/>
                <w:color w:val="auto"/>
              </w:rPr>
              <w:t>Accrued Expenses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782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4"/>
          </w:tcPr>
          <w:p>
            <w:pPr>
              <w:jc w:val="right"/>
              <w:ind w:right="274"/>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1,294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790</w:t>
            </w:r>
          </w:p>
        </w:tc>
        <w:tc>
          <w:tcPr>
            <w:tcW w:w="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development costs and 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1,428</w:t>
            </w:r>
          </w:p>
        </w:tc>
        <w:tc>
          <w:tcPr>
            <w:tcW w:w="4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1,512</w:t>
            </w:r>
          </w:p>
        </w:tc>
        <w:tc>
          <w:tcPr>
            <w:tcW w:w="5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2,292</w:t>
            </w:r>
          </w:p>
        </w:tc>
        <w:tc>
          <w:tcPr>
            <w:tcW w:w="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640" w:right="1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At December 31, 2018, the Company had 100,000,000 shares of common stock and 20,000,000 undesignated shares authorized. As of December 31, 2018,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At Market Issuances of Common Stock</w:t>
      </w:r>
    </w:p>
    <w:p>
      <w:pPr>
        <w:spacing w:after="0" w:line="117"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On March 30, 2014, the Company entered into an At Market Issuance Sales Agreement (the “2014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2014 At Market Agreement. In 2017, the Company issued 1,496,797 shares of common stock for net proceeds of approximately $1,946,000 under the 2014 At Market Agreement.</w:t>
      </w:r>
    </w:p>
    <w:p>
      <w:pPr>
        <w:spacing w:after="0" w:line="81" w:lineRule="exact"/>
        <w:rPr>
          <w:sz w:val="20"/>
          <w:szCs w:val="20"/>
          <w:color w:val="auto"/>
        </w:rPr>
      </w:pPr>
    </w:p>
    <w:p>
      <w:pPr>
        <w:ind w:left="640" w:right="40"/>
        <w:spacing w:after="0" w:line="272"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years ended December 31, 2018 and 2017, the Company issued 669,714 and 716,563 shares of common stock for net proceeds of approximately $5,603,000 and $1,437,000, respectively, under the 2017 At Market Agreement.</w:t>
      </w:r>
    </w:p>
    <w:p>
      <w:pPr>
        <w:spacing w:after="0" w:line="28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2017 Private Placement</w:t>
      </w:r>
    </w:p>
    <w:p>
      <w:pPr>
        <w:spacing w:after="0" w:line="117" w:lineRule="exact"/>
        <w:rPr>
          <w:sz w:val="20"/>
          <w:szCs w:val="20"/>
          <w:color w:val="auto"/>
        </w:rPr>
      </w:pPr>
    </w:p>
    <w:p>
      <w:pPr>
        <w:ind w:left="640"/>
        <w:spacing w:after="0" w:line="312" w:lineRule="auto"/>
        <w:rPr>
          <w:sz w:val="20"/>
          <w:szCs w:val="20"/>
          <w:color w:val="auto"/>
        </w:rPr>
      </w:pPr>
      <w:r>
        <w:rPr>
          <w:rFonts w:ascii="Arial" w:cs="Arial" w:eastAsia="Arial" w:hAnsi="Arial"/>
          <w:sz w:val="16"/>
          <w:szCs w:val="16"/>
          <w:color w:val="auto"/>
        </w:rPr>
        <w:t>On February 28, 2017, the Company closed a transaction with five individual investors through a private placement of common stock and warrants. In total, the Company issued 102,368 shares of common stock for proceeds of $200,000. The Company also issued, to the five investors, warrants to purchase 76,776 shares of common stock at $5.00 per share. The warrants have an expiration date of February 28, 2024. The exercise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57" w:lineRule="auto"/>
        <w:rPr>
          <w:sz w:val="20"/>
          <w:szCs w:val="20"/>
          <w:color w:val="auto"/>
        </w:rPr>
      </w:pPr>
      <w:r>
        <w:rPr>
          <w:rFonts w:ascii="Arial" w:cs="Arial" w:eastAsia="Arial" w:hAnsi="Arial"/>
          <w:sz w:val="18"/>
          <w:szCs w:val="18"/>
          <w:color w:val="auto"/>
        </w:rPr>
        <w:t>price of each warrant is adjustable in the event of a stock split or stock combination, capital reorganization, merger or similar event. The warrants were valued at approximately $101,000 as of the issuance, using the closing price of $1.86, a life of 7 years, a volatility of 97% and a risk-free interest rate of 1.92%.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640" w:right="20"/>
        <w:spacing w:after="0" w:line="279" w:lineRule="auto"/>
        <w:rPr>
          <w:sz w:val="20"/>
          <w:szCs w:val="20"/>
          <w:color w:val="auto"/>
        </w:rPr>
      </w:pPr>
      <w:r>
        <w:rPr>
          <w:rFonts w:ascii="Arial" w:cs="Arial" w:eastAsia="Arial" w:hAnsi="Arial"/>
          <w:sz w:val="17"/>
          <w:szCs w:val="17"/>
          <w:color w:val="auto"/>
        </w:rPr>
        <w:t>In 2017, the Company entered an agreement with a vendor whereby the Company will issue common stock to the vendor in lieu of paying in cash in amount up to $100,000 for the year. In 2018 and 2017, the Company issued 2,883 and 18,667 shares of common stock and 290 and 1,867 warrants to purchase shares of common stock at $5.00 per share pursuant to this agreement and the value of such shares and warrants, totaling approximately $12,000 and $33,000, respectively, has been recorded as research and development expense.</w:t>
      </w:r>
    </w:p>
    <w:p>
      <w:pPr>
        <w:spacing w:after="0" w:line="2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117"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59" w:lineRule="exact"/>
        <w:rPr>
          <w:sz w:val="20"/>
          <w:szCs w:val="20"/>
          <w:color w:val="auto"/>
        </w:rPr>
      </w:pPr>
    </w:p>
    <w:p>
      <w:pPr>
        <w:ind w:left="640" w:right="20"/>
        <w:spacing w:after="0" w:line="273" w:lineRule="auto"/>
        <w:rPr>
          <w:sz w:val="20"/>
          <w:szCs w:val="20"/>
          <w:color w:val="auto"/>
        </w:rPr>
      </w:pPr>
      <w:r>
        <w:rPr>
          <w:rFonts w:ascii="Arial" w:cs="Arial" w:eastAsia="Arial" w:hAnsi="Arial"/>
          <w:sz w:val="17"/>
          <w:szCs w:val="17"/>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70"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In 2018, 50,000 shares of Series A were converted into 8,424 shares of common stock which included 90 shares relating to the prorated dividend prior conversion. There were no shares of Series A converted into shares of common stock in 2017. Prior to 2016, a total of 360,000 shares of Series A had been converted into 60,888 shares of common stock.</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B Convertible Preferred Stock (also see Note 13 Subsequent Events)</w:t>
      </w:r>
    </w:p>
    <w:p>
      <w:pPr>
        <w:spacing w:after="0" w:line="117"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B-1 and B-2 convertible preferred stock with an aggregate stated value of $6.0 million and convertible into 2,000,000 shares of common stock at December 31, 2011 and (ii) warrants to purchase 6,000,000 shares of common stock.</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w:t>
      </w:r>
    </w:p>
    <w:p>
      <w:pPr>
        <w:spacing w:after="0" w:line="46" w:lineRule="exact"/>
        <w:rPr>
          <w:sz w:val="20"/>
          <w:szCs w:val="20"/>
          <w:color w:val="auto"/>
        </w:rPr>
      </w:pPr>
    </w:p>
    <w:p>
      <w:pPr>
        <w:jc w:val="right"/>
        <w:ind w:left="5540" w:right="5300" w:hanging="4896"/>
        <w:spacing w:after="0" w:line="517" w:lineRule="auto"/>
        <w:tabs>
          <w:tab w:leader="none" w:pos="855" w:val="left"/>
        </w:tabs>
        <w:numPr>
          <w:ilvl w:val="0"/>
          <w:numId w:val="46"/>
        </w:numPr>
        <w:rPr>
          <w:rFonts w:ascii="Arial" w:cs="Arial" w:eastAsia="Arial" w:hAnsi="Arial"/>
          <w:sz w:val="16"/>
          <w:szCs w:val="16"/>
          <w:color w:val="auto"/>
        </w:rPr>
      </w:pPr>
      <w:r>
        <w:rPr>
          <w:rFonts w:ascii="Arial" w:cs="Arial" w:eastAsia="Arial" w:hAnsi="Arial"/>
          <w:sz w:val="16"/>
          <w:szCs w:val="16"/>
          <w:color w:val="auto"/>
        </w:rPr>
        <w:t>900,000 shares of Series B-1 convertible preferred stock (“Series B-1 F-12</w:t>
      </w:r>
    </w:p>
    <w:p>
      <w:pPr>
        <w:sectPr>
          <w:pgSz w:w="11900" w:h="16838" w:orient="portrait"/>
          <w:cols w:equalWidth="0" w:num="1">
            <w:col w:w="11180"/>
          </w:cols>
          <w:pgMar w:left="24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convertible preferred stock” or “Series B-1”) and related common stock warrants for 1,800,000 shares of common stock and (ii) 2,100,000 shares of Series B-2 convertible preferred stock (“Series B-2 convertible preferred stock” or “Series B-2”) and related warrants for 4,200,000 shares of common stock for total net proceeds of $5,483,000.</w:t>
      </w:r>
    </w:p>
    <w:p>
      <w:pPr>
        <w:spacing w:after="0" w:line="73" w:lineRule="exact"/>
        <w:rPr>
          <w:sz w:val="20"/>
          <w:szCs w:val="20"/>
          <w:color w:val="auto"/>
        </w:rPr>
      </w:pPr>
    </w:p>
    <w:p>
      <w:pPr>
        <w:ind w:left="640" w:right="20"/>
        <w:spacing w:after="0" w:line="288" w:lineRule="auto"/>
        <w:rPr>
          <w:sz w:val="20"/>
          <w:szCs w:val="20"/>
          <w:color w:val="auto"/>
        </w:rPr>
      </w:pPr>
      <w:r>
        <w:rPr>
          <w:rFonts w:ascii="Arial" w:cs="Arial" w:eastAsia="Arial" w:hAnsi="Arial"/>
          <w:sz w:val="16"/>
          <w:szCs w:val="16"/>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 common stock, and (ii) warrants to purchase up to 669,262 shares of common stock. 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 and forward.</w:t>
      </w:r>
    </w:p>
    <w:p>
      <w:pPr>
        <w:spacing w:after="0" w:line="61" w:lineRule="exact"/>
        <w:rPr>
          <w:sz w:val="20"/>
          <w:szCs w:val="20"/>
          <w:color w:val="auto"/>
        </w:rPr>
      </w:pPr>
    </w:p>
    <w:p>
      <w:pPr>
        <w:ind w:left="640" w:right="40"/>
        <w:spacing w:after="0" w:line="286" w:lineRule="auto"/>
        <w:rPr>
          <w:sz w:val="20"/>
          <w:szCs w:val="20"/>
          <w:color w:val="auto"/>
        </w:rPr>
      </w:pPr>
      <w:r>
        <w:rPr>
          <w:rFonts w:ascii="Arial" w:cs="Arial" w:eastAsia="Arial" w:hAnsi="Arial"/>
          <w:sz w:val="17"/>
          <w:szCs w:val="17"/>
          <w:color w:val="auto"/>
        </w:rPr>
        <w:t>On December 23, 2016, the Company and 10X Fund LP amended the B-3 Agreement whereby the Company agreed to issue and sell to 10X Fund LP an additional (i) 1,008,000 shares of its B-3 preferred stock with an aggregate stated value and proceeds of $1.0 million and convertible into 896,997 shares of common stock, and (ii) warrants to purchase up to 924,780 shares of common stock.</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Series B are as follows:</w:t>
      </w:r>
    </w:p>
    <w:p>
      <w:pPr>
        <w:spacing w:after="0" w:line="117"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Series B will be entitled to receive cumulative dividends at the rate of 12% for Series B-1 and B-2 and 8% for Series B-3 per annum (compounding monthly) payable quarterly which may, at the Company’s option, be paid in 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does not pay any dividend on the Series B, dividends will accrue at the rate of 15% per annum (compounding monthly).</w:t>
      </w:r>
    </w:p>
    <w:p>
      <w:pPr>
        <w:spacing w:after="0" w:line="81" w:lineRule="exact"/>
        <w:rPr>
          <w:sz w:val="20"/>
          <w:szCs w:val="20"/>
          <w:color w:val="auto"/>
        </w:rPr>
      </w:pPr>
    </w:p>
    <w:p>
      <w:pPr>
        <w:ind w:left="640" w:right="480"/>
        <w:spacing w:after="0" w:line="264"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Each share of Series B-1 and B-2 is convertible into two-thirds (approximately 0.667) shares of common stock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price of $3.00 per share at the option of the holder, at any time. The shares of Series B-3 are convertible into 1,789,346 shares of common stock at the option of the holder, at any time.</w:t>
      </w:r>
    </w:p>
    <w:p>
      <w:pPr>
        <w:spacing w:after="0" w:line="73" w:lineRule="exact"/>
        <w:rPr>
          <w:sz w:val="20"/>
          <w:szCs w:val="20"/>
          <w:color w:val="auto"/>
        </w:rPr>
      </w:pPr>
    </w:p>
    <w:p>
      <w:pPr>
        <w:ind w:left="640" w:right="100"/>
        <w:spacing w:after="0" w:line="312" w:lineRule="auto"/>
        <w:rPr>
          <w:sz w:val="20"/>
          <w:szCs w:val="20"/>
          <w:color w:val="auto"/>
        </w:rPr>
      </w:pPr>
      <w:r>
        <w:rPr>
          <w:rFonts w:ascii="Arial" w:cs="Arial" w:eastAsia="Arial" w:hAnsi="Arial"/>
          <w:sz w:val="16"/>
          <w:szCs w:val="16"/>
          <w:i w:val="1"/>
          <w:iCs w:val="1"/>
          <w:color w:val="auto"/>
        </w:rPr>
        <w:t>Liquidation Rights</w:t>
      </w:r>
      <w:r>
        <w:rPr>
          <w:rFonts w:ascii="Arial" w:cs="Arial" w:eastAsia="Arial" w:hAnsi="Arial"/>
          <w:sz w:val="16"/>
          <w:szCs w:val="16"/>
          <w:color w:val="auto"/>
        </w:rPr>
        <w:t>. In the event of any liquidation, dissolution or winding up of the Company, either voluntarily or involuntarily,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Series B-1 and B-2 will receive $2 per share and holders of B-3 will receive $1 per share plus accrued and unpaid dividends, payable prior and in preference to any distributions to the holders of Common Stock but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holders of the Series A 12% Convertible Preferred Stock.</w:t>
      </w:r>
    </w:p>
    <w:p>
      <w:pPr>
        <w:spacing w:after="0" w:line="3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Except as noted below, the holder of each share of Series B-3 shall be entitled to the number of votes equal to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into which such share of Series B-3 would be convertible, and shall otherwise have voting rights and powers equal to the voting rights and powers of the Common Stock. With respect to the election of directors, the holders of the Series B-3, together with the holders of Series B-1 and Series B-2, shall vote together as a separate class to elect two (2) members of the Board of Directors (the “Series B Directors”), and the Company shall take all reasonably necessary or desirable actions within its control (including, without limitation, calling special meetings of the Board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57" w:lineRule="auto"/>
        <w:rPr>
          <w:sz w:val="20"/>
          <w:szCs w:val="20"/>
          <w:color w:val="auto"/>
        </w:rPr>
      </w:pPr>
      <w:r>
        <w:rPr>
          <w:rFonts w:ascii="Arial" w:cs="Arial" w:eastAsia="Arial" w:hAnsi="Arial"/>
          <w:sz w:val="18"/>
          <w:szCs w:val="18"/>
          <w:color w:val="auto"/>
        </w:rPr>
        <w:t>Directors, nominating such persons designated by the holders of the Series B as directors on the applicable proxy statements and recommending their election) to permit the holders of the Series B to appoint three additional (3) members of the Board of Directors (the “Series B Nominees”), who shall be subject to election by all shares of voting stock of the Company voting together as a single group,) until there are no longer any shares of Series B outstanding. The holders of Series B shall vote together with the holders of Common Stock and other voting capital stock of the Company to elect all other members of the Board of Directors.</w:t>
      </w:r>
    </w:p>
    <w:p>
      <w:pPr>
        <w:spacing w:after="0" w:line="80" w:lineRule="exact"/>
        <w:rPr>
          <w:sz w:val="20"/>
          <w:szCs w:val="20"/>
          <w:color w:val="auto"/>
        </w:rPr>
      </w:pPr>
    </w:p>
    <w:p>
      <w:pPr>
        <w:ind w:left="640" w:right="40"/>
        <w:spacing w:after="0" w:line="285"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 So long as any shares of the Series B remain outstanding, the Company may not, without the approval of the holders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 (iii) create or increase the authorized amount of any additional class or series of shares of stock that is equal to or senior to Series B;</w:t>
      </w:r>
    </w:p>
    <w:p>
      <w:pPr>
        <w:spacing w:after="0" w:line="2" w:lineRule="exact"/>
        <w:rPr>
          <w:sz w:val="20"/>
          <w:szCs w:val="20"/>
          <w:color w:val="auto"/>
        </w:rPr>
      </w:pPr>
    </w:p>
    <w:p>
      <w:pPr>
        <w:ind w:left="640" w:right="40" w:firstLine="4"/>
        <w:spacing w:after="0" w:line="281" w:lineRule="auto"/>
        <w:tabs>
          <w:tab w:leader="none" w:pos="945"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 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 (xiii) enter into, create, incur or assume any liens of any kind (other than certain permitted liens); (xiv) issue any common stock or common stock equivalents;</w:t>
      </w:r>
    </w:p>
    <w:p>
      <w:pPr>
        <w:spacing w:after="0" w:line="7" w:lineRule="exact"/>
        <w:rPr>
          <w:rFonts w:ascii="Arial" w:cs="Arial" w:eastAsia="Arial" w:hAnsi="Arial"/>
          <w:sz w:val="16"/>
          <w:szCs w:val="16"/>
          <w:color w:val="auto"/>
        </w:rPr>
      </w:pPr>
    </w:p>
    <w:p>
      <w:pPr>
        <w:ind w:left="640" w:right="400" w:firstLine="4"/>
        <w:spacing w:after="0" w:line="302" w:lineRule="auto"/>
        <w:tabs>
          <w:tab w:leader="none" w:pos="9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increase the number of shares of the Company’s common stock that may be issued pursuant to options, warrants or rights to employees, directors, officers, consultants or advisors above the number of shares that were authorized for issuance under our 2001 Stock Incentive Plan, 2003 Non-Employee Director Stock Incentive Plan and 2009 Incentive Compensation Plan as of September 9, 2016.</w:t>
      </w:r>
    </w:p>
    <w:p>
      <w:pPr>
        <w:spacing w:after="0" w:line="47" w:lineRule="exact"/>
        <w:rPr>
          <w:sz w:val="20"/>
          <w:szCs w:val="20"/>
          <w:color w:val="auto"/>
        </w:rPr>
      </w:pPr>
    </w:p>
    <w:p>
      <w:pPr>
        <w:ind w:left="640" w:right="140"/>
        <w:spacing w:after="0" w:line="254" w:lineRule="auto"/>
        <w:rPr>
          <w:sz w:val="20"/>
          <w:szCs w:val="20"/>
          <w:color w:val="auto"/>
        </w:rPr>
      </w:pPr>
      <w:r>
        <w:rPr>
          <w:rFonts w:ascii="Arial" w:cs="Arial" w:eastAsia="Arial" w:hAnsi="Arial"/>
          <w:sz w:val="18"/>
          <w:szCs w:val="18"/>
          <w:i w:val="1"/>
          <w:iCs w:val="1"/>
          <w:color w:val="auto"/>
        </w:rPr>
        <w:t>Warrants</w:t>
      </w:r>
      <w:r>
        <w:rPr>
          <w:rFonts w:ascii="Arial" w:cs="Arial" w:eastAsia="Arial" w:hAnsi="Arial"/>
          <w:sz w:val="18"/>
          <w:szCs w:val="18"/>
          <w:color w:val="auto"/>
        </w:rPr>
        <w:t>. Each Series B-1 or B-2 related warrant is exercisable at $3.00 per share of common stock at any time on or after the date of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fifth anniversary of the respective issue date. The Company may, upon 30 days’ notice and so long as an effective registration statement regarding the underlying shares of common stock is in effect, issue a termination notice with respect to (i) each Class A-1 warrant on any trading day on which the market value of the common stock for each of the 15 previous trading days exceeded $7.50 per share and (ii) each Class A-2 warrant on any trading day on which the market value of the common stock for each of the 15 previous trading days exceeded $10.50 per share. All Class A-1 warrants were exercised for cash proceeds of $3,000,000 in 2011 and 500,000 of the Class A-2 warrants were exercised for cash proceeds of $1,500,000 in 2013. Subsequently, in January 2014, the remaining 500,000 Class A-2 warrants were exercised for cash proceeds of $1,500,000.</w:t>
      </w:r>
    </w:p>
    <w:p>
      <w:pPr>
        <w:spacing w:after="0" w:line="84"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fair value of the warrants issued in connection with the Series B-1 was $1,296,000 at the date of issuance based on the following assumptions: an expected life of 5 years, volatility of 118%, risk free interest rate of 1.79% and zero dividends. The Company allocated the gross proceeds based on the relative fair value of the Series B-1 and the related warrants, resulting in $1,105,000 of the proceeds being allocated to additional paid-in capital. The Company analyzed the Series B-1, post-allocation of the gross proceeds, and determined that there was no beneficial conversion feature at the date of issuance. The issuance costs of the Series B-1 and the amounts allocated to warrants were recorded as a reduction to the carrying value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59" w:lineRule="auto"/>
        <w:rPr>
          <w:sz w:val="20"/>
          <w:szCs w:val="20"/>
          <w:color w:val="auto"/>
        </w:rPr>
      </w:pPr>
      <w:r>
        <w:rPr>
          <w:rFonts w:ascii="Arial" w:cs="Arial" w:eastAsia="Arial" w:hAnsi="Arial"/>
          <w:sz w:val="18"/>
          <w:szCs w:val="18"/>
          <w:color w:val="auto"/>
        </w:rPr>
        <w:t>the Series B-1 when issued and are accreted to the redemption value of the Series B-1 through the earliest redemption date. Due to the redemption feature, the Company has presented the Series B-1 outside of permanent equity, in the mezzanine of the consolidated balance sheets through June 30, 2016. As noted above, the Series B-1 preferred was reclassified to permanent equity as of September 30, 2016 and forward and accretion was ended.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of the warrants issued during the year ended December 31, 2010 in connection with the Series B-2 was $4,148,000 at the dates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issuance based on the following assumptions: an expected life of 5 years, volatility of 126% to 129%, risk free interest rates of 2.27% to 2.43%</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zero dividends. The fair value of the warrants issued during the year ended December 31, 2009 in connection with the Series B-2 was</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$5,333,000 at the dates of issuance based on the following assumptions: an expected life of 5 years, volatility of 124% to 127%, risk free interest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rates of 1.98% to 2.70% and zero dividends. The Company allocated the gross proceeds based on the relative fair value of the Series B-2 and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related warrants, resulting in $1,028,000 and $1,732,000 of the proceeds being allocated to additional paid-in capital for the years ended</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December 31, 2010 and 2009, respectively. The issuance costs of the Series B-2 and the amounts allocated to warrants were recorded as a</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reduction to the carrying value of the Series B-2 when issued, and are accreted to the redemption value of the Series B-2 through the earliest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redemption dates. Due to the redemption feature, the Company has presented the Series B-2 outside of permanent equity, in the mezzanine of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consolidated balance sheets through June 30, 2016. As noted above, the Series B-2 preferred was reclassified to permanent equity as of</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September 30, 2016 and forward and accretion was ended.</w:t>
      </w:r>
    </w:p>
    <w:p>
      <w:pPr>
        <w:spacing w:after="0" w:line="103"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The Company analyzed the Series B-2, post-allocation of the gross proceeds, and determined that there was a beneficial conversion feature at the dates of issuance. Because the closing price of the common stock on the closing date was greater than the effective conversion price, $388,000 and $628,000 of the proceeds (limited to the allocation of the proceeds) during the years ended December 31, 2010 and 2009, respectively, were allocated to an embedded beneficial conversion feature of the Series B-2. The amount allocated to the beneficial conversion feature was recorded as a discount to the Series B-2 is being accreted, with such accretion being charged through the earliest redemption dates. As noted above, the Series B-2 preferred was reclassified to permanent equity as of September 30, 2016 and forward and accretion was ended.</w:t>
      </w:r>
    </w:p>
    <w:p>
      <w:pPr>
        <w:spacing w:after="0" w:line="57"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All warrants issued in the Series B-3 transaction are exercisable at $3.00 per share of common stock at any time on or after the date of issuance until the seventh anniversary of the respective issue date.</w:t>
      </w:r>
    </w:p>
    <w:p>
      <w:pPr>
        <w:spacing w:after="0" w:line="62" w:lineRule="exact"/>
        <w:rPr>
          <w:sz w:val="20"/>
          <w:szCs w:val="20"/>
          <w:color w:val="auto"/>
        </w:rPr>
      </w:pPr>
    </w:p>
    <w:p>
      <w:pPr>
        <w:jc w:val="both"/>
        <w:ind w:left="640" w:right="60"/>
        <w:spacing w:after="0" w:line="279" w:lineRule="auto"/>
        <w:rPr>
          <w:sz w:val="20"/>
          <w:szCs w:val="20"/>
          <w:color w:val="auto"/>
        </w:rPr>
      </w:pPr>
      <w:r>
        <w:rPr>
          <w:rFonts w:ascii="Arial" w:cs="Arial" w:eastAsia="Arial" w:hAnsi="Arial"/>
          <w:sz w:val="17"/>
          <w:szCs w:val="17"/>
          <w:color w:val="auto"/>
        </w:rPr>
        <w:t>The fair value of the warrants issued in connection with the September 22, 2016, Series B-3 was $2,262,000 at the date of issuance based on the following assumptions: an expected life of 7 years, volatility of 95%, risk free interest rate of 1.42% and zero dividends. The Company allocated the gross proceeds of $1.5 million based on the relative fair value of the Series B-3 and the related warrants, resulting in $890,000 of the proceeds being allocated to additional paid-in capital and $610,000 being allocated to the Series B-3.</w:t>
      </w:r>
    </w:p>
    <w:p>
      <w:pPr>
        <w:spacing w:after="0" w:line="63" w:lineRule="exact"/>
        <w:rPr>
          <w:sz w:val="20"/>
          <w:szCs w:val="20"/>
          <w:color w:val="auto"/>
        </w:rPr>
      </w:pPr>
    </w:p>
    <w:p>
      <w:pPr>
        <w:ind w:left="640" w:right="280"/>
        <w:spacing w:after="0" w:line="259" w:lineRule="auto"/>
        <w:rPr>
          <w:sz w:val="20"/>
          <w:szCs w:val="20"/>
          <w:color w:val="auto"/>
        </w:rPr>
      </w:pPr>
      <w:r>
        <w:rPr>
          <w:rFonts w:ascii="Arial" w:cs="Arial" w:eastAsia="Arial" w:hAnsi="Arial"/>
          <w:sz w:val="18"/>
          <w:szCs w:val="18"/>
          <w:color w:val="auto"/>
        </w:rPr>
        <w:t>The Company analyzed the September 22, 2016, Series B-3, post-allocation of the gross proceeds, and determined that there was a beneficial conversion feature at the dates of issuance. Because the closing price of the common stock on the closing date was greater than the effective conversion price, an embedded beneficial conversion feature of the Series B-3 amounting to $991,000 was charged to additional paid in capital and accumulated deficit.</w:t>
      </w:r>
    </w:p>
    <w:p>
      <w:pPr>
        <w:spacing w:after="0" w:line="79" w:lineRule="exact"/>
        <w:rPr>
          <w:sz w:val="20"/>
          <w:szCs w:val="20"/>
          <w:color w:val="auto"/>
        </w:rPr>
      </w:pPr>
    </w:p>
    <w:p>
      <w:pPr>
        <w:ind w:left="640" w:right="140"/>
        <w:spacing w:after="0" w:line="279" w:lineRule="auto"/>
        <w:rPr>
          <w:sz w:val="20"/>
          <w:szCs w:val="20"/>
          <w:color w:val="auto"/>
        </w:rPr>
      </w:pPr>
      <w:r>
        <w:rPr>
          <w:rFonts w:ascii="Arial" w:cs="Arial" w:eastAsia="Arial" w:hAnsi="Arial"/>
          <w:sz w:val="17"/>
          <w:szCs w:val="17"/>
          <w:color w:val="auto"/>
        </w:rPr>
        <w:t>The fair value of the warrants issued in connection with the December 23, 2016, Series B-3 was $658,000 at the date of issuance based on the following assumptions: an expected life of 7 years, volatility of 96%, risk free interest rate of 2.35% and zero dividends. The Company allocated the gross proceeds of $1.008 million based on the relative fair value of the Series B-3 and the related warrants, resulting in $394,000 of the proceeds being allocated to additional paid-in capital and $614,000 being allocated to the Series B-3.</w:t>
      </w:r>
    </w:p>
    <w:p>
      <w:pPr>
        <w:spacing w:after="0" w:line="63" w:lineRule="exact"/>
        <w:rPr>
          <w:sz w:val="20"/>
          <w:szCs w:val="20"/>
          <w:color w:val="auto"/>
        </w:rPr>
      </w:pPr>
    </w:p>
    <w:p>
      <w:pPr>
        <w:jc w:val="both"/>
        <w:ind w:left="640" w:right="440"/>
        <w:spacing w:after="0" w:line="264" w:lineRule="auto"/>
        <w:rPr>
          <w:sz w:val="20"/>
          <w:szCs w:val="20"/>
          <w:color w:val="auto"/>
        </w:rPr>
      </w:pPr>
      <w:r>
        <w:rPr>
          <w:rFonts w:ascii="Arial" w:cs="Arial" w:eastAsia="Arial" w:hAnsi="Arial"/>
          <w:sz w:val="18"/>
          <w:szCs w:val="18"/>
          <w:color w:val="auto"/>
        </w:rPr>
        <w:t>The Company analyzed the December 23, 2016, Series B-3, post-allocation of the gross proceeds, and determined that there was a beneficial conversion feature at the dates of issuance. Because the closing price of the common stock on the closing date was greater than the effective conversion price, an embedded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beneficial conversion feature of the Series B-3 amounting to $310,000 was charged to additional paid in capital and accumulated deficit.</w:t>
      </w:r>
    </w:p>
    <w:p>
      <w:pPr>
        <w:spacing w:after="0" w:line="3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Series C 6% Super Dividend Redeemable Convertible Preferred Stock</w:t>
      </w:r>
    </w:p>
    <w:p>
      <w:pPr>
        <w:spacing w:after="0" w:line="117" w:lineRule="exact"/>
        <w:rPr>
          <w:sz w:val="20"/>
          <w:szCs w:val="20"/>
          <w:color w:val="auto"/>
        </w:rPr>
      </w:pPr>
    </w:p>
    <w:p>
      <w:pPr>
        <w:ind w:left="640" w:right="700"/>
        <w:spacing w:after="0" w:line="34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terms of the Series C are as follows:</w:t>
      </w:r>
    </w:p>
    <w:p>
      <w:pPr>
        <w:spacing w:after="0" w:line="117" w:lineRule="exact"/>
        <w:rPr>
          <w:sz w:val="20"/>
          <w:szCs w:val="20"/>
          <w:color w:val="auto"/>
        </w:rPr>
      </w:pPr>
    </w:p>
    <w:p>
      <w:pPr>
        <w:ind w:left="640" w:right="60"/>
        <w:spacing w:after="0" w:line="302"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holder of Series C may convert all, but not less than all, of his Series C shares plus accrued and unpaid dividends into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46"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73"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Series C shall be entitled to receive cumulative non-compounding dividends at the rate per share of Series C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(i) 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3"/>
          <w:szCs w:val="13"/>
          <w:color w:val="auto"/>
        </w:rPr>
        <w:t>®</w:t>
      </w:r>
      <w:r>
        <w:rPr>
          <w:rFonts w:ascii="Arial" w:cs="Arial" w:eastAsia="Arial" w:hAnsi="Arial"/>
          <w:sz w:val="16"/>
          <w:szCs w:val="16"/>
          <w:color w:val="auto"/>
        </w:rPr>
        <w:t xml:space="preserve"> (GM-CT-01), less chargebacks, returns, expenses attributable to product recalls, duties, customs, sales tax, freight, insurance, shipping expenses, allowances and other customary deductions.</w:t>
      </w:r>
    </w:p>
    <w:p>
      <w:pPr>
        <w:spacing w:after="0" w:line="57" w:lineRule="exact"/>
        <w:rPr>
          <w:sz w:val="20"/>
          <w:szCs w:val="20"/>
          <w:color w:val="auto"/>
        </w:rPr>
      </w:pPr>
    </w:p>
    <w:p>
      <w:pPr>
        <w:ind w:left="640" w:right="160"/>
        <w:spacing w:after="0" w:line="273" w:lineRule="auto"/>
        <w:rPr>
          <w:sz w:val="20"/>
          <w:szCs w:val="20"/>
          <w:color w:val="auto"/>
        </w:rPr>
      </w:pPr>
      <w:r>
        <w:rPr>
          <w:rFonts w:ascii="Arial" w:cs="Arial" w:eastAsia="Arial" w:hAnsi="Arial"/>
          <w:sz w:val="17"/>
          <w:szCs w:val="17"/>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70"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i w:val="1"/>
          <w:iCs w:val="1"/>
          <w:color w:val="auto"/>
        </w:rPr>
        <w:t>Series C Post Conversion Dividend Right</w:t>
      </w:r>
      <w:r>
        <w:rPr>
          <w:rFonts w:ascii="Arial" w:cs="Arial" w:eastAsia="Arial" w:hAnsi="Arial"/>
          <w:sz w:val="18"/>
          <w:szCs w:val="18"/>
          <w:color w:val="auto"/>
        </w:rPr>
        <w:t>. In the event that any share of Series C is converted into Common Stock before the Maximum Payout is</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57" w:lineRule="auto"/>
        <w:rPr>
          <w:sz w:val="20"/>
          <w:szCs w:val="20"/>
          <w:color w:val="auto"/>
        </w:rPr>
      </w:pPr>
      <w:r>
        <w:rPr>
          <w:rFonts w:ascii="Arial" w:cs="Arial" w:eastAsia="Arial" w:hAnsi="Arial"/>
          <w:sz w:val="18"/>
          <w:szCs w:val="18"/>
          <w:color w:val="auto"/>
        </w:rPr>
        <w:t>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80" w:lineRule="exact"/>
        <w:rPr>
          <w:sz w:val="20"/>
          <w:szCs w:val="20"/>
          <w:color w:val="auto"/>
        </w:rPr>
      </w:pPr>
    </w:p>
    <w:p>
      <w:pPr>
        <w:ind w:left="640" w:right="20"/>
        <w:spacing w:after="0" w:line="276" w:lineRule="auto"/>
        <w:rPr>
          <w:sz w:val="20"/>
          <w:szCs w:val="20"/>
          <w:color w:val="auto"/>
        </w:rPr>
      </w:pPr>
      <w:r>
        <w:rPr>
          <w:rFonts w:ascii="Arial" w:cs="Arial" w:eastAsia="Arial" w:hAnsi="Arial"/>
          <w:sz w:val="17"/>
          <w:szCs w:val="17"/>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64" w:lineRule="exact"/>
        <w:rPr>
          <w:sz w:val="20"/>
          <w:szCs w:val="20"/>
          <w:color w:val="auto"/>
        </w:rPr>
      </w:pPr>
    </w:p>
    <w:p>
      <w:pPr>
        <w:ind w:left="640" w:right="120"/>
        <w:spacing w:after="0" w:line="293"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57"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79" w:lineRule="exact"/>
        <w:rPr>
          <w:sz w:val="20"/>
          <w:szCs w:val="20"/>
          <w:color w:val="auto"/>
        </w:rPr>
      </w:pPr>
    </w:p>
    <w:p>
      <w:pPr>
        <w:ind w:left="640"/>
        <w:spacing w:after="0" w:line="288"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Post Conversion Rights within thirty (30) days after the transaction constituting the sale of the Company is closed and such closing is fully funded. The price to redeem a share of Series C and each redeemed Series C Preferred Stock Post Conversion Redemption Right shall be equal to</w:t>
      </w:r>
    </w:p>
    <w:p>
      <w:pPr>
        <w:ind w:left="640" w:right="180" w:firstLine="4"/>
        <w:spacing w:after="0" w:line="273" w:lineRule="auto"/>
        <w:tabs>
          <w:tab w:leader="none" w:pos="8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6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ROI Percentage</w:t>
      </w:r>
    </w:p>
    <w:p>
      <w:pPr>
        <w:spacing w:after="0" w:line="131"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200%</w:t>
      </w:r>
      <w:r>
        <w:rPr>
          <w:sz w:val="20"/>
          <w:szCs w:val="20"/>
          <w:color w:val="auto"/>
        </w:rPr>
        <w:tab/>
      </w:r>
      <w:r>
        <w:rPr>
          <w:rFonts w:ascii="Arial" w:cs="Arial" w:eastAsia="Arial" w:hAnsi="Arial"/>
          <w:sz w:val="18"/>
          <w:szCs w:val="18"/>
          <w:color w:val="auto"/>
        </w:rPr>
        <w:t>before the second anniversary of the date of issuance;</w:t>
      </w:r>
    </w:p>
    <w:p>
      <w:pPr>
        <w:spacing w:after="0" w:line="2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250%</w:t>
      </w:r>
      <w:r>
        <w:rPr>
          <w:sz w:val="20"/>
          <w:szCs w:val="20"/>
          <w:color w:val="auto"/>
        </w:rPr>
        <w:tab/>
      </w:r>
      <w:r>
        <w:rPr>
          <w:rFonts w:ascii="Arial" w:cs="Arial" w:eastAsia="Arial" w:hAnsi="Arial"/>
          <w:sz w:val="18"/>
          <w:szCs w:val="18"/>
          <w:color w:val="auto"/>
        </w:rPr>
        <w:t>on or after the second anniversary of the date of issuance, but before the third anniversary of the date of issuance;</w:t>
      </w:r>
    </w:p>
    <w:p>
      <w:pPr>
        <w:spacing w:after="0" w:line="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on or after the third anniversary of the date of issuance, but before the fourth anniversary of the date of issuance;</w:t>
      </w:r>
    </w:p>
    <w:p>
      <w:pPr>
        <w:spacing w:after="0" w:line="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350%</w:t>
      </w:r>
      <w:r>
        <w:rPr>
          <w:sz w:val="20"/>
          <w:szCs w:val="20"/>
          <w:color w:val="auto"/>
        </w:rPr>
        <w:tab/>
      </w:r>
      <w:r>
        <w:rPr>
          <w:rFonts w:ascii="Arial" w:cs="Arial" w:eastAsia="Arial" w:hAnsi="Arial"/>
          <w:sz w:val="18"/>
          <w:szCs w:val="18"/>
          <w:color w:val="auto"/>
        </w:rPr>
        <w:t>on or after the fourth anniversary of the date of issuance, but before the fifth anniversary of the date of issuance;</w:t>
      </w:r>
    </w:p>
    <w:p>
      <w:pPr>
        <w:spacing w:after="0" w:line="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400%</w:t>
      </w:r>
      <w:r>
        <w:rPr>
          <w:sz w:val="20"/>
          <w:szCs w:val="20"/>
          <w:color w:val="auto"/>
        </w:rPr>
        <w:tab/>
      </w:r>
      <w:r>
        <w:rPr>
          <w:rFonts w:ascii="Arial" w:cs="Arial" w:eastAsia="Arial" w:hAnsi="Arial"/>
          <w:sz w:val="18"/>
          <w:szCs w:val="18"/>
          <w:color w:val="auto"/>
        </w:rPr>
        <w:t>on or after the fifth anniversary of the date of issuance, but before the sixth anniversary of the date of issuance;</w:t>
      </w:r>
    </w:p>
    <w:p>
      <w:pPr>
        <w:spacing w:after="0" w:line="9"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450%</w:t>
      </w:r>
      <w:r>
        <w:rPr>
          <w:sz w:val="20"/>
          <w:szCs w:val="20"/>
          <w:color w:val="auto"/>
        </w:rPr>
        <w:tab/>
      </w:r>
      <w:r>
        <w:rPr>
          <w:rFonts w:ascii="Arial" w:cs="Arial" w:eastAsia="Arial" w:hAnsi="Arial"/>
          <w:sz w:val="18"/>
          <w:szCs w:val="18"/>
          <w:color w:val="auto"/>
        </w:rPr>
        <w:t>on or after the sixth anniversary of the date of issuance, but before the seventh anniversary of the date of issuance;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on or after the seventh anniversary of the date of issuance, but before the eighth anniversary of the date of issuance; and</w:t>
      </w:r>
    </w:p>
    <w:p>
      <w:pPr>
        <w:spacing w:after="0" w:line="23" w:lineRule="exact"/>
        <w:rPr>
          <w:sz w:val="20"/>
          <w:szCs w:val="20"/>
          <w:color w:val="auto"/>
        </w:rPr>
      </w:pPr>
    </w:p>
    <w:p>
      <w:pPr>
        <w:ind w:left="200"/>
        <w:spacing w:after="0"/>
        <w:tabs>
          <w:tab w:leader="none" w:pos="960" w:val="left"/>
        </w:tabs>
        <w:rPr>
          <w:sz w:val="20"/>
          <w:szCs w:val="20"/>
          <w:color w:val="auto"/>
        </w:rPr>
      </w:pPr>
      <w:r>
        <w:rPr>
          <w:rFonts w:ascii="Arial" w:cs="Arial" w:eastAsia="Arial" w:hAnsi="Arial"/>
          <w:sz w:val="18"/>
          <w:szCs w:val="18"/>
          <w:color w:val="auto"/>
        </w:rPr>
        <w:t>550%</w:t>
      </w:r>
      <w:r>
        <w:rPr>
          <w:sz w:val="20"/>
          <w:szCs w:val="20"/>
          <w:color w:val="auto"/>
        </w:rPr>
        <w:tab/>
      </w:r>
      <w:r>
        <w:rPr>
          <w:rFonts w:ascii="Arial" w:cs="Arial" w:eastAsia="Arial" w:hAnsi="Arial"/>
          <w:sz w:val="18"/>
          <w:szCs w:val="18"/>
          <w:color w:val="auto"/>
        </w:rPr>
        <w:t>on or after the eighth anniversary of the date of issuance, but before the ninth anniversary of the date of issuance.</w:t>
      </w:r>
    </w:p>
    <w:p>
      <w:pPr>
        <w:spacing w:after="0" w:line="103" w:lineRule="exact"/>
        <w:rPr>
          <w:sz w:val="20"/>
          <w:szCs w:val="20"/>
          <w:color w:val="auto"/>
        </w:rPr>
      </w:pPr>
    </w:p>
    <w:p>
      <w:pPr>
        <w:ind w:left="640"/>
        <w:spacing w:after="0" w:line="308" w:lineRule="auto"/>
        <w:rPr>
          <w:sz w:val="20"/>
          <w:szCs w:val="20"/>
          <w:color w:val="auto"/>
        </w:rPr>
      </w:pPr>
      <w:r>
        <w:rPr>
          <w:rFonts w:ascii="Arial" w:cs="Arial" w:eastAsia="Arial" w:hAnsi="Arial"/>
          <w:sz w:val="17"/>
          <w:szCs w:val="17"/>
          <w:color w:val="auto"/>
        </w:rPr>
        <w:t>Due to the redemption feature, the Company has presented the Series C outside of permanent equity, in the mezzanine of the consolidated balance sheets at December 31, 2018 and 2017. At December 31, 2018, the Series C redemption value was $8,863,000.</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37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4320" w:type="dxa"/>
            <w:vAlign w:val="bottom"/>
            <w:gridSpan w:val="4"/>
          </w:tcPr>
          <w:p>
            <w:pPr>
              <w:ind w:left="160"/>
              <w:spacing w:after="0"/>
              <w:rPr>
                <w:sz w:val="20"/>
                <w:szCs w:val="20"/>
                <w:color w:val="auto"/>
              </w:rPr>
            </w:pPr>
            <w:r>
              <w:rPr>
                <w:rFonts w:ascii="Arial" w:cs="Arial" w:eastAsia="Arial" w:hAnsi="Arial"/>
                <w:sz w:val="18"/>
                <w:szCs w:val="18"/>
                <w:b w:val="1"/>
                <w:bCs w:val="1"/>
                <w:color w:val="auto"/>
              </w:rPr>
              <w:t>Warrants</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320" w:type="dxa"/>
            <w:vAlign w:val="bottom"/>
            <w:gridSpan w:val="4"/>
          </w:tcPr>
          <w:p>
            <w:pPr>
              <w:ind w:left="160"/>
              <w:spacing w:after="0"/>
              <w:rPr>
                <w:sz w:val="20"/>
                <w:szCs w:val="20"/>
                <w:color w:val="auto"/>
              </w:rPr>
            </w:pPr>
            <w:r>
              <w:rPr>
                <w:rFonts w:ascii="Arial" w:cs="Arial" w:eastAsia="Arial" w:hAnsi="Arial"/>
                <w:sz w:val="18"/>
                <w:szCs w:val="18"/>
                <w:color w:val="auto"/>
              </w:rPr>
              <w:t>Warrant activity is summarized as follows: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80" w:type="dxa"/>
            <w:vAlign w:val="bottom"/>
            <w:vMerge w:val="restart"/>
          </w:tcPr>
          <w:p>
            <w:pPr>
              <w:spacing w:after="0"/>
              <w:rPr>
                <w:sz w:val="21"/>
                <w:szCs w:val="21"/>
                <w:color w:val="auto"/>
              </w:rPr>
            </w:pPr>
          </w:p>
        </w:tc>
        <w:tc>
          <w:tcPr>
            <w:tcW w:w="1320" w:type="dxa"/>
            <w:vAlign w:val="bottom"/>
            <w:vMerge w:val="restart"/>
          </w:tcPr>
          <w:p>
            <w:pPr>
              <w:spacing w:after="0"/>
              <w:rPr>
                <w:sz w:val="21"/>
                <w:szCs w:val="21"/>
                <w:color w:val="auto"/>
              </w:rPr>
            </w:pPr>
          </w:p>
        </w:tc>
        <w:tc>
          <w:tcPr>
            <w:tcW w:w="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Outstanding at December 31, 2016</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13,488,296</w:t>
            </w:r>
          </w:p>
        </w:tc>
        <w:tc>
          <w:tcPr>
            <w:tcW w:w="14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1,078,643</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(1,337,161)</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Outstanding at December 31, 2017</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13,229,778</w:t>
            </w:r>
          </w:p>
        </w:tc>
        <w:tc>
          <w:tcPr>
            <w:tcW w:w="14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40" w:type="dxa"/>
            <w:vAlign w:val="bottom"/>
            <w:gridSpan w:val="3"/>
          </w:tcPr>
          <w:p>
            <w:pPr>
              <w:ind w:left="1320"/>
              <w:spacing w:after="0"/>
              <w:rPr>
                <w:sz w:val="20"/>
                <w:szCs w:val="20"/>
                <w:color w:val="auto"/>
              </w:rPr>
            </w:pPr>
            <w:r>
              <w:rPr>
                <w:rFonts w:ascii="Arial" w:cs="Arial" w:eastAsia="Arial" w:hAnsi="Arial"/>
                <w:sz w:val="18"/>
                <w:szCs w:val="18"/>
                <w:color w:val="auto"/>
              </w:rPr>
              <w:t>Issued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(2,583,042)</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Outstanding at December 31, 2018</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10,647,026</w:t>
            </w:r>
          </w:p>
        </w:tc>
        <w:tc>
          <w:tcPr>
            <w:tcW w:w="140" w:type="dxa"/>
            <w:vAlign w:val="bottom"/>
            <w:shd w:val="clear" w:color="auto" w:fill="CCEEFF"/>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300" w:type="dxa"/>
            <w:vAlign w:val="bottom"/>
            <w:gridSpan w:val="15"/>
          </w:tcPr>
          <w:p>
            <w:pPr>
              <w:ind w:left="160"/>
              <w:spacing w:after="0"/>
              <w:rPr>
                <w:sz w:val="20"/>
                <w:szCs w:val="20"/>
                <w:color w:val="auto"/>
              </w:rPr>
            </w:pPr>
            <w:r>
              <w:rPr>
                <w:rFonts w:ascii="Arial" w:cs="Arial" w:eastAsia="Arial" w:hAnsi="Arial"/>
                <w:sz w:val="18"/>
                <w:szCs w:val="18"/>
                <w:color w:val="auto"/>
                <w:w w:val="93"/>
              </w:rPr>
              <w:t>The following table summarizes information with regard to outstanding warrants issued in connection with equity and debt financings and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320" w:type="dxa"/>
            <w:vAlign w:val="bottom"/>
            <w:gridSpan w:val="4"/>
          </w:tcPr>
          <w:p>
            <w:pPr>
              <w:ind w:left="160"/>
              <w:spacing w:after="0"/>
              <w:rPr>
                <w:sz w:val="20"/>
                <w:szCs w:val="20"/>
                <w:color w:val="auto"/>
              </w:rPr>
            </w:pPr>
            <w:r>
              <w:rPr>
                <w:rFonts w:ascii="Arial" w:cs="Arial" w:eastAsia="Arial" w:hAnsi="Arial"/>
                <w:sz w:val="18"/>
                <w:szCs w:val="18"/>
                <w:color w:val="auto"/>
              </w:rPr>
              <w:t>consultants as of December 31, 2018.</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43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Issued in Connection With</w:t>
            </w:r>
          </w:p>
        </w:tc>
        <w:tc>
          <w:tcPr>
            <w:tcW w:w="800" w:type="dxa"/>
            <w:vAlign w:val="bottom"/>
          </w:tcPr>
          <w:p>
            <w:pPr>
              <w:jc w:val="right"/>
              <w:ind w:right="5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4"/>
                <w:szCs w:val="2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212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rPr>
              <w:t>Exercisable Date</w:t>
            </w:r>
          </w:p>
        </w:tc>
        <w:tc>
          <w:tcPr>
            <w:tcW w:w="80" w:type="dxa"/>
            <w:vAlign w:val="bottom"/>
          </w:tcPr>
          <w:p>
            <w:pPr>
              <w:spacing w:after="0"/>
              <w:rPr>
                <w:sz w:val="24"/>
                <w:szCs w:val="24"/>
                <w:color w:val="auto"/>
              </w:rPr>
            </w:pPr>
          </w:p>
        </w:tc>
        <w:tc>
          <w:tcPr>
            <w:tcW w:w="2120" w:type="dxa"/>
            <w:vAlign w:val="bottom"/>
            <w:gridSpan w:val="3"/>
            <w:vMerge w:val="restart"/>
          </w:tcPr>
          <w:p>
            <w:pPr>
              <w:jc w:val="right"/>
              <w:ind w:right="47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4320" w:type="dxa"/>
            <w:vAlign w:val="bottom"/>
            <w:gridSpan w:val="4"/>
            <w:vMerge w:val="continue"/>
          </w:tcPr>
          <w:p>
            <w:pPr>
              <w:spacing w:after="0"/>
              <w:rPr>
                <w:sz w:val="13"/>
                <w:szCs w:val="13"/>
                <w:color w:val="auto"/>
              </w:rPr>
            </w:pPr>
          </w:p>
        </w:tc>
        <w:tc>
          <w:tcPr>
            <w:tcW w:w="80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3"/>
                <w:szCs w:val="13"/>
                <w:color w:val="auto"/>
              </w:rPr>
            </w:pPr>
          </w:p>
        </w:tc>
        <w:tc>
          <w:tcPr>
            <w:tcW w:w="720" w:type="dxa"/>
            <w:vAlign w:val="bottom"/>
            <w:gridSpan w:val="3"/>
          </w:tcPr>
          <w:p>
            <w:pPr>
              <w:ind w:left="120"/>
              <w:spacing w:after="0" w:line="158" w:lineRule="exact"/>
              <w:rPr>
                <w:sz w:val="20"/>
                <w:szCs w:val="20"/>
                <w:color w:val="auto"/>
              </w:rPr>
            </w:pPr>
            <w:r>
              <w:rPr>
                <w:rFonts w:ascii="Arial" w:cs="Arial" w:eastAsia="Arial" w:hAnsi="Arial"/>
                <w:sz w:val="14"/>
                <w:szCs w:val="14"/>
                <w:b w:val="1"/>
                <w:bCs w:val="1"/>
                <w:color w:val="auto"/>
              </w:rPr>
              <w:t>Price</w:t>
            </w:r>
          </w:p>
        </w:tc>
        <w:tc>
          <w:tcPr>
            <w:tcW w:w="2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CCEEFF"/>
            </w:tcBorders>
            <w:shd w:val="clear" w:color="auto" w:fill="000000"/>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February 12, 2009 Series B-1 Transaction $3.00</w:t>
            </w: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1,200,000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February 12, 2009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February 12,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tcPr>
          <w:p>
            <w:pPr>
              <w:spacing w:after="0" w:line="201" w:lineRule="exact"/>
              <w:rPr>
                <w:sz w:val="20"/>
                <w:szCs w:val="20"/>
                <w:color w:val="auto"/>
              </w:rPr>
            </w:pPr>
            <w:r>
              <w:rPr>
                <w:rFonts w:ascii="Arial" w:cs="Arial" w:eastAsia="Arial" w:hAnsi="Arial"/>
                <w:sz w:val="18"/>
                <w:szCs w:val="18"/>
                <w:color w:val="auto"/>
                <w:w w:val="98"/>
              </w:rPr>
              <w:t>May 13, 2009 Series B-2 Transaction $3.00 Investor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rPr>
              <w:t>Warrants — Class B</w:t>
            </w:r>
          </w:p>
        </w:tc>
        <w:tc>
          <w:tcPr>
            <w:tcW w:w="80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May 13, 2009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May 13,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June 30, 2009 Series B-2 Transaction $3.00 Investor</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June 30, 2009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tcPr>
          <w:p>
            <w:pPr>
              <w:spacing w:after="0" w:line="201" w:lineRule="exact"/>
              <w:rPr>
                <w:sz w:val="20"/>
                <w:szCs w:val="20"/>
                <w:color w:val="auto"/>
              </w:rPr>
            </w:pPr>
            <w:r>
              <w:rPr>
                <w:rFonts w:ascii="Arial" w:cs="Arial" w:eastAsia="Arial" w:hAnsi="Arial"/>
                <w:sz w:val="18"/>
                <w:szCs w:val="18"/>
                <w:color w:val="auto"/>
                <w:w w:val="94"/>
              </w:rPr>
              <w:t>August 12, 2009 Series B-2 Transaction $3.00 Investor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rPr>
              <w:t>Warrants — Class B</w:t>
            </w:r>
          </w:p>
        </w:tc>
        <w:tc>
          <w:tcPr>
            <w:tcW w:w="800" w:type="dxa"/>
            <w:vAlign w:val="bottom"/>
          </w:tcPr>
          <w:p>
            <w:pPr>
              <w:jc w:val="right"/>
              <w:spacing w:after="0"/>
              <w:rPr>
                <w:sz w:val="20"/>
                <w:szCs w:val="20"/>
                <w:color w:val="auto"/>
              </w:rPr>
            </w:pPr>
            <w:r>
              <w:rPr>
                <w:rFonts w:ascii="Arial" w:cs="Arial" w:eastAsia="Arial" w:hAnsi="Arial"/>
                <w:sz w:val="18"/>
                <w:szCs w:val="18"/>
                <w:color w:val="auto"/>
              </w:rPr>
              <w:t>200,000</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August 12, 2009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9"/>
              </w:rPr>
              <w:t>August 12,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September 30, 2009 Series B-2 Transaction $3.00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216,666</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September 30, 2009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September 30,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tcPr>
          <w:p>
            <w:pPr>
              <w:spacing w:after="0" w:line="201" w:lineRule="exact"/>
              <w:rPr>
                <w:sz w:val="20"/>
                <w:szCs w:val="20"/>
                <w:color w:val="auto"/>
              </w:rPr>
            </w:pPr>
            <w:r>
              <w:rPr>
                <w:rFonts w:ascii="Arial" w:cs="Arial" w:eastAsia="Arial" w:hAnsi="Arial"/>
                <w:sz w:val="18"/>
                <w:szCs w:val="18"/>
                <w:color w:val="auto"/>
              </w:rPr>
              <w:t>November 4, 2009 Series B-2 Transaction $3.00</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tcPr>
          <w:p>
            <w:pPr>
              <w:ind w:left="160"/>
              <w:spacing w:after="0"/>
              <w:rPr>
                <w:sz w:val="20"/>
                <w:szCs w:val="20"/>
                <w:color w:val="auto"/>
              </w:rPr>
            </w:pPr>
            <w:r>
              <w:rPr>
                <w:rFonts w:ascii="Arial" w:cs="Arial" w:eastAsia="Arial" w:hAnsi="Arial"/>
                <w:sz w:val="18"/>
                <w:szCs w:val="18"/>
                <w:color w:val="auto"/>
              </w:rPr>
              <w:t>Investor Warrants — Class B</w:t>
            </w:r>
          </w:p>
        </w:tc>
        <w:tc>
          <w:tcPr>
            <w:tcW w:w="800" w:type="dxa"/>
            <w:vAlign w:val="bottom"/>
          </w:tcPr>
          <w:p>
            <w:pPr>
              <w:jc w:val="right"/>
              <w:spacing w:after="0"/>
              <w:rPr>
                <w:sz w:val="20"/>
                <w:szCs w:val="20"/>
                <w:color w:val="auto"/>
              </w:rPr>
            </w:pPr>
            <w:r>
              <w:rPr>
                <w:rFonts w:ascii="Arial" w:cs="Arial" w:eastAsia="Arial" w:hAnsi="Arial"/>
                <w:sz w:val="18"/>
                <w:szCs w:val="18"/>
                <w:color w:val="auto"/>
              </w:rPr>
              <w:t>106,666</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November 4, 2009</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w w:val="97"/>
              </w:rPr>
              <w:t>November 4, 2019</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December 8, 2009 Series B-2 Transaction $3.00</w:t>
            </w: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3.00</w:t>
            </w:r>
          </w:p>
        </w:tc>
        <w:tc>
          <w:tcPr>
            <w:tcW w:w="18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8, 2009</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December 8, 2019</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20" w:type="dxa"/>
            <w:vAlign w:val="bottom"/>
            <w:gridSpan w:val="3"/>
          </w:tcPr>
          <w:p>
            <w:pPr>
              <w:ind w:left="740"/>
              <w:spacing w:after="0"/>
              <w:rPr>
                <w:sz w:val="20"/>
                <w:szCs w:val="20"/>
                <w:color w:val="auto"/>
              </w:rPr>
            </w:pPr>
            <w:r>
              <w:rPr>
                <w:rFonts w:ascii="Arial" w:cs="Arial" w:eastAsia="Arial" w:hAnsi="Arial"/>
                <w:sz w:val="18"/>
                <w:szCs w:val="18"/>
                <w:color w:val="auto"/>
                <w:w w:val="97"/>
              </w:rPr>
              <w:t>F-18</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86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840" w:type="dxa"/>
            <w:vAlign w:val="bottom"/>
            <w:gridSpan w:val="4"/>
          </w:tcPr>
          <w:p>
            <w:pPr>
              <w:ind w:left="160"/>
              <w:spacing w:after="0"/>
              <w:rPr>
                <w:sz w:val="20"/>
                <w:szCs w:val="20"/>
                <w:color w:val="auto"/>
              </w:rPr>
            </w:pPr>
            <w:r>
              <w:rPr>
                <w:rFonts w:ascii="Arial" w:cs="Arial" w:eastAsia="Arial" w:hAnsi="Arial"/>
                <w:sz w:val="14"/>
                <w:szCs w:val="14"/>
                <w:b w:val="1"/>
                <w:bCs w:val="1"/>
                <w:color w:val="auto"/>
              </w:rPr>
              <w:t>Exercise</w:t>
            </w:r>
          </w:p>
        </w:tc>
        <w:tc>
          <w:tcPr>
            <w:tcW w:w="22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Exercisable Date</w:t>
            </w:r>
          </w:p>
        </w:tc>
        <w:tc>
          <w:tcPr>
            <w:tcW w:w="212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86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Price</w:t>
            </w:r>
          </w:p>
        </w:tc>
        <w:tc>
          <w:tcPr>
            <w:tcW w:w="2200" w:type="dxa"/>
            <w:vAlign w:val="bottom"/>
            <w:gridSpan w:val="2"/>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1"/>
              </w:rPr>
              <w:t>January 29, 2010 Series B-2 Transaction $3.00 Investor</w:t>
            </w: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216,667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January 29, 2010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29,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6"/>
              </w:rPr>
              <w:t>March 8, 2010 Series B-2 Transaction $3.00 Investor</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Warrants — Class B</w:t>
            </w:r>
          </w:p>
        </w:tc>
        <w:tc>
          <w:tcPr>
            <w:tcW w:w="860" w:type="dxa"/>
            <w:vAlign w:val="bottom"/>
          </w:tcPr>
          <w:p>
            <w:pPr>
              <w:jc w:val="right"/>
              <w:spacing w:after="0"/>
              <w:rPr>
                <w:sz w:val="20"/>
                <w:szCs w:val="20"/>
                <w:color w:val="auto"/>
              </w:rPr>
            </w:pPr>
            <w:r>
              <w:rPr>
                <w:rFonts w:ascii="Arial" w:cs="Arial" w:eastAsia="Arial" w:hAnsi="Arial"/>
                <w:sz w:val="18"/>
                <w:szCs w:val="18"/>
                <w:color w:val="auto"/>
              </w:rPr>
              <w:t>223,334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March 8, 2010</w:t>
            </w:r>
          </w:p>
        </w:tc>
        <w:tc>
          <w:tcPr>
            <w:tcW w:w="2120" w:type="dxa"/>
            <w:vAlign w:val="bottom"/>
          </w:tcPr>
          <w:p>
            <w:pPr>
              <w:jc w:val="right"/>
              <w:spacing w:after="0"/>
              <w:rPr>
                <w:sz w:val="20"/>
                <w:szCs w:val="20"/>
                <w:color w:val="auto"/>
              </w:rPr>
            </w:pPr>
            <w:r>
              <w:rPr>
                <w:rFonts w:ascii="Arial" w:cs="Arial" w:eastAsia="Arial" w:hAnsi="Arial"/>
                <w:sz w:val="18"/>
                <w:szCs w:val="18"/>
                <w:color w:val="auto"/>
              </w:rPr>
              <w:t>March 8,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April 30, 2010 Series B-2 Transaction $3.00 Investor</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Warrants — Class B</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April 30, 2010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8"/>
              </w:rPr>
              <w:t>May 10, 2010 Series B-2 Transaction $3.00 Investor</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Warrants — Class B</w:t>
            </w:r>
          </w:p>
        </w:tc>
        <w:tc>
          <w:tcPr>
            <w:tcW w:w="860" w:type="dxa"/>
            <w:vAlign w:val="bottom"/>
          </w:tcPr>
          <w:p>
            <w:pPr>
              <w:jc w:val="right"/>
              <w:spacing w:after="0"/>
              <w:rPr>
                <w:sz w:val="20"/>
                <w:szCs w:val="20"/>
                <w:color w:val="auto"/>
              </w:rPr>
            </w:pPr>
            <w:r>
              <w:rPr>
                <w:rFonts w:ascii="Arial" w:cs="Arial" w:eastAsia="Arial" w:hAnsi="Arial"/>
                <w:sz w:val="18"/>
                <w:szCs w:val="18"/>
                <w:color w:val="auto"/>
              </w:rPr>
              <w:t>371,667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May 10, 2010</w:t>
            </w:r>
          </w:p>
        </w:tc>
        <w:tc>
          <w:tcPr>
            <w:tcW w:w="2120" w:type="dxa"/>
            <w:vAlign w:val="bottom"/>
          </w:tcPr>
          <w:p>
            <w:pPr>
              <w:jc w:val="right"/>
              <w:spacing w:after="0"/>
              <w:rPr>
                <w:sz w:val="20"/>
                <w:szCs w:val="20"/>
                <w:color w:val="auto"/>
              </w:rPr>
            </w:pPr>
            <w:r>
              <w:rPr>
                <w:rFonts w:ascii="Arial" w:cs="Arial" w:eastAsia="Arial" w:hAnsi="Arial"/>
                <w:sz w:val="18"/>
                <w:szCs w:val="18"/>
                <w:color w:val="auto"/>
              </w:rPr>
              <w:t>May 10,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1,180,240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25, 2016</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September 22, 2016 Series B-3 Transaction $3.00</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160"/>
              <w:spacing w:after="0"/>
              <w:rPr>
                <w:sz w:val="20"/>
                <w:szCs w:val="20"/>
                <w:color w:val="auto"/>
              </w:rPr>
            </w:pPr>
            <w:r>
              <w:rPr>
                <w:rFonts w:ascii="Arial" w:cs="Arial" w:eastAsia="Arial" w:hAnsi="Arial"/>
                <w:sz w:val="18"/>
                <w:szCs w:val="18"/>
                <w:color w:val="auto"/>
              </w:rPr>
              <w:t>Investor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698,158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20"/>
                <w:szCs w:val="20"/>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22, 2016</w:t>
            </w:r>
          </w:p>
        </w:tc>
        <w:tc>
          <w:tcPr>
            <w:tcW w:w="2120" w:type="dxa"/>
            <w:vAlign w:val="bottom"/>
          </w:tcPr>
          <w:p>
            <w:pPr>
              <w:jc w:val="right"/>
              <w:spacing w:after="0"/>
              <w:rPr>
                <w:sz w:val="20"/>
                <w:szCs w:val="20"/>
                <w:color w:val="auto"/>
              </w:rPr>
            </w:pPr>
            <w:r>
              <w:rPr>
                <w:rFonts w:ascii="Arial" w:cs="Arial" w:eastAsia="Arial" w:hAnsi="Arial"/>
                <w:sz w:val="18"/>
                <w:szCs w:val="18"/>
                <w:color w:val="auto"/>
              </w:rPr>
              <w:t>September 22,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September 29, 2016 Series B-3 Transaction $3.00</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September 29, 2016</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December 22, 2016 Private placement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1,466,204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22, 2016</w:t>
            </w:r>
          </w:p>
        </w:tc>
        <w:tc>
          <w:tcPr>
            <w:tcW w:w="2120" w:type="dxa"/>
            <w:vAlign w:val="bottom"/>
          </w:tcPr>
          <w:p>
            <w:pPr>
              <w:jc w:val="right"/>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23, 2016 Series B-3 Transaction $3.00</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924,780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23, 2016</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December 28, 2016 Private placement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644,468</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December 28, 2016</w:t>
            </w:r>
          </w:p>
        </w:tc>
        <w:tc>
          <w:tcPr>
            <w:tcW w:w="2120" w:type="dxa"/>
            <w:vAlign w:val="bottom"/>
          </w:tcPr>
          <w:p>
            <w:pPr>
              <w:jc w:val="right"/>
              <w:spacing w:after="0"/>
              <w:rPr>
                <w:sz w:val="20"/>
                <w:szCs w:val="20"/>
                <w:color w:val="auto"/>
              </w:rPr>
            </w:pPr>
            <w:r>
              <w:rPr>
                <w:rFonts w:ascii="Arial" w:cs="Arial" w:eastAsia="Arial" w:hAnsi="Arial"/>
                <w:sz w:val="18"/>
                <w:szCs w:val="18"/>
                <w:color w:val="auto"/>
              </w:rPr>
              <w:t>December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2017 Private placement warrants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February 27, 2017</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27,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2018 and 2017 Warrants issued for services</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9"/>
              </w:rPr>
              <w:t>Various dates in 2018 and</w:t>
            </w:r>
          </w:p>
        </w:tc>
        <w:tc>
          <w:tcPr>
            <w:tcW w:w="2120" w:type="dxa"/>
            <w:vAlign w:val="bottom"/>
          </w:tcPr>
          <w:p>
            <w:pPr>
              <w:jc w:val="right"/>
              <w:spacing w:after="0" w:line="201" w:lineRule="exact"/>
              <w:rPr>
                <w:sz w:val="20"/>
                <w:szCs w:val="20"/>
                <w:color w:val="auto"/>
              </w:rPr>
            </w:pPr>
            <w:r>
              <w:rPr>
                <w:rFonts w:ascii="Arial" w:cs="Arial" w:eastAsia="Arial" w:hAnsi="Arial"/>
                <w:sz w:val="18"/>
                <w:szCs w:val="18"/>
                <w:color w:val="auto"/>
              </w:rPr>
              <w:t>Various dates in 2025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19, 2017 Line of credit warrants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19, 2017</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19,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Total outstanding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10,647,026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Offering Warrants</w:t>
      </w:r>
    </w:p>
    <w:p>
      <w:pPr>
        <w:spacing w:after="0" w:line="117" w:lineRule="exact"/>
        <w:rPr>
          <w:sz w:val="20"/>
          <w:szCs w:val="20"/>
          <w:color w:val="auto"/>
        </w:rPr>
      </w:pPr>
    </w:p>
    <w:p>
      <w:pPr>
        <w:jc w:val="both"/>
        <w:ind w:left="640" w:right="320"/>
        <w:spacing w:after="0" w:line="288" w:lineRule="auto"/>
        <w:rPr>
          <w:sz w:val="20"/>
          <w:szCs w:val="20"/>
          <w:color w:val="auto"/>
        </w:rPr>
      </w:pPr>
      <w:r>
        <w:rPr>
          <w:rFonts w:ascii="Arial" w:cs="Arial" w:eastAsia="Arial" w:hAnsi="Arial"/>
          <w:sz w:val="16"/>
          <w:szCs w:val="16"/>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w:t>
      </w:r>
    </w:p>
    <w:p>
      <w:pPr>
        <w:ind w:left="640"/>
        <w:spacing w:after="0" w:line="254" w:lineRule="auto"/>
        <w:rPr>
          <w:sz w:val="20"/>
          <w:szCs w:val="20"/>
          <w:color w:val="auto"/>
        </w:rPr>
      </w:pPr>
      <w:r>
        <w:rPr>
          <w:rFonts w:ascii="Arial" w:cs="Arial" w:eastAsia="Arial" w:hAnsi="Arial"/>
          <w:sz w:val="18"/>
          <w:szCs w:val="18"/>
          <w:color w:val="auto"/>
        </w:rPr>
        <w:t>5 years, a volatility of 119% and a risk-free interest rate of 1.05%.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 The remaining balance of 1,317,161 of these warrants expired on March 28, 2017.</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117" w:lineRule="exact"/>
        <w:rPr>
          <w:sz w:val="20"/>
          <w:szCs w:val="20"/>
          <w:color w:val="auto"/>
        </w:rPr>
      </w:pPr>
    </w:p>
    <w:p>
      <w:pPr>
        <w:ind w:left="640" w:right="240"/>
        <w:spacing w:after="0" w:line="293" w:lineRule="auto"/>
        <w:rPr>
          <w:sz w:val="20"/>
          <w:szCs w:val="20"/>
          <w:color w:val="auto"/>
        </w:rPr>
      </w:pPr>
      <w:r>
        <w:rPr>
          <w:rFonts w:ascii="Arial" w:cs="Arial" w:eastAsia="Arial" w:hAnsi="Arial"/>
          <w:sz w:val="16"/>
          <w:szCs w:val="16"/>
          <w:color w:val="auto"/>
        </w:rPr>
        <w:t>At December 31, 2018, the Company has a stock-based compensation plan where the Company’s common stock has been made available for equity-based incentive grants as part of the Company’s compensation programs. In February 2009, the Company adopted the 2009 Incentive Compensation Plan (the “2009 Plan”) which originally provided for the issuance of up to 3,333,334, which was subsequently increased to 4,733,334 in May 2014, to 5,733,334 in December 2017, and to 6,733,334 in May 2018 shares of the Company’s common stock in the form of options, stock appreciation rights, restricted stock and other stock-based awards to employees, officers, directors, consultants and other eligible persons. At December 31, 2018, 889,920 shares were available for future grant under the 2009 Plan.</w:t>
      </w:r>
    </w:p>
    <w:p>
      <w:pPr>
        <w:spacing w:after="0" w:line="57" w:lineRule="exact"/>
        <w:rPr>
          <w:sz w:val="20"/>
          <w:szCs w:val="20"/>
          <w:color w:val="auto"/>
        </w:rPr>
      </w:pPr>
    </w:p>
    <w:p>
      <w:pPr>
        <w:ind w:left="640" w:right="180"/>
        <w:spacing w:after="0" w:line="264"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2018, 500,000 non-plan grants were outstanding.</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67"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Year Ended</w:t>
      </w:r>
    </w:p>
    <w:p>
      <w:pPr>
        <w:jc w:val="center"/>
        <w:ind w:left="67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1,101</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The fair value of the options granted is determined using the Black-Scholes option-pricing model. The following weighted average assumptions were used:</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5.7 years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5.5 years</w:t>
            </w: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left="640"/>
        <w:spacing w:after="0" w:line="290" w:lineRule="auto"/>
        <w:rPr>
          <w:sz w:val="20"/>
          <w:szCs w:val="20"/>
          <w:color w:val="auto"/>
        </w:rPr>
      </w:pPr>
      <w:r>
        <w:rPr>
          <w:rFonts w:ascii="Arial" w:cs="Arial" w:eastAsia="Arial" w:hAnsi="Arial"/>
          <w:sz w:val="16"/>
          <w:szCs w:val="16"/>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2018, the Company does not anticipate any option awards will be forfeited in the calculation of compensation expense due to the limited number of employees that receive stock option grants and the Company’s historical employee turnover.</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80"/>
          </w:cols>
          <w:pgMar w:left="24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stock option activity in the stock-based compensation plans:</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vMerge w:val="restart"/>
          </w:tcPr>
          <w:p>
            <w:pPr>
              <w:jc w:val="center"/>
              <w:ind w:left="196"/>
              <w:spacing w:after="0"/>
              <w:rPr>
                <w:sz w:val="20"/>
                <w:szCs w:val="20"/>
                <w:color w:val="auto"/>
              </w:rPr>
            </w:pPr>
            <w:r>
              <w:rPr>
                <w:rFonts w:ascii="Arial" w:cs="Arial" w:eastAsia="Arial" w:hAnsi="Arial"/>
                <w:sz w:val="14"/>
                <w:szCs w:val="14"/>
                <w:b w:val="1"/>
                <w:bCs w:val="1"/>
                <w:color w:val="auto"/>
                <w:w w:val="91"/>
              </w:rPr>
              <w:t>Weighted</w:t>
            </w: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gridSpan w:val="2"/>
          </w:tcPr>
          <w:p>
            <w:pPr>
              <w:jc w:val="center"/>
              <w:ind w:left="539"/>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6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160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6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640" w:type="dxa"/>
            <w:vAlign w:val="bottom"/>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Outstanding,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4,656,888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center"/>
              <w:ind w:left="72"/>
              <w:spacing w:after="0"/>
              <w:rPr>
                <w:sz w:val="20"/>
                <w:szCs w:val="20"/>
                <w:color w:val="auto"/>
              </w:rPr>
            </w:pPr>
            <w:r>
              <w:rPr>
                <w:rFonts w:ascii="Arial" w:cs="Arial" w:eastAsia="Arial" w:hAnsi="Arial"/>
                <w:sz w:val="18"/>
                <w:szCs w:val="18"/>
                <w:color w:val="auto"/>
                <w:w w:val="91"/>
              </w:rPr>
              <w:t>4.30</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498,375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2.39</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080"/>
              <w:spacing w:after="0"/>
              <w:rPr>
                <w:sz w:val="20"/>
                <w:szCs w:val="20"/>
                <w:color w:val="auto"/>
              </w:rPr>
            </w:pPr>
            <w:r>
              <w:rPr>
                <w:rFonts w:ascii="Arial" w:cs="Arial" w:eastAsia="Arial" w:hAnsi="Arial"/>
                <w:sz w:val="18"/>
                <w:szCs w:val="18"/>
                <w:color w:val="auto"/>
              </w:rPr>
              <w:t>Exercised</w:t>
            </w: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Outstanding,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5,155,263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92"/>
              <w:spacing w:after="0"/>
              <w:rPr>
                <w:sz w:val="20"/>
                <w:szCs w:val="20"/>
                <w:color w:val="auto"/>
              </w:rPr>
            </w:pPr>
            <w:r>
              <w:rPr>
                <w:rFonts w:ascii="Arial" w:cs="Arial" w:eastAsia="Arial" w:hAnsi="Arial"/>
                <w:sz w:val="18"/>
                <w:szCs w:val="18"/>
                <w:color w:val="auto"/>
                <w:w w:val="85"/>
              </w:rPr>
              <w:t>4.11</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1,011,875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5.01</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(1,354,330)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7.31</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08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(2,098,829)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2.00</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Outstanding,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2,713,979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1"/>
              </w:rPr>
              <w:t>4.67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40"/>
              <w:spacing w:after="0"/>
              <w:rPr>
                <w:sz w:val="20"/>
                <w:szCs w:val="20"/>
                <w:color w:val="auto"/>
              </w:rPr>
            </w:pPr>
            <w:r>
              <w:rPr>
                <w:rFonts w:ascii="Arial" w:cs="Arial" w:eastAsia="Arial" w:hAnsi="Arial"/>
                <w:sz w:val="18"/>
                <w:szCs w:val="18"/>
                <w:color w:val="auto"/>
              </w:rPr>
              <w:t>Exercisable, December 31, 2018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8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2,659,114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center"/>
              <w:ind w:left="72"/>
              <w:spacing w:after="0"/>
              <w:rPr>
                <w:sz w:val="20"/>
                <w:szCs w:val="20"/>
                <w:color w:val="auto"/>
              </w:rPr>
            </w:pPr>
            <w:r>
              <w:rPr>
                <w:rFonts w:ascii="Arial" w:cs="Arial" w:eastAsia="Arial" w:hAnsi="Arial"/>
                <w:sz w:val="18"/>
                <w:szCs w:val="18"/>
                <w:color w:val="auto"/>
                <w:w w:val="91"/>
              </w:rPr>
              <w:t>4.69</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2018, based on the closing price of the Company’s common stock of $3.43 on that date.</w:t>
      </w:r>
    </w:p>
    <w:p>
      <w:pPr>
        <w:spacing w:after="0" w:line="73"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The weighted-average grant-date fair values of options granted during 2018 and 2017 were $3.98 and $1.88, respectively. As of December 31, 2018 and 2017, there were unvested options to purchase 54,865 and 628,584 shares of common stock, respectively. Total expected unrecognized compensation cost related to such unvested options is $83,000 at December 31, 2018, which is expected to be recognized over a weighted-average period of 0.41 years.</w:t>
      </w:r>
    </w:p>
    <w:p>
      <w:pPr>
        <w:spacing w:after="0" w:line="79"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aggregate intrinsic value of stock options exercised for the year ended December 31, 2018 was $11,076,199. There were no options exercised during the year ended December 31, 2017.</w:t>
      </w:r>
    </w:p>
    <w:p>
      <w:pPr>
        <w:spacing w:after="0" w:line="62" w:lineRule="exact"/>
        <w:rPr>
          <w:sz w:val="20"/>
          <w:szCs w:val="20"/>
          <w:color w:val="auto"/>
        </w:rPr>
      </w:pPr>
    </w:p>
    <w:p>
      <w:pPr>
        <w:ind w:left="640" w:right="20"/>
        <w:spacing w:after="0" w:line="308" w:lineRule="auto"/>
        <w:rPr>
          <w:sz w:val="20"/>
          <w:szCs w:val="20"/>
          <w:color w:val="auto"/>
        </w:rPr>
      </w:pPr>
      <w:r>
        <w:rPr>
          <w:rFonts w:ascii="Arial" w:cs="Arial" w:eastAsia="Arial" w:hAnsi="Arial"/>
          <w:sz w:val="17"/>
          <w:szCs w:val="17"/>
          <w:color w:val="auto"/>
        </w:rPr>
        <w:t>During the years ended December 31, 2018 and 2017, 1,409,804 and 1,142,441 options became vested, respectively. The total grant date fair value of options vested during the years ended December 31, 2018 and 2017 was $4,519,000 and $1,066,000, respectively.</w:t>
      </w:r>
    </w:p>
    <w:p>
      <w:pPr>
        <w:spacing w:after="0" w:line="38"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The following table summarizes additional information regarding outstanding and exercisable options under our stock-based compensation plans at December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Weighted</w:t>
            </w:r>
          </w:p>
        </w:tc>
        <w:tc>
          <w:tcPr>
            <w:tcW w:w="118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spacing w:after="0"/>
              <w:rPr>
                <w:sz w:val="10"/>
                <w:szCs w:val="10"/>
                <w:color w:val="auto"/>
              </w:rPr>
            </w:pPr>
          </w:p>
        </w:tc>
        <w:tc>
          <w:tcPr>
            <w:tcW w:w="1100" w:type="dxa"/>
            <w:vAlign w:val="bottom"/>
            <w:gridSpan w:val="4"/>
            <w:vMerge w:val="restart"/>
          </w:tcPr>
          <w:p>
            <w:pPr>
              <w:jc w:val="center"/>
              <w:ind w:left="27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4"/>
            <w:vMerge w:val="continue"/>
          </w:tcPr>
          <w:p>
            <w:pPr>
              <w:spacing w:after="0"/>
              <w:rPr>
                <w:sz w:val="12"/>
                <w:szCs w:val="12"/>
                <w:color w:val="auto"/>
              </w:rPr>
            </w:pPr>
          </w:p>
        </w:tc>
        <w:tc>
          <w:tcPr>
            <w:tcW w:w="78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Exercise</w:t>
            </w:r>
          </w:p>
        </w:tc>
        <w:tc>
          <w:tcPr>
            <w:tcW w:w="25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4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440" w:type="dxa"/>
            <w:vAlign w:val="bottom"/>
          </w:tcPr>
          <w:p>
            <w:pPr>
              <w:spacing w:after="0"/>
              <w:rPr>
                <w:sz w:val="12"/>
                <w:szCs w:val="12"/>
                <w:color w:val="auto"/>
              </w:rPr>
            </w:pPr>
          </w:p>
        </w:tc>
        <w:tc>
          <w:tcPr>
            <w:tcW w:w="6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3160" w:type="dxa"/>
            <w:vAlign w:val="bottom"/>
            <w:gridSpan w:val="4"/>
            <w:vMerge w:val="continue"/>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500" w:type="dxa"/>
            <w:vAlign w:val="bottom"/>
            <w:gridSpan w:val="3"/>
          </w:tcPr>
          <w:p>
            <w:pPr>
              <w:jc w:val="right"/>
              <w:ind w:right="320"/>
              <w:spacing w:after="0" w:line="145"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040" w:type="dxa"/>
            <w:vAlign w:val="bottom"/>
            <w:gridSpan w:val="3"/>
          </w:tcPr>
          <w:p>
            <w:pPr>
              <w:jc w:val="center"/>
              <w:ind w:right="440"/>
              <w:spacing w:after="0" w:line="145" w:lineRule="exact"/>
              <w:rPr>
                <w:sz w:val="20"/>
                <w:szCs w:val="20"/>
                <w:color w:val="auto"/>
              </w:rPr>
            </w:pPr>
            <w:r>
              <w:rPr>
                <w:rFonts w:ascii="Arial" w:cs="Arial" w:eastAsia="Arial" w:hAnsi="Arial"/>
                <w:sz w:val="14"/>
                <w:szCs w:val="14"/>
                <w:b w:val="1"/>
                <w:bCs w:val="1"/>
                <w:color w:val="auto"/>
                <w:w w:val="90"/>
              </w:rPr>
              <w:t>Exercise</w:t>
            </w:r>
          </w:p>
        </w:tc>
        <w:tc>
          <w:tcPr>
            <w:tcW w:w="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9"/>
        </w:trPr>
        <w:tc>
          <w:tcPr>
            <w:tcW w:w="3160" w:type="dxa"/>
            <w:vAlign w:val="bottom"/>
            <w:gridSpan w:val="4"/>
          </w:tcPr>
          <w:p>
            <w:pPr>
              <w:spacing w:after="0"/>
              <w:rPr>
                <w:sz w:val="20"/>
                <w:szCs w:val="20"/>
                <w:color w:val="auto"/>
              </w:rPr>
            </w:pPr>
            <w:r>
              <w:rPr>
                <w:rFonts w:ascii="Arial" w:cs="Arial" w:eastAsia="Arial" w:hAnsi="Arial"/>
                <w:sz w:val="14"/>
                <w:szCs w:val="14"/>
                <w:b w:val="1"/>
                <w:bCs w:val="1"/>
                <w:color w:val="auto"/>
              </w:rPr>
              <w:t>Price (Range)</w:t>
            </w:r>
          </w:p>
        </w:tc>
        <w:tc>
          <w:tcPr>
            <w:tcW w:w="2540" w:type="dxa"/>
            <w:vAlign w:val="bottom"/>
          </w:tcPr>
          <w:p>
            <w:pPr>
              <w:spacing w:after="0"/>
              <w:rPr>
                <w:sz w:val="14"/>
                <w:szCs w:val="14"/>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$0.87 – 1.00</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$1.01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 3.00</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854,137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2.34</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851,147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$3.01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558,392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506,517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$5.01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 8.00</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886,950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886,950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$8.01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13.38</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2,713,979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4.67</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2,659,114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320" w:type="dxa"/>
            <w:vAlign w:val="bottom"/>
            <w:gridSpan w:val="2"/>
          </w:tcPr>
          <w:p>
            <w:pPr>
              <w:jc w:val="right"/>
              <w:ind w:right="722"/>
              <w:spacing w:after="0"/>
              <w:rPr>
                <w:sz w:val="20"/>
                <w:szCs w:val="20"/>
                <w:color w:val="auto"/>
              </w:rPr>
            </w:pPr>
            <w:r>
              <w:rPr>
                <w:rFonts w:ascii="Arial" w:cs="Arial" w:eastAsia="Arial" w:hAnsi="Arial"/>
                <w:sz w:val="18"/>
                <w:szCs w:val="18"/>
                <w:color w:val="auto"/>
              </w:rPr>
              <w:t>F-21</w:t>
            </w: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Restricted Stock Issuances</w:t>
      </w:r>
    </w:p>
    <w:p>
      <w:pPr>
        <w:spacing w:after="0" w:line="117" w:lineRule="exact"/>
        <w:rPr>
          <w:sz w:val="20"/>
          <w:szCs w:val="20"/>
          <w:color w:val="auto"/>
        </w:rPr>
      </w:pPr>
    </w:p>
    <w:p>
      <w:pPr>
        <w:ind w:left="640" w:right="200"/>
        <w:spacing w:after="0" w:line="342" w:lineRule="auto"/>
        <w:rPr>
          <w:sz w:val="20"/>
          <w:szCs w:val="20"/>
          <w:color w:val="auto"/>
        </w:rPr>
      </w:pPr>
      <w:r>
        <w:rPr>
          <w:rFonts w:ascii="Arial" w:cs="Arial" w:eastAsia="Arial" w:hAnsi="Arial"/>
          <w:sz w:val="16"/>
          <w:szCs w:val="16"/>
          <w:color w:val="auto"/>
        </w:rPr>
        <w:t>In December 2017, two directors elected to take restricted stock grants in lieu of cash retainers for 2018. A total of 37,657 shares of restricted stock valued at approximately $90,000 was amortized to expense on a straight-line basis until December 14, 2018 when the stock vested in full.</w:t>
      </w:r>
    </w:p>
    <w:p>
      <w:pPr>
        <w:spacing w:after="0" w:line="268" w:lineRule="exact"/>
        <w:rPr>
          <w:sz w:val="20"/>
          <w:szCs w:val="20"/>
          <w:color w:val="auto"/>
        </w:rPr>
      </w:pPr>
    </w:p>
    <w:p>
      <w:pPr>
        <w:ind w:left="640" w:hanging="436"/>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64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December 19, 2017, the Company entered into a $10 million Line of Credit arrangement with Richard E. Uihlein, a director and shareholder who has an approximate 7% ownership interest in the Company on a fully-diluted basis at December 31, 2017. Originally, borrowings may be made by the Company through December 31, 2018. Borrowings bear interest at the Applicable Federal Rate for short term loans published by the Internal Revenue Service (2.7% in January 2019).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There were no borrowings under the Line of Credit during the year ended December 31, 2018 or 2017.</w:t>
      </w:r>
    </w:p>
    <w:p>
      <w:pPr>
        <w:spacing w:after="0" w:line="59"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13),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80" w:lineRule="exact"/>
        <w:rPr>
          <w:rFonts w:ascii="Arial" w:cs="Arial" w:eastAsia="Arial" w:hAnsi="Arial"/>
          <w:sz w:val="18"/>
          <w:szCs w:val="18"/>
          <w:b w:val="1"/>
          <w:bCs w:val="1"/>
          <w:color w:val="auto"/>
        </w:rPr>
      </w:pPr>
    </w:p>
    <w:p>
      <w:pPr>
        <w:ind w:left="64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December 20, 2018 was adjusted to be recorded as expense on a straight-line basis through December 31, 2020. Amortization for the year ended December 31, 2018 and 2017 of $336,000 and $12,000,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336" w:lineRule="exact"/>
        <w:rPr>
          <w:rFonts w:ascii="Arial" w:cs="Arial" w:eastAsia="Arial" w:hAnsi="Arial"/>
          <w:sz w:val="18"/>
          <w:szCs w:val="18"/>
          <w:b w:val="1"/>
          <w:bCs w:val="1"/>
          <w:color w:val="auto"/>
        </w:rPr>
      </w:pPr>
    </w:p>
    <w:p>
      <w:pPr>
        <w:ind w:left="640" w:hanging="436"/>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64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loss per share does not assume the issuance of common shares that have an anti-dilutive effect on net loss per share.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80" w:type="dxa"/>
            <w:vAlign w:val="bottom"/>
            <w:tcBorders>
              <w:top w:val="single" w:sz="8" w:color="auto"/>
            </w:tcBorders>
            <w:gridSpan w:val="5"/>
          </w:tcPr>
          <w:p>
            <w:pPr>
              <w:jc w:val="center"/>
              <w:ind w:right="33"/>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per share amounts)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(13,900)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loss applicable to common stockholders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(15,047)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(17,467)</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used in computing basic and diluted net loss per share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jc w:val="center"/>
        <w:ind w:left="57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20" w:type="dxa"/>
            <w:vAlign w:val="bottom"/>
            <w:tcBorders>
              <w:top w:val="single" w:sz="8" w:color="auto"/>
            </w:tcBorders>
          </w:tcPr>
          <w:p>
            <w:pPr>
              <w:jc w:val="right"/>
              <w:ind w:right="277"/>
              <w:spacing w:after="0" w:line="119" w:lineRule="exact"/>
              <w:rPr>
                <w:sz w:val="20"/>
                <w:szCs w:val="20"/>
                <w:color w:val="auto"/>
              </w:rPr>
            </w:pPr>
            <w:r>
              <w:rPr>
                <w:rFonts w:ascii="Arial" w:cs="Arial" w:eastAsia="Arial" w:hAnsi="Arial"/>
                <w:sz w:val="13"/>
                <w:szCs w:val="13"/>
                <w:b w:val="1"/>
                <w:bCs w:val="1"/>
                <w:color w:val="auto"/>
              </w:rPr>
              <w:t>2018</w:t>
            </w:r>
          </w:p>
        </w:tc>
        <w:tc>
          <w:tcPr>
            <w:tcW w:w="1440" w:type="dxa"/>
            <w:vAlign w:val="bottom"/>
            <w:tcBorders>
              <w:top w:val="single" w:sz="8" w:color="auto"/>
            </w:tcBorders>
            <w:gridSpan w:val="2"/>
          </w:tcPr>
          <w:p>
            <w:pPr>
              <w:jc w:val="right"/>
              <w:ind w:right="296"/>
              <w:spacing w:after="0" w:line="119"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020" w:type="dxa"/>
            <w:vAlign w:val="bottom"/>
          </w:tcPr>
          <w:p>
            <w:pPr>
              <w:jc w:val="right"/>
              <w:ind w:right="177"/>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4"/>
                <w:szCs w:val="14"/>
                <w:color w:val="auto"/>
              </w:rPr>
            </w:pP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r>
      <w:tr>
        <w:trPr>
          <w:trHeight w:val="210"/>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10,647,026</w:t>
            </w: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13,229,778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2,713,979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5,155,263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4,303,948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4,312,282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17,664,953</w:t>
            </w:r>
          </w:p>
        </w:tc>
        <w:tc>
          <w:tcPr>
            <w:tcW w:w="38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22,697,323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640" w:right="20"/>
        <w:spacing w:after="0" w:line="302" w:lineRule="auto"/>
        <w:rPr>
          <w:sz w:val="20"/>
          <w:szCs w:val="20"/>
          <w:color w:val="auto"/>
        </w:rPr>
      </w:pPr>
      <w:r>
        <w:rPr>
          <w:rFonts w:ascii="Arial" w:cs="Arial" w:eastAsia="Arial" w:hAnsi="Arial"/>
          <w:sz w:val="16"/>
          <w:szCs w:val="16"/>
          <w:color w:val="auto"/>
        </w:rPr>
        <w:t>Effective December 31, 2018, the Company entered into an amendment to its operating lease for office space in Norcross, GA for a term of thirty-eight months, beginning on January 1, 2019 and ending February 28, 2022 at a rate of approximately $3,800 per month.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46" w:lineRule="exact"/>
        <w:rPr>
          <w:sz w:val="20"/>
          <w:szCs w:val="20"/>
          <w:color w:val="auto"/>
        </w:rPr>
      </w:pPr>
    </w:p>
    <w:p>
      <w:pPr>
        <w:ind w:left="640" w:right="720"/>
        <w:spacing w:after="0" w:line="277" w:lineRule="auto"/>
        <w:rPr>
          <w:sz w:val="20"/>
          <w:szCs w:val="20"/>
          <w:color w:val="auto"/>
        </w:rPr>
      </w:pPr>
      <w:r>
        <w:rPr>
          <w:rFonts w:ascii="Arial" w:cs="Arial" w:eastAsia="Arial" w:hAnsi="Arial"/>
          <w:sz w:val="18"/>
          <w:szCs w:val="18"/>
          <w:color w:val="auto"/>
        </w:rPr>
        <w:t>Rent expense under this operating lease was $55,000 and $49,000 for the years ended December 31, 2018 and 2017, respectively. Future minimum payments under this lease as of December 31, 2018 are as follows (in thousands):</w:t>
      </w:r>
    </w:p>
    <w:p>
      <w:pPr>
        <w:spacing w:after="0" w:line="18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1560" w:type="dxa"/>
            <w:vAlign w:val="bottom"/>
            <w:gridSpan w:val="2"/>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2020</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2022</w:t>
            </w:r>
          </w:p>
        </w:tc>
        <w:tc>
          <w:tcPr>
            <w:tcW w:w="55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920" w:type="dxa"/>
            <w:vAlign w:val="bottom"/>
            <w:gridSpan w:val="3"/>
          </w:tcPr>
          <w:p>
            <w:pPr>
              <w:ind w:left="2000"/>
              <w:spacing w:after="0"/>
              <w:rPr>
                <w:sz w:val="20"/>
                <w:szCs w:val="20"/>
                <w:color w:val="auto"/>
              </w:rPr>
            </w:pPr>
            <w:r>
              <w:rPr>
                <w:rFonts w:ascii="Arial" w:cs="Arial" w:eastAsia="Arial" w:hAnsi="Arial"/>
                <w:sz w:val="18"/>
                <w:szCs w:val="18"/>
                <w:color w:val="auto"/>
              </w:rPr>
              <w:t>F-23</w:t>
            </w:r>
          </w:p>
        </w:tc>
      </w:tr>
    </w:tbl>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other pending legal proceedings except as noted above.</w:t>
      </w:r>
    </w:p>
    <w:p>
      <w:pPr>
        <w:spacing w:after="0" w:line="315"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rFonts w:ascii="Arial" w:cs="Arial" w:eastAsia="Arial" w:hAnsi="Arial"/>
          <w:sz w:val="18"/>
          <w:szCs w:val="18"/>
          <w:b w:val="1"/>
          <w:bCs w:val="1"/>
          <w:color w:val="auto"/>
        </w:rPr>
      </w:pPr>
    </w:p>
    <w:p>
      <w:pPr>
        <w:ind w:left="64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The Company contributed $164,000, $201,000, $659,000 and $687,000 for the LLC expenses (recorded in research and development expenses) in 2018, 2017, 2016 and 2015, respectively, and SBH contributed $73,000 and $50,000 in 2017 and 2016, respectively. As of December 31, 2018, the Company’s ownership percentage in the LLC was 80.8%.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333" w:lineRule="exact"/>
        <w:rPr>
          <w:rFonts w:ascii="Arial" w:cs="Arial" w:eastAsia="Arial" w:hAnsi="Arial"/>
          <w:sz w:val="18"/>
          <w:szCs w:val="18"/>
          <w:b w:val="1"/>
          <w:bCs w:val="1"/>
          <w:color w:val="auto"/>
        </w:rPr>
      </w:pPr>
    </w:p>
    <w:p>
      <w:pPr>
        <w:ind w:left="640" w:hanging="43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(2017 Tax Act) was enacted. The 2017 Tax Act includes a number of changes to existing U.S. tax laws that impact the Company, most notably a reduction of the U.S. corporate tax rate from 34% to 21%, for tax years beginning after December 31, 2017. The 2017 Tax Act also provides for the implementation of a territorial tax system, a one-time transition tax on certain foreign earnings, the acceleration of depreciation for certain assets placed into service after September 27, 2017 and other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56" w:lineRule="exact"/>
        <w:rPr>
          <w:rFonts w:ascii="Arial" w:cs="Arial" w:eastAsia="Arial" w:hAnsi="Arial"/>
          <w:sz w:val="18"/>
          <w:szCs w:val="18"/>
          <w:b w:val="1"/>
          <w:bCs w:val="1"/>
          <w:color w:val="auto"/>
        </w:rPr>
      </w:pPr>
    </w:p>
    <w:p>
      <w:pPr>
        <w:ind w:left="64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SEC Staff Accounting Bulletin No. 118, Income Tax Accounting Implications of the Tax Cuts and Jobs Act, the Company has calculated as final its re-measurement of deferred taxes and has no uncertain tax positions. This includes a provisional amount related to the re-measurement of deferred tax assets based on the rates at which they are expected to reverse in the future, which is generally 21% plus the applicable state tax rate, with a corresponding change to the valuation allowance as of December 31, 2017. No further adjustments were recorded in the year ended December 31, 2018.</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36,417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34,173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4,678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42,290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39,432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w w:val="89"/>
              </w:rPr>
              <w:t>(42,290)</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(39,432)</w:t>
            </w:r>
          </w:p>
        </w:tc>
        <w:tc>
          <w:tcPr>
            <w:tcW w:w="0" w:type="dxa"/>
            <w:vAlign w:val="bottom"/>
          </w:tcPr>
          <w:p>
            <w:pPr>
              <w:spacing w:after="0"/>
              <w:rPr>
                <w:sz w:val="1"/>
                <w:szCs w:val="1"/>
                <w:color w:val="auto"/>
              </w:rPr>
            </w:pPr>
          </w:p>
        </w:tc>
      </w:tr>
      <w:tr>
        <w:trPr>
          <w:trHeight w:val="223"/>
        </w:trPr>
        <w:tc>
          <w:tcPr>
            <w:tcW w:w="6440" w:type="dxa"/>
            <w:vAlign w:val="bottom"/>
            <w:gridSpan w:val="2"/>
          </w:tcPr>
          <w:p>
            <w:pPr>
              <w:ind w:left="880"/>
              <w:spacing w:after="0"/>
              <w:rPr>
                <w:sz w:val="20"/>
                <w:szCs w:val="20"/>
                <w:color w:val="auto"/>
              </w:rPr>
            </w:pPr>
            <w:r>
              <w:rPr>
                <w:rFonts w:ascii="Arial" w:cs="Arial" w:eastAsia="Arial" w:hAnsi="Arial"/>
                <w:sz w:val="18"/>
                <w:szCs w:val="18"/>
                <w:color w:val="auto"/>
              </w:rPr>
              <w:t>Net deferred tax asset</w:t>
            </w:r>
          </w:p>
        </w:tc>
        <w:tc>
          <w:tcPr>
            <w:tcW w:w="7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55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statutory rates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State tax benefit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22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Impact of the 2017 Tax Act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Expiring state NOL’s</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20.6%</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(72.1%)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70" w:lineRule="auto"/>
        <w:rPr>
          <w:sz w:val="20"/>
          <w:szCs w:val="20"/>
          <w:color w:val="auto"/>
        </w:rPr>
      </w:pPr>
      <w:r>
        <w:rPr>
          <w:rFonts w:ascii="Arial" w:cs="Arial" w:eastAsia="Arial" w:hAnsi="Arial"/>
          <w:sz w:val="17"/>
          <w:szCs w:val="17"/>
          <w:color w:val="auto"/>
        </w:rPr>
        <w:t>As of December 31, 2018, the Company has federal and state net operating loss carryforwards totaling $8,924,000 which will never expire as a result of the 2017 Tax Act. As of December 31, 2018, the Company has federal and state net operating loss carryforwards totaling $136,202,000 and $103,172,000 respectively, which expire through 2037. The net operating losses include Federal and State excess benefits related to stock options of $2,121,000 that will be charged to additional paid-in capital when utilized. In addition, the Company has federal and state research and development credits of $1,263,000 and $216,000, respectively, which expire through 2034.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74"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2018 and 2017, the Company does not have any significant uncertain tax positions.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color w:val="auto"/>
        </w:rPr>
        <w:t>On January 11, 2019, 10X Fund L.P., converted all of its Series B Convertible Preferred Stock into Common Stock of Galectin Therapeutics. Pursuant to the terms of the conversion, as of January 11, 2019, 10X Fund L.P.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63"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spacing w:after="0" w:line="312" w:lineRule="auto"/>
        <w:rPr>
          <w:sz w:val="20"/>
          <w:szCs w:val="20"/>
          <w:color w:val="auto"/>
        </w:rPr>
      </w:pPr>
      <w:r>
        <w:rPr>
          <w:rFonts w:ascii="Arial" w:cs="Arial" w:eastAsia="Arial" w:hAnsi="Arial"/>
          <w:sz w:val="16"/>
          <w:szCs w:val="16"/>
          <w:color w:val="auto"/>
        </w:rPr>
        <w:t>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39"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60"/>
          </w:cols>
          <w:pgMar w:left="240" w:top="459" w:right="59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INCENTIVE COMPENSATION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GALECTIN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2009 INCENTIVE COMPENSATION PLAN</w:t>
      </w:r>
    </w:p>
    <w:p>
      <w:pPr>
        <w:spacing w:after="0" w:line="229" w:lineRule="exact"/>
        <w:rPr>
          <w:sz w:val="20"/>
          <w:szCs w:val="20"/>
          <w:color w:val="auto"/>
        </w:rPr>
      </w:pPr>
    </w:p>
    <w:p>
      <w:pPr>
        <w:ind w:right="60" w:firstLine="444"/>
        <w:spacing w:after="0" w:line="273" w:lineRule="auto"/>
        <w:tabs>
          <w:tab w:leader="none" w:pos="621"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GALECTIN THERAPEUTICS, INC. AMENDED AND RESTATED 2009 INCENTIVE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(the “Plan”) is to assist Galectin Therapeutics, Inc., a Nevada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annual and long term performance incentives to expend their maximum efforts in the creation of shareholder value.</w:t>
      </w:r>
    </w:p>
    <w:p>
      <w:pPr>
        <w:spacing w:after="0" w:line="70" w:lineRule="exact"/>
        <w:rPr>
          <w:rFonts w:ascii="Arial" w:cs="Arial" w:eastAsia="Arial" w:hAnsi="Arial"/>
          <w:sz w:val="17"/>
          <w:szCs w:val="17"/>
          <w:color w:val="auto"/>
        </w:rPr>
      </w:pPr>
    </w:p>
    <w:p>
      <w:pPr>
        <w:ind w:right="360" w:firstLine="444"/>
        <w:spacing w:after="0" w:line="277" w:lineRule="auto"/>
        <w:tabs>
          <w:tab w:leader="none" w:pos="621"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 Section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hereof and elsewhere herein.</w:t>
      </w:r>
    </w:p>
    <w:p>
      <w:pPr>
        <w:spacing w:after="0" w:line="62" w:lineRule="exact"/>
        <w:rPr>
          <w:rFonts w:ascii="Arial" w:cs="Arial" w:eastAsia="Arial" w:hAnsi="Arial"/>
          <w:sz w:val="18"/>
          <w:szCs w:val="18"/>
          <w:color w:val="auto"/>
        </w:rPr>
      </w:pPr>
    </w:p>
    <w:p>
      <w:pPr>
        <w:ind w:right="220" w:firstLine="885"/>
        <w:spacing w:after="0" w:line="264" w:lineRule="auto"/>
        <w:tabs>
          <w:tab w:leader="none" w:pos="1126"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73" w:lineRule="exact"/>
        <w:rPr>
          <w:rFonts w:ascii="Arial" w:cs="Arial" w:eastAsia="Arial" w:hAnsi="Arial"/>
          <w:sz w:val="18"/>
          <w:szCs w:val="18"/>
          <w:color w:val="auto"/>
        </w:rPr>
      </w:pPr>
    </w:p>
    <w:p>
      <w:pPr>
        <w:ind w:right="460" w:firstLine="885"/>
        <w:spacing w:after="0" w:line="277" w:lineRule="auto"/>
        <w:tabs>
          <w:tab w:leader="none" w:pos="11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62" w:lineRule="exact"/>
        <w:rPr>
          <w:rFonts w:ascii="Arial" w:cs="Arial" w:eastAsia="Arial" w:hAnsi="Arial"/>
          <w:sz w:val="18"/>
          <w:szCs w:val="18"/>
          <w:color w:val="auto"/>
        </w:rPr>
      </w:pPr>
    </w:p>
    <w:p>
      <w:pPr>
        <w:ind w:right="100" w:firstLine="885"/>
        <w:spacing w:after="0" w:line="257" w:lineRule="auto"/>
        <w:tabs>
          <w:tab w:leader="none" w:pos="1126"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80" w:lineRule="exact"/>
        <w:rPr>
          <w:rFonts w:ascii="Arial" w:cs="Arial" w:eastAsia="Arial" w:hAnsi="Arial"/>
          <w:sz w:val="18"/>
          <w:szCs w:val="18"/>
          <w:color w:val="auto"/>
        </w:rPr>
      </w:pPr>
    </w:p>
    <w:p>
      <w:pPr>
        <w:ind w:right="160" w:firstLine="885"/>
        <w:spacing w:after="0" w:line="277" w:lineRule="auto"/>
        <w:tabs>
          <w:tab w:leader="none" w:pos="11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and “Beneficial Ownership”</w:t>
      </w:r>
      <w:r>
        <w:rPr>
          <w:rFonts w:ascii="Arial" w:cs="Arial" w:eastAsia="Arial" w:hAnsi="Arial"/>
          <w:sz w:val="18"/>
          <w:szCs w:val="18"/>
          <w:color w:val="auto"/>
        </w:rPr>
        <w:t xml:space="preserve"> shall have the meaning ascribed to such term in Rule 13d-3 under the Exchange Act and any successor to such Rule.</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17" w:lineRule="exact"/>
        <w:rPr>
          <w:rFonts w:ascii="Arial" w:cs="Arial" w:eastAsia="Arial" w:hAnsi="Arial"/>
          <w:sz w:val="18"/>
          <w:szCs w:val="18"/>
          <w:color w:val="auto"/>
        </w:rPr>
      </w:pPr>
    </w:p>
    <w:p>
      <w:pPr>
        <w:ind w:right="60" w:firstLine="885"/>
        <w:spacing w:after="0" w:line="269" w:lineRule="auto"/>
        <w:tabs>
          <w:tab w:leader="none" w:pos="1106" w:val="left"/>
        </w:tabs>
        <w:numPr>
          <w:ilvl w:val="1"/>
          <w:numId w:val="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74" w:lineRule="exact"/>
        <w:rPr>
          <w:rFonts w:ascii="Arial" w:cs="Arial" w:eastAsia="Arial" w:hAnsi="Arial"/>
          <w:sz w:val="17"/>
          <w:szCs w:val="17"/>
          <w:color w:val="auto"/>
        </w:rPr>
      </w:pPr>
    </w:p>
    <w:p>
      <w:pPr>
        <w:ind w:left="1140" w:hanging="255"/>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17" w:lineRule="exact"/>
        <w:rPr>
          <w:rFonts w:ascii="Arial" w:cs="Arial" w:eastAsia="Arial" w:hAnsi="Arial"/>
          <w:sz w:val="18"/>
          <w:szCs w:val="18"/>
          <w:color w:val="auto"/>
        </w:rPr>
      </w:pPr>
    </w:p>
    <w:p>
      <w:pPr>
        <w:ind w:right="560" w:firstLine="885"/>
        <w:spacing w:after="0" w:line="277" w:lineRule="auto"/>
        <w:tabs>
          <w:tab w:leader="none" w:pos="11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ectPr>
          <w:pgSz w:w="11900" w:h="16838" w:orient="portrait"/>
          <w:cols w:equalWidth="0" w:num="1">
            <w:col w:w="11020"/>
          </w:cols>
          <w:pgMar w:left="440" w:top="121" w:right="439" w:bottom="1440" w:gutter="0" w:footer="0" w:header="0"/>
        </w:sectPr>
      </w:pPr>
    </w:p>
    <w:bookmarkStart w:id="101" w:name="page102"/>
    <w:bookmarkEnd w:id="101"/>
    <w:p>
      <w:pPr>
        <w:ind w:left="-885" w:firstLine="885"/>
        <w:spacing w:after="0" w:line="272" w:lineRule="auto"/>
        <w:tabs>
          <w:tab w:leader="none" w:pos="211" w:val="left"/>
        </w:tabs>
        <w:numPr>
          <w:ilvl w:val="0"/>
          <w:numId w:val="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While it is intended that the Committee shall consist of at least two directors, each of whom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the failure of the Committee to be so comprised shall not invalidate any Award that otherwise satisfies the terms of the Plan.</w:t>
      </w:r>
    </w:p>
    <w:p>
      <w:pPr>
        <w:spacing w:after="0" w:line="69" w:lineRule="exact"/>
        <w:rPr>
          <w:rFonts w:ascii="Arial" w:cs="Arial" w:eastAsia="Arial" w:hAnsi="Arial"/>
          <w:sz w:val="17"/>
          <w:szCs w:val="17"/>
          <w:color w:val="auto"/>
        </w:rPr>
      </w:pPr>
    </w:p>
    <w:p>
      <w:pPr>
        <w:ind w:left="-885" w:right="120" w:firstLine="885"/>
        <w:spacing w:after="0" w:line="264" w:lineRule="auto"/>
        <w:tabs>
          <w:tab w:leader="none" w:pos="2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3" w:lineRule="exact"/>
        <w:rPr>
          <w:rFonts w:ascii="Arial" w:cs="Arial" w:eastAsia="Arial" w:hAnsi="Arial"/>
          <w:sz w:val="18"/>
          <w:szCs w:val="18"/>
          <w:color w:val="auto"/>
        </w:rPr>
      </w:pPr>
    </w:p>
    <w:p>
      <w:pPr>
        <w:ind w:left="-885" w:right="20" w:firstLine="885"/>
        <w:spacing w:after="0" w:line="273" w:lineRule="auto"/>
        <w:tabs>
          <w:tab w:leader="none" w:pos="251" w:val="left"/>
        </w:tabs>
        <w:numPr>
          <w:ilvl w:val="0"/>
          <w:numId w:val="5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70" w:lineRule="exact"/>
        <w:rPr>
          <w:rFonts w:ascii="Arial" w:cs="Arial" w:eastAsia="Arial" w:hAnsi="Arial"/>
          <w:sz w:val="17"/>
          <w:szCs w:val="17"/>
          <w:color w:val="auto"/>
        </w:rPr>
      </w:pPr>
    </w:p>
    <w:p>
      <w:pPr>
        <w:ind w:left="-885" w:right="60" w:firstLine="885"/>
        <w:spacing w:after="0" w:line="302" w:lineRule="auto"/>
        <w:tabs>
          <w:tab w:leader="none" w:pos="2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color w:val="auto"/>
        </w:rPr>
        <w:t xml:space="preserve"> means the Person who, as of the end of the taxable year, either is the principal executive officer of the Company or is serving as the acting principal executive officer of the Company, and each other Person whose compensation is required to be disclosed in the Company’s filings with the Securities and Exchange Commission by reason of that person being among the three highest compensated officers of the Company as of the end of a taxable year, or such other person as shall be considered a “covered employee” for purposes of Section 162(m) of the Code.</w:t>
      </w:r>
    </w:p>
    <w:p>
      <w:pPr>
        <w:spacing w:after="0" w:line="46" w:lineRule="exact"/>
        <w:rPr>
          <w:rFonts w:ascii="Arial" w:cs="Arial" w:eastAsia="Arial" w:hAnsi="Arial"/>
          <w:sz w:val="16"/>
          <w:szCs w:val="16"/>
          <w:color w:val="auto"/>
        </w:rPr>
      </w:pPr>
    </w:p>
    <w:p>
      <w:pPr>
        <w:ind w:left="-885" w:right="520" w:firstLine="885"/>
        <w:spacing w:after="0" w:line="277" w:lineRule="auto"/>
        <w:tabs>
          <w:tab w:leader="none" w:pos="30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62" w:lineRule="exact"/>
        <w:rPr>
          <w:rFonts w:ascii="Arial" w:cs="Arial" w:eastAsia="Arial" w:hAnsi="Arial"/>
          <w:sz w:val="18"/>
          <w:szCs w:val="18"/>
          <w:color w:val="auto"/>
        </w:rPr>
      </w:pPr>
    </w:p>
    <w:p>
      <w:pPr>
        <w:ind w:left="255" w:hanging="255"/>
        <w:spacing w:after="0"/>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17" w:lineRule="exact"/>
        <w:rPr>
          <w:rFonts w:ascii="Arial" w:cs="Arial" w:eastAsia="Arial" w:hAnsi="Arial"/>
          <w:sz w:val="18"/>
          <w:szCs w:val="18"/>
          <w:color w:val="auto"/>
        </w:rPr>
      </w:pPr>
    </w:p>
    <w:p>
      <w:pPr>
        <w:ind w:left="255" w:hanging="255"/>
        <w:spacing w:after="0"/>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17" w:lineRule="exact"/>
        <w:rPr>
          <w:rFonts w:ascii="Arial" w:cs="Arial" w:eastAsia="Arial" w:hAnsi="Arial"/>
          <w:sz w:val="18"/>
          <w:szCs w:val="18"/>
          <w:color w:val="auto"/>
        </w:rPr>
      </w:pPr>
    </w:p>
    <w:p>
      <w:pPr>
        <w:ind w:left="-885" w:right="480" w:firstLine="885"/>
        <w:spacing w:after="0" w:line="277" w:lineRule="auto"/>
        <w:tabs>
          <w:tab w:leader="none" w:pos="2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62" w:lineRule="exact"/>
        <w:rPr>
          <w:rFonts w:ascii="Arial" w:cs="Arial" w:eastAsia="Arial" w:hAnsi="Arial"/>
          <w:sz w:val="18"/>
          <w:szCs w:val="18"/>
          <w:color w:val="auto"/>
        </w:rPr>
      </w:pPr>
    </w:p>
    <w:p>
      <w:pPr>
        <w:ind w:left="-885" w:right="140" w:firstLine="885"/>
        <w:spacing w:after="0" w:line="277" w:lineRule="auto"/>
        <w:tabs>
          <w:tab w:leader="none" w:pos="2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62" w:lineRule="exact"/>
        <w:rPr>
          <w:rFonts w:ascii="Arial" w:cs="Arial" w:eastAsia="Arial" w:hAnsi="Arial"/>
          <w:sz w:val="18"/>
          <w:szCs w:val="18"/>
          <w:color w:val="auto"/>
        </w:rPr>
      </w:pPr>
    </w:p>
    <w:p>
      <w:pPr>
        <w:ind w:left="235" w:hanging="235"/>
        <w:spacing w:after="0"/>
        <w:tabs>
          <w:tab w:leader="none" w:pos="2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February 12, 2009.</w:t>
      </w:r>
    </w:p>
    <w:p>
      <w:pPr>
        <w:spacing w:after="0" w:line="117" w:lineRule="exact"/>
        <w:rPr>
          <w:rFonts w:ascii="Arial" w:cs="Arial" w:eastAsia="Arial" w:hAnsi="Arial"/>
          <w:sz w:val="18"/>
          <w:szCs w:val="18"/>
          <w:color w:val="auto"/>
        </w:rPr>
      </w:pPr>
    </w:p>
    <w:p>
      <w:pPr>
        <w:ind w:left="-885" w:firstLine="885"/>
        <w:spacing w:after="0" w:line="257" w:lineRule="auto"/>
        <w:tabs>
          <w:tab w:leader="none" w:pos="2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w:t>
      </w:r>
    </w:p>
    <w:p>
      <w:pPr>
        <w:spacing w:after="0" w:line="80" w:lineRule="exact"/>
        <w:rPr>
          <w:rFonts w:ascii="Arial" w:cs="Arial" w:eastAsia="Arial" w:hAnsi="Arial"/>
          <w:sz w:val="18"/>
          <w:szCs w:val="18"/>
          <w:color w:val="auto"/>
        </w:rPr>
      </w:pPr>
    </w:p>
    <w:p>
      <w:pPr>
        <w:ind w:left="-885" w:right="20" w:firstLine="885"/>
        <w:spacing w:after="0" w:line="277" w:lineRule="auto"/>
        <w:tabs>
          <w:tab w:leader="none" w:pos="2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62" w:lineRule="exact"/>
        <w:rPr>
          <w:rFonts w:ascii="Arial" w:cs="Arial" w:eastAsia="Arial" w:hAnsi="Arial"/>
          <w:sz w:val="18"/>
          <w:szCs w:val="18"/>
          <w:color w:val="auto"/>
        </w:rPr>
      </w:pPr>
    </w:p>
    <w:p>
      <w:pPr>
        <w:ind w:left="-885" w:right="220" w:firstLine="885"/>
        <w:spacing w:after="0" w:line="277" w:lineRule="auto"/>
        <w:tabs>
          <w:tab w:leader="none" w:pos="25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ectPr>
          <w:pgSz w:w="11900" w:h="16838" w:orient="portrait"/>
          <w:cols w:equalWidth="0" w:num="1">
            <w:col w:w="10135"/>
          </w:cols>
          <w:pgMar w:left="1325" w:top="274" w:right="439" w:bottom="1440" w:gutter="0" w:footer="0" w:header="0"/>
        </w:sectPr>
      </w:pPr>
    </w:p>
    <w:bookmarkStart w:id="102" w:name="page103"/>
    <w:bookmarkEnd w:id="102"/>
    <w:p>
      <w:pPr>
        <w:ind w:firstLine="885"/>
        <w:spacing w:after="0" w:line="291" w:lineRule="auto"/>
        <w:tabs>
          <w:tab w:leader="none" w:pos="1136"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w:t>
      </w:r>
    </w:p>
    <w:p>
      <w:pPr>
        <w:ind w:right="80" w:firstLine="4"/>
        <w:spacing w:after="0" w:line="277" w:lineRule="auto"/>
        <w:tabs>
          <w:tab w:leader="none" w:pos="2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last sale price of a Share on the principal national securities exchange on which the Common Stock is traded, if the Common Stock is then traded on a national securities exchange; or (ii) the average of the closing bid and asked prices for the Common Stock quoted by an established quotation service for over-the-counter securities, if the Common Stock is not then traded on a national securities exchange.</w:t>
      </w:r>
    </w:p>
    <w:p>
      <w:pPr>
        <w:spacing w:after="0" w:line="65" w:lineRule="exact"/>
        <w:rPr>
          <w:rFonts w:ascii="Arial" w:cs="Arial" w:eastAsia="Arial" w:hAnsi="Arial"/>
          <w:sz w:val="17"/>
          <w:szCs w:val="17"/>
          <w:color w:val="auto"/>
        </w:rPr>
      </w:pPr>
    </w:p>
    <w:p>
      <w:pPr>
        <w:ind w:right="20" w:firstLine="885"/>
        <w:spacing w:after="0" w:line="269" w:lineRule="auto"/>
        <w:tabs>
          <w:tab w:leader="none" w:pos="1176" w:val="left"/>
        </w:tabs>
        <w:numPr>
          <w:ilvl w:val="1"/>
          <w:numId w:val="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Good Reason</w:t>
      </w:r>
      <w:r>
        <w:rPr>
          <w:rFonts w:ascii="Arial" w:cs="Arial" w:eastAsia="Arial" w:hAnsi="Arial"/>
          <w:sz w:val="17"/>
          <w:szCs w:val="17"/>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71" w:lineRule="exact"/>
        <w:rPr>
          <w:rFonts w:ascii="Arial" w:cs="Arial" w:eastAsia="Arial" w:hAnsi="Arial"/>
          <w:sz w:val="17"/>
          <w:szCs w:val="17"/>
          <w:color w:val="auto"/>
        </w:rPr>
      </w:pPr>
    </w:p>
    <w:p>
      <w:pPr>
        <w:ind w:right="20" w:firstLine="885"/>
        <w:spacing w:after="0" w:line="277" w:lineRule="auto"/>
        <w:tabs>
          <w:tab w:leader="none" w:pos="1136"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Independent</w:t>
      </w:r>
      <w:r>
        <w:rPr>
          <w:rFonts w:ascii="Arial" w:cs="Arial" w:eastAsia="Arial" w:hAnsi="Arial"/>
          <w:sz w:val="16"/>
          <w:szCs w:val="16"/>
          <w:color w:val="auto"/>
        </w:rPr>
        <w:t>”, when referring to either the Board or members of the Committee, shall have the same meaning as used in the rules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Listing Market.</w:t>
      </w:r>
    </w:p>
    <w:p>
      <w:pPr>
        <w:spacing w:after="0" w:line="102" w:lineRule="exact"/>
        <w:rPr>
          <w:rFonts w:ascii="Arial" w:cs="Arial" w:eastAsia="Arial" w:hAnsi="Arial"/>
          <w:sz w:val="16"/>
          <w:szCs w:val="16"/>
          <w:color w:val="auto"/>
        </w:rPr>
      </w:pPr>
    </w:p>
    <w:p>
      <w:pPr>
        <w:ind w:left="1140" w:hanging="255"/>
        <w:spacing w:after="0"/>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hereof.</w:t>
      </w:r>
    </w:p>
    <w:p>
      <w:pPr>
        <w:spacing w:after="0" w:line="117" w:lineRule="exact"/>
        <w:rPr>
          <w:sz w:val="20"/>
          <w:szCs w:val="20"/>
          <w:color w:val="auto"/>
        </w:rPr>
      </w:pPr>
    </w:p>
    <w:p>
      <w:pPr>
        <w:ind w:right="40" w:firstLine="885"/>
        <w:spacing w:after="0" w:line="277" w:lineRule="auto"/>
        <w:tabs>
          <w:tab w:leader="none" w:pos="1206"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“Listing Market” </w:t>
      </w:r>
      <w:r>
        <w:rPr>
          <w:rFonts w:ascii="Arial" w:cs="Arial" w:eastAsia="Arial" w:hAnsi="Arial"/>
          <w:sz w:val="18"/>
          <w:szCs w:val="18"/>
          <w:color w:val="auto"/>
        </w:rPr>
        <w:t>means the OTC Bulletin Board or any other national securities exchange on which any securities of the Company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listed for trading, and if not listed for trading, by the rules of the Nasdaq Market.</w:t>
      </w:r>
    </w:p>
    <w:p>
      <w:pPr>
        <w:spacing w:after="0" w:line="62" w:lineRule="exact"/>
        <w:rPr>
          <w:rFonts w:ascii="Arial" w:cs="Arial" w:eastAsia="Arial" w:hAnsi="Arial"/>
          <w:sz w:val="18"/>
          <w:szCs w:val="18"/>
          <w:color w:val="auto"/>
        </w:rPr>
      </w:pPr>
    </w:p>
    <w:p>
      <w:pPr>
        <w:ind w:right="460" w:firstLine="885"/>
        <w:spacing w:after="0" w:line="277" w:lineRule="auto"/>
        <w:tabs>
          <w:tab w:leader="none" w:pos="12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6(b) hereof, to purchase Shares or other Awards at a specified price during specified time periods.</w:t>
      </w:r>
    </w:p>
    <w:p>
      <w:pPr>
        <w:spacing w:after="0" w:line="62" w:lineRule="exact"/>
        <w:rPr>
          <w:rFonts w:ascii="Arial" w:cs="Arial" w:eastAsia="Arial" w:hAnsi="Arial"/>
          <w:sz w:val="18"/>
          <w:szCs w:val="18"/>
          <w:color w:val="auto"/>
        </w:rPr>
      </w:pPr>
    </w:p>
    <w:p>
      <w:pPr>
        <w:ind w:left="1220" w:hanging="335"/>
        <w:spacing w:after="0"/>
        <w:tabs>
          <w:tab w:leader="none" w:pos="12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this Plan.</w:t>
      </w:r>
    </w:p>
    <w:p>
      <w:pPr>
        <w:spacing w:after="0" w:line="102" w:lineRule="exact"/>
        <w:rPr>
          <w:rFonts w:ascii="Arial" w:cs="Arial" w:eastAsia="Arial" w:hAnsi="Arial"/>
          <w:sz w:val="16"/>
          <w:szCs w:val="16"/>
          <w:color w:val="auto"/>
        </w:rPr>
      </w:pPr>
    </w:p>
    <w:p>
      <w:pPr>
        <w:ind w:left="1240" w:hanging="355"/>
        <w:spacing w:after="0"/>
        <w:tabs>
          <w:tab w:leader="none" w:pos="12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17" w:lineRule="exact"/>
        <w:rPr>
          <w:rFonts w:ascii="Arial" w:cs="Arial" w:eastAsia="Arial" w:hAnsi="Arial"/>
          <w:sz w:val="18"/>
          <w:szCs w:val="18"/>
          <w:color w:val="auto"/>
        </w:rPr>
      </w:pPr>
    </w:p>
    <w:p>
      <w:pPr>
        <w:ind w:right="80" w:firstLine="885"/>
        <w:spacing w:after="0" w:line="277" w:lineRule="auto"/>
        <w:tabs>
          <w:tab w:leader="none" w:pos="12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62" w:lineRule="exact"/>
        <w:rPr>
          <w:rFonts w:ascii="Arial" w:cs="Arial" w:eastAsia="Arial" w:hAnsi="Arial"/>
          <w:sz w:val="18"/>
          <w:szCs w:val="18"/>
          <w:color w:val="auto"/>
        </w:rPr>
      </w:pPr>
    </w:p>
    <w:p>
      <w:pPr>
        <w:ind w:left="1160" w:hanging="275"/>
        <w:spacing w:after="0"/>
        <w:tabs>
          <w:tab w:leader="none" w:pos="11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Award</w:t>
      </w:r>
      <w:r>
        <w:rPr>
          <w:rFonts w:ascii="Arial" w:cs="Arial" w:eastAsia="Arial" w:hAnsi="Arial"/>
          <w:sz w:val="17"/>
          <w:szCs w:val="17"/>
          <w:color w:val="auto"/>
        </w:rPr>
        <w:t>” means any Award of Performance Shares or Performance Units granted pursuant to Section 6(h) hereof.</w:t>
      </w:r>
    </w:p>
    <w:p>
      <w:pPr>
        <w:spacing w:after="0" w:line="128" w:lineRule="exact"/>
        <w:rPr>
          <w:rFonts w:ascii="Arial" w:cs="Arial" w:eastAsia="Arial" w:hAnsi="Arial"/>
          <w:sz w:val="17"/>
          <w:szCs w:val="17"/>
          <w:color w:val="auto"/>
        </w:rPr>
      </w:pPr>
    </w:p>
    <w:p>
      <w:pPr>
        <w:ind w:right="240" w:firstLine="885"/>
        <w:spacing w:after="0" w:line="308" w:lineRule="auto"/>
        <w:tabs>
          <w:tab w:leader="none" w:pos="122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38" w:lineRule="exact"/>
        <w:rPr>
          <w:rFonts w:ascii="Arial" w:cs="Arial" w:eastAsia="Arial" w:hAnsi="Arial"/>
          <w:sz w:val="17"/>
          <w:szCs w:val="17"/>
          <w:color w:val="auto"/>
        </w:rPr>
      </w:pPr>
    </w:p>
    <w:p>
      <w:pPr>
        <w:jc w:val="both"/>
        <w:ind w:right="60" w:firstLine="885"/>
        <w:spacing w:after="0" w:line="259" w:lineRule="auto"/>
        <w:tabs>
          <w:tab w:leader="none" w:pos="12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hereof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ectPr>
          <w:pgSz w:w="11900" w:h="16838" w:orient="portrait"/>
          <w:cols w:equalWidth="0" w:num="1">
            <w:col w:w="11020"/>
          </w:cols>
          <w:pgMar w:left="440" w:top="274" w:right="439" w:bottom="1440" w:gutter="0" w:footer="0" w:header="0"/>
        </w:sectPr>
      </w:pPr>
    </w:p>
    <w:bookmarkStart w:id="103" w:name="page104"/>
    <w:bookmarkEnd w:id="103"/>
    <w:p>
      <w:pPr>
        <w:ind w:left="-4" w:right="60" w:firstLine="885"/>
        <w:spacing w:after="0" w:line="259" w:lineRule="auto"/>
        <w:tabs>
          <w:tab w:leader="none" w:pos="1143" w:val="left"/>
        </w:tabs>
        <w:numPr>
          <w:ilvl w:val="2"/>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hereof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78" w:lineRule="exact"/>
        <w:rPr>
          <w:rFonts w:ascii="Arial" w:cs="Arial" w:eastAsia="Arial" w:hAnsi="Arial"/>
          <w:sz w:val="18"/>
          <w:szCs w:val="18"/>
          <w:color w:val="auto"/>
        </w:rPr>
      </w:pPr>
    </w:p>
    <w:p>
      <w:pPr>
        <w:ind w:left="-4" w:right="380" w:firstLine="885"/>
        <w:spacing w:after="0" w:line="277" w:lineRule="auto"/>
        <w:tabs>
          <w:tab w:leader="none" w:pos="1143"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62" w:lineRule="exact"/>
        <w:rPr>
          <w:rFonts w:ascii="Arial" w:cs="Arial" w:eastAsia="Arial" w:hAnsi="Arial"/>
          <w:sz w:val="18"/>
          <w:szCs w:val="18"/>
          <w:color w:val="auto"/>
        </w:rPr>
      </w:pPr>
    </w:p>
    <w:p>
      <w:pPr>
        <w:ind w:left="-4" w:right="40" w:firstLine="885"/>
        <w:spacing w:after="0" w:line="277" w:lineRule="auto"/>
        <w:tabs>
          <w:tab w:leader="none" w:pos="1223"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Board, in which the Company or a Subsidiary holds a substantial ownership interest, directly or indirectly.</w:t>
      </w:r>
    </w:p>
    <w:p>
      <w:pPr>
        <w:spacing w:after="0" w:line="62" w:lineRule="exact"/>
        <w:rPr>
          <w:rFonts w:ascii="Arial" w:cs="Arial" w:eastAsia="Arial" w:hAnsi="Arial"/>
          <w:sz w:val="18"/>
          <w:szCs w:val="18"/>
          <w:color w:val="auto"/>
        </w:rPr>
      </w:pPr>
    </w:p>
    <w:p>
      <w:pPr>
        <w:ind w:left="-4" w:right="640" w:firstLine="885"/>
        <w:spacing w:after="0" w:line="277" w:lineRule="auto"/>
        <w:tabs>
          <w:tab w:leader="none" w:pos="1143" w:val="left"/>
        </w:tabs>
        <w:numPr>
          <w:ilvl w:val="2"/>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 Period” </w:t>
      </w:r>
      <w:r>
        <w:rPr>
          <w:rFonts w:ascii="Arial" w:cs="Arial" w:eastAsia="Arial" w:hAnsi="Arial"/>
          <w:sz w:val="18"/>
          <w:szCs w:val="18"/>
          <w:color w:val="auto"/>
        </w:rPr>
        <w:t>means the period of time specified by the Committee that Restricted Stock Awards shall be subject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restrictions on transferability, risk of forfeiture and other restrictions, if any, as the Committee may impose.</w:t>
      </w:r>
    </w:p>
    <w:p>
      <w:pPr>
        <w:spacing w:after="0" w:line="62" w:lineRule="exact"/>
        <w:rPr>
          <w:rFonts w:ascii="Arial" w:cs="Arial" w:eastAsia="Arial" w:hAnsi="Arial"/>
          <w:sz w:val="18"/>
          <w:szCs w:val="18"/>
          <w:color w:val="auto"/>
        </w:rPr>
      </w:pPr>
    </w:p>
    <w:p>
      <w:pPr>
        <w:ind w:left="-4" w:right="140" w:firstLine="885"/>
        <w:spacing w:after="0" w:line="259" w:lineRule="auto"/>
        <w:tabs>
          <w:tab w:leader="none" w:pos="1323"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78" w:lineRule="exact"/>
        <w:rPr>
          <w:rFonts w:ascii="Arial" w:cs="Arial" w:eastAsia="Arial" w:hAnsi="Arial"/>
          <w:sz w:val="18"/>
          <w:szCs w:val="18"/>
          <w:color w:val="auto"/>
        </w:rPr>
      </w:pPr>
    </w:p>
    <w:p>
      <w:pPr>
        <w:ind w:left="1236" w:hanging="355"/>
        <w:spacing w:after="0"/>
        <w:tabs>
          <w:tab w:leader="none" w:pos="1236"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17" w:lineRule="exact"/>
        <w:rPr>
          <w:rFonts w:ascii="Arial" w:cs="Arial" w:eastAsia="Arial" w:hAnsi="Arial"/>
          <w:sz w:val="18"/>
          <w:szCs w:val="18"/>
          <w:color w:val="auto"/>
        </w:rPr>
      </w:pPr>
    </w:p>
    <w:p>
      <w:pPr>
        <w:ind w:left="-4" w:right="680" w:firstLine="885"/>
        <w:spacing w:after="0" w:line="277" w:lineRule="auto"/>
        <w:tabs>
          <w:tab w:leader="none" w:pos="1223"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62" w:lineRule="exact"/>
        <w:rPr>
          <w:rFonts w:ascii="Arial" w:cs="Arial" w:eastAsia="Arial" w:hAnsi="Arial"/>
          <w:sz w:val="18"/>
          <w:szCs w:val="18"/>
          <w:color w:val="auto"/>
        </w:rPr>
      </w:pPr>
    </w:p>
    <w:p>
      <w:pPr>
        <w:ind w:left="-4" w:right="740" w:firstLine="885"/>
        <w:spacing w:after="0" w:line="277" w:lineRule="auto"/>
        <w:tabs>
          <w:tab w:leader="none" w:pos="1223"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$0.001 per share, and such other securities as may be substituted (or resubstituted) for Shares pursuant to Section 10(c) hereof.</w:t>
      </w:r>
    </w:p>
    <w:p>
      <w:pPr>
        <w:spacing w:after="0" w:line="62" w:lineRule="exact"/>
        <w:rPr>
          <w:rFonts w:ascii="Arial" w:cs="Arial" w:eastAsia="Arial" w:hAnsi="Arial"/>
          <w:sz w:val="18"/>
          <w:szCs w:val="18"/>
          <w:color w:val="auto"/>
        </w:rPr>
      </w:pPr>
    </w:p>
    <w:p>
      <w:pPr>
        <w:ind w:left="1236" w:hanging="355"/>
        <w:spacing w:after="0"/>
        <w:tabs>
          <w:tab w:leader="none" w:pos="1236"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17" w:lineRule="exact"/>
        <w:rPr>
          <w:rFonts w:ascii="Arial" w:cs="Arial" w:eastAsia="Arial" w:hAnsi="Arial"/>
          <w:sz w:val="18"/>
          <w:szCs w:val="18"/>
          <w:color w:val="auto"/>
        </w:rPr>
      </w:pPr>
    </w:p>
    <w:p>
      <w:pPr>
        <w:ind w:left="-4" w:firstLine="885"/>
        <w:spacing w:after="0" w:line="259" w:lineRule="auto"/>
        <w:tabs>
          <w:tab w:leader="none" w:pos="1162" w:val="left"/>
        </w:tabs>
        <w:numPr>
          <w:ilvl w:val="2"/>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78" w:lineRule="exact"/>
        <w:rPr>
          <w:rFonts w:ascii="Arial" w:cs="Arial" w:eastAsia="Arial" w:hAnsi="Arial"/>
          <w:sz w:val="18"/>
          <w:szCs w:val="18"/>
          <w:color w:val="auto"/>
        </w:rPr>
      </w:pPr>
    </w:p>
    <w:p>
      <w:pPr>
        <w:ind w:left="-4" w:right="440" w:firstLine="885"/>
        <w:spacing w:after="0" w:line="291" w:lineRule="auto"/>
        <w:tabs>
          <w:tab w:leader="none" w:pos="1183" w:val="left"/>
        </w:tabs>
        <w:numPr>
          <w:ilvl w:val="2"/>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means Awards granted or Shares issued by the Company in assumption of, or in substitution or exchange for, Awards previously granted, or the right or obligation to make future Awards, by a company (i) acquired by the Company or any Related Entity,</w:t>
      </w:r>
    </w:p>
    <w:p>
      <w:pPr>
        <w:ind w:left="256" w:hanging="256"/>
        <w:spacing w:after="0"/>
        <w:tabs>
          <w:tab w:leader="none" w:pos="256"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which becomes a Related Entity after the date hereof, or (iii) with which the Company or any Related Entity combines.</w:t>
      </w:r>
    </w:p>
    <w:p>
      <w:pPr>
        <w:spacing w:after="0" w:line="102" w:lineRule="exact"/>
        <w:rPr>
          <w:rFonts w:ascii="Arial" w:cs="Arial" w:eastAsia="Arial" w:hAnsi="Arial"/>
          <w:sz w:val="18"/>
          <w:szCs w:val="18"/>
          <w:color w:val="auto"/>
        </w:rPr>
      </w:pPr>
    </w:p>
    <w:p>
      <w:pPr>
        <w:ind w:left="616" w:hanging="176"/>
        <w:spacing w:after="0"/>
        <w:tabs>
          <w:tab w:leader="none" w:pos="616"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4" w:right="40" w:firstLine="885"/>
        <w:spacing w:after="0" w:line="288" w:lineRule="auto"/>
        <w:tabs>
          <w:tab w:leader="none" w:pos="1122" w:val="left"/>
        </w:tabs>
        <w:numPr>
          <w:ilvl w:val="2"/>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(and subject to the limitations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imposed by Section 3(b) hereof) the Board elects to administer the Plan, in which case the Plan shall be administered by only those members of the Board who are Independent members of the Board,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any other Eligible Persons or Participants.</w:t>
      </w:r>
    </w:p>
    <w:p>
      <w:pPr>
        <w:spacing w:after="0" w:line="61" w:lineRule="exact"/>
        <w:rPr>
          <w:rFonts w:ascii="Arial" w:cs="Arial" w:eastAsia="Arial" w:hAnsi="Arial"/>
          <w:sz w:val="16"/>
          <w:szCs w:val="16"/>
          <w:color w:val="auto"/>
        </w:rPr>
      </w:pPr>
    </w:p>
    <w:p>
      <w:pPr>
        <w:ind w:left="-4" w:right="80" w:firstLine="885"/>
        <w:spacing w:after="0" w:line="255" w:lineRule="auto"/>
        <w:tabs>
          <w:tab w:leader="none" w:pos="1132" w:val="left"/>
        </w:tabs>
        <w:numPr>
          <w:ilvl w:val="2"/>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Manner of Exercise of Committee Authority</w:t>
      </w:r>
      <w:r>
        <w:rPr>
          <w:rFonts w:ascii="Arial" w:cs="Arial" w:eastAsia="Arial" w:hAnsi="Arial"/>
          <w:sz w:val="18"/>
          <w:szCs w:val="18"/>
          <w:color w:val="auto"/>
        </w:rPr>
        <w:t>. The Committee, and not the Board, shall exercise sole and exclusive discretion (i) on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w:t>
      </w:r>
    </w:p>
    <w:p>
      <w:pPr>
        <w:sectPr>
          <w:pgSz w:w="11900" w:h="16838" w:orient="portrait"/>
          <w:cols w:equalWidth="0" w:num="1">
            <w:col w:w="11016"/>
          </w:cols>
          <w:pgMar w:left="444" w:top="274" w:right="439" w:bottom="1440" w:gutter="0" w:footer="0" w:header="0"/>
        </w:sectPr>
      </w:pPr>
    </w:p>
    <w:bookmarkStart w:id="104" w:name="page105"/>
    <w:bookmarkEnd w:id="104"/>
    <w:p>
      <w:pPr>
        <w:ind w:right="1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57" w:lineRule="exact"/>
        <w:rPr>
          <w:sz w:val="20"/>
          <w:szCs w:val="20"/>
          <w:color w:val="auto"/>
        </w:rPr>
      </w:pPr>
    </w:p>
    <w:p>
      <w:pPr>
        <w:ind w:right="20" w:firstLine="885"/>
        <w:spacing w:after="0" w:line="297" w:lineRule="auto"/>
        <w:tabs>
          <w:tab w:leader="none" w:pos="1126"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50" w:lineRule="exact"/>
        <w:rPr>
          <w:rFonts w:ascii="Arial" w:cs="Arial" w:eastAsia="Arial" w:hAnsi="Arial"/>
          <w:sz w:val="16"/>
          <w:szCs w:val="16"/>
          <w:color w:val="auto"/>
        </w:rPr>
      </w:pPr>
    </w:p>
    <w:p>
      <w:pPr>
        <w:ind w:left="620" w:hanging="176"/>
        <w:spacing w:after="0"/>
        <w:tabs>
          <w:tab w:leader="none" w:pos="62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885"/>
        <w:spacing w:after="0" w:line="264" w:lineRule="auto"/>
        <w:tabs>
          <w:tab w:leader="none" w:pos="112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 10(c) hereof,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total number of Shares reserved and available for delivery under the Plan shall be 6,733,334. Any Shares delivered under the Plan may consist, in whole or in part, of authorized and unissued shares or treasury shares.</w:t>
      </w:r>
    </w:p>
    <w:p>
      <w:pPr>
        <w:spacing w:after="0" w:line="73" w:lineRule="exact"/>
        <w:rPr>
          <w:rFonts w:ascii="Arial" w:cs="Arial" w:eastAsia="Arial" w:hAnsi="Arial"/>
          <w:sz w:val="18"/>
          <w:szCs w:val="18"/>
          <w:color w:val="auto"/>
        </w:rPr>
      </w:pPr>
    </w:p>
    <w:p>
      <w:pPr>
        <w:ind w:firstLine="885"/>
        <w:spacing w:after="0" w:line="257" w:lineRule="auto"/>
        <w:tabs>
          <w:tab w:leader="none" w:pos="1136"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Awards</w:t>
      </w:r>
      <w:r>
        <w:rPr>
          <w:rFonts w:ascii="Arial" w:cs="Arial" w:eastAsia="Arial" w:hAnsi="Arial"/>
          <w:sz w:val="18"/>
          <w:szCs w:val="18"/>
          <w:color w:val="auto"/>
        </w:rPr>
        <w:t>. No Award may be granted if the number of Shares to be delivered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an Award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80" w:lineRule="exact"/>
        <w:rPr>
          <w:rFonts w:ascii="Arial" w:cs="Arial" w:eastAsia="Arial" w:hAnsi="Arial"/>
          <w:sz w:val="18"/>
          <w:szCs w:val="18"/>
          <w:color w:val="auto"/>
        </w:rPr>
      </w:pPr>
    </w:p>
    <w:p>
      <w:pPr>
        <w:ind w:left="1120" w:hanging="235"/>
        <w:spacing w:after="0"/>
        <w:tabs>
          <w:tab w:leader="none" w:pos="1120" w:val="left"/>
        </w:tabs>
        <w:numPr>
          <w:ilvl w:val="1"/>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36"/>
        <w:spacing w:after="0" w:line="259" w:lineRule="auto"/>
        <w:tabs>
          <w:tab w:leader="none" w:pos="1648" w:val="left"/>
        </w:tabs>
        <w:numPr>
          <w:ilvl w:val="2"/>
          <w:numId w:val="62"/>
        </w:numPr>
        <w:rPr>
          <w:rFonts w:ascii="Arial" w:cs="Arial" w:eastAsia="Arial" w:hAnsi="Arial"/>
          <w:sz w:val="18"/>
          <w:szCs w:val="18"/>
          <w:color w:val="auto"/>
        </w:rPr>
      </w:pPr>
      <w:r>
        <w:rPr>
          <w:rFonts w:ascii="Arial" w:cs="Arial" w:eastAsia="Arial" w:hAnsi="Arial"/>
          <w:sz w:val="18"/>
          <w:szCs w:val="18"/>
          <w:color w:val="auto"/>
        </w:rPr>
        <w:t>If any Awards are forfeited, expire or otherwise terminate without issuance of such Shares, or any Award is settled for cash or otherwise does not result in the issuance of all or a portion of the Shares subject to such Award, the Shares to which those Awards were subject, shall, to the extent of such forfeiture, expiration, termination, cash settlement or non-issuance, again be available for delivery with respect to Awards under the Plan, subject to Section 4(c)(iv) below.</w:t>
      </w:r>
    </w:p>
    <w:p>
      <w:pPr>
        <w:spacing w:after="0" w:line="78" w:lineRule="exact"/>
        <w:rPr>
          <w:rFonts w:ascii="Arial" w:cs="Arial" w:eastAsia="Arial" w:hAnsi="Arial"/>
          <w:sz w:val="18"/>
          <w:szCs w:val="18"/>
          <w:color w:val="auto"/>
        </w:rPr>
      </w:pPr>
    </w:p>
    <w:p>
      <w:pPr>
        <w:ind w:right="80" w:firstLine="1436"/>
        <w:spacing w:after="0" w:line="302" w:lineRule="auto"/>
        <w:tabs>
          <w:tab w:leader="none" w:pos="1698" w:val="left"/>
        </w:tabs>
        <w:numPr>
          <w:ilvl w:val="2"/>
          <w:numId w:val="62"/>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46" w:lineRule="exact"/>
        <w:rPr>
          <w:rFonts w:ascii="Arial" w:cs="Arial" w:eastAsia="Arial" w:hAnsi="Arial"/>
          <w:sz w:val="16"/>
          <w:szCs w:val="16"/>
          <w:color w:val="auto"/>
        </w:rPr>
      </w:pPr>
    </w:p>
    <w:p>
      <w:pPr>
        <w:ind w:firstLine="1436"/>
        <w:spacing w:after="0" w:line="291" w:lineRule="auto"/>
        <w:tabs>
          <w:tab w:leader="none" w:pos="1748" w:val="left"/>
        </w:tabs>
        <w:numPr>
          <w:ilvl w:val="2"/>
          <w:numId w:val="62"/>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delivery under the Plan or authorized for delivery to a Participant in any period. Additionally, in the event that a company acquired by the Company or any Related Entity or with which the Company or any Related Entity combines has shares available under a pre-existing plan approved by its shareholders,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w:t>
      </w:r>
    </w:p>
    <w:p>
      <w:pPr>
        <w:spacing w:after="0" w:line="59" w:lineRule="exact"/>
        <w:rPr>
          <w:rFonts w:ascii="Arial" w:cs="Arial" w:eastAsia="Arial" w:hAnsi="Arial"/>
          <w:sz w:val="16"/>
          <w:szCs w:val="16"/>
          <w:color w:val="auto"/>
        </w:rPr>
      </w:pPr>
    </w:p>
    <w:p>
      <w:pPr>
        <w:ind w:left="1740" w:hanging="304"/>
        <w:spacing w:after="0"/>
        <w:tabs>
          <w:tab w:leader="none" w:pos="1740" w:val="left"/>
        </w:tabs>
        <w:numPr>
          <w:ilvl w:val="2"/>
          <w:numId w:val="62"/>
        </w:numPr>
        <w:rPr>
          <w:rFonts w:ascii="Arial" w:cs="Arial" w:eastAsia="Arial" w:hAnsi="Arial"/>
          <w:sz w:val="17"/>
          <w:szCs w:val="17"/>
          <w:color w:val="auto"/>
        </w:rPr>
      </w:pPr>
      <w:r>
        <w:rPr>
          <w:rFonts w:ascii="Arial" w:cs="Arial" w:eastAsia="Arial" w:hAnsi="Arial"/>
          <w:sz w:val="17"/>
          <w:szCs w:val="17"/>
          <w:color w:val="auto"/>
        </w:rPr>
        <w:t>Any Share that again becomes available for delivery pursuant to this Section 4(c) shall be added back as one (1) Share.</w:t>
      </w:r>
    </w:p>
    <w:p>
      <w:pPr>
        <w:spacing w:after="0" w:line="128" w:lineRule="exact"/>
        <w:rPr>
          <w:rFonts w:ascii="Arial" w:cs="Arial" w:eastAsia="Arial" w:hAnsi="Arial"/>
          <w:sz w:val="17"/>
          <w:szCs w:val="17"/>
          <w:color w:val="auto"/>
        </w:rPr>
      </w:pPr>
    </w:p>
    <w:p>
      <w:pPr>
        <w:ind w:right="80" w:firstLine="1436"/>
        <w:spacing w:after="0" w:line="264" w:lineRule="auto"/>
        <w:tabs>
          <w:tab w:leader="none" w:pos="1688" w:val="left"/>
        </w:tabs>
        <w:numPr>
          <w:ilvl w:val="2"/>
          <w:numId w:val="62"/>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but subject to adjustment as provided in Section 10(c) hereof, the maximum aggregate number of Shares that may be delivered under the Plan as a result of the exercise of the Incentive Stock Options shall be 6,533,334 Shares.</w:t>
      </w:r>
    </w:p>
    <w:p>
      <w:pPr>
        <w:spacing w:after="0" w:line="73" w:lineRule="exact"/>
        <w:rPr>
          <w:rFonts w:ascii="Arial" w:cs="Arial" w:eastAsia="Arial" w:hAnsi="Arial"/>
          <w:sz w:val="18"/>
          <w:szCs w:val="18"/>
          <w:color w:val="auto"/>
        </w:rPr>
      </w:pPr>
    </w:p>
    <w:p>
      <w:pPr>
        <w:ind w:right="80" w:firstLine="444"/>
        <w:spacing w:after="0" w:line="255" w:lineRule="auto"/>
        <w:tabs>
          <w:tab w:leader="none" w:pos="621"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Eligibility; Per-Person Award Limitations</w:t>
      </w:r>
      <w:r>
        <w:rPr>
          <w:rFonts w:ascii="Arial" w:cs="Arial" w:eastAsia="Arial" w:hAnsi="Arial"/>
          <w:sz w:val="18"/>
          <w:szCs w:val="18"/>
          <w:color w:val="auto"/>
        </w:rPr>
        <w:t>. Awards may be granted under the Plan only to Eligible Persons. Subject to adjustment as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Section 10(c), in any fiscal year of the Company during any part of which the Plan is in effect, no Participant may be granted (i) Options or Stock Appreciation Rights with respect to more than 2,000,000 Shares or (ii) Restricted Stock, Deferred Stock, Performance Shares and/or Other Stock-Based Awards with respect to more than 2,000,000 Shares. In addition, the maximum dollar value payable to any one Participant with respect to Performance Units is (x) $1,000,000 with respect to any 12 month Performance Period and (y) with respect to any Performance Period that is more than 12 months, $3,000,000.</w:t>
      </w:r>
    </w:p>
    <w:p>
      <w:pPr>
        <w:sectPr>
          <w:pgSz w:w="11900" w:h="16838" w:orient="portrait"/>
          <w:cols w:equalWidth="0" w:num="1">
            <w:col w:w="11020"/>
          </w:cols>
          <w:pgMar w:left="440" w:top="274" w:right="439" w:bottom="1440" w:gutter="0" w:footer="0" w:header="0"/>
        </w:sectPr>
      </w:pPr>
    </w:p>
    <w:bookmarkStart w:id="105" w:name="page106"/>
    <w:bookmarkEnd w:id="105"/>
    <w:p>
      <w:pPr>
        <w:ind w:left="176" w:hanging="176"/>
        <w:spacing w:after="0"/>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Terms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885"/>
        <w:spacing w:after="0" w:line="271" w:lineRule="auto"/>
        <w:tabs>
          <w:tab w:leader="none" w:pos="682"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General</w:t>
      </w:r>
      <w:r>
        <w:rPr>
          <w:rFonts w:ascii="Arial" w:cs="Arial" w:eastAsia="Arial" w:hAnsi="Arial"/>
          <w:sz w:val="17"/>
          <w:szCs w:val="17"/>
          <w:color w:val="auto"/>
        </w:rPr>
        <w:t>. Awards may be granted on the terms and conditions set forth in this Section 6. In addition, the Committee may impose on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Massachusetts law, no consideration other than services may be required for the grant (as opposed to the exercise) of any Award.</w:t>
      </w:r>
    </w:p>
    <w:p>
      <w:pPr>
        <w:spacing w:after="0" w:line="70" w:lineRule="exact"/>
        <w:rPr>
          <w:rFonts w:ascii="Arial" w:cs="Arial" w:eastAsia="Arial" w:hAnsi="Arial"/>
          <w:sz w:val="17"/>
          <w:szCs w:val="17"/>
          <w:color w:val="auto"/>
        </w:rPr>
      </w:pPr>
    </w:p>
    <w:p>
      <w:pPr>
        <w:ind w:left="696" w:hanging="255"/>
        <w:spacing w:after="0"/>
        <w:tabs>
          <w:tab w:leader="none" w:pos="696" w:val="left"/>
        </w:tabs>
        <w:numPr>
          <w:ilvl w:val="1"/>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117" w:lineRule="exact"/>
        <w:rPr>
          <w:rFonts w:ascii="Arial" w:cs="Arial" w:eastAsia="Arial" w:hAnsi="Arial"/>
          <w:sz w:val="18"/>
          <w:szCs w:val="18"/>
          <w:color w:val="auto"/>
        </w:rPr>
      </w:pPr>
    </w:p>
    <w:p>
      <w:pPr>
        <w:ind w:left="-444" w:firstLine="1436"/>
        <w:spacing w:after="0" w:line="291" w:lineRule="auto"/>
        <w:tabs>
          <w:tab w:leader="none" w:pos="1203" w:val="left"/>
        </w:tabs>
        <w:numPr>
          <w:ilvl w:val="2"/>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of a Share on the date such Incentive Stock Option is granted.</w:t>
      </w:r>
    </w:p>
    <w:p>
      <w:pPr>
        <w:spacing w:after="0" w:line="59" w:lineRule="exact"/>
        <w:rPr>
          <w:rFonts w:ascii="Arial" w:cs="Arial" w:eastAsia="Arial" w:hAnsi="Arial"/>
          <w:sz w:val="16"/>
          <w:szCs w:val="16"/>
          <w:color w:val="auto"/>
        </w:rPr>
      </w:pPr>
    </w:p>
    <w:p>
      <w:pPr>
        <w:ind w:left="-444" w:firstLine="1436"/>
        <w:spacing w:after="0" w:line="270" w:lineRule="auto"/>
        <w:tabs>
          <w:tab w:leader="none" w:pos="1253" w:val="left"/>
        </w:tabs>
        <w:numPr>
          <w:ilvl w:val="2"/>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The Committee shall determine the time or times at which or the circumstances under which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73" w:lineRule="exact"/>
        <w:rPr>
          <w:rFonts w:ascii="Arial" w:cs="Arial" w:eastAsia="Arial" w:hAnsi="Arial"/>
          <w:sz w:val="17"/>
          <w:szCs w:val="17"/>
          <w:color w:val="auto"/>
        </w:rPr>
      </w:pPr>
    </w:p>
    <w:p>
      <w:pPr>
        <w:ind w:left="-444" w:right="160" w:firstLine="1436"/>
        <w:spacing w:after="0" w:line="293" w:lineRule="auto"/>
        <w:tabs>
          <w:tab w:leader="none" w:pos="1303" w:val="left"/>
        </w:tabs>
        <w:numPr>
          <w:ilvl w:val="2"/>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56" w:lineRule="exact"/>
        <w:rPr>
          <w:rFonts w:ascii="Arial" w:cs="Arial" w:eastAsia="Arial" w:hAnsi="Arial"/>
          <w:sz w:val="16"/>
          <w:szCs w:val="16"/>
          <w:color w:val="auto"/>
        </w:rPr>
      </w:pPr>
    </w:p>
    <w:p>
      <w:pPr>
        <w:ind w:left="-444" w:right="40" w:firstLine="1877"/>
        <w:spacing w:after="0" w:line="297" w:lineRule="auto"/>
        <w:tabs>
          <w:tab w:leader="none" w:pos="1724" w:val="left"/>
        </w:tabs>
        <w:numPr>
          <w:ilvl w:val="3"/>
          <w:numId w:val="63"/>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ectPr>
          <w:pgSz w:w="11900" w:h="16838" w:orient="portrait"/>
          <w:cols w:equalWidth="0" w:num="1">
            <w:col w:w="10576"/>
          </w:cols>
          <w:pgMar w:left="884" w:top="274" w:right="439" w:bottom="1440" w:gutter="0" w:footer="0" w:header="0"/>
        </w:sectPr>
      </w:pPr>
    </w:p>
    <w:bookmarkStart w:id="106" w:name="page107"/>
    <w:bookmarkEnd w:id="106"/>
    <w:p>
      <w:pPr>
        <w:ind w:right="20" w:firstLine="1877"/>
        <w:spacing w:after="0" w:line="302" w:lineRule="auto"/>
        <w:tabs>
          <w:tab w:leader="none" w:pos="2158" w:val="left"/>
        </w:tabs>
        <w:numPr>
          <w:ilvl w:val="2"/>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w:t>
      </w:r>
    </w:p>
    <w:p>
      <w:pPr>
        <w:spacing w:after="0" w:line="46" w:lineRule="exact"/>
        <w:rPr>
          <w:rFonts w:ascii="Arial" w:cs="Arial" w:eastAsia="Arial" w:hAnsi="Arial"/>
          <w:sz w:val="16"/>
          <w:szCs w:val="16"/>
          <w:color w:val="auto"/>
        </w:rPr>
      </w:pPr>
    </w:p>
    <w:p>
      <w:pPr>
        <w:ind w:right="180" w:firstLine="885"/>
        <w:spacing w:after="0" w:line="259" w:lineRule="auto"/>
        <w:tabs>
          <w:tab w:leader="none" w:pos="1126"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78" w:lineRule="exact"/>
        <w:rPr>
          <w:rFonts w:ascii="Arial" w:cs="Arial" w:eastAsia="Arial" w:hAnsi="Arial"/>
          <w:sz w:val="18"/>
          <w:szCs w:val="18"/>
          <w:color w:val="auto"/>
        </w:rPr>
      </w:pPr>
    </w:p>
    <w:p>
      <w:pPr>
        <w:ind w:right="40" w:firstLine="1436"/>
        <w:spacing w:after="0" w:line="257" w:lineRule="auto"/>
        <w:tabs>
          <w:tab w:leader="none" w:pos="1647"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 receive,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w:t>
      </w:r>
    </w:p>
    <w:p>
      <w:pPr>
        <w:spacing w:after="0" w:line="80" w:lineRule="exact"/>
        <w:rPr>
          <w:rFonts w:ascii="Arial" w:cs="Arial" w:eastAsia="Arial" w:hAnsi="Arial"/>
          <w:sz w:val="18"/>
          <w:szCs w:val="18"/>
          <w:color w:val="auto"/>
        </w:rPr>
      </w:pPr>
    </w:p>
    <w:p>
      <w:pPr>
        <w:ind w:right="120" w:firstLine="1436"/>
        <w:spacing w:after="0" w:line="293" w:lineRule="auto"/>
        <w:tabs>
          <w:tab w:leader="none" w:pos="1698"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56" w:lineRule="exact"/>
        <w:rPr>
          <w:rFonts w:ascii="Arial" w:cs="Arial" w:eastAsia="Arial" w:hAnsi="Arial"/>
          <w:sz w:val="16"/>
          <w:szCs w:val="16"/>
          <w:color w:val="auto"/>
        </w:rPr>
      </w:pPr>
    </w:p>
    <w:p>
      <w:pPr>
        <w:ind w:firstLine="1436"/>
        <w:spacing w:after="0" w:line="270" w:lineRule="auto"/>
        <w:tabs>
          <w:tab w:leader="none" w:pos="1748"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Tandem Stock Appreciation Rights</w:t>
      </w:r>
      <w:r>
        <w:rPr>
          <w:rFonts w:ascii="Arial" w:cs="Arial" w:eastAsia="Arial" w:hAnsi="Arial"/>
          <w:sz w:val="17"/>
          <w:szCs w:val="17"/>
          <w:color w:val="auto"/>
        </w:rPr>
        <w:t>. Any Tandem Stock Appreciation Right may be granted at the same time as the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is 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73" w:lineRule="exact"/>
        <w:rPr>
          <w:rFonts w:ascii="Arial" w:cs="Arial" w:eastAsia="Arial" w:hAnsi="Arial"/>
          <w:sz w:val="17"/>
          <w:szCs w:val="17"/>
          <w:color w:val="auto"/>
        </w:rPr>
      </w:pPr>
    </w:p>
    <w:p>
      <w:pPr>
        <w:ind w:left="1140" w:hanging="255"/>
        <w:spacing w:after="0"/>
        <w:tabs>
          <w:tab w:leader="none" w:pos="114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 following terms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conditions:</w:t>
      </w:r>
    </w:p>
    <w:p>
      <w:pPr>
        <w:spacing w:after="0" w:line="102" w:lineRule="exact"/>
        <w:rPr>
          <w:rFonts w:ascii="Arial" w:cs="Arial" w:eastAsia="Arial" w:hAnsi="Arial"/>
          <w:sz w:val="16"/>
          <w:szCs w:val="16"/>
          <w:color w:val="auto"/>
        </w:rPr>
      </w:pPr>
    </w:p>
    <w:p>
      <w:pPr>
        <w:ind w:right="20" w:firstLine="1436"/>
        <w:spacing w:after="0" w:line="288" w:lineRule="auto"/>
        <w:tabs>
          <w:tab w:leader="none" w:pos="1647"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restrictions, if any, as the Committee may impose, or as otherwise provided in this Plan during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Restriction Stock Award is subject to a risk of forfeiture, subject to Section 10(b) below and except as otherwise provided in the Award Agreement, the Restricted Stock may not be sold, transferred, pledged, hypothecated, margined or otherwise encumbered by the Participant.</w:t>
      </w:r>
    </w:p>
    <w:p>
      <w:pPr>
        <w:spacing w:after="0" w:line="61" w:lineRule="exact"/>
        <w:rPr>
          <w:rFonts w:ascii="Arial" w:cs="Arial" w:eastAsia="Arial" w:hAnsi="Arial"/>
          <w:sz w:val="16"/>
          <w:szCs w:val="16"/>
          <w:color w:val="auto"/>
        </w:rPr>
      </w:pPr>
    </w:p>
    <w:p>
      <w:pPr>
        <w:ind w:firstLine="1436"/>
        <w:spacing w:after="0" w:line="255" w:lineRule="auto"/>
        <w:tabs>
          <w:tab w:leader="none" w:pos="1698" w:val="left"/>
        </w:tabs>
        <w:numPr>
          <w:ilvl w:val="1"/>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subject to the limitations set forth in Section 6(j)(ii) hereof, the Committee may provide, by rule or regulation or in any Award Agreement, or may determine in any individual case, that forfeiture conditions relating to Restricted Stock Awards shall be waived in whole or in part in the event of terminations resulting from specified causes, and the Committee may in other cases waive in whole or in part the forfeiture of Restricted Stock.</w:t>
      </w:r>
    </w:p>
    <w:p>
      <w:pPr>
        <w:sectPr>
          <w:pgSz w:w="11900" w:h="16838" w:orient="portrait"/>
          <w:cols w:equalWidth="0" w:num="1">
            <w:col w:w="11020"/>
          </w:cols>
          <w:pgMar w:left="440" w:top="274" w:right="439" w:bottom="1440" w:gutter="0" w:footer="0" w:header="0"/>
        </w:sectPr>
      </w:pPr>
    </w:p>
    <w:bookmarkStart w:id="107" w:name="page108"/>
    <w:bookmarkEnd w:id="107"/>
    <w:p>
      <w:pPr>
        <w:ind w:right="320" w:firstLine="1436"/>
        <w:spacing w:after="0" w:line="302" w:lineRule="auto"/>
        <w:tabs>
          <w:tab w:leader="none" w:pos="1748" w:val="left"/>
        </w:tabs>
        <w:numPr>
          <w:ilvl w:val="1"/>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Certificates for Stock</w:t>
      </w:r>
      <w:r>
        <w:rPr>
          <w:rFonts w:ascii="Arial" w:cs="Arial" w:eastAsia="Arial" w:hAnsi="Arial"/>
          <w:sz w:val="16"/>
          <w:szCs w:val="16"/>
          <w:color w:val="auto"/>
        </w:rPr>
        <w:t>. Restricted Stock granted under the Plan may be evidenced in such manner as the Committee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46" w:lineRule="exact"/>
        <w:rPr>
          <w:rFonts w:ascii="Arial" w:cs="Arial" w:eastAsia="Arial" w:hAnsi="Arial"/>
          <w:sz w:val="16"/>
          <w:szCs w:val="16"/>
          <w:color w:val="auto"/>
        </w:rPr>
      </w:pPr>
    </w:p>
    <w:p>
      <w:pPr>
        <w:ind w:right="60" w:firstLine="1436"/>
        <w:spacing w:after="0" w:line="276" w:lineRule="auto"/>
        <w:tabs>
          <w:tab w:leader="none" w:pos="1737"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 permit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to elect 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64" w:lineRule="exact"/>
        <w:rPr>
          <w:rFonts w:ascii="Arial" w:cs="Arial" w:eastAsia="Arial" w:hAnsi="Arial"/>
          <w:sz w:val="17"/>
          <w:szCs w:val="17"/>
          <w:color w:val="auto"/>
        </w:rPr>
      </w:pPr>
    </w:p>
    <w:p>
      <w:pPr>
        <w:ind w:left="1120" w:hanging="235"/>
        <w:spacing w:after="0"/>
        <w:tabs>
          <w:tab w:leader="none" w:pos="112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Deferred Stock Award</w:t>
      </w:r>
      <w:r>
        <w:rPr>
          <w:rFonts w:ascii="Arial" w:cs="Arial" w:eastAsia="Arial" w:hAnsi="Arial"/>
          <w:sz w:val="16"/>
          <w:szCs w:val="16"/>
          <w:color w:val="auto"/>
        </w:rPr>
        <w:t>. The Committee is authorized to grant Deferred Stock Awards to any Eligible Person on the following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102" w:lineRule="exact"/>
        <w:rPr>
          <w:rFonts w:ascii="Arial" w:cs="Arial" w:eastAsia="Arial" w:hAnsi="Arial"/>
          <w:sz w:val="16"/>
          <w:szCs w:val="16"/>
          <w:color w:val="auto"/>
        </w:rPr>
      </w:pPr>
    </w:p>
    <w:p>
      <w:pPr>
        <w:ind w:right="100" w:firstLine="1436"/>
        <w:spacing w:after="0" w:line="271" w:lineRule="auto"/>
        <w:tabs>
          <w:tab w:leader="none" w:pos="1647"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Award and Restrictions</w:t>
      </w:r>
      <w:r>
        <w:rPr>
          <w:rFonts w:ascii="Arial" w:cs="Arial" w:eastAsia="Arial" w:hAnsi="Arial"/>
          <w:sz w:val="17"/>
          <w:szCs w:val="17"/>
          <w:color w:val="auto"/>
        </w:rPr>
        <w:t>. Satisfaction of a Deferred Stock Award shall occur upon expiration of the deferral period specified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70" w:lineRule="exact"/>
        <w:rPr>
          <w:rFonts w:ascii="Arial" w:cs="Arial" w:eastAsia="Arial" w:hAnsi="Arial"/>
          <w:sz w:val="17"/>
          <w:szCs w:val="17"/>
          <w:color w:val="auto"/>
        </w:rPr>
      </w:pPr>
    </w:p>
    <w:p>
      <w:pPr>
        <w:ind w:firstLine="1436"/>
        <w:spacing w:after="0" w:line="255" w:lineRule="auto"/>
        <w:tabs>
          <w:tab w:leader="none" w:pos="1698"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Forfeiture</w:t>
      </w:r>
      <w:r>
        <w:rPr>
          <w:rFonts w:ascii="Arial" w:cs="Arial" w:eastAsia="Arial" w:hAnsi="Arial"/>
          <w:sz w:val="18"/>
          <w:szCs w:val="18"/>
          <w:color w:val="auto"/>
        </w:rPr>
        <w:t>. Except as otherwise determined by the Committee, upon termination of a Participant’s Continuous Service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subject to the limitations set forth in Section 6(j)(ii) hereof,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81" w:lineRule="exact"/>
        <w:rPr>
          <w:rFonts w:ascii="Arial" w:cs="Arial" w:eastAsia="Arial" w:hAnsi="Arial"/>
          <w:sz w:val="18"/>
          <w:szCs w:val="18"/>
          <w:color w:val="auto"/>
        </w:rPr>
      </w:pPr>
    </w:p>
    <w:p>
      <w:pPr>
        <w:ind w:right="20" w:firstLine="1436"/>
        <w:spacing w:after="0" w:line="271" w:lineRule="auto"/>
        <w:tabs>
          <w:tab w:leader="none" w:pos="1748"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Unless otherwise determined by the Committee at the date of grant, any Dividend Equivalents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with 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Stock Award, but in no event later than 12 months before the first date on which any portion of such Deferred Stock Award vests.</w:t>
      </w:r>
    </w:p>
    <w:p>
      <w:pPr>
        <w:spacing w:after="0" w:line="70" w:lineRule="exact"/>
        <w:rPr>
          <w:rFonts w:ascii="Arial" w:cs="Arial" w:eastAsia="Arial" w:hAnsi="Arial"/>
          <w:sz w:val="17"/>
          <w:szCs w:val="17"/>
          <w:color w:val="auto"/>
        </w:rPr>
      </w:pPr>
    </w:p>
    <w:p>
      <w:pPr>
        <w:ind w:right="140" w:firstLine="885"/>
        <w:spacing w:after="0" w:line="297" w:lineRule="auto"/>
        <w:tabs>
          <w:tab w:leader="none" w:pos="1106"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50" w:lineRule="exact"/>
        <w:rPr>
          <w:rFonts w:ascii="Arial" w:cs="Arial" w:eastAsia="Arial" w:hAnsi="Arial"/>
          <w:sz w:val="16"/>
          <w:szCs w:val="16"/>
          <w:color w:val="auto"/>
        </w:rPr>
      </w:pPr>
    </w:p>
    <w:p>
      <w:pPr>
        <w:ind w:firstLine="885"/>
        <w:spacing w:after="0" w:line="273" w:lineRule="auto"/>
        <w:tabs>
          <w:tab w:leader="none" w:pos="1136"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 Eligible Person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cash, 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w:t>
      </w:r>
    </w:p>
    <w:p>
      <w:pPr>
        <w:sectPr>
          <w:pgSz w:w="11900" w:h="16838" w:orient="portrait"/>
          <w:cols w:equalWidth="0" w:num="1">
            <w:col w:w="11020"/>
          </w:cols>
          <w:pgMar w:left="440" w:top="274" w:right="439" w:bottom="1440" w:gutter="0" w:footer="0" w:header="0"/>
        </w:sectPr>
      </w:pPr>
    </w:p>
    <w:bookmarkStart w:id="108" w:name="page109"/>
    <w:bookmarkEnd w:id="108"/>
    <w:p>
      <w:pPr>
        <w:ind w:left="-444" w:right="40" w:firstLine="885"/>
        <w:spacing w:after="0" w:line="269" w:lineRule="auto"/>
        <w:tabs>
          <w:tab w:leader="none" w:pos="692"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Awards</w:t>
      </w:r>
      <w:r>
        <w:rPr>
          <w:rFonts w:ascii="Arial" w:cs="Arial" w:eastAsia="Arial" w:hAnsi="Arial"/>
          <w:sz w:val="17"/>
          <w:szCs w:val="17"/>
          <w:color w:val="auto"/>
        </w:rPr>
        <w:t>. The Committee is authorized to grant Performance Awards to any Eligible Person payable in cash, Shares,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provided, however, that a Performance Period shall not be shorter than 12 months nor longer than 5 years.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74" w:lineRule="exact"/>
        <w:rPr>
          <w:rFonts w:ascii="Arial" w:cs="Arial" w:eastAsia="Arial" w:hAnsi="Arial"/>
          <w:sz w:val="17"/>
          <w:szCs w:val="17"/>
          <w:color w:val="auto"/>
        </w:rPr>
      </w:pPr>
    </w:p>
    <w:p>
      <w:pPr>
        <w:ind w:left="-444" w:firstLine="885"/>
        <w:spacing w:after="0" w:line="270" w:lineRule="auto"/>
        <w:tabs>
          <w:tab w:leader="none" w:pos="652" w:val="left"/>
        </w:tabs>
        <w:numPr>
          <w:ilvl w:val="1"/>
          <w:numId w:val="68"/>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 Eligible Person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Section 13(k) of the Exchange Act, or any rule or regulation adopted thereunder or any other applicable law) paid for at such times, by such methods, and in such forms, including, without limitation, cash, Shares, other Awards or other property, as the Committee shall determine.</w:t>
      </w:r>
    </w:p>
    <w:p>
      <w:pPr>
        <w:spacing w:after="0" w:line="73" w:lineRule="exact"/>
        <w:rPr>
          <w:rFonts w:ascii="Arial" w:cs="Arial" w:eastAsia="Arial" w:hAnsi="Arial"/>
          <w:sz w:val="17"/>
          <w:szCs w:val="17"/>
          <w:color w:val="auto"/>
        </w:rPr>
      </w:pPr>
    </w:p>
    <w:p>
      <w:pPr>
        <w:ind w:left="176" w:hanging="176"/>
        <w:spacing w:after="0"/>
        <w:tabs>
          <w:tab w:leader="none" w:pos="176"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40" w:firstLine="885"/>
        <w:spacing w:after="0" w:line="269" w:lineRule="auto"/>
        <w:tabs>
          <w:tab w:leader="none" w:pos="682"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 Committee,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Shares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compliance with Section 409A of the Code.</w:t>
      </w:r>
    </w:p>
    <w:p>
      <w:pPr>
        <w:spacing w:after="0" w:line="71" w:lineRule="exact"/>
        <w:rPr>
          <w:rFonts w:ascii="Arial" w:cs="Arial" w:eastAsia="Arial" w:hAnsi="Arial"/>
          <w:sz w:val="17"/>
          <w:szCs w:val="17"/>
          <w:color w:val="auto"/>
        </w:rPr>
      </w:pPr>
    </w:p>
    <w:p>
      <w:pPr>
        <w:ind w:left="-444" w:right="180" w:firstLine="885"/>
        <w:spacing w:after="0" w:line="264" w:lineRule="auto"/>
        <w:tabs>
          <w:tab w:leader="none" w:pos="692" w:val="left"/>
        </w:tabs>
        <w:numPr>
          <w:ilvl w:val="1"/>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 no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the term of any Option or Stock Appreciation Right exceed a period of ten years (or in the case of an Incentive Stock Option such shorter term as may be required under Section 422 of the Code).</w:t>
      </w:r>
    </w:p>
    <w:p>
      <w:pPr>
        <w:spacing w:after="0" w:line="73" w:lineRule="exact"/>
        <w:rPr>
          <w:rFonts w:ascii="Arial" w:cs="Arial" w:eastAsia="Arial" w:hAnsi="Arial"/>
          <w:sz w:val="18"/>
          <w:szCs w:val="18"/>
          <w:color w:val="auto"/>
        </w:rPr>
      </w:pPr>
    </w:p>
    <w:p>
      <w:pPr>
        <w:ind w:left="-444" w:firstLine="885"/>
        <w:spacing w:after="0" w:line="268" w:lineRule="auto"/>
        <w:tabs>
          <w:tab w:leader="none" w:pos="682" w:val="left"/>
        </w:tabs>
        <w:numPr>
          <w:ilvl w:val="1"/>
          <w:numId w:val="69"/>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 Under Awards; Deferrals</w:t>
      </w:r>
      <w:r>
        <w:rPr>
          <w:rFonts w:ascii="Arial" w:cs="Arial" w:eastAsia="Arial" w:hAnsi="Arial"/>
          <w:sz w:val="17"/>
          <w:szCs w:val="17"/>
          <w:color w:val="auto"/>
        </w:rPr>
        <w:t>. Subject to the terms of the Plan and any applicable Award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be subject to the Company’s compliance with applicable law and all applicable rules of the Listing Market, and in a manner intended to be exempt from or otherwise satisfy the requirements of Section 409A of the Code. Subject to Section 7(e) hereof, the settlement of any Award may be accelerated, and cash paid in lieu of Shares in connection with such settlement, in the sole discretion of the Committee or upon occurrence of one or more specified events (in addition to a Change in Control).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7(e) of the Plan, including the consent provisions thereof in the case of any deferral of an outstanding Award not provided for in the original Award Agreement) or permitted at the election of the Participant on terms and conditions established by the Committee. The Committee may, without limitation, make provision for the payment or crediting of a reasonable interest rate on installment or deferred payments or the grant or crediting of Dividend Equivalents or other amounts in respect of installment or deferred payments denominated in Shares.</w:t>
      </w:r>
    </w:p>
    <w:p>
      <w:pPr>
        <w:sectPr>
          <w:pgSz w:w="11900" w:h="16838" w:orient="portrait"/>
          <w:cols w:equalWidth="0" w:num="1">
            <w:col w:w="10576"/>
          </w:cols>
          <w:pgMar w:left="884" w:top="274" w:right="439" w:bottom="1440" w:gutter="0" w:footer="0" w:header="0"/>
        </w:sectPr>
      </w:pPr>
    </w:p>
    <w:bookmarkStart w:id="109" w:name="page110"/>
    <w:bookmarkEnd w:id="109"/>
    <w:p>
      <w:pPr>
        <w:ind w:firstLine="885"/>
        <w:spacing w:after="0" w:line="297" w:lineRule="auto"/>
        <w:tabs>
          <w:tab w:leader="none" w:pos="1136"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Exemptions from Section 16(b) Liability</w:t>
      </w:r>
      <w:r>
        <w:rPr>
          <w:rFonts w:ascii="Arial" w:cs="Arial" w:eastAsia="Arial" w:hAnsi="Arial"/>
          <w:sz w:val="16"/>
          <w:szCs w:val="16"/>
          <w:color w:val="auto"/>
        </w:rPr>
        <w:t>. : If the It is the intent of the Company that the grant of any Awards to or other transaction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50" w:lineRule="exact"/>
        <w:rPr>
          <w:rFonts w:ascii="Arial" w:cs="Arial" w:eastAsia="Arial" w:hAnsi="Arial"/>
          <w:sz w:val="16"/>
          <w:szCs w:val="16"/>
          <w:color w:val="auto"/>
        </w:rPr>
      </w:pPr>
    </w:p>
    <w:p>
      <w:pPr>
        <w:ind w:left="1120" w:hanging="235"/>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1436"/>
        <w:spacing w:after="0" w:line="257" w:lineRule="auto"/>
        <w:tabs>
          <w:tab w:leader="none" w:pos="164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Award Agreement for any Award that the Committee reasonably determines to constitute a Section 409A Plan, and the provisions of the Plan applicable to that Award, shall be construed in a manner consistent with the applicable requirements of Section 409A,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80" w:lineRule="exact"/>
        <w:rPr>
          <w:rFonts w:ascii="Arial" w:cs="Arial" w:eastAsia="Arial" w:hAnsi="Arial"/>
          <w:sz w:val="18"/>
          <w:szCs w:val="18"/>
          <w:color w:val="auto"/>
        </w:rPr>
      </w:pPr>
    </w:p>
    <w:p>
      <w:pPr>
        <w:ind w:right="40" w:firstLine="1436"/>
        <w:spacing w:after="0" w:line="342" w:lineRule="auto"/>
        <w:tabs>
          <w:tab w:leader="none" w:pos="1698"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5" w:lineRule="exact"/>
        <w:rPr>
          <w:rFonts w:ascii="Arial" w:cs="Arial" w:eastAsia="Arial" w:hAnsi="Arial"/>
          <w:sz w:val="16"/>
          <w:szCs w:val="16"/>
          <w:color w:val="auto"/>
        </w:rPr>
      </w:pPr>
    </w:p>
    <w:p>
      <w:pPr>
        <w:ind w:right="120" w:firstLine="1877"/>
        <w:spacing w:after="0" w:line="302" w:lineRule="auto"/>
        <w:tabs>
          <w:tab w:leader="none" w:pos="2168" w:val="left"/>
        </w:tabs>
        <w:numPr>
          <w:ilvl w:val="2"/>
          <w:numId w:val="70"/>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46" w:lineRule="exact"/>
        <w:rPr>
          <w:rFonts w:ascii="Arial" w:cs="Arial" w:eastAsia="Arial" w:hAnsi="Arial"/>
          <w:sz w:val="16"/>
          <w:szCs w:val="16"/>
          <w:color w:val="auto"/>
        </w:rPr>
      </w:pPr>
    </w:p>
    <w:p>
      <w:pPr>
        <w:ind w:right="80" w:firstLine="1877"/>
        <w:spacing w:after="0" w:line="277" w:lineRule="auto"/>
        <w:tabs>
          <w:tab w:leader="none" w:pos="2158" w:val="left"/>
        </w:tabs>
        <w:numPr>
          <w:ilvl w:val="2"/>
          <w:numId w:val="70"/>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62" w:lineRule="exact"/>
        <w:rPr>
          <w:rFonts w:ascii="Arial" w:cs="Arial" w:eastAsia="Arial" w:hAnsi="Arial"/>
          <w:sz w:val="18"/>
          <w:szCs w:val="18"/>
          <w:color w:val="auto"/>
        </w:rPr>
      </w:pPr>
    </w:p>
    <w:p>
      <w:pPr>
        <w:ind w:right="440" w:firstLine="1877"/>
        <w:spacing w:after="0" w:line="277" w:lineRule="auto"/>
        <w:tabs>
          <w:tab w:leader="none" w:pos="2158" w:val="left"/>
        </w:tabs>
        <w:numPr>
          <w:ilvl w:val="2"/>
          <w:numId w:val="70"/>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 and</w:t>
      </w:r>
    </w:p>
    <w:p>
      <w:pPr>
        <w:spacing w:after="0" w:line="62" w:lineRule="exact"/>
        <w:rPr>
          <w:rFonts w:ascii="Arial" w:cs="Arial" w:eastAsia="Arial" w:hAnsi="Arial"/>
          <w:sz w:val="18"/>
          <w:szCs w:val="18"/>
          <w:color w:val="auto"/>
        </w:rPr>
      </w:pPr>
    </w:p>
    <w:p>
      <w:pPr>
        <w:ind w:right="180" w:firstLine="1877"/>
        <w:spacing w:after="0" w:line="264" w:lineRule="auto"/>
        <w:tabs>
          <w:tab w:leader="none" w:pos="2168" w:val="left"/>
        </w:tabs>
        <w:numPr>
          <w:ilvl w:val="2"/>
          <w:numId w:val="70"/>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 The Company does not make any representation to the Participant that any Awards awarded under this Plan will be exempt from, or satisfy, the requirements of Section 409A, and the Company shall have no liability or other obligation to indemnify or hold harmless any Participant or Beneficiary for any tax, additional tax, interest or penalties that any Participant or Beneficiary may incur in the event that any provision of this Plan, any Award Agreement, or any amendment or modification thereof, or any other action taken with respect thereto, is deemed to violate any of the requirements of Section 409A.</w:t>
      </w:r>
    </w:p>
    <w:p>
      <w:pPr>
        <w:spacing w:after="0" w:line="70" w:lineRule="exact"/>
        <w:rPr>
          <w:sz w:val="20"/>
          <w:szCs w:val="20"/>
          <w:color w:val="auto"/>
        </w:rPr>
      </w:pPr>
    </w:p>
    <w:p>
      <w:pPr>
        <w:ind w:right="280" w:firstLine="1436"/>
        <w:spacing w:after="0" w:line="276" w:lineRule="auto"/>
        <w:tabs>
          <w:tab w:leader="none" w:pos="1748" w:val="left"/>
        </w:tabs>
        <w:numPr>
          <w:ilvl w:val="2"/>
          <w:numId w:val="71"/>
        </w:numPr>
        <w:rPr>
          <w:rFonts w:ascii="Arial" w:cs="Arial" w:eastAsia="Arial" w:hAnsi="Arial"/>
          <w:sz w:val="17"/>
          <w:szCs w:val="17"/>
          <w:color w:val="auto"/>
        </w:rPr>
      </w:pPr>
      <w:r>
        <w:rPr>
          <w:rFonts w:ascii="Arial" w:cs="Arial" w:eastAsia="Arial" w:hAnsi="Arial"/>
          <w:sz w:val="17"/>
          <w:szCs w:val="17"/>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64" w:lineRule="exact"/>
        <w:rPr>
          <w:rFonts w:ascii="Arial" w:cs="Arial" w:eastAsia="Arial" w:hAnsi="Arial"/>
          <w:sz w:val="17"/>
          <w:szCs w:val="17"/>
          <w:color w:val="auto"/>
        </w:rPr>
      </w:pPr>
    </w:p>
    <w:p>
      <w:pPr>
        <w:ind w:left="620" w:hanging="176"/>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60" w:firstLine="885"/>
        <w:spacing w:after="0" w:line="264" w:lineRule="auto"/>
        <w:tabs>
          <w:tab w:leader="none" w:pos="1126"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Unless otherwise specified by the Committee,] the provisions of this Section 8 shall be applicable 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 granted to an Eligible Person who is, or is likely to be, as of the end of the tax year in which the Company would claim a tax deduction in connection with such Award, a Covered Employee.</w:t>
      </w:r>
    </w:p>
    <w:p>
      <w:pPr>
        <w:sectPr>
          <w:pgSz w:w="11900" w:h="16838" w:orient="portrait"/>
          <w:cols w:equalWidth="0" w:num="1">
            <w:col w:w="11000"/>
          </w:cols>
          <w:pgMar w:left="440" w:top="274" w:right="459" w:bottom="1440" w:gutter="0" w:footer="0" w:header="0"/>
        </w:sectPr>
      </w:pPr>
    </w:p>
    <w:bookmarkStart w:id="110" w:name="page111"/>
    <w:bookmarkEnd w:id="110"/>
    <w:p>
      <w:pPr>
        <w:ind w:left="-4" w:right="60" w:firstLine="885"/>
        <w:spacing w:after="0" w:line="284" w:lineRule="auto"/>
        <w:tabs>
          <w:tab w:leader="none" w:pos="1132" w:val="left"/>
        </w:tabs>
        <w:numPr>
          <w:ilvl w:val="2"/>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Criteria</w:t>
      </w:r>
      <w:r>
        <w:rPr>
          <w:rFonts w:ascii="Arial" w:cs="Arial" w:eastAsia="Arial" w:hAnsi="Arial"/>
          <w:sz w:val="16"/>
          <w:szCs w:val="16"/>
          <w:color w:val="auto"/>
        </w:rPr>
        <w:t>. If a Performance Award is subject to this Section 8, then the payment or distribution thereof or the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w:t>
      </w:r>
    </w:p>
    <w:p>
      <w:pPr>
        <w:spacing w:after="0" w:line="1" w:lineRule="exact"/>
        <w:rPr>
          <w:rFonts w:ascii="Arial" w:cs="Arial" w:eastAsia="Arial" w:hAnsi="Arial"/>
          <w:sz w:val="16"/>
          <w:szCs w:val="16"/>
          <w:color w:val="auto"/>
        </w:rPr>
      </w:pPr>
    </w:p>
    <w:p>
      <w:pPr>
        <w:ind w:left="-4" w:right="100" w:firstLine="4"/>
        <w:spacing w:after="0" w:line="267" w:lineRule="auto"/>
        <w:tabs>
          <w:tab w:leader="none" w:pos="251" w:val="left"/>
        </w:tabs>
        <w:numPr>
          <w:ilvl w:val="0"/>
          <w:numId w:val="74"/>
        </w:numPr>
        <w:rPr>
          <w:rFonts w:ascii="Arial" w:cs="Arial" w:eastAsia="Arial" w:hAnsi="Arial"/>
          <w:sz w:val="17"/>
          <w:szCs w:val="17"/>
          <w:color w:val="auto"/>
        </w:rPr>
      </w:pPr>
      <w:r>
        <w:rPr>
          <w:rFonts w:ascii="Arial" w:cs="Arial" w:eastAsia="Arial" w:hAnsi="Arial"/>
          <w:sz w:val="17"/>
          <w:szCs w:val="17"/>
          <w:color w:val="auto"/>
        </w:rPr>
        <w:t>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market share; (15) entry into new markets, either geographically or by business unit; (16) customer retention and satisfaction; (17) strategic plan development and implementation, including turnaround plans; and/or (18)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In determining the achievement of the performance goals, the Committee shall exclude the impact of any (i) restructurings, discontinued operations, extraordinary items, and other unusual or non-recurring charges, (ii) event either not directly related to the operations of the Company or not within the reasonable control of the Company’s management, or (iii) change in accounting standards required by generally accepted accounting principles.</w:t>
      </w:r>
    </w:p>
    <w:p>
      <w:pPr>
        <w:spacing w:after="0" w:line="75" w:lineRule="exact"/>
        <w:rPr>
          <w:rFonts w:ascii="Arial" w:cs="Arial" w:eastAsia="Arial" w:hAnsi="Arial"/>
          <w:sz w:val="17"/>
          <w:szCs w:val="17"/>
          <w:color w:val="auto"/>
        </w:rPr>
      </w:pPr>
    </w:p>
    <w:p>
      <w:pPr>
        <w:ind w:left="-4" w:right="20" w:firstLine="885"/>
        <w:spacing w:after="0" w:line="302" w:lineRule="auto"/>
        <w:tabs>
          <w:tab w:leader="none" w:pos="1122" w:val="left"/>
        </w:tabs>
        <w:numPr>
          <w:ilvl w:val="2"/>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Section 162(m) of the Code.</w:t>
      </w:r>
    </w:p>
    <w:p>
      <w:pPr>
        <w:spacing w:after="0" w:line="46" w:lineRule="exact"/>
        <w:rPr>
          <w:rFonts w:ascii="Arial" w:cs="Arial" w:eastAsia="Arial" w:hAnsi="Arial"/>
          <w:sz w:val="16"/>
          <w:szCs w:val="16"/>
          <w:color w:val="auto"/>
        </w:rPr>
      </w:pPr>
    </w:p>
    <w:p>
      <w:pPr>
        <w:jc w:val="both"/>
        <w:ind w:left="-4" w:right="80" w:firstLine="885"/>
        <w:spacing w:after="0" w:line="279" w:lineRule="auto"/>
        <w:tabs>
          <w:tab w:leader="none" w:pos="1132" w:val="left"/>
        </w:tabs>
        <w:numPr>
          <w:ilvl w:val="2"/>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The Committee may, in its discretion, reduce the amount of a settlement otherwise to be made in connection with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subject to 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63" w:lineRule="exact"/>
        <w:rPr>
          <w:rFonts w:ascii="Arial" w:cs="Arial" w:eastAsia="Arial" w:hAnsi="Arial"/>
          <w:sz w:val="17"/>
          <w:szCs w:val="17"/>
          <w:color w:val="auto"/>
        </w:rPr>
      </w:pPr>
    </w:p>
    <w:p>
      <w:pPr>
        <w:ind w:left="-4" w:firstLine="885"/>
        <w:spacing w:after="0" w:line="259" w:lineRule="auto"/>
        <w:tabs>
          <w:tab w:leader="none" w:pos="1122" w:val="left"/>
        </w:tabs>
        <w:numPr>
          <w:ilvl w:val="2"/>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8 unless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78" w:lineRule="exact"/>
        <w:rPr>
          <w:rFonts w:ascii="Arial" w:cs="Arial" w:eastAsia="Arial" w:hAnsi="Arial"/>
          <w:sz w:val="18"/>
          <w:szCs w:val="18"/>
          <w:color w:val="auto"/>
        </w:rPr>
      </w:pPr>
    </w:p>
    <w:p>
      <w:pPr>
        <w:ind w:left="616" w:hanging="176"/>
        <w:spacing w:after="0"/>
        <w:tabs>
          <w:tab w:leader="none" w:pos="616"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260" w:firstLine="885"/>
        <w:spacing w:after="0" w:line="312" w:lineRule="auto"/>
        <w:tabs>
          <w:tab w:leader="none" w:pos="1122" w:val="left"/>
        </w:tabs>
        <w:numPr>
          <w:ilvl w:val="2"/>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 of “Change in Control.” </w:t>
      </w:r>
      <w:r>
        <w:rPr>
          <w:rFonts w:ascii="Arial" w:cs="Arial" w:eastAsia="Arial" w:hAnsi="Arial"/>
          <w:sz w:val="16"/>
          <w:szCs w:val="16"/>
          <w:color w:val="auto"/>
        </w:rPr>
        <w:t>If and only to the extent provided in any employment or other agreement between the Participant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or any Related Entity, or in any Award Agreement, or to the extent otherwise determined by the Committee in its sole discretion and without any requirement that each Participant be treated consistently, upon the occurrence of a “Change in Control,” as defined in Section 9(b):</w:t>
      </w:r>
    </w:p>
    <w:p>
      <w:pPr>
        <w:spacing w:after="0" w:line="38" w:lineRule="exact"/>
        <w:rPr>
          <w:rFonts w:ascii="Arial" w:cs="Arial" w:eastAsia="Arial" w:hAnsi="Arial"/>
          <w:sz w:val="16"/>
          <w:szCs w:val="16"/>
          <w:color w:val="auto"/>
        </w:rPr>
      </w:pPr>
    </w:p>
    <w:p>
      <w:pPr>
        <w:ind w:left="-4" w:right="160" w:firstLine="1436"/>
        <w:spacing w:after="0" w:line="277" w:lineRule="auto"/>
        <w:tabs>
          <w:tab w:leader="none" w:pos="1644" w:val="left"/>
        </w:tabs>
        <w:numPr>
          <w:ilvl w:val="3"/>
          <w:numId w:val="75"/>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62" w:lineRule="exact"/>
        <w:rPr>
          <w:rFonts w:ascii="Arial" w:cs="Arial" w:eastAsia="Arial" w:hAnsi="Arial"/>
          <w:sz w:val="18"/>
          <w:szCs w:val="18"/>
          <w:color w:val="auto"/>
        </w:rPr>
      </w:pPr>
    </w:p>
    <w:p>
      <w:pPr>
        <w:ind w:left="-4" w:right="120" w:firstLine="1436"/>
        <w:spacing w:after="0" w:line="259" w:lineRule="auto"/>
        <w:tabs>
          <w:tab w:leader="none" w:pos="1694" w:val="left"/>
        </w:tabs>
        <w:numPr>
          <w:ilvl w:val="3"/>
          <w:numId w:val="75"/>
        </w:numPr>
        <w:rPr>
          <w:rFonts w:ascii="Arial" w:cs="Arial" w:eastAsia="Arial" w:hAnsi="Arial"/>
          <w:sz w:val="18"/>
          <w:szCs w:val="18"/>
          <w:color w:val="auto"/>
        </w:rPr>
      </w:pPr>
      <w:r>
        <w:rPr>
          <w:rFonts w:ascii="Arial" w:cs="Arial" w:eastAsia="Arial" w:hAnsi="Arial"/>
          <w:sz w:val="18"/>
          <w:szCs w:val="18"/>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78" w:lineRule="exact"/>
        <w:rPr>
          <w:rFonts w:ascii="Arial" w:cs="Arial" w:eastAsia="Arial" w:hAnsi="Arial"/>
          <w:sz w:val="18"/>
          <w:szCs w:val="18"/>
          <w:color w:val="auto"/>
        </w:rPr>
      </w:pPr>
    </w:p>
    <w:p>
      <w:pPr>
        <w:ind w:left="-4" w:right="700" w:firstLine="1436"/>
        <w:spacing w:after="0" w:line="342" w:lineRule="auto"/>
        <w:tabs>
          <w:tab w:leader="none" w:pos="1744" w:val="left"/>
        </w:tabs>
        <w:numPr>
          <w:ilvl w:val="3"/>
          <w:numId w:val="75"/>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ectPr>
          <w:pgSz w:w="11900" w:h="16838" w:orient="portrait"/>
          <w:cols w:equalWidth="0" w:num="1">
            <w:col w:w="11016"/>
          </w:cols>
          <w:pgMar w:left="444" w:top="274" w:right="439" w:bottom="1440" w:gutter="0" w:footer="0" w:header="0"/>
        </w:sectPr>
      </w:pPr>
    </w:p>
    <w:bookmarkStart w:id="111" w:name="page112"/>
    <w:bookmarkEnd w:id="111"/>
    <w:p>
      <w:pPr>
        <w:ind w:left="-4" w:firstLine="885"/>
        <w:spacing w:after="0" w:line="277" w:lineRule="auto"/>
        <w:tabs>
          <w:tab w:leader="none" w:pos="1132" w:val="left"/>
        </w:tabs>
        <w:numPr>
          <w:ilvl w:val="2"/>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 of “Change in Control”</w:t>
      </w:r>
      <w:r>
        <w:rPr>
          <w:rFonts w:ascii="Arial" w:cs="Arial" w:eastAsia="Arial" w:hAnsi="Arial"/>
          <w:sz w:val="18"/>
          <w:szCs w:val="18"/>
          <w:color w:val="auto"/>
        </w:rPr>
        <w:t>. Unless otherwise specified in any employment agreement between the Participant and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any Related Entity, or in an Award Agreement, a “Change in Control” shall mean the occurrence of any of the following:</w:t>
      </w:r>
    </w:p>
    <w:p>
      <w:pPr>
        <w:spacing w:after="0" w:line="62" w:lineRule="exact"/>
        <w:rPr>
          <w:rFonts w:ascii="Arial" w:cs="Arial" w:eastAsia="Arial" w:hAnsi="Arial"/>
          <w:sz w:val="18"/>
          <w:szCs w:val="18"/>
          <w:color w:val="auto"/>
        </w:rPr>
      </w:pPr>
    </w:p>
    <w:p>
      <w:pPr>
        <w:ind w:left="-4" w:right="20" w:firstLine="1436"/>
        <w:spacing w:after="0" w:line="291" w:lineRule="auto"/>
        <w:tabs>
          <w:tab w:leader="none" w:pos="1644" w:val="left"/>
        </w:tabs>
        <w:numPr>
          <w:ilvl w:val="3"/>
          <w:numId w:val="7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w:t>
      </w:r>
    </w:p>
    <w:p>
      <w:pPr>
        <w:ind w:left="-4" w:right="40" w:firstLine="4"/>
        <w:spacing w:after="0" w:line="290" w:lineRule="auto"/>
        <w:tabs>
          <w:tab w:leader="none" w:pos="28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Related Entity; or (z) any acquisition by any entity pursuant to a transaction which complies with clauses (A), (B) and (C) of subsection (iii) below; or</w:t>
      </w:r>
    </w:p>
    <w:p>
      <w:pPr>
        <w:spacing w:after="0" w:line="56" w:lineRule="exact"/>
        <w:rPr>
          <w:rFonts w:ascii="Arial" w:cs="Arial" w:eastAsia="Arial" w:hAnsi="Arial"/>
          <w:sz w:val="16"/>
          <w:szCs w:val="16"/>
          <w:color w:val="auto"/>
        </w:rPr>
      </w:pPr>
    </w:p>
    <w:p>
      <w:pPr>
        <w:ind w:left="-4" w:firstLine="1436"/>
        <w:spacing w:after="0" w:line="255" w:lineRule="auto"/>
        <w:tabs>
          <w:tab w:leader="none" w:pos="1694" w:val="left"/>
        </w:tabs>
        <w:numPr>
          <w:ilvl w:val="3"/>
          <w:numId w:val="77"/>
        </w:numPr>
        <w:rPr>
          <w:rFonts w:ascii="Arial" w:cs="Arial" w:eastAsia="Arial" w:hAnsi="Arial"/>
          <w:sz w:val="18"/>
          <w:szCs w:val="18"/>
          <w:color w:val="auto"/>
        </w:rPr>
      </w:pPr>
      <w:r>
        <w:rPr>
          <w:rFonts w:ascii="Arial" w:cs="Arial" w:eastAsia="Arial" w:hAnsi="Arial"/>
          <w:sz w:val="18"/>
          <w:szCs w:val="18"/>
          <w:color w:val="auto"/>
        </w:rPr>
        <w:t>During any period of three (3)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81" w:lineRule="exact"/>
        <w:rPr>
          <w:rFonts w:ascii="Arial" w:cs="Arial" w:eastAsia="Arial" w:hAnsi="Arial"/>
          <w:sz w:val="18"/>
          <w:szCs w:val="18"/>
          <w:color w:val="auto"/>
        </w:rPr>
      </w:pPr>
    </w:p>
    <w:p>
      <w:pPr>
        <w:ind w:left="-4" w:firstLine="1436"/>
        <w:spacing w:after="0" w:line="267" w:lineRule="auto"/>
        <w:tabs>
          <w:tab w:leader="none" w:pos="1744" w:val="left"/>
        </w:tabs>
        <w:numPr>
          <w:ilvl w:val="3"/>
          <w:numId w:val="77"/>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consolidation or similar transaction involving the Company or any of its Related Entities, a sale or other disposition of all or substantially all of the assets of the Company, or the acquisition of assets or equity of another entity by the Company or any of its Related Entities (each a “Business Combination”), in each case, unless, following such Business Combination, (A)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(B)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except to the extent that such ownership existed prior to the Business Combination and (C)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84" w:lineRule="exact"/>
        <w:rPr>
          <w:rFonts w:ascii="Arial" w:cs="Arial" w:eastAsia="Arial" w:hAnsi="Arial"/>
          <w:sz w:val="17"/>
          <w:szCs w:val="17"/>
          <w:color w:val="auto"/>
        </w:rPr>
      </w:pPr>
    </w:p>
    <w:p>
      <w:pPr>
        <w:ind w:left="1736" w:hanging="304"/>
        <w:spacing w:after="0"/>
        <w:tabs>
          <w:tab w:leader="none" w:pos="1736" w:val="left"/>
        </w:tabs>
        <w:numPr>
          <w:ilvl w:val="3"/>
          <w:numId w:val="7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17" w:lineRule="exact"/>
        <w:rPr>
          <w:rFonts w:ascii="Arial" w:cs="Arial" w:eastAsia="Arial" w:hAnsi="Arial"/>
          <w:sz w:val="18"/>
          <w:szCs w:val="18"/>
          <w:color w:val="auto"/>
        </w:rPr>
      </w:pPr>
    </w:p>
    <w:p>
      <w:pPr>
        <w:ind w:left="716" w:hanging="276"/>
        <w:spacing w:after="0"/>
        <w:tabs>
          <w:tab w:leader="none" w:pos="716"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40" w:firstLine="885"/>
        <w:spacing w:after="0" w:line="255" w:lineRule="auto"/>
        <w:tabs>
          <w:tab w:leader="none" w:pos="1122" w:val="left"/>
        </w:tabs>
        <w:numPr>
          <w:ilvl w:val="2"/>
          <w:numId w:val="77"/>
        </w:numPr>
        <w:rPr>
          <w:rFonts w:ascii="Arial" w:cs="Arial" w:eastAsia="Arial" w:hAnsi="Arial"/>
          <w:sz w:val="18"/>
          <w:szCs w:val="18"/>
          <w:color w:val="auto"/>
        </w:rPr>
      </w:pPr>
      <w:r>
        <w:rPr>
          <w:rFonts w:ascii="Arial" w:cs="Arial" w:eastAsia="Arial" w:hAnsi="Arial"/>
          <w:sz w:val="18"/>
          <w:szCs w:val="18"/>
          <w:color w:val="auto"/>
        </w:rPr>
        <w:t>Compliance With Legal and Other Requirements.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81" w:lineRule="exact"/>
        <w:rPr>
          <w:rFonts w:ascii="Arial" w:cs="Arial" w:eastAsia="Arial" w:hAnsi="Arial"/>
          <w:sz w:val="18"/>
          <w:szCs w:val="18"/>
          <w:color w:val="auto"/>
        </w:rPr>
      </w:pPr>
    </w:p>
    <w:p>
      <w:pPr>
        <w:ind w:left="-4" w:right="120" w:firstLine="885"/>
        <w:spacing w:after="0" w:line="255" w:lineRule="auto"/>
        <w:tabs>
          <w:tab w:leader="none" w:pos="1132" w:val="left"/>
        </w:tabs>
        <w:numPr>
          <w:ilvl w:val="2"/>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Limits on Transferability; Beneficiaries</w:t>
      </w:r>
      <w:r>
        <w:rPr>
          <w:rFonts w:ascii="Arial" w:cs="Arial" w:eastAsia="Arial" w:hAnsi="Arial"/>
          <w:sz w:val="18"/>
          <w:szCs w:val="18"/>
          <w:color w:val="auto"/>
        </w:rPr>
        <w:t>. No Award or other right or interest granted under the Plan shall be pledged, hypothecated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w:t>
      </w:r>
    </w:p>
    <w:p>
      <w:pPr>
        <w:sectPr>
          <w:pgSz w:w="11900" w:h="16838" w:orient="portrait"/>
          <w:cols w:equalWidth="0" w:num="1">
            <w:col w:w="10996"/>
          </w:cols>
          <w:pgMar w:left="444" w:top="274" w:right="459" w:bottom="1440" w:gutter="0" w:footer="0" w:header="0"/>
        </w:sectPr>
      </w:pPr>
    </w:p>
    <w:bookmarkStart w:id="112" w:name="page113"/>
    <w:bookmarkEnd w:id="112"/>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64" w:lineRule="exact"/>
        <w:rPr>
          <w:sz w:val="20"/>
          <w:szCs w:val="20"/>
          <w:color w:val="auto"/>
        </w:rPr>
      </w:pPr>
    </w:p>
    <w:p>
      <w:pPr>
        <w:ind w:left="1140" w:hanging="255"/>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436"/>
        <w:spacing w:after="0" w:line="270" w:lineRule="auto"/>
        <w:tabs>
          <w:tab w:leader="none" w:pos="1647" w:val="left"/>
        </w:tabs>
        <w:numPr>
          <w:ilvl w:val="1"/>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 cash, Shares,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4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73" w:lineRule="exact"/>
        <w:rPr>
          <w:rFonts w:ascii="Arial" w:cs="Arial" w:eastAsia="Arial" w:hAnsi="Arial"/>
          <w:sz w:val="17"/>
          <w:szCs w:val="17"/>
          <w:color w:val="auto"/>
        </w:rPr>
      </w:pPr>
    </w:p>
    <w:p>
      <w:pPr>
        <w:ind w:firstLine="1436"/>
        <w:spacing w:after="0" w:line="286" w:lineRule="auto"/>
        <w:tabs>
          <w:tab w:leader="none" w:pos="1698"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Adjustments in Case of Certain Transactions</w:t>
      </w:r>
      <w:r>
        <w:rPr>
          <w:rFonts w:ascii="Arial" w:cs="Arial" w:eastAsia="Arial" w:hAnsi="Arial"/>
          <w:sz w:val="16"/>
          <w:szCs w:val="16"/>
          <w:color w:val="auto"/>
        </w:rPr>
        <w:t>. In the event of any merger, consolidation or other reorganization in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does not survive, or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(a) the continuation of the outstanding Awards by the Company, if the Company is a surviving entity, (b) the assumption or substitution for, as those terms are defined in Section 9(a)(iv) hereof, the outstanding Awards by the surviving entity or its parent or subsidiary, (c) 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at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66" w:lineRule="exact"/>
        <w:rPr>
          <w:rFonts w:ascii="Arial" w:cs="Arial" w:eastAsia="Arial" w:hAnsi="Arial"/>
          <w:sz w:val="16"/>
          <w:szCs w:val="16"/>
          <w:color w:val="auto"/>
        </w:rPr>
      </w:pPr>
    </w:p>
    <w:p>
      <w:pPr>
        <w:ind w:right="20" w:firstLine="1436"/>
        <w:spacing w:after="0" w:line="286" w:lineRule="auto"/>
        <w:tabs>
          <w:tab w:leader="none" w:pos="1748"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and conditions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 Adjustments permitted hereby may include, without limitation, increasing the exercise price of Options and Stock Appreciation Rights, increasing performance goals, or other adjustments that may be adverse to the Participant.</w:t>
      </w:r>
    </w:p>
    <w:p>
      <w:pPr>
        <w:sectPr>
          <w:pgSz w:w="11900" w:h="16838" w:orient="portrait"/>
          <w:cols w:equalWidth="0" w:num="1">
            <w:col w:w="11020"/>
          </w:cols>
          <w:pgMar w:left="440" w:top="274" w:right="439" w:bottom="1440" w:gutter="0" w:footer="0" w:header="0"/>
        </w:sectPr>
      </w:pPr>
    </w:p>
    <w:bookmarkStart w:id="113" w:name="page114"/>
    <w:bookmarkEnd w:id="113"/>
    <w:p>
      <w:pPr>
        <w:ind w:left="-4" w:right="80" w:firstLine="885"/>
        <w:spacing w:after="0" w:line="293" w:lineRule="auto"/>
        <w:tabs>
          <w:tab w:leader="none" w:pos="1132"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w:t>
      </w:r>
      <w:r>
        <w:rPr>
          <w:rFonts w:ascii="Arial" w:cs="Arial" w:eastAsia="Arial" w:hAnsi="Arial"/>
          <w:sz w:val="16"/>
          <w:szCs w:val="16"/>
          <w:color w:val="auto"/>
        </w:rPr>
        <w:t>. The Company and any Related Entity are authorized to withhold from any Award granted, any payment relating to an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56" w:lineRule="exact"/>
        <w:rPr>
          <w:rFonts w:ascii="Arial" w:cs="Arial" w:eastAsia="Arial" w:hAnsi="Arial"/>
          <w:sz w:val="16"/>
          <w:szCs w:val="16"/>
          <w:color w:val="auto"/>
        </w:rPr>
      </w:pPr>
    </w:p>
    <w:p>
      <w:pPr>
        <w:ind w:left="-4" w:right="20" w:firstLine="885"/>
        <w:spacing w:after="0" w:line="288" w:lineRule="auto"/>
        <w:tabs>
          <w:tab w:leader="none" w:pos="1122"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 Committee’s authority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except as otherwise permitted by the Plan or Award Agreement, without the consent of an affected Participant, no such Board action may materially and adversely affect the rights of such Participant under the terms of any previously granted and outstanding Award. The Committee may waive any conditions or rights under, or amend, alter, suspend, discontinue or terminate any Award theretofore granted and any Award Agreement relating thereto, except as otherwise provided in the Plan; provided that, except as otherwise permitted by the Plan or Award Agreement, without the consent of an affected Participant, no such Committee or the Board action may materially and adversely affect the rights of such Participant under terms of such Award.</w:t>
      </w:r>
    </w:p>
    <w:p>
      <w:pPr>
        <w:spacing w:after="0" w:line="61" w:lineRule="exact"/>
        <w:rPr>
          <w:rFonts w:ascii="Arial" w:cs="Arial" w:eastAsia="Arial" w:hAnsi="Arial"/>
          <w:sz w:val="16"/>
          <w:szCs w:val="16"/>
          <w:color w:val="auto"/>
        </w:rPr>
      </w:pPr>
    </w:p>
    <w:p>
      <w:pPr>
        <w:ind w:left="1116" w:hanging="235"/>
        <w:spacing w:after="0"/>
        <w:tabs>
          <w:tab w:leader="none" w:pos="1116" w:val="left"/>
        </w:tabs>
        <w:numPr>
          <w:ilvl w:val="1"/>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 construed as</w:t>
      </w:r>
    </w:p>
    <w:p>
      <w:pPr>
        <w:spacing w:after="0" w:line="46" w:lineRule="exact"/>
        <w:rPr>
          <w:rFonts w:ascii="Arial" w:cs="Arial" w:eastAsia="Arial" w:hAnsi="Arial"/>
          <w:sz w:val="16"/>
          <w:szCs w:val="16"/>
          <w:color w:val="auto"/>
        </w:rPr>
      </w:pPr>
    </w:p>
    <w:p>
      <w:pPr>
        <w:ind w:left="-4" w:firstLine="4"/>
        <w:spacing w:after="0" w:line="267" w:lineRule="auto"/>
        <w:tabs>
          <w:tab w:leader="none" w:pos="2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Awards unless and until the Participant is duly issued Shares pursuant to the Award on the stock books of the Company in accordance with the terms of an Award. Neither the Company nor any of the Company’s officers, directors, representatives or agents is granting any rights under the Plan to the Participant whatsoever, oral or written, express or implied, other than those rights expressly set forth in this Plan or the Award Agreement.</w:t>
      </w:r>
    </w:p>
    <w:p>
      <w:pPr>
        <w:spacing w:after="0" w:line="78" w:lineRule="exact"/>
        <w:rPr>
          <w:rFonts w:ascii="Arial" w:cs="Arial" w:eastAsia="Arial" w:hAnsi="Arial"/>
          <w:sz w:val="17"/>
          <w:szCs w:val="17"/>
          <w:color w:val="auto"/>
        </w:rPr>
      </w:pPr>
    </w:p>
    <w:p>
      <w:pPr>
        <w:ind w:left="-4" w:right="20" w:firstLine="885"/>
        <w:spacing w:after="0" w:line="254" w:lineRule="auto"/>
        <w:tabs>
          <w:tab w:leader="none" w:pos="1132"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Unfunded Status of Awards; Creation of Trusts</w:t>
      </w:r>
      <w:r>
        <w:rPr>
          <w:rFonts w:ascii="Arial" w:cs="Arial" w:eastAsia="Arial" w:hAnsi="Arial"/>
          <w:sz w:val="18"/>
          <w:szCs w:val="18"/>
          <w:color w:val="auto"/>
        </w:rPr>
        <w:t>. The Plan is intended to constitute an “unfunded” plan for incentive and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84" w:lineRule="exact"/>
        <w:rPr>
          <w:rFonts w:ascii="Arial" w:cs="Arial" w:eastAsia="Arial" w:hAnsi="Arial"/>
          <w:sz w:val="18"/>
          <w:szCs w:val="18"/>
          <w:color w:val="auto"/>
        </w:rPr>
      </w:pPr>
    </w:p>
    <w:p>
      <w:pPr>
        <w:ind w:left="-4" w:right="20" w:firstLine="885"/>
        <w:spacing w:after="0" w:line="286" w:lineRule="auto"/>
        <w:tabs>
          <w:tab w:leader="none" w:pos="1132" w:val="left"/>
        </w:tabs>
        <w:numPr>
          <w:ilvl w:val="1"/>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 Company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57" w:lineRule="exact"/>
        <w:rPr>
          <w:rFonts w:ascii="Arial" w:cs="Arial" w:eastAsia="Arial" w:hAnsi="Arial"/>
          <w:sz w:val="17"/>
          <w:szCs w:val="17"/>
          <w:color w:val="auto"/>
        </w:rPr>
      </w:pPr>
    </w:p>
    <w:p>
      <w:pPr>
        <w:ind w:left="-4" w:right="40" w:firstLine="885"/>
        <w:spacing w:after="0" w:line="257" w:lineRule="auto"/>
        <w:tabs>
          <w:tab w:leader="none" w:pos="1093"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80" w:lineRule="exact"/>
        <w:rPr>
          <w:rFonts w:ascii="Arial" w:cs="Arial" w:eastAsia="Arial" w:hAnsi="Arial"/>
          <w:sz w:val="18"/>
          <w:szCs w:val="18"/>
          <w:color w:val="auto"/>
        </w:rPr>
      </w:pPr>
    </w:p>
    <w:p>
      <w:pPr>
        <w:ind w:left="-4" w:right="260" w:firstLine="885"/>
        <w:spacing w:after="0" w:line="264" w:lineRule="auto"/>
        <w:tabs>
          <w:tab w:leader="none" w:pos="1093" w:val="left"/>
        </w:tabs>
        <w:numPr>
          <w:ilvl w:val="1"/>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The validity, construction and effect of the Plan, any rules and regulations under the Plan, and any Award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be determined in accordance with the laws of the Commonwealth of Massachusetts without giving effect to principles of conflict of laws, and applicable federal law.</w:t>
      </w:r>
    </w:p>
    <w:p>
      <w:pPr>
        <w:sectPr>
          <w:pgSz w:w="11900" w:h="16838" w:orient="portrait"/>
          <w:cols w:equalWidth="0" w:num="1">
            <w:col w:w="11016"/>
          </w:cols>
          <w:pgMar w:left="444" w:top="274" w:right="439" w:bottom="1440" w:gutter="0" w:footer="0" w:header="0"/>
        </w:sectPr>
      </w:pPr>
    </w:p>
    <w:bookmarkStart w:id="114" w:name="page115"/>
    <w:bookmarkEnd w:id="114"/>
    <w:p>
      <w:pPr>
        <w:jc w:val="both"/>
        <w:ind w:left="-885" w:right="100" w:firstLine="885"/>
        <w:spacing w:after="0" w:line="312" w:lineRule="auto"/>
        <w:tabs>
          <w:tab w:leader="none" w:pos="251"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Non-U.S. Laws</w:t>
      </w:r>
      <w:r>
        <w:rPr>
          <w:rFonts w:ascii="Arial" w:cs="Arial" w:eastAsia="Arial" w:hAnsi="Arial"/>
          <w:sz w:val="16"/>
          <w:szCs w:val="16"/>
          <w:color w:val="auto"/>
        </w:rPr>
        <w:t>. The Committee shall have the authority to adopt such modifications, procedures, and subplans as may be necessary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desirable to comply with provisions of the laws of foreign countries in which the Company or its Related Entities may operate to assure the viability of the benefits from Awards granted to Participants performing services in such countries and to meet the objectives of the Plan.</w:t>
      </w:r>
    </w:p>
    <w:p>
      <w:pPr>
        <w:spacing w:after="0" w:line="38" w:lineRule="exact"/>
        <w:rPr>
          <w:rFonts w:ascii="Arial" w:cs="Arial" w:eastAsia="Arial" w:hAnsi="Arial"/>
          <w:sz w:val="16"/>
          <w:szCs w:val="16"/>
          <w:color w:val="auto"/>
        </w:rPr>
      </w:pPr>
    </w:p>
    <w:p>
      <w:pPr>
        <w:ind w:left="-885" w:firstLine="885"/>
        <w:spacing w:after="0" w:line="290" w:lineRule="auto"/>
        <w:tabs>
          <w:tab w:leader="none" w:pos="211"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 approval, within 12 months of its adoption by the Board,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ectPr>
          <w:pgSz w:w="11900" w:h="16838" w:orient="portrait"/>
          <w:cols w:equalWidth="0" w:num="1">
            <w:col w:w="10095"/>
          </w:cols>
          <w:pgMar w:left="1325" w:top="274" w:right="479" w:bottom="1440" w:gutter="0" w:footer="0" w:header="0"/>
        </w:sectPr>
      </w:pPr>
    </w:p>
    <w:bookmarkStart w:id="115" w:name="page116"/>
    <w:bookmarkEnd w:id="115"/>
    <w:p>
      <w:pPr>
        <w:ind w:left="10100"/>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following is a list of the Corporation’s subsidiaries as of December 31, 2018. The Corporation owns, directly or indirectly, 100% of the voting securities of each subsidiary, unless noted otherwise.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00" w:type="dxa"/>
            <w:vAlign w:val="bottom"/>
            <w:vMerge w:val="restart"/>
          </w:tcPr>
          <w:p>
            <w:pPr>
              <w:spacing w:after="0"/>
              <w:rPr>
                <w:sz w:val="14"/>
                <w:szCs w:val="14"/>
                <w:color w:val="auto"/>
              </w:rPr>
            </w:pPr>
          </w:p>
        </w:tc>
        <w:tc>
          <w:tcPr>
            <w:tcW w:w="6780" w:type="dxa"/>
            <w:vAlign w:val="bottom"/>
            <w:gridSpan w:val="2"/>
          </w:tcPr>
          <w:p>
            <w:pPr>
              <w:ind w:left="1600"/>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3800" w:type="dxa"/>
            <w:vAlign w:val="bottom"/>
            <w:vMerge w:val="continue"/>
          </w:tcPr>
          <w:p>
            <w:pPr>
              <w:spacing w:after="0"/>
              <w:rPr>
                <w:sz w:val="16"/>
                <w:szCs w:val="16"/>
                <w:color w:val="auto"/>
              </w:rPr>
            </w:pPr>
          </w:p>
        </w:tc>
        <w:tc>
          <w:tcPr>
            <w:tcW w:w="6780" w:type="dxa"/>
            <w:vAlign w:val="bottom"/>
            <w:gridSpan w:val="2"/>
          </w:tcPr>
          <w:p>
            <w:pPr>
              <w:ind w:left="1600"/>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line="189" w:lineRule="exact"/>
              <w:rPr>
                <w:sz w:val="20"/>
                <w:szCs w:val="20"/>
                <w:color w:val="auto"/>
              </w:rPr>
            </w:pPr>
            <w:r>
              <w:rPr>
                <w:rFonts w:ascii="Arial" w:cs="Arial" w:eastAsia="Arial" w:hAnsi="Arial"/>
                <w:sz w:val="18"/>
                <w:szCs w:val="18"/>
                <w:color w:val="auto"/>
              </w:rPr>
              <w:t>Galectin Therapeutics Security Corp.</w:t>
            </w:r>
          </w:p>
        </w:tc>
        <w:tc>
          <w:tcPr>
            <w:tcW w:w="160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Galectin Sciences LLC</w:t>
            </w:r>
          </w:p>
        </w:tc>
        <w:tc>
          <w:tcPr>
            <w:tcW w:w="6780" w:type="dxa"/>
            <w:vAlign w:val="bottom"/>
            <w:gridSpan w:val="2"/>
          </w:tcPr>
          <w:p>
            <w:pPr>
              <w:ind w:left="160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040"/>
          </w:cols>
          <w:pgMar w:left="440" w:top="121" w:right="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hereby consent to the incorporation by reference in the Registration Statement Nos. 333-116629, 333-109893, 333-159247, 333-198070, 333-176306, 333-176305, and 333-225890 on Form S-8, and Registration Statement Nos. 333-194747, 333-172849, 333-150898, 333-148911, 333-132459, 333-118907, 333-115118, 333-111650, 333-109887, 333-208674, 333-213138, 333-218112, and 333-226402 on Form S-3 of our report dated March 5, 2019 included in this Annual Report on Form 10-K of Galectin Therapeutics, Inc. and subsidiaries (the “Company”) relating to the consolidated balance sheets of the Company as of December 31, 2018 and 2017, and the related consolidated statements of operations, changes in redeemable convertible preferred stock and stockholders’ equity (deficit), and cash flows for each of the two years in the period ended December 31, 2018 and the effectiveness of internal control over financial reporting for the Company as of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6, 2019</w:t>
      </w:r>
    </w:p>
    <w:p>
      <w:pPr>
        <w:sectPr>
          <w:pgSz w:w="11900" w:h="16838" w:orient="portrait"/>
          <w:cols w:equalWidth="0" w:num="1">
            <w:col w:w="11020"/>
          </w:cols>
          <w:pgMar w:left="440" w:top="121" w:right="439" w:bottom="1440" w:gutter="0" w:footer="0" w:header="0"/>
        </w:sectPr>
      </w:pPr>
    </w:p>
    <w:bookmarkStart w:id="117" w:name="page118"/>
    <w:bookmarkEnd w:id="11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40" w:hanging="436"/>
        <w:spacing w:after="0"/>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64" w:lineRule="auto"/>
        <w:tabs>
          <w:tab w:leader="none" w:pos="4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6" w:lineRule="exact"/>
        <w:rPr>
          <w:rFonts w:ascii="Arial" w:cs="Arial" w:eastAsia="Arial" w:hAnsi="Arial"/>
          <w:sz w:val="18"/>
          <w:szCs w:val="18"/>
          <w:color w:val="auto"/>
        </w:rPr>
      </w:pPr>
    </w:p>
    <w:p>
      <w:pPr>
        <w:ind w:left="860" w:right="140" w:hanging="424"/>
        <w:spacing w:after="0" w:line="264" w:lineRule="auto"/>
        <w:tabs>
          <w:tab w:leader="none" w:pos="8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March 6, 2019</w:t>
            </w:r>
          </w:p>
        </w:tc>
        <w:tc>
          <w:tcPr>
            <w:tcW w:w="5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Harold H. Shlevin</w:t>
            </w:r>
          </w:p>
        </w:tc>
      </w:tr>
      <w:tr>
        <w:trPr>
          <w:trHeight w:val="222"/>
        </w:trPr>
        <w:tc>
          <w:tcPr>
            <w:tcW w:w="544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Name:</w:t>
            </w:r>
          </w:p>
        </w:tc>
        <w:tc>
          <w:tcPr>
            <w:tcW w:w="4880" w:type="dxa"/>
            <w:vAlign w:val="bottom"/>
          </w:tcPr>
          <w:p>
            <w:pPr>
              <w:ind w:left="140"/>
              <w:spacing w:after="0"/>
              <w:rPr>
                <w:sz w:val="20"/>
                <w:szCs w:val="20"/>
                <w:color w:val="auto"/>
              </w:rPr>
            </w:pPr>
            <w:r>
              <w:rPr>
                <w:rFonts w:ascii="Arial" w:cs="Arial" w:eastAsia="Arial" w:hAnsi="Arial"/>
                <w:sz w:val="18"/>
                <w:szCs w:val="18"/>
                <w:color w:val="auto"/>
              </w:rPr>
              <w:t>Harold H. Shlevin, Ph.D</w:t>
            </w:r>
          </w:p>
        </w:tc>
      </w:tr>
      <w:tr>
        <w:trPr>
          <w:trHeight w:val="216"/>
        </w:trPr>
        <w:tc>
          <w:tcPr>
            <w:tcW w:w="544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Title:</w:t>
            </w:r>
          </w:p>
        </w:tc>
        <w:tc>
          <w:tcPr>
            <w:tcW w:w="488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118" w:name="page119"/>
    <w:bookmarkEnd w:id="11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40" w:hanging="436"/>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40" w:right="140" w:hanging="436"/>
        <w:spacing w:after="0" w:line="264"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100" w:hanging="436"/>
        <w:spacing w:after="0" w:line="308" w:lineRule="auto"/>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120" w:hanging="436"/>
        <w:spacing w:after="0" w:line="264" w:lineRule="auto"/>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86" w:lineRule="exact"/>
        <w:rPr>
          <w:rFonts w:ascii="Arial" w:cs="Arial" w:eastAsia="Arial" w:hAnsi="Arial"/>
          <w:sz w:val="18"/>
          <w:szCs w:val="18"/>
          <w:color w:val="auto"/>
        </w:rPr>
      </w:pPr>
    </w:p>
    <w:p>
      <w:pPr>
        <w:ind w:left="860" w:right="140" w:hanging="424"/>
        <w:spacing w:after="0" w:line="264"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80" w:hanging="424"/>
        <w:spacing w:after="0" w:line="264"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40" w:hanging="424"/>
        <w:spacing w:after="0" w:line="342" w:lineRule="auto"/>
        <w:tabs>
          <w:tab w:leader="none" w:pos="8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40" w:hanging="424"/>
        <w:spacing w:after="0" w:line="264"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right="20" w:hanging="436"/>
        <w:spacing w:after="0" w:line="308" w:lineRule="auto"/>
        <w:tabs>
          <w:tab w:leader="none" w:pos="4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80" w:hanging="424"/>
        <w:spacing w:after="0" w:line="342" w:lineRule="auto"/>
        <w:tabs>
          <w:tab w:leader="none" w:pos="8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March 6, 2019</w:t>
            </w:r>
          </w:p>
        </w:tc>
        <w:tc>
          <w:tcPr>
            <w:tcW w:w="5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Jack W. Callicutt</w:t>
            </w:r>
          </w:p>
        </w:tc>
      </w:tr>
      <w:tr>
        <w:trPr>
          <w:trHeight w:val="222"/>
        </w:trPr>
        <w:tc>
          <w:tcPr>
            <w:tcW w:w="554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Name:</w:t>
            </w:r>
          </w:p>
        </w:tc>
        <w:tc>
          <w:tcPr>
            <w:tcW w:w="4820" w:type="dxa"/>
            <w:vAlign w:val="bottom"/>
          </w:tcPr>
          <w:p>
            <w:pPr>
              <w:ind w:left="80"/>
              <w:spacing w:after="0"/>
              <w:rPr>
                <w:sz w:val="20"/>
                <w:szCs w:val="20"/>
                <w:color w:val="auto"/>
              </w:rPr>
            </w:pPr>
            <w:r>
              <w:rPr>
                <w:rFonts w:ascii="Arial" w:cs="Arial" w:eastAsia="Arial" w:hAnsi="Arial"/>
                <w:sz w:val="18"/>
                <w:szCs w:val="18"/>
                <w:color w:val="auto"/>
              </w:rPr>
              <w:t>Jack W. Callicutt</w:t>
            </w:r>
          </w:p>
        </w:tc>
      </w:tr>
      <w:tr>
        <w:trPr>
          <w:trHeight w:val="216"/>
        </w:trPr>
        <w:tc>
          <w:tcPr>
            <w:tcW w:w="554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rPr>
              <w:t>Title:</w:t>
            </w:r>
          </w:p>
        </w:tc>
        <w:tc>
          <w:tcPr>
            <w:tcW w:w="482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5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2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40"/>
          </w:cols>
          <w:pgMar w:left="440" w:top="121" w:right="419" w:bottom="1440" w:gutter="0" w:footer="0" w:header="0"/>
        </w:sectPr>
      </w:pPr>
    </w:p>
    <w:bookmarkStart w:id="119" w:name="page120"/>
    <w:bookmarkEnd w:id="11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2018 as filed with the Securities and Exchange Commission on the date hereof (the “Report”), I, Harold H. Shlevin, Chief Executive Officer and President of the Company, certify, pursuant to 18 U.S.C. §1350, as adopted pursuant to §906 of the Sarbanes-Oxley Act of 2002, that, to my knowledge:</w:t>
      </w:r>
    </w:p>
    <w:p>
      <w:pPr>
        <w:spacing w:after="0" w:line="52" w:lineRule="exact"/>
        <w:rPr>
          <w:sz w:val="20"/>
          <w:szCs w:val="20"/>
          <w:color w:val="auto"/>
        </w:rPr>
      </w:pPr>
    </w:p>
    <w:p>
      <w:pPr>
        <w:ind w:left="440" w:hanging="436"/>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March 6, 2019</w:t>
            </w:r>
          </w:p>
        </w:tc>
        <w:tc>
          <w:tcPr>
            <w:tcW w:w="5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Harold H. Shlevin</w:t>
            </w:r>
          </w:p>
        </w:tc>
      </w:tr>
      <w:tr>
        <w:trPr>
          <w:trHeight w:val="222"/>
        </w:trPr>
        <w:tc>
          <w:tcPr>
            <w:tcW w:w="508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Name:</w:t>
            </w:r>
          </w:p>
        </w:tc>
        <w:tc>
          <w:tcPr>
            <w:tcW w:w="4880" w:type="dxa"/>
            <w:vAlign w:val="bottom"/>
          </w:tcPr>
          <w:p>
            <w:pPr>
              <w:ind w:left="140"/>
              <w:spacing w:after="0"/>
              <w:rPr>
                <w:sz w:val="20"/>
                <w:szCs w:val="20"/>
                <w:color w:val="auto"/>
              </w:rPr>
            </w:pPr>
            <w:r>
              <w:rPr>
                <w:rFonts w:ascii="Arial" w:cs="Arial" w:eastAsia="Arial" w:hAnsi="Arial"/>
                <w:sz w:val="18"/>
                <w:szCs w:val="18"/>
                <w:color w:val="auto"/>
              </w:rPr>
              <w:t>Harold H. Shlevin, Ph.D</w:t>
            </w:r>
          </w:p>
        </w:tc>
      </w:tr>
      <w:tr>
        <w:trPr>
          <w:trHeight w:val="216"/>
        </w:trPr>
        <w:tc>
          <w:tcPr>
            <w:tcW w:w="508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Title:</w:t>
            </w:r>
          </w:p>
        </w:tc>
        <w:tc>
          <w:tcPr>
            <w:tcW w:w="488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5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40"/>
          </w:cols>
          <w:pgMar w:left="440" w:top="121" w:right="419" w:bottom="1440" w:gutter="0" w:footer="0" w:header="0"/>
        </w:sectPr>
      </w:pPr>
    </w:p>
    <w:bookmarkStart w:id="120" w:name="page121"/>
    <w:bookmarkEnd w:id="120"/>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441"/>
        <w:spacing w:after="0" w:line="286" w:lineRule="auto"/>
        <w:rPr>
          <w:sz w:val="20"/>
          <w:szCs w:val="20"/>
          <w:color w:val="auto"/>
        </w:rPr>
      </w:pPr>
      <w:r>
        <w:rPr>
          <w:rFonts w:ascii="Arial" w:cs="Arial" w:eastAsia="Arial" w:hAnsi="Arial"/>
          <w:sz w:val="17"/>
          <w:szCs w:val="17"/>
          <w:color w:val="auto"/>
        </w:rPr>
        <w:t>In connection with the Annual Report of Galectin Therapeutics Inc. (the “Company”) on Form 10-K for the period ended December 31, 2018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71" w:lineRule="exact"/>
        <w:rPr>
          <w:sz w:val="20"/>
          <w:szCs w:val="20"/>
          <w:color w:val="auto"/>
        </w:rPr>
      </w:pPr>
    </w:p>
    <w:p>
      <w:pPr>
        <w:ind w:left="440" w:hanging="436"/>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40" w:hanging="436"/>
        <w:spacing w:after="0"/>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March 6, 2019</w:t>
            </w:r>
          </w:p>
        </w:tc>
        <w:tc>
          <w:tcPr>
            <w:tcW w:w="5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Jack W. Callicutt</w:t>
            </w:r>
          </w:p>
        </w:tc>
      </w:tr>
      <w:tr>
        <w:trPr>
          <w:trHeight w:val="222"/>
        </w:trPr>
        <w:tc>
          <w:tcPr>
            <w:tcW w:w="5080" w:type="dxa"/>
            <w:vAlign w:val="bottom"/>
          </w:tcPr>
          <w:p>
            <w:pPr>
              <w:spacing w:after="0"/>
              <w:rPr>
                <w:sz w:val="19"/>
                <w:szCs w:val="19"/>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Name:</w:t>
            </w:r>
          </w:p>
        </w:tc>
        <w:tc>
          <w:tcPr>
            <w:tcW w:w="4880" w:type="dxa"/>
            <w:vAlign w:val="bottom"/>
          </w:tcPr>
          <w:p>
            <w:pPr>
              <w:ind w:left="140"/>
              <w:spacing w:after="0"/>
              <w:rPr>
                <w:sz w:val="20"/>
                <w:szCs w:val="20"/>
                <w:color w:val="auto"/>
              </w:rPr>
            </w:pPr>
            <w:r>
              <w:rPr>
                <w:rFonts w:ascii="Arial" w:cs="Arial" w:eastAsia="Arial" w:hAnsi="Arial"/>
                <w:sz w:val="18"/>
                <w:szCs w:val="18"/>
                <w:color w:val="auto"/>
              </w:rPr>
              <w:t>Jack W. Callicutt</w:t>
            </w:r>
          </w:p>
        </w:tc>
      </w:tr>
      <w:tr>
        <w:trPr>
          <w:trHeight w:val="216"/>
        </w:trPr>
        <w:tc>
          <w:tcPr>
            <w:tcW w:w="5080" w:type="dxa"/>
            <w:vAlign w:val="bottom"/>
          </w:tcPr>
          <w:p>
            <w:pPr>
              <w:spacing w:after="0"/>
              <w:rPr>
                <w:sz w:val="18"/>
                <w:szCs w:val="18"/>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Title:</w:t>
            </w:r>
          </w:p>
        </w:tc>
        <w:tc>
          <w:tcPr>
            <w:tcW w:w="48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40"/>
      </w:cols>
      <w:pgMar w:left="44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decimal"/>
      <w:start w:val="1"/>
    </w:lvl>
  </w:abstractNum>
  <w:abstractNum w:abstractNumId="3">
    <w:nsid w:val="2CD89A32"/>
    <w:multiLevelType w:val="hybridMultilevel"/>
    <w:lvl w:ilvl="0">
      <w:lvlJc w:val="left"/>
      <w:lvlText w:val="%1."/>
      <w:numFmt w:val="decimal"/>
      <w:start w:val="5"/>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lowerLetter"/>
      <w:start w:val="1"/>
    </w:lvl>
  </w:abstractNum>
  <w:abstractNum w:abstractNumId="16">
    <w:nsid w:val="1BA026FA"/>
    <w:multiLevelType w:val="hybridMultilevel"/>
    <w:lvl w:ilvl="0">
      <w:lvlJc w:val="left"/>
      <w:lvlText w:val="(%1)"/>
      <w:numFmt w:val="decimal"/>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1)"/>
      <w:numFmt w:val="decimal"/>
      <w:start w:val="2"/>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decimal"/>
      <w:start w:val="1"/>
    </w:lvl>
  </w:abstractNum>
  <w:abstractNum w:abstractNumId="24">
    <w:nsid w:val="23F9C13C"/>
    <w:multiLevelType w:val="hybridMultilevel"/>
    <w:lvl w:ilvl="0">
      <w:lvlJc w:val="left"/>
      <w:lvlText w:val="(%1)"/>
      <w:numFmt w:val="decimal"/>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2"/>
    </w:lvl>
  </w:abstractNum>
  <w:abstractNum w:abstractNumId="27">
    <w:nsid w:val="39386575"/>
    <w:multiLevelType w:val="hybridMultilevel"/>
    <w:lvl w:ilvl="0">
      <w:lvlJc w:val="left"/>
      <w:lvlText w:val="(%1)"/>
      <w:numFmt w:val="upperLetter"/>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1)"/>
      <w:numFmt w:val="decimal"/>
      <w:start w:val="1"/>
    </w:lvl>
  </w:abstractNum>
  <w:abstractNum w:abstractNumId="30">
    <w:nsid w:val="235BA861"/>
    <w:multiLevelType w:val="hybridMultilevel"/>
    <w:lvl w:ilvl="0">
      <w:lvlJc w:val="left"/>
      <w:lvlText w:val="(%1)"/>
      <w:numFmt w:val="decimal"/>
      <w:start w:val="2"/>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1)"/>
      <w:numFmt w:val="decimal"/>
      <w:start w:val="2"/>
    </w:lvl>
  </w:abstractNum>
  <w:abstractNum w:abstractNumId="34">
    <w:nsid w:val="741226BB"/>
    <w:multiLevelType w:val="hybridMultilevel"/>
    <w:lvl w:ilvl="0">
      <w:lvlJc w:val="left"/>
      <w:lvlText w:val="(%1)"/>
      <w:numFmt w:val="decimal"/>
      <w:start w:val="3"/>
    </w:lvl>
  </w:abstractNum>
  <w:abstractNum w:abstractNumId="35">
    <w:nsid w:val="D34B6A8"/>
    <w:multiLevelType w:val="hybridMultilevel"/>
    <w:lvl w:ilvl="0">
      <w:lvlJc w:val="left"/>
      <w:lvlText w:val="(%1)"/>
      <w:numFmt w:val="decimal"/>
      <w:start w:val="12"/>
    </w:lvl>
  </w:abstractNum>
  <w:abstractNum w:abstractNumId="36">
    <w:nsid w:val="10233C99"/>
    <w:multiLevelType w:val="hybridMultilevel"/>
    <w:lvl w:ilvl="0">
      <w:lvlJc w:val="left"/>
      <w:lvlText w:val="(%1)"/>
      <w:numFmt w:val="decimal"/>
      <w:start w:val="1"/>
    </w:lvl>
  </w:abstractNum>
  <w:abstractNum w:abstractNumId="37">
    <w:nsid w:val="3F6AB60F"/>
    <w:multiLevelType w:val="hybridMultilevel"/>
    <w:lvl w:ilvl="0">
      <w:lvlJc w:val="left"/>
      <w:lvlText w:val="(%1)"/>
      <w:numFmt w:val="decimal"/>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decimal"/>
      <w:start w:val="3"/>
    </w:lvl>
  </w:abstractNum>
  <w:abstractNum w:abstractNumId="44">
    <w:nsid w:val="2F305DEF"/>
    <w:multiLevelType w:val="hybridMultilevel"/>
    <w:lvl w:ilvl="0">
      <w:lvlJc w:val="left"/>
      <w:lvlText w:val="%1."/>
      <w:numFmt w:val="decimal"/>
      <w:start w:val="5"/>
    </w:lvl>
  </w:abstractNum>
  <w:abstractNum w:abstractNumId="45">
    <w:nsid w:val="25A70BF7"/>
    <w:multiLevelType w:val="hybridMultilevel"/>
    <w:lvl w:ilvl="0">
      <w:lvlJc w:val="left"/>
      <w:lvlText w:val="(%1)"/>
      <w:numFmt w:val="lowerRoman"/>
      <w:start w:val="1"/>
    </w:lvl>
  </w:abstractNum>
  <w:abstractNum w:abstractNumId="46">
    <w:nsid w:val="1DBABF00"/>
    <w:multiLevelType w:val="hybridMultilevel"/>
    <w:lvl w:ilvl="0">
      <w:lvlJc w:val="left"/>
      <w:lvlText w:val="(%1)"/>
      <w:numFmt w:val="lowerRoman"/>
      <w:start w:val="4"/>
    </w:lvl>
  </w:abstractNum>
  <w:abstractNum w:abstractNumId="47">
    <w:nsid w:val="4AD084E9"/>
    <w:multiLevelType w:val="hybridMultilevel"/>
    <w:lvl w:ilvl="0">
      <w:lvlJc w:val="left"/>
      <w:lvlText w:val="(%1)"/>
      <w:numFmt w:val="lowerRoman"/>
      <w:start w:val="15"/>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1."/>
      <w:numFmt w:val="decimal"/>
      <w:start w:val="7"/>
    </w:lvl>
  </w:abstractNum>
  <w:abstractNum w:abstractNumId="50">
    <w:nsid w:val="5DB70AE5"/>
    <w:multiLevelType w:val="hybridMultilevel"/>
    <w:lvl w:ilvl="0">
      <w:lvlJc w:val="left"/>
      <w:lvlText w:val="%1."/>
      <w:numFmt w:val="decimal"/>
      <w:start w:val="8"/>
    </w:lvl>
  </w:abstractNum>
  <w:abstractNum w:abstractNumId="51">
    <w:nsid w:val="100F8FCA"/>
    <w:multiLevelType w:val="hybridMultilevel"/>
    <w:lvl w:ilvl="0">
      <w:lvlJc w:val="left"/>
      <w:lvlText w:val="%1."/>
      <w:numFmt w:val="decimal"/>
      <w:start w:val="10"/>
    </w:lvl>
  </w:abstractNum>
  <w:abstractNum w:abstractNumId="52">
    <w:nsid w:val="6590700B"/>
    <w:multiLevelType w:val="hybridMultilevel"/>
    <w:lvl w:ilvl="0">
      <w:lvlJc w:val="left"/>
      <w:lvlText w:val="%1."/>
      <w:numFmt w:val="decimal"/>
      <w:start w:val="11"/>
    </w:lvl>
  </w:abstractNum>
  <w:abstractNum w:abstractNumId="53">
    <w:nsid w:val="15014ACB"/>
    <w:multiLevelType w:val="hybridMultilevel"/>
    <w:lvl w:ilvl="0">
      <w:lvlJc w:val="left"/>
      <w:lvlText w:val="%1."/>
      <w:numFmt w:val="decimal"/>
      <w:start w:val="1"/>
    </w:lvl>
    <w:lvl w:ilvl="1">
      <w:lvlJc w:val="left"/>
      <w:lvlText w:val="(%2)"/>
      <w:numFmt w:val="lowerLetter"/>
      <w:start w:val="1"/>
    </w:lvl>
  </w:abstractNum>
  <w:abstractNum w:abstractNumId="54">
    <w:nsid w:val="5F5E7FD0"/>
    <w:multiLevelType w:val="hybridMultilevel"/>
    <w:lvl w:ilvl="0">
      <w:lvlJc w:val="left"/>
      <w:lvlText w:val="(%1)"/>
      <w:numFmt w:val="lowerLetter"/>
      <w:start w:val="9"/>
    </w:lvl>
  </w:abstractNum>
  <w:abstractNum w:abstractNumId="55">
    <w:nsid w:val="98A3148"/>
    <w:multiLevelType w:val="hybridMultilevel"/>
    <w:lvl w:ilvl="0">
      <w:lvlJc w:val="left"/>
      <w:lvlText w:val="%1"/>
      <w:numFmt w:val="lowerLetter"/>
      <w:start w:val="1"/>
    </w:lvl>
    <w:lvl w:ilvl="1">
      <w:lvlJc w:val="left"/>
      <w:lvlText w:val="(%2)"/>
      <w:numFmt w:val="lowerLetter"/>
      <w:start w:val="22"/>
    </w:lvl>
  </w:abstractNum>
  <w:abstractNum w:abstractNumId="56">
    <w:nsid w:val="799D0247"/>
    <w:multiLevelType w:val="hybridMultilevel"/>
    <w:lvl w:ilvl="0">
      <w:lvlJc w:val="left"/>
      <w:lvlText w:val="(%1)"/>
      <w:numFmt w:val="lowerLetter"/>
      <w:start w:val="9"/>
    </w:lvl>
    <w:lvl w:ilvl="1">
      <w:lvlJc w:val="left"/>
      <w:lvlText w:val="(%2)"/>
      <w:numFmt w:val="lowerLetter"/>
      <w:start w:val="23"/>
    </w:lvl>
  </w:abstractNum>
  <w:abstractNum w:abstractNumId="57">
    <w:nsid w:val="6B94764"/>
    <w:multiLevelType w:val="hybridMultilevel"/>
    <w:lvl w:ilvl="0">
      <w:lvlJc w:val="left"/>
      <w:lvlText w:val="(%1)"/>
      <w:numFmt w:val="lowerLetter"/>
      <w:start w:val="27"/>
    </w:lvl>
  </w:abstractNum>
  <w:abstractNum w:abstractNumId="58">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59">
    <w:nsid w:val="168E121F"/>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60">
    <w:nsid w:val="1EBA5D2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661E3F1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5DC79EA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3">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64">
    <w:nsid w:val="7BD3EE7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5">
    <w:nsid w:val="51D9C564"/>
    <w:multiLevelType w:val="hybridMultilevel"/>
    <w:lvl w:ilvl="0">
      <w:lvlJc w:val="left"/>
      <w:lvlText w:val="%1"/>
      <w:numFmt w:val="lowerLetter"/>
      <w:start w:val="1"/>
    </w:lvl>
    <w:lvl w:ilvl="1">
      <w:lvlJc w:val="left"/>
      <w:lvlText w:val="(%2)"/>
      <w:numFmt w:val="lowerRoman"/>
      <w:start w:val="3"/>
    </w:lvl>
  </w:abstractNum>
  <w:abstractNum w:abstractNumId="66">
    <w:nsid w:val="613EFDC5"/>
    <w:multiLevelType w:val="hybridMultilevel"/>
    <w:lvl w:ilvl="0">
      <w:lvlJc w:val="left"/>
      <w:lvlText w:val="(%1)"/>
      <w:numFmt w:val="lowerLetter"/>
      <w:start w:val="5"/>
    </w:lvl>
    <w:lvl w:ilvl="1">
      <w:lvlJc w:val="left"/>
      <w:lvlText w:val="(%2)"/>
      <w:numFmt w:val="lowerRoman"/>
      <w:start w:val="1"/>
    </w:lvl>
  </w:abstractNum>
  <w:abstractNum w:abstractNumId="67">
    <w:nsid w:val="BF72B14"/>
    <w:multiLevelType w:val="hybridMultilevel"/>
    <w:lvl w:ilvl="0">
      <w:lvlJc w:val="left"/>
      <w:lvlText w:val="%1"/>
      <w:numFmt w:val="decimal"/>
      <w:start w:val="1"/>
    </w:lvl>
    <w:lvl w:ilvl="1">
      <w:lvlJc w:val="left"/>
      <w:lvlText w:val="(%2)"/>
      <w:numFmt w:val="lowerLetter"/>
      <w:start w:val="8"/>
    </w:lvl>
  </w:abstractNum>
  <w:abstractNum w:abstractNumId="68">
    <w:nsid w:val="11447B73"/>
    <w:multiLevelType w:val="hybridMultilevel"/>
    <w:lvl w:ilvl="0">
      <w:lvlJc w:val="left"/>
      <w:lvlText w:val="%1."/>
      <w:numFmt w:val="decimal"/>
      <w:start w:val="7"/>
    </w:lvl>
    <w:lvl w:ilvl="1">
      <w:lvlJc w:val="left"/>
      <w:lvlText w:val="(%2)"/>
      <w:numFmt w:val="lowerLetter"/>
      <w:start w:val="1"/>
    </w:lvl>
  </w:abstractNum>
  <w:abstractNum w:abstractNumId="69">
    <w:nsid w:val="42963E5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0">
    <w:nsid w:val="A0382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1">
    <w:nsid w:val="8F2B15E"/>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72">
    <w:nsid w:val="1A32234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3">
    <w:nsid w:val="3B0FD379"/>
    <w:multiLevelType w:val="hybridMultilevel"/>
    <w:lvl w:ilvl="0">
      <w:lvlJc w:val="left"/>
      <w:lvlText w:val="(%1)"/>
      <w:numFmt w:val="decimal"/>
      <w:start w:val="8"/>
    </w:lvl>
    <w:lvl w:ilvl="1">
      <w:lvlJc w:val="left"/>
      <w:lvlText w:val="%2."/>
      <w:numFmt w:val="decimal"/>
      <w:start w:val="8"/>
    </w:lvl>
    <w:lvl w:ilvl="2">
      <w:lvlJc w:val="left"/>
      <w:lvlText w:val="(%3)"/>
      <w:numFmt w:val="lowerLetter"/>
      <w:start w:val="3"/>
    </w:lvl>
    <w:lvl w:ilvl="3">
      <w:lvlJc w:val="left"/>
      <w:lvlText w:val="%4"/>
      <w:numFmt w:val="lowerRoman"/>
      <w:start w:val="1"/>
    </w:lvl>
  </w:abstractNum>
  <w:abstractNum w:abstractNumId="74">
    <w:nsid w:val="68EB2F6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5">
    <w:nsid w:val="4962813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76">
    <w:nsid w:val="60B6DF70"/>
    <w:multiLevelType w:val="hybridMultilevel"/>
    <w:lvl w:ilvl="0">
      <w:lvlJc w:val="left"/>
      <w:lvlText w:val="(%1)"/>
      <w:numFmt w:val="upperLetter"/>
      <w:start w:val="2"/>
    </w:lvl>
    <w:lvl w:ilvl="1">
      <w:lvlJc w:val="left"/>
      <w:lvlText w:val="%2."/>
      <w:numFmt w:val="decimal"/>
      <w:start w:val="9"/>
    </w:lvl>
    <w:lvl w:ilvl="2">
      <w:lvlJc w:val="left"/>
      <w:lvlText w:val="(%3)"/>
      <w:numFmt w:val="lowerLetter"/>
      <w:start w:val="1"/>
    </w:lvl>
    <w:lvl w:ilvl="3">
      <w:lvlJc w:val="left"/>
      <w:lvlText w:val="(%4)"/>
      <w:numFmt w:val="lowerRoman"/>
      <w:start w:val="2"/>
    </w:lvl>
  </w:abstractNum>
  <w:abstractNum w:abstractNumId="77">
    <w:nsid w:val="6A5EE64"/>
    <w:multiLevelType w:val="hybridMultilevel"/>
    <w:lvl w:ilvl="0">
      <w:lvlJc w:val="left"/>
      <w:lvlText w:val="(%1)"/>
      <w:numFmt w:val="lowerLetter"/>
      <w:start w:val="3"/>
    </w:lvl>
    <w:lvl w:ilvl="1">
      <w:lvlJc w:val="left"/>
      <w:lvlText w:val="(%2)"/>
      <w:numFmt w:val="lowerRoman"/>
      <w:start w:val="1"/>
    </w:lvl>
  </w:abstractNum>
  <w:abstractNum w:abstractNumId="78">
    <w:nsid w:val="14330624"/>
    <w:multiLevelType w:val="hybridMultilevel"/>
    <w:lvl w:ilvl="0">
      <w:lvlJc w:val="left"/>
      <w:lvlText w:val="%1"/>
      <w:numFmt w:val="lowerLetter"/>
      <w:start w:val="1"/>
    </w:lvl>
    <w:lvl w:ilvl="1">
      <w:lvlJc w:val="left"/>
      <w:lvlText w:val="(%2)"/>
      <w:numFmt w:val="lowerLetter"/>
      <w:start w:val="4"/>
    </w:lvl>
  </w:abstractNum>
  <w:abstractNum w:abstractNumId="79">
    <w:nsid w:val="7FFFCA11"/>
    <w:multiLevelType w:val="hybridMultilevel"/>
    <w:lvl w:ilvl="0">
      <w:lvlJc w:val="left"/>
      <w:lvlText w:val="(%1)"/>
      <w:numFmt w:val="lowerLetter"/>
      <w:start w:val="9"/>
    </w:lvl>
    <w:lvl w:ilvl="1">
      <w:lvlJc w:val="left"/>
      <w:lvlText w:val="(%2)"/>
      <w:numFmt w:val="lowerLetter"/>
      <w:start w:val="7"/>
    </w:lvl>
  </w:abstractNum>
  <w:abstractNum w:abstractNumId="80">
    <w:nsid w:val="1A27709E"/>
    <w:multiLevelType w:val="hybridMultilevel"/>
    <w:lvl w:ilvl="0">
      <w:lvlJc w:val="left"/>
      <w:lvlText w:val="(%1)"/>
      <w:numFmt w:val="lowerLetter"/>
      <w:start w:val="1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2" Type="http://schemas.openxmlformats.org/officeDocument/2006/relationships/image" Target="media/image86.png"/><Relationship Id="rId120" Type="http://schemas.openxmlformats.org/officeDocument/2006/relationships/image" Target="media/image87.png"/><Relationship Id="rId136" Type="http://schemas.openxmlformats.org/officeDocument/2006/relationships/image" Target="media/image88.png"/><Relationship Id="rId153"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190" Type="http://schemas.openxmlformats.org/officeDocument/2006/relationships/image" Target="media/image118.png"/><Relationship Id="rId191" Type="http://schemas.openxmlformats.org/officeDocument/2006/relationships/image" Target="media/image119.png"/><Relationship Id="rId192" Type="http://schemas.openxmlformats.org/officeDocument/2006/relationships/image" Target="media/image120.png"/><Relationship Id="rId193" Type="http://schemas.openxmlformats.org/officeDocument/2006/relationships/image" Target="media/image121.png"/><Relationship Id="rId194" Type="http://schemas.openxmlformats.org/officeDocument/2006/relationships/image" Target="media/image122.png"/><Relationship Id="rId195" Type="http://schemas.openxmlformats.org/officeDocument/2006/relationships/image" Target="media/image123.png"/><Relationship Id="rId196" Type="http://schemas.openxmlformats.org/officeDocument/2006/relationships/image" Target="media/image124.png"/><Relationship Id="rId197" Type="http://schemas.openxmlformats.org/officeDocument/2006/relationships/image" Target="media/image125.png"/><Relationship Id="rId198" Type="http://schemas.openxmlformats.org/officeDocument/2006/relationships/image" Target="media/image126.png"/><Relationship Id="rId199" Type="http://schemas.openxmlformats.org/officeDocument/2006/relationships/image" Target="media/image127.png"/><Relationship Id="rId200" Type="http://schemas.openxmlformats.org/officeDocument/2006/relationships/image" Target="media/image128.png"/><Relationship Id="rId201" Type="http://schemas.openxmlformats.org/officeDocument/2006/relationships/image" Target="media/image129.png"/><Relationship Id="rId202" Type="http://schemas.openxmlformats.org/officeDocument/2006/relationships/image" Target="media/image130.png"/><Relationship Id="rId203" Type="http://schemas.openxmlformats.org/officeDocument/2006/relationships/image" Target="media/image131.png"/><Relationship Id="rId204" Type="http://schemas.openxmlformats.org/officeDocument/2006/relationships/image" Target="media/image132.png"/><Relationship Id="rId205" Type="http://schemas.openxmlformats.org/officeDocument/2006/relationships/image" Target="media/image133.png"/><Relationship Id="rId93" Type="http://schemas.openxmlformats.org/officeDocument/2006/relationships/hyperlink" Target="http://www.sec.gov/Archives/edgar/data/1133416/000119312512252748/d359382dex31.htm" TargetMode="External"/><Relationship Id="rId94" Type="http://schemas.openxmlformats.org/officeDocument/2006/relationships/hyperlink" Target="http://www.sec.gov/Archives/edgar/data/1133416/000119312516721558/d269553dex53.htm" TargetMode="External"/><Relationship Id="rId95" Type="http://schemas.openxmlformats.org/officeDocument/2006/relationships/hyperlink" Target="http://www.sec.gov/Archives/edgar/data/1133416/000119312507214815/dex32.htm" TargetMode="External"/><Relationship Id="rId96" Type="http://schemas.openxmlformats.org/officeDocument/2006/relationships/hyperlink" Target="http://www.sec.gov/Archives/edgar/data/1133416/000119312517176606/d590602dex31.htm" TargetMode="External"/><Relationship Id="rId97" Type="http://schemas.openxmlformats.org/officeDocument/2006/relationships/hyperlink" Target="http://www.sec.gov/Archives/edgar/data/1133416/000119312516721558/d269553dex31.htm" TargetMode="External"/><Relationship Id="rId98" Type="http://schemas.openxmlformats.org/officeDocument/2006/relationships/hyperlink" Target="http://www.sec.gov/Archives/edgar/data/1133416/000119312517176606/d590602dex32.htm" TargetMode="External"/><Relationship Id="rId99" Type="http://schemas.openxmlformats.org/officeDocument/2006/relationships/hyperlink" Target="http://www.sec.gov/Archives/edgar/data/1133416/000119312517048038/d335637dex31.htm" TargetMode="External"/><Relationship Id="rId100" Type="http://schemas.openxmlformats.org/officeDocument/2006/relationships/hyperlink" Target="http://www.sec.gov/Archives/edgar/data/1133416/000119312517176606/d590602dex33.htm" TargetMode="External"/><Relationship Id="rId101" Type="http://schemas.openxmlformats.org/officeDocument/2006/relationships/hyperlink" Target="http://www.sec.gov/Archives/edgar/data/1133416/000119312511002455/dex31.htm" TargetMode="External"/><Relationship Id="rId103" Type="http://schemas.openxmlformats.org/officeDocument/2006/relationships/hyperlink" Target="http://www.sec.gov/Archives/edgar/data/1133416/000119312512129902/d322145dex31.htm" TargetMode="External"/><Relationship Id="rId104" Type="http://schemas.openxmlformats.org/officeDocument/2006/relationships/hyperlink" Target="http://www.sec.gov/Archives/edgar/data/1133416/000119312509032224/dex41.htm" TargetMode="External"/><Relationship Id="rId105" Type="http://schemas.openxmlformats.org/officeDocument/2006/relationships/hyperlink" Target="http://www.sec.gov/Archives/edgar/data/1133416/000119312509032224/dex42.htm" TargetMode="External"/><Relationship Id="rId106" Type="http://schemas.openxmlformats.org/officeDocument/2006/relationships/hyperlink" Target="http://www.sec.gov/Archives/edgar/data/1133416/000119312509032224/dex43.htm" TargetMode="External"/><Relationship Id="rId107" Type="http://schemas.openxmlformats.org/officeDocument/2006/relationships/hyperlink" Target="http://www.sec.gov/Archives/edgar/data/1133416/000119312511016023/dex41.htm" TargetMode="External"/><Relationship Id="rId108" Type="http://schemas.openxmlformats.org/officeDocument/2006/relationships/hyperlink" Target="http://www.sec.gov/Archives/edgar/data/1133416/000119312511016023/dex42.htm" TargetMode="External"/><Relationship Id="rId109" Type="http://schemas.openxmlformats.org/officeDocument/2006/relationships/hyperlink" Target="http://www.sec.gov/Archives/edgar/data/1133416/000119312511016023/dex43.htm" TargetMode="External"/><Relationship Id="rId110" Type="http://schemas.openxmlformats.org/officeDocument/2006/relationships/hyperlink" Target="http://www.sec.gov/Archives/edgar/data/1133416/000119312512129902/d322145dex41.htm" TargetMode="External"/><Relationship Id="rId111" Type="http://schemas.openxmlformats.org/officeDocument/2006/relationships/hyperlink" Target="http://www.sec.gov/Archives/edgar/data/1133416/000119312515382958/d214933dex41.htm" TargetMode="External"/><Relationship Id="rId112" Type="http://schemas.openxmlformats.org/officeDocument/2006/relationships/hyperlink" Target="http://www.sec.gov/Archives/edgar/data/1133416/000119312516721558/d269553dex41.htm" TargetMode="External"/><Relationship Id="rId113" Type="http://schemas.openxmlformats.org/officeDocument/2006/relationships/hyperlink" Target="http://www.sec.gov/Archives/edgar/data/1133416/000119312516721558/d269553dex42.htm" TargetMode="External"/><Relationship Id="rId114" Type="http://schemas.openxmlformats.org/officeDocument/2006/relationships/hyperlink" Target="http://www.sec.gov/Archives/edgar/data/1133416/000119312516806268/d314862dex41.htm" TargetMode="External"/><Relationship Id="rId115" Type="http://schemas.openxmlformats.org/officeDocument/2006/relationships/hyperlink" Target="http://www.sec.gov/Archives/edgar/data/1133416/000119312517373610/d466346dex41.htm" TargetMode="External"/><Relationship Id="rId116" Type="http://schemas.openxmlformats.org/officeDocument/2006/relationships/hyperlink" Target="http://www.sec.gov/Archives/edgar/data/1133416/000119312519001150/d685114dex41.htm" TargetMode="External"/><Relationship Id="rId117" Type="http://schemas.openxmlformats.org/officeDocument/2006/relationships/hyperlink" Target="http://www.sec.gov/Archives/edgar/data/1133416/000119312519009410/d684051dex42.htm" TargetMode="External"/><Relationship Id="rId118" Type="http://schemas.openxmlformats.org/officeDocument/2006/relationships/hyperlink" Target="http://www.sec.gov/Archives/edgar/data/1133416/000119312519009410/d684051dex43.htm" TargetMode="External"/><Relationship Id="rId119" Type="http://schemas.openxmlformats.org/officeDocument/2006/relationships/hyperlink" Target="http://www.sec.gov/Archives/edgar/data/1133416/000089155401506319/d27323_ex10-3.txt" TargetMode="External"/><Relationship Id="rId121" Type="http://schemas.openxmlformats.org/officeDocument/2006/relationships/hyperlink" Target="http://www.sec.gov/Archives/edgar/data/1133416/000119312503065497/dex992.htm" TargetMode="External"/><Relationship Id="rId122" Type="http://schemas.openxmlformats.org/officeDocument/2006/relationships/hyperlink" Target="http://www.sec.gov/Archives/edgar/data/1133416/000119312504200884/dex101.htm" TargetMode="External"/><Relationship Id="rId123" Type="http://schemas.openxmlformats.org/officeDocument/2006/relationships/hyperlink" Target="http://www.sec.gov/Archives/edgar/data/1133416/000119312504200884/dex103.htm" TargetMode="External"/><Relationship Id="rId124" Type="http://schemas.openxmlformats.org/officeDocument/2006/relationships/hyperlink" Target="http://www.sec.gov/Archives/edgar/data/1133416/000119312508032073/dex41.htm" TargetMode="External"/><Relationship Id="rId125" Type="http://schemas.openxmlformats.org/officeDocument/2006/relationships/hyperlink" Target="http://www.sec.gov/Archives/edgar/data/1133416/000119312509032224/dex105.htm" TargetMode="External"/><Relationship Id="rId126" Type="http://schemas.openxmlformats.org/officeDocument/2006/relationships/hyperlink" Target="http://www.sec.gov/Archives/edgar/data/1133416/000119312509067689/dex1039.htm" TargetMode="External"/><Relationship Id="rId127" Type="http://schemas.openxmlformats.org/officeDocument/2006/relationships/hyperlink" Target="http://www.sec.gov/Archives/edgar/data/1133416/000119312509067689/dex1040.htm" TargetMode="External"/><Relationship Id="rId128" Type="http://schemas.openxmlformats.org/officeDocument/2006/relationships/hyperlink" Target="http://www.sec.gov/Archives/edgar/data/1133416/000119312509067689/dex1041.htm" TargetMode="External"/><Relationship Id="rId129" Type="http://schemas.openxmlformats.org/officeDocument/2006/relationships/hyperlink" Target="http://www.sec.gov/Archives/edgar/data/1133416/000119312510188003/dex102.htm" TargetMode="External"/><Relationship Id="rId130" Type="http://schemas.openxmlformats.org/officeDocument/2006/relationships/hyperlink" Target="http://www.sec.gov/Archives/edgar/data/1133416/000119312511002455/dex101.htm" TargetMode="External"/><Relationship Id="rId131" Type="http://schemas.openxmlformats.org/officeDocument/2006/relationships/hyperlink" Target="http://www.sec.gov/Archives/edgar/data/1133416/000119312511016023/dex101.htm" TargetMode="External"/><Relationship Id="rId132" Type="http://schemas.openxmlformats.org/officeDocument/2006/relationships/hyperlink" Target="http://www.sec.gov/Archives/edgar/data/1133416/000119312511060043/dex41.htm" TargetMode="External"/><Relationship Id="rId133" Type="http://schemas.openxmlformats.org/officeDocument/2006/relationships/hyperlink" Target="http://www.sec.gov/Archives/edgar/data/1133416/000119312511090230/dex102.htm" TargetMode="External"/><Relationship Id="rId134" Type="http://schemas.openxmlformats.org/officeDocument/2006/relationships/hyperlink" Target="http://www.sec.gov/Archives/edgar/data/1133416/000119312511115475/dex101.htm" TargetMode="External"/><Relationship Id="rId135" Type="http://schemas.openxmlformats.org/officeDocument/2006/relationships/hyperlink" Target="http://www.sec.gov/Archives/edgar/data/1133416/000119312516584735/d166602dex101.htm" TargetMode="External"/><Relationship Id="rId137" Type="http://schemas.openxmlformats.org/officeDocument/2006/relationships/hyperlink" Target="http://www.sec.gov/Archives/edgar/data/1133416/000119312511222177/dex43.htm" TargetMode="External"/><Relationship Id="rId138" Type="http://schemas.openxmlformats.org/officeDocument/2006/relationships/hyperlink" Target="http://www.sec.gov/Archives/edgar/data/1133416/000119312511222177/dex44.htm" TargetMode="External"/><Relationship Id="rId139" Type="http://schemas.openxmlformats.org/officeDocument/2006/relationships/hyperlink" Target="http://www.sec.gov/Archives/edgar/data/1133416/000119312514441357/d837322dex101.htm" TargetMode="External"/><Relationship Id="rId140" Type="http://schemas.openxmlformats.org/officeDocument/2006/relationships/hyperlink" Target="http://www.sec.gov/Archives/edgar/data/1133416/000119312518190059/d600642dex101.htm" TargetMode="External"/><Relationship Id="rId141" Type="http://schemas.openxmlformats.org/officeDocument/2006/relationships/hyperlink" Target="http://www.sec.gov/Archives/edgar/data/1133416/000119312513213107/d515969dex101.htm" TargetMode="External"/><Relationship Id="rId142" Type="http://schemas.openxmlformats.org/officeDocument/2006/relationships/hyperlink" Target="http://www.sec.gov/Archives/edgar/data/1133416/000119312513334603/d551206dex101.htm" TargetMode="External"/><Relationship Id="rId143" Type="http://schemas.openxmlformats.org/officeDocument/2006/relationships/hyperlink" Target="http://www.sec.gov/Archives/edgar/data/1133416/000119312513334603/d551206dex102.htm" TargetMode="External"/><Relationship Id="rId144" Type="http://schemas.openxmlformats.org/officeDocument/2006/relationships/hyperlink" Target="http://www.sec.gov/Archives/edgar/data/1133416/000119312513334603/d551206dex103.htm" TargetMode="External"/><Relationship Id="rId145" Type="http://schemas.openxmlformats.org/officeDocument/2006/relationships/hyperlink" Target="http://www.sec.gov/Archives/edgar/data/1133416/000119312517256668/d595775dex101.htm" TargetMode="External"/><Relationship Id="rId146" Type="http://schemas.openxmlformats.org/officeDocument/2006/relationships/hyperlink" Target="http://www.sec.gov/Archives/edgar/data/1133416/000119312513334603/d551206dex105.htm" TargetMode="External"/><Relationship Id="rId147" Type="http://schemas.openxmlformats.org/officeDocument/2006/relationships/hyperlink" Target="http://www.sec.gov/Archives/edgar/data/1133416/000119312515088298/d885387dex101.htm" TargetMode="External"/><Relationship Id="rId148" Type="http://schemas.openxmlformats.org/officeDocument/2006/relationships/hyperlink" Target="http://www.sec.gov/Archives/edgar/data/1133416/000119312515382958/d214933dex101.htm" TargetMode="External"/><Relationship Id="rId149" Type="http://schemas.openxmlformats.org/officeDocument/2006/relationships/hyperlink" Target="http://www.sec.gov/Archives/edgar/data/1133416/000119312515382958/d214933dex102.htm" TargetMode="External"/><Relationship Id="rId150" Type="http://schemas.openxmlformats.org/officeDocument/2006/relationships/hyperlink" Target="http://www.sec.gov/Archives/edgar/data/1133416/000119312515382958/d214933dex103.htm" TargetMode="External"/><Relationship Id="rId151" Type="http://schemas.openxmlformats.org/officeDocument/2006/relationships/hyperlink" Target="http://www.sec.gov/Archives/edgar/data/1133416/000119312516504330/d20778dex1050.htm" TargetMode="External"/><Relationship Id="rId152" Type="http://schemas.openxmlformats.org/officeDocument/2006/relationships/hyperlink" Target="http://www.sec.gov/Archives/edgar/data/1133416/000119312516626482/d213384dex101.htm" TargetMode="External"/><Relationship Id="rId154" Type="http://schemas.openxmlformats.org/officeDocument/2006/relationships/hyperlink" Target="http://www.sec.gov/Archives/edgar/data/1133416/000119312516626482/d213384dex102.htm" TargetMode="External"/><Relationship Id="rId155" Type="http://schemas.openxmlformats.org/officeDocument/2006/relationships/hyperlink" Target="http://www.sec.gov/Archives/edgar/data/1133416/000119312516721558/d269553dex101.htm" TargetMode="External"/><Relationship Id="rId156" Type="http://schemas.openxmlformats.org/officeDocument/2006/relationships/hyperlink" Target="http://www.sec.gov/Archives/edgar/data/1133416/000119312516721558/d269553dex102.htm" TargetMode="External"/><Relationship Id="rId157" Type="http://schemas.openxmlformats.org/officeDocument/2006/relationships/hyperlink" Target="http://www.sec.gov/Archives/edgar/data/1133416/000119312516806268/d314862dex101.htm" TargetMode="External"/><Relationship Id="rId158" Type="http://schemas.openxmlformats.org/officeDocument/2006/relationships/hyperlink" Target="http://www.sec.gov/Archives/edgar/data/1133416/000119312516806268/d314862dex102.htm" TargetMode="External"/><Relationship Id="rId159" Type="http://schemas.openxmlformats.org/officeDocument/2006/relationships/hyperlink" Target="http://www.sec.gov/Archives/edgar/data/1133416/000119312517176606/d590602dex101.htm" TargetMode="External"/><Relationship Id="rId160" Type="http://schemas.openxmlformats.org/officeDocument/2006/relationships/hyperlink" Target="http://www.sec.gov/Archives/edgar/data/1133416/000119312517373610/d466346dex101.htm" TargetMode="External"/><Relationship Id="rId161" Type="http://schemas.openxmlformats.org/officeDocument/2006/relationships/hyperlink" Target="http://www.sec.gov/Archives/edgar/data/1133416/000119312519009410/d6840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2019-12-28T14:46:03Z</dcterms:created>
  <dcterms:modified xsi:type="dcterms:W3CDTF">2019-12-28T14:46:03Z</dcterms:modified>
</cp:coreProperties>
</file>