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The number of shares outstanding of the registrant’s common stock as of May 9, 2014 was 21,908,265.</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520" w:type="dxa"/>
            <w:vAlign w:val="bottom"/>
            <w:gridSpan w:val="10"/>
            <w:vMerge w:val="restart"/>
          </w:tcPr>
          <w:p>
            <w:pPr>
              <w:jc w:val="center"/>
              <w:ind w:right="268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2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2014 and December 31, 2013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Months Ended March 31, 2014 and 2013, and for the Cumulative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Period From Inception (July 10, 2000) to March 31, 2014 (unaudited)</w:t>
              </w:r>
            </w:hyperlink>
          </w:p>
        </w:tc>
        <w:tc>
          <w:tcPr>
            <w:tcW w:w="4180" w:type="dxa"/>
            <w:vAlign w:val="bottom"/>
            <w:tcBorders>
              <w:top w:val="single" w:sz="8" w:color="0000EE"/>
            </w:tcBorders>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for the Three Months Ended March 31, 2014 and 2013, and for the Cumulative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Period From Inception (July 10, 2000) to March 31, 2014 (unaudited)</w:t>
              </w:r>
            </w:hyperlink>
          </w:p>
        </w:tc>
        <w:tc>
          <w:tcPr>
            <w:tcW w:w="4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06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24"/>
                <w:szCs w:val="24"/>
                <w:color w:val="auto"/>
              </w:rPr>
            </w:pPr>
          </w:p>
        </w:tc>
        <w:tc>
          <w:tcPr>
            <w:tcW w:w="34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6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69"/>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520" w:type="dxa"/>
            <w:vAlign w:val="bottom"/>
            <w:gridSpan w:val="10"/>
          </w:tcPr>
          <w:p>
            <w:pPr>
              <w:jc w:val="center"/>
              <w:ind w:right="266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55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Defaults Upon Senior Securities</w:t>
              </w:r>
            </w:hyperlink>
          </w:p>
        </w:tc>
        <w:tc>
          <w:tcPr>
            <w:tcW w:w="75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Mine Safety Disclosures</w:t>
              </w:r>
            </w:hyperlink>
          </w:p>
        </w:tc>
        <w:tc>
          <w:tcPr>
            <w:tcW w:w="80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8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5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0"/>
          </w:tcPr>
          <w:p>
            <w:pPr>
              <w:ind w:left="454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36,594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in Galectin Sciences, LLC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36,899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B-1 12% redeemable convertible preferred stock; 900,000 shares authorized, issued and outstanding at March 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and December 31, 2013, redemption and liquidation value $1,800,000 at March 31, 2014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spacing w:after="0" w:line="201" w:lineRule="exact"/>
              <w:rPr>
                <w:sz w:val="20"/>
                <w:szCs w:val="20"/>
                <w:color w:val="auto"/>
              </w:rPr>
            </w:pPr>
            <w:r>
              <w:rPr>
                <w:rFonts w:ascii="Arial" w:cs="Arial" w:eastAsia="Arial" w:hAnsi="Arial"/>
                <w:sz w:val="18"/>
                <w:szCs w:val="18"/>
                <w:color w:val="auto"/>
                <w:w w:val="91"/>
              </w:rPr>
              <w:t>Series B-2 12% redeemable convertible preferred stock; 2,100,000 shares authorized, issued and outstanding at March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2014 and December 31, 2013, redemption and liquidation value $4,200,000 at March 31, 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C super dividend convertible preferred stock; 1,000 shares authorized, 185 and 196 shares issued and outstanding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at March 31, 2014 and December 31, 2013, respectively, redemption value: $5,130,000, liquidation value: $1,850,000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March 31, 2014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Undesignated stock, $0.01 par value; 20,000,000 shares authorized, 8,001,000 designated at March 31, 2014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December 31, 2013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ind w:left="700"/>
              <w:spacing w:after="0" w:line="201" w:lineRule="exact"/>
              <w:rPr>
                <w:sz w:val="20"/>
                <w:szCs w:val="20"/>
                <w:color w:val="auto"/>
              </w:rPr>
            </w:pPr>
            <w:r>
              <w:rPr>
                <w:rFonts w:ascii="Arial" w:cs="Arial" w:eastAsia="Arial" w:hAnsi="Arial"/>
                <w:sz w:val="18"/>
                <w:szCs w:val="18"/>
                <w:color w:val="auto"/>
                <w:w w:val="95"/>
              </w:rPr>
              <w:t>Series A 12% convertible preferred stock; 5,000,000 shares authorized, 1,452,500 issued and outstanding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80"/>
              <w:spacing w:after="0"/>
              <w:rPr>
                <w:sz w:val="20"/>
                <w:szCs w:val="20"/>
                <w:color w:val="auto"/>
              </w:rPr>
            </w:pPr>
            <w:r>
              <w:rPr>
                <w:rFonts w:ascii="Arial" w:cs="Arial" w:eastAsia="Arial" w:hAnsi="Arial"/>
                <w:sz w:val="18"/>
                <w:szCs w:val="18"/>
                <w:color w:val="auto"/>
              </w:rPr>
              <w:t>March 31, 2014 and December 31, 2013, liquidation value $1,452,500 at March 31, 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Common stock, $0.001 par value; 50,000,000 shares authorized at March 31, 2014 and December 31, 2013,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21,906,172 and 18,386,900 issued and outstanding at March 31, 2014 and December 31, 2013,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135,030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Deficit accumulated during the development stage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(107,373)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(101,965)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36,899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Period from</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Inception</w:t>
            </w:r>
          </w:p>
        </w:tc>
      </w:tr>
      <w:tr>
        <w:trPr>
          <w:trHeight w:val="158"/>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300"/>
              <w:spacing w:after="0" w:line="158" w:lineRule="exact"/>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3"/>
                <w:szCs w:val="13"/>
                <w:color w:val="auto"/>
              </w:rPr>
            </w:pPr>
          </w:p>
        </w:tc>
        <w:tc>
          <w:tcPr>
            <w:tcW w:w="102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(July 10, 2000)</w:t>
            </w:r>
          </w:p>
        </w:tc>
      </w:tr>
      <w:tr>
        <w:trPr>
          <w:trHeight w:val="176"/>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to March 31,</w:t>
            </w: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8"/>
          </w:tcPr>
          <w:p>
            <w:pPr>
              <w:jc w:val="right"/>
              <w:ind w:right="27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1,752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36,070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55,524</w:t>
            </w:r>
          </w:p>
        </w:tc>
      </w:tr>
      <w:tr>
        <w:trPr>
          <w:trHeight w:val="230"/>
        </w:trPr>
        <w:tc>
          <w:tcPr>
            <w:tcW w:w="20" w:type="dxa"/>
            <w:vAlign w:val="bottom"/>
          </w:tcPr>
          <w:p>
            <w:pPr>
              <w:spacing w:after="0"/>
              <w:rPr>
                <w:sz w:val="20"/>
                <w:szCs w:val="20"/>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(4,844)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(91,594)</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equity method investment in Galectin Sciences, LLC</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Change in fair value of convertible debt instrument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(3,426)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9,022</w:t>
            </w: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(5,110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(4,332)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(8,763)</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(5,408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20,270</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16,079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Cumulative</w:t>
            </w: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Inception</w:t>
            </w:r>
          </w:p>
        </w:tc>
      </w:tr>
      <w:tr>
        <w:trPr>
          <w:trHeight w:val="158"/>
        </w:trPr>
        <w:tc>
          <w:tcPr>
            <w:tcW w:w="2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ind w:left="40"/>
              <w:spacing w:after="0" w:line="158" w:lineRule="exact"/>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(July 10, 2000)</w:t>
            </w:r>
          </w:p>
        </w:tc>
      </w:tr>
      <w:tr>
        <w:trPr>
          <w:trHeight w:val="176"/>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to March 31,</w:t>
            </w: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(5,110)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(89,190)</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20"/>
              <w:spacing w:after="0"/>
              <w:rPr>
                <w:sz w:val="20"/>
                <w:szCs w:val="20"/>
                <w:color w:val="auto"/>
              </w:rPr>
            </w:pPr>
            <w:r>
              <w:rPr>
                <w:rFonts w:ascii="Arial" w:cs="Arial" w:eastAsia="Arial" w:hAnsi="Arial"/>
                <w:sz w:val="18"/>
                <w:szCs w:val="18"/>
                <w:color w:val="auto"/>
              </w:rPr>
              <w:t>Loss from equity method investment in Galectin Sciences LLC</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20"/>
              <w:spacing w:after="0"/>
              <w:rPr>
                <w:sz w:val="20"/>
                <w:szCs w:val="20"/>
                <w:color w:val="auto"/>
              </w:rPr>
            </w:pPr>
            <w:r>
              <w:rPr>
                <w:rFonts w:ascii="Arial" w:cs="Arial" w:eastAsia="Arial" w:hAnsi="Arial"/>
                <w:sz w:val="18"/>
                <w:szCs w:val="18"/>
                <w:color w:val="auto"/>
              </w:rPr>
              <w:t>Change in fair value of convertible debt instrument</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r>
      <w:tr>
        <w:trPr>
          <w:trHeight w:val="216"/>
        </w:trPr>
        <w:tc>
          <w:tcPr>
            <w:tcW w:w="20" w:type="dxa"/>
            <w:vAlign w:val="bottom"/>
          </w:tcPr>
          <w:p>
            <w:pPr>
              <w:spacing w:after="0"/>
              <w:rPr>
                <w:sz w:val="18"/>
                <w:szCs w:val="18"/>
                <w:color w:val="auto"/>
              </w:rPr>
            </w:pPr>
          </w:p>
        </w:tc>
        <w:tc>
          <w:tcPr>
            <w:tcW w:w="8400" w:type="dxa"/>
            <w:vAlign w:val="bottom"/>
          </w:tcPr>
          <w:p>
            <w:pPr>
              <w:ind w:left="520"/>
              <w:spacing w:after="0"/>
              <w:rPr>
                <w:sz w:val="20"/>
                <w:szCs w:val="20"/>
                <w:color w:val="auto"/>
              </w:rPr>
            </w:pPr>
            <w:r>
              <w:rPr>
                <w:rFonts w:ascii="Arial" w:cs="Arial" w:eastAsia="Arial" w:hAnsi="Arial"/>
                <w:sz w:val="18"/>
                <w:szCs w:val="18"/>
                <w:color w:val="auto"/>
              </w:rPr>
              <w:t>Write off of intangible assets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(2,423)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(69,656)</w:t>
            </w: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Equity method investment in Galectin Sciences LLC</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patents costs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r>
      <w:tr>
        <w:trPr>
          <w:trHeight w:val="230"/>
        </w:trPr>
        <w:tc>
          <w:tcPr>
            <w:tcW w:w="20" w:type="dxa"/>
            <w:vAlign w:val="bottom"/>
          </w:tcPr>
          <w:p>
            <w:pPr>
              <w:spacing w:after="0"/>
              <w:rPr>
                <w:sz w:val="20"/>
                <w:szCs w:val="20"/>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28,178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71,104</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Series A preferred stock and related warrants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Net proceeds from issuance of Series B-1 preferred stock and related warrants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Series B-2 preferred stock and related warrants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Net proceeds from issuance of Series C preferred stock</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convertible debt instruments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10,621</w:t>
            </w: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Repayment of convertible debt instruments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(1,641)</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 and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18,015</w:t>
            </w: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Proceeds from shareholder advances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107,485</w:t>
            </w:r>
          </w:p>
        </w:tc>
        <w:tc>
          <w:tcPr>
            <w:tcW w:w="100" w:type="dxa"/>
            <w:vAlign w:val="bottom"/>
            <w:shd w:val="clear" w:color="auto" w:fill="CCEEFF"/>
          </w:tcPr>
          <w:p>
            <w:pPr>
              <w:spacing w:after="0"/>
              <w:rPr>
                <w:sz w:val="18"/>
                <w:szCs w:val="18"/>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26,105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(2,346)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9,364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36,594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7,018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 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equity warrants in connection with equity offerings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Conversion of accrued expenses into common stock</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and redemption of convertible notes and accrued interest into common stock</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12,243</w:t>
            </w: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Conversion of extension costs related to convertible notes into common stock</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Issuance of warrants to induce conversion of notes payable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stock to acquire Pro-Pharmaceuticals-NV</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Galectin Therapeutics Inc. (the “Company”) is a development-stage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March 31, 2014 and the results of its operations for the three months ended March 31, 2014 and 2013 and the cumulative period from inception (July 10, 2000) through March 31, 2014 and its cash flows for the three months ended March 31, 2014 and 2013, and for the cumulative period from inception (July 10, 2000) to March 31, 2014.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2013.</w:t>
      </w:r>
    </w:p>
    <w:p>
      <w:pPr>
        <w:spacing w:after="0" w:line="16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March 31, 2014, the Company had $36.6 million of unrestricted cash and cash equivalents available to fund future operations. The Company believes that with the cash on hand at March 31, 2014, there is sufficient cash to fund operations through 2015.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shown in the condensed consolidated financial statements, the Company incurred cumulative net losses applicable to common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$107.6 million for the cumulative period from inception (July 10, 2000) through March 31, 2014. The Company’s net losses have resulted principally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associated with (i) research and development expenses, including clinical trial costs, (ii) general and administrative activities and (iii)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transactions including interest, dividend payments, and the costs related to fair value accounting for the Company’s convertible debt instruments.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planned expenditures for future research, discovery, development and commercialization activities and potential legal cost to protect its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the Company expects to incur additional losses and use additional cash in its operations for the foreseeable future. Through March 31, 2014,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raised a net total of $107.5 million in capital through sale and issuance of common stock, common stock purchase warrants, convertible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and debt securities in public and private offerings. From inception (July 10, 2000) through March 31, 2014, the Company used cash of $69.7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its operations.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00" w:type="dxa"/>
            <w:vAlign w:val="bottom"/>
            <w:gridSpan w:val="3"/>
          </w:tcPr>
          <w:p>
            <w:pPr>
              <w:ind w:left="2200"/>
              <w:spacing w:after="0"/>
              <w:rPr>
                <w:sz w:val="20"/>
                <w:szCs w:val="20"/>
                <w:color w:val="auto"/>
              </w:rPr>
            </w:pPr>
            <w:r>
              <w:rPr>
                <w:rFonts w:ascii="Arial" w:cs="Arial" w:eastAsia="Arial" w:hAnsi="Arial"/>
                <w:sz w:val="14"/>
                <w:szCs w:val="14"/>
                <w:color w:val="auto"/>
                <w:w w:val="93"/>
              </w:rPr>
              <w:t>March 31,</w:t>
            </w:r>
          </w:p>
        </w:tc>
        <w:tc>
          <w:tcPr>
            <w:tcW w:w="1480" w:type="dxa"/>
            <w:vAlign w:val="bottom"/>
            <w:gridSpan w:val="4"/>
          </w:tcPr>
          <w:p>
            <w:pPr>
              <w:ind w:left="600"/>
              <w:spacing w:after="0"/>
              <w:rPr>
                <w:sz w:val="20"/>
                <w:szCs w:val="20"/>
                <w:color w:val="auto"/>
              </w:rPr>
            </w:pPr>
            <w:r>
              <w:rPr>
                <w:rFonts w:ascii="Arial" w:cs="Arial" w:eastAsia="Arial" w:hAnsi="Arial"/>
                <w:sz w:val="14"/>
                <w:szCs w:val="14"/>
                <w:color w:val="auto"/>
                <w:w w:val="97"/>
              </w:rPr>
              <w:t>December 31,</w:t>
            </w: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2014</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2013</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compensation</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8)</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2013 through March 31, 2014:</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ind w:left="36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3,348,705</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326,500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(288,749)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(21,258)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3,365,198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2014, there was $6,491,000 of unrecognized compensation related to 1,360,476 unvested options, which is expected to be recognized over a weighted–average period of approximately 2.6 years. The weighted-average grant date fair value for options granted during the three months ended March 31, 2014 and 2013 was $11.28 and $2.73, respectively. The Company granted 326,500 stock options during the three months ended March 31, 2014, of which 81,625 options vested upon grant with the remaining 244,875 options vesting over 3 years. Approximately $921,000 of non-cash, stock-based compensation expense was recorded during the three months ended March 31, 2014 related to the options granted during the quarter that were vested upon the grant date.</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Three</w:t>
            </w:r>
          </w:p>
        </w:tc>
        <w:tc>
          <w:tcPr>
            <w:tcW w:w="5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Three</w:t>
            </w:r>
          </w:p>
        </w:tc>
      </w:tr>
      <w:tr>
        <w:trPr>
          <w:trHeight w:val="149"/>
        </w:trPr>
        <w:tc>
          <w:tcPr>
            <w:tcW w:w="3680" w:type="dxa"/>
            <w:vAlign w:val="bottom"/>
          </w:tcPr>
          <w:p>
            <w:pPr>
              <w:spacing w:after="0"/>
              <w:rPr>
                <w:sz w:val="12"/>
                <w:szCs w:val="12"/>
                <w:color w:val="auto"/>
              </w:rPr>
            </w:pPr>
          </w:p>
        </w:tc>
        <w:tc>
          <w:tcPr>
            <w:tcW w:w="3580" w:type="dxa"/>
            <w:vAlign w:val="bottom"/>
            <w:gridSpan w:val="2"/>
          </w:tcPr>
          <w:p>
            <w:pPr>
              <w:jc w:val="center"/>
              <w:ind w:left="2614"/>
              <w:spacing w:after="0" w:line="149" w:lineRule="exact"/>
              <w:rPr>
                <w:sz w:val="20"/>
                <w:szCs w:val="20"/>
                <w:color w:val="auto"/>
              </w:rPr>
            </w:pPr>
            <w:r>
              <w:rPr>
                <w:rFonts w:ascii="Arial" w:cs="Arial" w:eastAsia="Arial" w:hAnsi="Arial"/>
                <w:sz w:val="14"/>
                <w:szCs w:val="14"/>
                <w:color w:val="auto"/>
                <w:w w:val="92"/>
              </w:rPr>
              <w:t>Months Ended</w:t>
            </w:r>
          </w:p>
        </w:tc>
        <w:tc>
          <w:tcPr>
            <w:tcW w:w="1420" w:type="dxa"/>
            <w:vAlign w:val="bottom"/>
            <w:gridSpan w:val="2"/>
          </w:tcPr>
          <w:p>
            <w:pPr>
              <w:jc w:val="center"/>
              <w:ind w:left="456"/>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3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March 31,</w:t>
            </w:r>
          </w:p>
        </w:tc>
        <w:tc>
          <w:tcPr>
            <w:tcW w:w="5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March 31,</w:t>
            </w:r>
          </w:p>
        </w:tc>
      </w:tr>
      <w:tr>
        <w:trPr>
          <w:trHeight w:val="142"/>
        </w:trPr>
        <w:tc>
          <w:tcPr>
            <w:tcW w:w="36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5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7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 years</w:t>
            </w:r>
          </w:p>
        </w:tc>
        <w:tc>
          <w:tcPr>
            <w:tcW w:w="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5.0 years</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580" w:type="dxa"/>
            <w:vAlign w:val="bottom"/>
            <w:gridSpan w:val="2"/>
            <w:shd w:val="clear" w:color="auto" w:fill="CCEEFF"/>
          </w:tcPr>
          <w:p>
            <w:pPr>
              <w:jc w:val="center"/>
              <w:ind w:left="2634"/>
              <w:spacing w:after="0"/>
              <w:rPr>
                <w:sz w:val="20"/>
                <w:szCs w:val="20"/>
                <w:color w:val="auto"/>
              </w:rPr>
            </w:pPr>
            <w:r>
              <w:rPr>
                <w:rFonts w:ascii="Arial" w:cs="Arial" w:eastAsia="Arial" w:hAnsi="Arial"/>
                <w:sz w:val="18"/>
                <w:szCs w:val="18"/>
                <w:color w:val="auto"/>
                <w:w w:val="91"/>
              </w:rPr>
              <w:t>114%</w:t>
            </w:r>
          </w:p>
        </w:tc>
        <w:tc>
          <w:tcPr>
            <w:tcW w:w="142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1"/>
              </w:rPr>
              <w:t>117%</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580" w:type="dxa"/>
            <w:vAlign w:val="bottom"/>
            <w:gridSpan w:val="2"/>
          </w:tcPr>
          <w:p>
            <w:pPr>
              <w:jc w:val="center"/>
              <w:ind w:left="2614"/>
              <w:spacing w:after="0"/>
              <w:rPr>
                <w:sz w:val="20"/>
                <w:szCs w:val="20"/>
                <w:color w:val="auto"/>
              </w:rPr>
            </w:pPr>
            <w:r>
              <w:rPr>
                <w:rFonts w:ascii="Arial" w:cs="Arial" w:eastAsia="Arial" w:hAnsi="Arial"/>
                <w:sz w:val="18"/>
                <w:szCs w:val="18"/>
                <w:color w:val="auto"/>
                <w:w w:val="92"/>
              </w:rPr>
              <w:t>0%</w:t>
            </w:r>
          </w:p>
        </w:tc>
        <w:tc>
          <w:tcPr>
            <w:tcW w:w="1420" w:type="dxa"/>
            <w:vAlign w:val="bottom"/>
            <w:gridSpan w:val="2"/>
          </w:tcPr>
          <w:p>
            <w:pPr>
              <w:jc w:val="center"/>
              <w:ind w:left="456"/>
              <w:spacing w:after="0"/>
              <w:rPr>
                <w:sz w:val="20"/>
                <w:szCs w:val="20"/>
                <w:color w:val="auto"/>
              </w:rPr>
            </w:pPr>
            <w:r>
              <w:rPr>
                <w:rFonts w:ascii="Arial" w:cs="Arial" w:eastAsia="Arial" w:hAnsi="Arial"/>
                <w:sz w:val="18"/>
                <w:szCs w:val="18"/>
                <w:color w:val="auto"/>
                <w:w w:val="92"/>
              </w:rPr>
              <w:t>0%</w:t>
            </w:r>
          </w:p>
        </w:tc>
      </w:tr>
      <w:tr>
        <w:trPr>
          <w:trHeight w:val="350"/>
        </w:trPr>
        <w:tc>
          <w:tcPr>
            <w:tcW w:w="3680" w:type="dxa"/>
            <w:vAlign w:val="bottom"/>
          </w:tcPr>
          <w:p>
            <w:pPr>
              <w:spacing w:after="0"/>
              <w:rPr>
                <w:sz w:val="24"/>
                <w:szCs w:val="24"/>
                <w:color w:val="auto"/>
              </w:rPr>
            </w:pPr>
          </w:p>
        </w:tc>
        <w:tc>
          <w:tcPr>
            <w:tcW w:w="2720" w:type="dxa"/>
            <w:vAlign w:val="bottom"/>
          </w:tcPr>
          <w:p>
            <w:pPr>
              <w:jc w:val="right"/>
              <w:ind w:right="1934"/>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January 2014, the Company entered into an agreement with a consultant that provided for the grant of 3,000 shares of common stock. The Company recognized an expense of $25,000, representing the market value of the common stock, during the three months ended March 31, 2014.</w:t>
      </w:r>
    </w:p>
    <w:p>
      <w:pPr>
        <w:spacing w:after="0" w:line="29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common stock warrant activity from December 31, 2013 through March 31, 2014:</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ind w:left="74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6,035,229</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3.63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529,650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3.12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5,505,579</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during the three months ended March 31, 2013.</w:t>
      </w:r>
    </w:p>
    <w:p>
      <w:pPr>
        <w:spacing w:after="0" w:line="3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There were no level 2 or level 3 assets held at fair value at March 31, 2014 or December 31, 2013.</w:t>
      </w:r>
    </w:p>
    <w:p>
      <w:pPr>
        <w:spacing w:after="0" w:line="33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80" w:lineRule="exact"/>
        <w:rPr>
          <w:sz w:val="20"/>
          <w:szCs w:val="20"/>
          <w:color w:val="auto"/>
        </w:rPr>
      </w:pPr>
    </w:p>
    <w:p>
      <w:pPr>
        <w:jc w:val="center"/>
        <w:ind w:left="6560"/>
        <w:spacing w:after="0"/>
        <w:rPr>
          <w:sz w:val="20"/>
          <w:szCs w:val="20"/>
          <w:color w:val="auto"/>
        </w:rPr>
      </w:pPr>
      <w:r>
        <w:rPr>
          <w:rFonts w:ascii="Arial" w:cs="Arial" w:eastAsia="Arial" w:hAnsi="Arial"/>
          <w:sz w:val="14"/>
          <w:szCs w:val="14"/>
          <w:color w:val="auto"/>
        </w:rPr>
        <w:t>Three Months Ended</w:t>
      </w:r>
    </w:p>
    <w:p>
      <w:pPr>
        <w:jc w:val="center"/>
        <w:ind w:left="65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23"/>
        </w:trPr>
        <w:tc>
          <w:tcPr>
            <w:tcW w:w="5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99"/>
              <w:spacing w:after="0" w:line="123" w:lineRule="exact"/>
              <w:rPr>
                <w:sz w:val="20"/>
                <w:szCs w:val="20"/>
                <w:color w:val="auto"/>
              </w:rPr>
            </w:pPr>
            <w:r>
              <w:rPr>
                <w:rFonts w:ascii="Arial" w:cs="Arial" w:eastAsia="Arial" w:hAnsi="Arial"/>
                <w:sz w:val="14"/>
                <w:szCs w:val="14"/>
                <w:color w:val="auto"/>
              </w:rPr>
              <w:t>2014</w:t>
            </w: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34"/>
              <w:spacing w:after="0" w:line="123"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0"/>
                <w:szCs w:val="10"/>
                <w:color w:val="auto"/>
              </w:rPr>
            </w:pPr>
          </w:p>
        </w:tc>
      </w:tr>
      <w:tr>
        <w:trPr>
          <w:trHeight w:val="149"/>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w w:val="91"/>
              </w:rPr>
              <w:t>(in thousands, except share</w:t>
            </w:r>
          </w:p>
        </w:tc>
      </w:tr>
      <w:tr>
        <w:trPr>
          <w:trHeight w:val="181"/>
        </w:trPr>
        <w:tc>
          <w:tcPr>
            <w:tcW w:w="5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jc w:val="right"/>
              <w:ind w:right="400"/>
              <w:spacing w:after="0"/>
              <w:rPr>
                <w:sz w:val="20"/>
                <w:szCs w:val="20"/>
                <w:color w:val="auto"/>
              </w:rPr>
            </w:pPr>
            <w:r>
              <w:rPr>
                <w:rFonts w:ascii="Arial" w:cs="Arial" w:eastAsia="Arial" w:hAnsi="Arial"/>
                <w:sz w:val="14"/>
                <w:szCs w:val="14"/>
                <w:color w:val="auto"/>
                <w:w w:val="99"/>
              </w:rPr>
              <w:t>and per share amounts)</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Net loss applicable to common stockholders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9"/>
              <w:spacing w:after="0"/>
              <w:rPr>
                <w:sz w:val="20"/>
                <w:szCs w:val="20"/>
                <w:color w:val="auto"/>
              </w:rPr>
            </w:pPr>
            <w:r>
              <w:rPr>
                <w:rFonts w:ascii="Arial" w:cs="Arial" w:eastAsia="Arial" w:hAnsi="Arial"/>
                <w:sz w:val="18"/>
                <w:szCs w:val="18"/>
                <w:color w:val="auto"/>
              </w:rPr>
              <w:t>(5,408)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(3,472)</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 – basic and diluted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8"/>
              </w:rPr>
              <w:t>20,270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16,079</w:t>
            </w:r>
          </w:p>
        </w:tc>
        <w:tc>
          <w:tcPr>
            <w:tcW w:w="120" w:type="dxa"/>
            <w:vAlign w:val="bottom"/>
            <w:shd w:val="clear" w:color="auto" w:fill="CCEEFF"/>
          </w:tcPr>
          <w:p>
            <w:pPr>
              <w:spacing w:after="0"/>
              <w:rPr>
                <w:sz w:val="18"/>
                <w:szCs w:val="18"/>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Net loss per common share – basic and diluted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9"/>
              <w:spacing w:after="0"/>
              <w:rPr>
                <w:sz w:val="20"/>
                <w:szCs w:val="20"/>
                <w:color w:val="auto"/>
              </w:rPr>
            </w:pPr>
            <w:r>
              <w:rPr>
                <w:rFonts w:ascii="Arial" w:cs="Arial" w:eastAsia="Arial" w:hAnsi="Arial"/>
                <w:sz w:val="18"/>
                <w:szCs w:val="18"/>
                <w:color w:val="auto"/>
              </w:rPr>
              <w:t>(0.27)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r>
      <w:tr>
        <w:trPr>
          <w:trHeight w:val="350"/>
        </w:trPr>
        <w:tc>
          <w:tcPr>
            <w:tcW w:w="5880" w:type="dxa"/>
            <w:vAlign w:val="bottom"/>
          </w:tcPr>
          <w:p>
            <w:pPr>
              <w:ind w:left="4280"/>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March 31, 2014</w:t>
            </w:r>
          </w:p>
        </w:tc>
        <w:tc>
          <w:tcPr>
            <w:tcW w:w="1460" w:type="dxa"/>
            <w:vAlign w:val="bottom"/>
            <w:gridSpan w:val="3"/>
          </w:tcPr>
          <w:p>
            <w:pPr>
              <w:jc w:val="center"/>
              <w:ind w:left="336"/>
              <w:spacing w:after="0"/>
              <w:rPr>
                <w:sz w:val="20"/>
                <w:szCs w:val="20"/>
                <w:color w:val="auto"/>
              </w:rPr>
            </w:pPr>
            <w:r>
              <w:rPr>
                <w:rFonts w:ascii="Arial" w:cs="Arial" w:eastAsia="Arial" w:hAnsi="Arial"/>
                <w:sz w:val="14"/>
                <w:szCs w:val="14"/>
                <w:color w:val="auto"/>
                <w:w w:val="94"/>
              </w:rPr>
              <w:t>March 31, 2013</w:t>
            </w:r>
          </w:p>
        </w:tc>
      </w:tr>
      <w:tr>
        <w:trPr>
          <w:trHeight w:val="167"/>
        </w:trPr>
        <w:tc>
          <w:tcPr>
            <w:tcW w:w="5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(shares)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5,505,579</w:t>
            </w:r>
          </w:p>
        </w:tc>
        <w:tc>
          <w:tcPr>
            <w:tcW w:w="4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7,429,241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3,365,198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3,656,217</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2,550,437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2,618,772</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11,421,214</w:t>
            </w:r>
          </w:p>
        </w:tc>
        <w:tc>
          <w:tcPr>
            <w:tcW w:w="4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13,704,230</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2012 Offering and Reverse Stock Split</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over-allotments, which they exercised on March 26, 2012. The public offering price for each Unit was $9.00. Each warrant has an initial exercise price of $5.63 per share, is exercisable upon separation of the Units and expires on March 28, 2017.</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Hedging—Contracts in Entity’s Own Equity” the Company has determined that warrants issued in connection with this financing transaction were not derivative liabilities and therefore, were recorded as additional paid-in capital.</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On March 28, 2012, in connection with this underwritten financing as per the underwriting agreement, the Company issued a total of 46,378 common stock purchase warrants to the underwriters. These warrants expire May 2, 2016, have an exercise price of $5.63 per share, and are exercisable beginning 1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Hedging—Contracts in Entity’s Own Equity”, the Company has determined that these warrants issued in connection with this financing transaction were not derivative liabilities and therefore, were recorded as additional paid-in capital.</w:t>
      </w:r>
    </w:p>
    <w:p>
      <w:pPr>
        <w:spacing w:after="0" w:line="16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Effective as of March 23, 2012, and in connection with the pricing of the offering of Units, the Company effected a one-for-six reverse split of its Common Stock. Per the terms of the reverse split, all fractional shares were rounded up.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Market Issuance of Common Stock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October 25, 2013, the Company entered into an At Market Issuance Sales Agreement (the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At Market Agreement. As of December 31, 2013, the Company had issued 99,942 shares of its common stock through its At Market issuance program at an average price of $9.02 per share resulting in gross proceeds of approximately $944,000. The Company incurred one time, initial legal and accounting costs of approximately $82,000 and commissions of $29,000 resulting in net proceeds of $833,000 as of December 31, 2013. In January and February 2014, the Company issued 2,663,647 shares of common stock for net proceeds of approximately $28,178,000 which completed the At Market Agreement.</w:t>
      </w:r>
    </w:p>
    <w:p>
      <w:pPr>
        <w:spacing w:after="0" w:line="3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w:t>
      </w:r>
    </w:p>
    <w:p>
      <w:pPr>
        <w:ind w:right="20" w:firstLine="8"/>
        <w:spacing w:after="0" w:line="29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December 31, 2013 and 2012.</w:t>
      </w:r>
    </w:p>
    <w:p>
      <w:pPr>
        <w:spacing w:after="0" w:line="16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and intends a vigorous defense on their behalf. On April 29, 2013, the Superior Court allowed</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Dr. Traber’s and Mr. McGauley’s motion to dismiss. On May 28, 2013, Dr. Platt filed a Notice of Appeal to appeal the Superior Court’s order allowing the defendants’ motion to dismiss. On April 14, 2014, the Appeals Court denied Dr. Platt’s appeal of the dismissal in full.</w:t>
      </w:r>
    </w:p>
    <w:p>
      <w:pPr>
        <w:spacing w:after="0" w:line="1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April 28, 2014; however, the ultimate outcome is uncertain and there is no guarantee that the Company will be successful in this demand.</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is currently delaying payment pending the outcome of this arbitration.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except as noted above. There are no other pending legal proceedings except as noted above.</w:t>
      </w:r>
    </w:p>
    <w:p>
      <w:pPr>
        <w:spacing w:after="0" w:line="3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Both the Company and SBH have a 50% equity ownership interest in the LLC, with neither party having control over the LLC. Accordingly, the Company has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Company’s portion of the LLC’s net loss for the 3 month period ending March 31, 2014 was $270,000, which includes the Company’s proportionate share of the non-cash charge associated with the contributed IPR&amp;D of $200,000.</w:t>
      </w:r>
    </w:p>
    <w:p>
      <w:pPr>
        <w:spacing w:after="0" w:line="3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March 31, 2014.</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operations through 2015;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91"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outside capital,</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 intellectual property protection, and we may be unable to improve upon, protect and/or enforce our intellectual property,</w:t>
      </w:r>
    </w:p>
    <w:p>
      <w:pPr>
        <w:spacing w:after="0" w:line="75" w:lineRule="exact"/>
        <w:rPr>
          <w:rFonts w:ascii="Arial" w:cs="Arial" w:eastAsia="Arial" w:hAnsi="Arial"/>
          <w:sz w:val="18"/>
          <w:szCs w:val="18"/>
          <w:color w:val="auto"/>
        </w:rPr>
      </w:pPr>
    </w:p>
    <w:p>
      <w:pPr>
        <w:ind w:left="1480" w:right="40" w:hanging="446"/>
        <w:spacing w:after="0" w:line="342"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other risks detailed herein and from time to time in our SEC reports, including our Annual Report on Form 10-K filed with the SEC for the fiscal year ended December 31, 2013, and our subsequent SEC filings.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development-stage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synthetic carbohydrate molecules which bind galectin proteins and offer alternative options to larger market segments in our primary disease targets. This effort is conducted with the Center for Complex Carbohydrate Research at the University of Georgia. Several synthetic compounds have been made and attached to various scaffolds and tested for galectin binding activity. We also have established through Galectin Sciences, LLC, a joint venture created in January 2014, a discovery program aimed at the targeted development of small molecules (non-carbohydrate) which bind galectin proteins and may afford options for alternative means of drug delivery including oral and as a result expand the potential uses of our compounds. This effort involves in silico modeling using a proprietary molecular model built based on existing crystal structures of galectin, especially galectin-3. Chemical libraries have been screened for compounds with oral ‘drugability’ and hits evaluated for galectin-3 binding. Pharmacophores for hit compounds are then synthesized and optimized via medicinal chemistry approaches. In addition to these efforts we are also pursuing derivatives of GR-MD-02, our lead compound, for subcutaneous administration which is focused on reductions in molecular weight and other potential modifications.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two compounds in development, GR-MD-02 and GM-CT-01, both of which have shown promise in preclinical studies in treatment of fibrosis and in cancer therapy. However, we are currently focusing on development of GR-MD-02 intended to be used in the treatment of liver fibrosis and fatty liver disease and in cancer therapy in combination with immune-system modifying agent(s). Both of our proprietary compounds are produced from completely different, natural, readily available, starting materials, which, following chemical processing, both exhibit the property of binding to and inhibiting galectin proteins.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480" w:type="dxa"/>
            <w:vAlign w:val="bottom"/>
          </w:tcPr>
          <w:p>
            <w:pPr>
              <w:spacing w:after="0"/>
              <w:rPr>
                <w:sz w:val="16"/>
                <w:szCs w:val="16"/>
                <w:color w:val="auto"/>
              </w:rPr>
            </w:pP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Drug</w:t>
            </w:r>
          </w:p>
        </w:tc>
        <w:tc>
          <w:tcPr>
            <w:tcW w:w="6960" w:type="dxa"/>
            <w:vAlign w:val="bottom"/>
          </w:tcPr>
          <w:p>
            <w:pPr>
              <w:ind w:left="3300"/>
              <w:spacing w:after="0"/>
              <w:rPr>
                <w:sz w:val="20"/>
                <w:szCs w:val="20"/>
                <w:color w:val="auto"/>
              </w:rPr>
            </w:pPr>
            <w:r>
              <w:rPr>
                <w:rFonts w:ascii="Arial" w:cs="Arial" w:eastAsia="Arial" w:hAnsi="Arial"/>
                <w:sz w:val="14"/>
                <w:szCs w:val="14"/>
                <w:b w:val="1"/>
                <w:bCs w:val="1"/>
                <w:color w:val="auto"/>
              </w:rPr>
              <w:t>Status</w:t>
            </w:r>
          </w:p>
        </w:tc>
      </w:tr>
      <w:tr>
        <w:trPr>
          <w:trHeight w:val="182"/>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tcBorders>
              <w:top w:val="single" w:sz="8" w:color="auto"/>
            </w:tcBorders>
          </w:tcPr>
          <w:p>
            <w:pPr>
              <w:spacing w:after="0"/>
              <w:rPr>
                <w:sz w:val="15"/>
                <w:szCs w:val="15"/>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GR-MD-02</w:t>
            </w:r>
          </w:p>
        </w:tc>
        <w:tc>
          <w:tcPr>
            <w:tcW w:w="6960" w:type="dxa"/>
            <w:vAlign w:val="bottom"/>
          </w:tcPr>
          <w:p>
            <w:pPr>
              <w:spacing w:after="0"/>
              <w:rPr>
                <w:sz w:val="20"/>
                <w:szCs w:val="20"/>
                <w:color w:val="auto"/>
              </w:rPr>
            </w:pPr>
            <w:r>
              <w:rPr>
                <w:rFonts w:ascii="Arial" w:cs="Arial" w:eastAsia="Arial" w:hAnsi="Arial"/>
                <w:sz w:val="18"/>
                <w:szCs w:val="18"/>
                <w:color w:val="auto"/>
                <w:w w:val="95"/>
              </w:rPr>
              <w:t>IND submitted January 2013, FDA indicated on March 1, 2013 that we could proceed with a</w:t>
            </w:r>
          </w:p>
        </w:tc>
      </w:tr>
      <w:tr>
        <w:trPr>
          <w:trHeight w:val="216"/>
        </w:trPr>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3"/>
              </w:rPr>
              <w:t>Phase 1 US clinical trial. Phase 1 clinical trial started Q2-2013. Results from the first cohort of</w:t>
            </w:r>
          </w:p>
        </w:tc>
      </w:tr>
      <w:tr>
        <w:trPr>
          <w:trHeight w:val="216"/>
        </w:trPr>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3"/>
              </w:rPr>
              <w:t>the Phase 1 clinical trial presented on March 31, 2014. Enrollment of the second cohort of the</w:t>
            </w:r>
          </w:p>
        </w:tc>
      </w:tr>
      <w:tr>
        <w:trPr>
          <w:trHeight w:val="216"/>
        </w:trPr>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1"/>
              </w:rPr>
              <w:t>Phase 1 clinical trial was completed in April 2014. Results from the second cohort of the Phase</w:t>
            </w:r>
          </w:p>
        </w:tc>
      </w:tr>
      <w:tr>
        <w:trPr>
          <w:trHeight w:val="216"/>
        </w:trPr>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1 clinical trial are expected around the end of July 2014.</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GR-MD-02</w:t>
            </w:r>
          </w:p>
        </w:tc>
        <w:tc>
          <w:tcPr>
            <w:tcW w:w="696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GR-MD-02</w:t>
            </w:r>
          </w:p>
        </w:tc>
        <w:tc>
          <w:tcPr>
            <w:tcW w:w="696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Cardiac Fibrosis</w:t>
            </w: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GM-CT-01 &amp;</w:t>
            </w:r>
          </w:p>
        </w:tc>
        <w:tc>
          <w:tcPr>
            <w:tcW w:w="696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GR-MD-02</w:t>
            </w:r>
          </w:p>
        </w:tc>
        <w:tc>
          <w:tcPr>
            <w:tcW w:w="696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720" w:type="dxa"/>
            <w:vAlign w:val="bottom"/>
            <w:gridSpan w:val="3"/>
          </w:tcPr>
          <w:p>
            <w:pPr>
              <w:ind w:left="480"/>
              <w:spacing w:after="0"/>
              <w:rPr>
                <w:sz w:val="20"/>
                <w:szCs w:val="20"/>
                <w:color w:val="auto"/>
              </w:rPr>
            </w:pPr>
            <w:r>
              <w:rPr>
                <w:rFonts w:ascii="Arial" w:cs="Arial" w:eastAsia="Arial" w:hAnsi="Arial"/>
                <w:sz w:val="18"/>
                <w:szCs w:val="18"/>
                <w:color w:val="auto"/>
              </w:rPr>
              <w:t>GR-MD-02</w:t>
            </w:r>
          </w:p>
        </w:tc>
        <w:tc>
          <w:tcPr>
            <w:tcW w:w="6960" w:type="dxa"/>
            <w:vAlign w:val="bottom"/>
          </w:tcPr>
          <w:p>
            <w:pPr>
              <w:spacing w:after="0"/>
              <w:rPr>
                <w:sz w:val="20"/>
                <w:szCs w:val="20"/>
                <w:color w:val="auto"/>
              </w:rPr>
            </w:pPr>
            <w:r>
              <w:rPr>
                <w:rFonts w:ascii="Arial" w:cs="Arial" w:eastAsia="Arial" w:hAnsi="Arial"/>
                <w:sz w:val="18"/>
                <w:szCs w:val="18"/>
                <w:color w:val="auto"/>
              </w:rPr>
              <w:t>Investigator IND filed in December 2013. Phase 1B study in process.</w:t>
            </w: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GR-MD-02 is our lead product candidate for treatment of fibrotic disease. Our preclinical data show that GR-MD-02 has a powerful</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pharmacodynamics biomarkers of disease. On March 1, 2013, the FDA indicated we could proceed with a US Phase 1 clinical trial for GR-MD-02 with a development program aimed at obtaining support for a proposed indication of GR-MD-02 for treatment of NASH with advanced fibrosis.</w:t>
      </w:r>
    </w:p>
    <w:p>
      <w:pPr>
        <w:spacing w:after="0" w:line="14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there have been two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in a Phase 1B study of patients with metastatic melanoma. This study is being conducted under the sponsorship of Providence Portland Medical Center’s Earle A. Chiles Research Institute (EACRI) and is being supported by the Company.</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Three Months Ended March 31,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color w:val="auto"/>
                <w:w w:val="94"/>
              </w:rPr>
              <w:t>Three Months</w:t>
            </w:r>
          </w:p>
        </w:tc>
        <w:tc>
          <w:tcPr>
            <w:tcW w:w="2060" w:type="dxa"/>
            <w:vAlign w:val="bottom"/>
            <w:gridSpan w:val="3"/>
          </w:tcPr>
          <w:p>
            <w:pPr>
              <w:jc w:val="center"/>
              <w:ind w:right="160"/>
              <w:spacing w:after="0"/>
              <w:rPr>
                <w:sz w:val="20"/>
                <w:szCs w:val="20"/>
                <w:color w:val="auto"/>
              </w:rPr>
            </w:pPr>
            <w:r>
              <w:rPr>
                <w:rFonts w:ascii="Arial" w:cs="Arial" w:eastAsia="Arial" w:hAnsi="Arial"/>
                <w:sz w:val="14"/>
                <w:szCs w:val="14"/>
                <w:color w:val="auto"/>
                <w:w w:val="90"/>
              </w:rPr>
              <w:t>2014 as Compared to 2013</w:t>
            </w:r>
          </w:p>
        </w:tc>
      </w:tr>
      <w:tr>
        <w:trPr>
          <w:trHeight w:val="167"/>
        </w:trPr>
        <w:tc>
          <w:tcPr>
            <w:tcW w:w="632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color w:val="auto"/>
                <w:w w:val="91"/>
              </w:rPr>
              <w:t>Ended March 31,</w:t>
            </w:r>
          </w:p>
        </w:tc>
        <w:tc>
          <w:tcPr>
            <w:tcW w:w="206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Three Months</w:t>
            </w:r>
          </w:p>
        </w:tc>
      </w:tr>
      <w:tr>
        <w:trPr>
          <w:trHeight w:val="142"/>
        </w:trPr>
        <w:tc>
          <w:tcPr>
            <w:tcW w:w="6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Arial" w:cs="Arial" w:eastAsia="Arial" w:hAnsi="Arial"/>
                <w:sz w:val="14"/>
                <w:szCs w:val="14"/>
                <w:color w:val="auto"/>
              </w:rPr>
              <w:t>2014</w:t>
            </w:r>
          </w:p>
        </w:tc>
        <w:tc>
          <w:tcPr>
            <w:tcW w:w="7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color w:val="auto"/>
                <w:w w:val="95"/>
              </w:rPr>
              <w:t>$ Change</w:t>
            </w: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 Change</w:t>
            </w:r>
          </w:p>
        </w:tc>
        <w:tc>
          <w:tcPr>
            <w:tcW w:w="16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40" w:type="dxa"/>
            <w:vAlign w:val="bottom"/>
            <w:gridSpan w:val="3"/>
          </w:tcPr>
          <w:p>
            <w:pPr>
              <w:jc w:val="right"/>
              <w:ind w:right="264"/>
              <w:spacing w:after="0" w:line="142" w:lineRule="exact"/>
              <w:rPr>
                <w:sz w:val="20"/>
                <w:szCs w:val="20"/>
                <w:color w:val="auto"/>
              </w:rPr>
            </w:pPr>
            <w:r>
              <w:rPr>
                <w:rFonts w:ascii="Arial" w:cs="Arial" w:eastAsia="Arial" w:hAnsi="Arial"/>
                <w:sz w:val="14"/>
                <w:szCs w:val="14"/>
                <w:color w:val="auto"/>
              </w:rPr>
              <w:t>(In thousands, except %)</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w w:val="86"/>
              </w:rPr>
              <w:t>$ 2,772</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$1,752</w:t>
            </w: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w w:val="98"/>
              </w:rPr>
              <w:t>$  1,020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two product candidates, GR-MD-02 and GM-CT-01.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as well as encouraging changes in various biomarkers of fibrosis to evaluate for potential disease effect, from the first cohort of patients on March 31, 2014. The second cohort of this Phase 1 trial began and enrollment was completed in April 2014 with results expected around the end of July 2014. Depending on the results of the Phase 1 study, we expect to initiate a Phase 2 clinical trial in late 2014 to early 2015 to assess the efficacy of GR-MD-02 in patients with NASH and advanced liver fibrosis. The timing of initial results from the Phase 2 trial are dependent upon the trial design but currently are planned to be available in the first half of 2016. Our Phase 2 clinical program is likely to include additional clinical trials to fully characterize human response to GR-MD-02 and to better position the Company for a successful Phase 3 clinical trial program.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7120"/>
        <w:spacing w:after="0"/>
        <w:rPr>
          <w:sz w:val="20"/>
          <w:szCs w:val="20"/>
          <w:color w:val="auto"/>
        </w:rPr>
      </w:pPr>
      <w:r>
        <w:rPr>
          <w:rFonts w:ascii="Arial" w:cs="Arial" w:eastAsia="Arial" w:hAnsi="Arial"/>
          <w:sz w:val="14"/>
          <w:szCs w:val="14"/>
          <w:color w:val="auto"/>
        </w:rPr>
        <w:t>Three Months</w:t>
      </w:r>
    </w:p>
    <w:p>
      <w:pPr>
        <w:jc w:val="center"/>
        <w:ind w:left="7120"/>
        <w:spacing w:after="0" w:line="221" w:lineRule="auto"/>
        <w:rPr>
          <w:sz w:val="20"/>
          <w:szCs w:val="20"/>
          <w:color w:val="auto"/>
        </w:rPr>
      </w:pPr>
      <w:r>
        <w:rPr>
          <w:rFonts w:ascii="Arial" w:cs="Arial" w:eastAsia="Arial" w:hAnsi="Arial"/>
          <w:sz w:val="14"/>
          <w:szCs w:val="14"/>
          <w:color w:val="auto"/>
        </w:rPr>
        <w:t>Ended</w:t>
      </w:r>
    </w:p>
    <w:p>
      <w:pPr>
        <w:jc w:val="center"/>
        <w:ind w:left="712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4"/>
                <w:szCs w:val="14"/>
                <w:color w:val="auto"/>
              </w:rPr>
              <w:t>2014</w:t>
            </w: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4"/>
              <w:spacing w:after="0" w:line="123" w:lineRule="exact"/>
              <w:rPr>
                <w:sz w:val="20"/>
                <w:szCs w:val="20"/>
                <w:color w:val="auto"/>
              </w:rPr>
            </w:pPr>
            <w:r>
              <w:rPr>
                <w:rFonts w:ascii="Arial" w:cs="Arial" w:eastAsia="Arial" w:hAnsi="Arial"/>
                <w:sz w:val="14"/>
                <w:szCs w:val="14"/>
                <w:color w:val="auto"/>
                <w:w w:val="89"/>
              </w:rPr>
              <w:t>2013</w:t>
            </w:r>
          </w:p>
        </w:tc>
        <w:tc>
          <w:tcPr>
            <w:tcW w:w="60" w:type="dxa"/>
            <w:vAlign w:val="bottom"/>
          </w:tcPr>
          <w:p>
            <w:pPr>
              <w:spacing w:after="0"/>
              <w:rPr>
                <w:sz w:val="10"/>
                <w:szCs w:val="10"/>
                <w:color w:val="auto"/>
              </w:rPr>
            </w:pPr>
          </w:p>
        </w:tc>
      </w:tr>
      <w:tr>
        <w:trPr>
          <w:trHeight w:val="167"/>
        </w:trPr>
        <w:tc>
          <w:tcPr>
            <w:tcW w:w="5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gridSpan w:val="5"/>
          </w:tcPr>
          <w:p>
            <w:pPr>
              <w:ind w:left="280"/>
              <w:spacing w:after="0"/>
              <w:rPr>
                <w:sz w:val="20"/>
                <w:szCs w:val="20"/>
                <w:color w:val="auto"/>
              </w:rPr>
            </w:pPr>
            <w:r>
              <w:rPr>
                <w:rFonts w:ascii="Arial" w:cs="Arial" w:eastAsia="Arial" w:hAnsi="Arial"/>
                <w:sz w:val="14"/>
                <w:szCs w:val="14"/>
                <w:color w:val="auto"/>
              </w:rPr>
              <w:t>(in thousands)</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1,752</w:t>
            </w:r>
          </w:p>
        </w:tc>
        <w:tc>
          <w:tcPr>
            <w:tcW w:w="6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Clinical programs expenses increased primarily due to costs related to our Phase 1 clinical trial and compound manufacturing costs in anticipation of a Phase 2 clinical trial during the three months ended March 31, 2014 over 2013. As we begin enrolling patients in the Phase I trial we expect our clinical activities costs will increase and may fluctuate from quarter to quarter as the trial progresses. Pre-clinical activities increased primarily due to pre-clinical work related preparation for our anticipated Phase 2 clinical trial program. Other research and development expense increased primarily due to increased stock-based compensation ($318,000).</w:t>
      </w:r>
    </w:p>
    <w:p>
      <w:pPr>
        <w:spacing w:after="0" w:line="188"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20" w:type="dxa"/>
            <w:vAlign w:val="bottom"/>
            <w:gridSpan w:val="3"/>
          </w:tcPr>
          <w:p>
            <w:pPr>
              <w:jc w:val="center"/>
              <w:ind w:right="52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4"/>
                <w:szCs w:val="14"/>
                <w:color w:val="auto"/>
              </w:rPr>
            </w:pPr>
          </w:p>
        </w:tc>
        <w:tc>
          <w:tcPr>
            <w:tcW w:w="19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2014 as Compared to 2013</w:t>
            </w:r>
          </w:p>
        </w:tc>
      </w:tr>
      <w:tr>
        <w:trPr>
          <w:trHeight w:val="167"/>
        </w:trPr>
        <w:tc>
          <w:tcPr>
            <w:tcW w:w="3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20" w:type="dxa"/>
            <w:vAlign w:val="bottom"/>
            <w:gridSpan w:val="3"/>
          </w:tcPr>
          <w:p>
            <w:pPr>
              <w:jc w:val="center"/>
              <w:ind w:right="520"/>
              <w:spacing w:after="0"/>
              <w:rPr>
                <w:sz w:val="20"/>
                <w:szCs w:val="20"/>
                <w:color w:val="auto"/>
              </w:rPr>
            </w:pPr>
            <w:r>
              <w:rPr>
                <w:rFonts w:ascii="Arial" w:cs="Arial" w:eastAsia="Arial" w:hAnsi="Arial"/>
                <w:sz w:val="14"/>
                <w:szCs w:val="14"/>
                <w:color w:val="auto"/>
                <w:w w:val="93"/>
              </w:rPr>
              <w:t>Ended March 31,</w:t>
            </w:r>
          </w:p>
        </w:tc>
        <w:tc>
          <w:tcPr>
            <w:tcW w:w="140" w:type="dxa"/>
            <w:vAlign w:val="bottom"/>
          </w:tcPr>
          <w:p>
            <w:pPr>
              <w:spacing w:after="0"/>
              <w:rPr>
                <w:sz w:val="14"/>
                <w:szCs w:val="14"/>
                <w:color w:val="auto"/>
              </w:rPr>
            </w:pPr>
          </w:p>
        </w:tc>
        <w:tc>
          <w:tcPr>
            <w:tcW w:w="192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Three Months</w:t>
            </w:r>
          </w:p>
        </w:tc>
      </w:tr>
      <w:tr>
        <w:trPr>
          <w:trHeight w:val="142"/>
        </w:trPr>
        <w:tc>
          <w:tcPr>
            <w:tcW w:w="3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2014</w:t>
            </w:r>
          </w:p>
        </w:tc>
        <w:tc>
          <w:tcPr>
            <w:tcW w:w="7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color w:val="auto"/>
                <w:w w:val="95"/>
              </w:rPr>
              <w:t>$ Change</w:t>
            </w: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 Change</w:t>
            </w:r>
          </w:p>
        </w:tc>
        <w:tc>
          <w:tcPr>
            <w:tcW w:w="1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40" w:type="dxa"/>
            <w:vAlign w:val="bottom"/>
            <w:gridSpan w:val="4"/>
          </w:tcPr>
          <w:p>
            <w:pPr>
              <w:jc w:val="right"/>
              <w:ind w:right="262"/>
              <w:spacing w:after="0" w:line="142" w:lineRule="exact"/>
              <w:rPr>
                <w:sz w:val="20"/>
                <w:szCs w:val="20"/>
                <w:color w:val="auto"/>
              </w:rPr>
            </w:pPr>
            <w:r>
              <w:rPr>
                <w:rFonts w:ascii="Arial" w:cs="Arial" w:eastAsia="Arial" w:hAnsi="Arial"/>
                <w:sz w:val="14"/>
                <w:szCs w:val="14"/>
                <w:color w:val="auto"/>
              </w:rPr>
              <w:t>(In thousands, except %)</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$ 2,072</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616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365"/>
        </w:trPr>
        <w:tc>
          <w:tcPr>
            <w:tcW w:w="3560" w:type="dxa"/>
            <w:vAlign w:val="bottom"/>
          </w:tcPr>
          <w:p>
            <w:pPr>
              <w:spacing w:after="0"/>
              <w:rPr>
                <w:sz w:val="24"/>
                <w:szCs w:val="24"/>
                <w:color w:val="auto"/>
              </w:rPr>
            </w:pPr>
          </w:p>
        </w:tc>
        <w:tc>
          <w:tcPr>
            <w:tcW w:w="2760" w:type="dxa"/>
            <w:vAlign w:val="bottom"/>
          </w:tcPr>
          <w:p>
            <w:pPr>
              <w:jc w:val="right"/>
              <w:ind w:right="890"/>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 based compensation, legal and accounting fees, insurance, investor relations, business development and other office related expenses. The primary reasons for the increase for the three-months ended March 31, 2014 as compared to the same period in 2013 is due to increased stock-based compensation ($478,000) and increased legal expenses ($56,000) related to ongoing litigation with the Company’s former CEO, Dr. Platt.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described above in the Overview and elsewhere in this Quarterly Report on Form 10-Q, we are in the development stage and have not generated any revenues.</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March 31, 2014, we raised a net total of $107.5 million from these offerings. We have operated at a loss since our inception and have had no significant revenues. We anticipate that losses will continue for the foreseeable future. At March 31, 2014, we had $36.6 million of unrestricted cash and cash equivalents available to fund future operations. We believe that with the cash on hand at March 31, 2014, there is sufficient cash to fund operations through 2015.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March 21, 2014, the Company filed a new shelf registration statement on Form S-3 to replace its previous shelf registration. The new shelf registration statement allows the Company to offer up to $100 million in additional common stock. Along with the filing of the new shelf registration statement, the Company filed a prospectus supplement to allow it to issue up to $30 million in common stock under the new shelf registration statement pursuant to its At Market Agreement. The Company believes the ability to sell the common stock under its new registration statement provides flexibility and an additional source of liquidity, although there can be no assurance that market conditions will allow it to do so at any given time.</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cash used in operations increased by $2,133,000 to $3,619,000 for the three months ended March 31, 2014, as compared to $1,486,000 for the three months ended March 31, 2013. Cash operating expenses increased principally due to increased research and development activities related to our clinical trial activity with GR-MD-02.</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Net cash provided by financing activities was $30,124,000 for the three months ending March 31, 2014, consisting of $28,178,000 from sale of common stock and $1,946,000 from the proceeds from the exercise of stock options and warrants. During the three months ended March 31, 2013, $77,000 was received for option exercises.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December 31, 2013 and 2012.</w:t>
      </w:r>
    </w:p>
    <w:p>
      <w:pPr>
        <w:spacing w:after="0" w:line="1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and intends a vigorous defense on their behalf. On April 29, 2013, the Superior Court allowed</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Dr. Traber’s and Mr. McGauley’s motion to dismiss. On May 28, 2013, Dr. Platt filed a Notice of Appeal to appeal the Superior Court’s order allowing the defendants’ motion to dismiss. On April 14, 2014, the Appeals Court denied Dr. Platt’s appeal of the dismissal in full.</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April 28, 2014; however, the ultimate outcome is uncertain and there is no guarantee that the Company will be successful in this demand.</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is currently delaying payment pending the outcome of this arbitration.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2013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2014, our disclosure controls and procedures were effective at a reasonable assurance level. During the quarter ended March 31, 2014,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disclosed above.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2013, which could materially impact our business, financial condition or future results.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2014, the Company (i) issued 3,000 shares of common stock to Acorn Management Partners, LLC in connection with a consulting agreement, at a price of $8.36 per share, and (ii) issued 8,331 shares of common stock to David Donabedian upon the exercise of warrants, at a price of $3.00 per share. In issuing the shares the Company relied on an exemption from registration under the Securities Act of 1933 provided by Section 4(a)(2) and Regulation D promulgated thereunder.</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2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876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2"/>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876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Amended and Restated Bylaws of Galectin Therapeutics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Restated Articles of Incorporation of Galectin Therapeutics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Taxonomy Calculation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Taxonomy Label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13, 2014.</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13,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13,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March 31, 2014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13,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2014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13,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lowerRoman"/>
      <w:start w:val="3"/>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2019-12-07T00:44:27Z</dcterms:created>
  <dcterms:modified xsi:type="dcterms:W3CDTF">2019-12-07T00:44:27Z</dcterms:modified>
</cp:coreProperties>
</file>