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rFonts w:ascii="Arial" w:cs="Arial" w:eastAsia="Arial" w:hAnsi="Arial"/>
          <w:sz w:val="18"/>
          <w:szCs w:val="18"/>
          <w:b w:val="1"/>
          <w:bCs w:val="1"/>
          <w:u w:val="single" w:color="auto"/>
          <w:color w:val="0000EE"/>
        </w:rPr>
      </w:pPr>
      <w:hyperlink w:anchor="page2">
        <w:r>
          <w:rPr>
            <w:rFonts w:ascii="Arial" w:cs="Arial" w:eastAsia="Arial" w:hAnsi="Arial"/>
            <w:sz w:val="18"/>
            <w:szCs w:val="18"/>
            <w:b w:val="1"/>
            <w:bCs w:val="1"/>
            <w:u w:val="single" w:color="auto"/>
            <w:color w:val="0000EE"/>
          </w:rPr>
          <w:t>Table of Contents</w:t>
        </w:r>
      </w:hyperlink>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213995</wp:posOffset>
            </wp:positionV>
            <wp:extent cx="7246620" cy="889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246620"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257175</wp:posOffset>
            </wp:positionV>
            <wp:extent cx="7246620" cy="88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200" w:lineRule="exact"/>
        <w:rPr>
          <w:sz w:val="24"/>
          <w:szCs w:val="24"/>
          <w:color w:val="auto"/>
        </w:rPr>
      </w:pPr>
    </w:p>
    <w:p>
      <w:pPr>
        <w:spacing w:after="0" w:line="238" w:lineRule="exact"/>
        <w:rPr>
          <w:sz w:val="24"/>
          <w:szCs w:val="24"/>
          <w:color w:val="auto"/>
        </w:rPr>
      </w:pPr>
    </w:p>
    <w:p>
      <w:pPr>
        <w:jc w:val="center"/>
        <w:spacing w:after="0"/>
        <w:rPr>
          <w:sz w:val="20"/>
          <w:szCs w:val="20"/>
          <w:color w:val="auto"/>
        </w:rPr>
      </w:pPr>
      <w:r>
        <w:rPr>
          <w:rFonts w:ascii="Arial" w:cs="Arial" w:eastAsia="Arial" w:hAnsi="Arial"/>
          <w:sz w:val="32"/>
          <w:szCs w:val="32"/>
          <w:b w:val="1"/>
          <w:bCs w:val="1"/>
          <w:color w:val="auto"/>
        </w:rPr>
        <w:t>UNITED STATES</w:t>
      </w:r>
    </w:p>
    <w:p>
      <w:pPr>
        <w:spacing w:after="0" w:line="31" w:lineRule="exact"/>
        <w:rPr>
          <w:sz w:val="24"/>
          <w:szCs w:val="24"/>
          <w:color w:val="auto"/>
        </w:rPr>
      </w:pPr>
    </w:p>
    <w:p>
      <w:pPr>
        <w:jc w:val="center"/>
        <w:spacing w:after="0"/>
        <w:rPr>
          <w:sz w:val="20"/>
          <w:szCs w:val="20"/>
          <w:color w:val="auto"/>
        </w:rPr>
      </w:pPr>
      <w:r>
        <w:rPr>
          <w:rFonts w:ascii="Arial" w:cs="Arial" w:eastAsia="Arial" w:hAnsi="Arial"/>
          <w:sz w:val="32"/>
          <w:szCs w:val="32"/>
          <w:b w:val="1"/>
          <w:bCs w:val="1"/>
          <w:color w:val="auto"/>
        </w:rPr>
        <w:t>SECURITIES AND EXCHANGE COMMISSION</w:t>
      </w:r>
    </w:p>
    <w:p>
      <w:pPr>
        <w:jc w:val="center"/>
        <w:spacing w:after="0"/>
        <w:rPr>
          <w:sz w:val="20"/>
          <w:szCs w:val="20"/>
          <w:color w:val="auto"/>
        </w:rPr>
      </w:pPr>
      <w:r>
        <w:rPr>
          <w:rFonts w:ascii="Arial" w:cs="Arial" w:eastAsia="Arial" w:hAnsi="Arial"/>
          <w:sz w:val="22"/>
          <w:szCs w:val="22"/>
          <w:b w:val="1"/>
          <w:bCs w:val="1"/>
          <w:color w:val="auto"/>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2869565</wp:posOffset>
            </wp:positionH>
            <wp:positionV relativeFrom="paragraph">
              <wp:posOffset>219075</wp:posOffset>
            </wp:positionV>
            <wp:extent cx="1517650" cy="88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517650" cy="8890"/>
                    </a:xfrm>
                    <a:prstGeom prst="rect">
                      <a:avLst/>
                    </a:prstGeom>
                    <a:noFill/>
                  </pic:spPr>
                </pic:pic>
              </a:graphicData>
            </a:graphic>
          </wp:anchor>
        </w:drawing>
      </w:r>
    </w:p>
    <w:p>
      <w:pPr>
        <w:spacing w:after="0" w:line="200" w:lineRule="exact"/>
        <w:rPr>
          <w:sz w:val="24"/>
          <w:szCs w:val="24"/>
          <w:color w:val="auto"/>
        </w:rPr>
      </w:pPr>
    </w:p>
    <w:p>
      <w:pPr>
        <w:spacing w:after="0" w:line="313" w:lineRule="exact"/>
        <w:rPr>
          <w:sz w:val="24"/>
          <w:szCs w:val="24"/>
          <w:color w:val="auto"/>
        </w:rPr>
      </w:pPr>
    </w:p>
    <w:p>
      <w:pPr>
        <w:jc w:val="center"/>
        <w:spacing w:after="0"/>
        <w:rPr>
          <w:sz w:val="20"/>
          <w:szCs w:val="20"/>
          <w:color w:val="auto"/>
        </w:rPr>
      </w:pPr>
      <w:r>
        <w:rPr>
          <w:rFonts w:ascii="Arial" w:cs="Arial" w:eastAsia="Arial" w:hAnsi="Arial"/>
          <w:sz w:val="32"/>
          <w:szCs w:val="32"/>
          <w:b w:val="1"/>
          <w:bCs w:val="1"/>
          <w:color w:val="auto"/>
        </w:rPr>
        <w:t>FORM 10-Q</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2869565</wp:posOffset>
            </wp:positionH>
            <wp:positionV relativeFrom="paragraph">
              <wp:posOffset>247015</wp:posOffset>
            </wp:positionV>
            <wp:extent cx="1517650" cy="889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517650" cy="8890"/>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239" w:lineRule="exact"/>
        <w:rPr>
          <w:sz w:val="24"/>
          <w:szCs w:val="24"/>
          <w:color w:val="auto"/>
        </w:rPr>
      </w:pPr>
    </w:p>
    <w:p>
      <w:pPr>
        <w:ind w:left="460" w:hanging="452"/>
        <w:spacing w:after="0"/>
        <w:tabs>
          <w:tab w:leader="none" w:pos="460" w:val="left"/>
        </w:tabs>
        <w:numPr>
          <w:ilvl w:val="0"/>
          <w:numId w:val="1"/>
        </w:numPr>
        <w:rPr>
          <w:rFonts w:ascii="MS PGothic" w:cs="MS PGothic" w:eastAsia="MS PGothic" w:hAnsi="MS PGothic"/>
          <w:sz w:val="22"/>
          <w:szCs w:val="22"/>
          <w:color w:val="auto"/>
        </w:rPr>
      </w:pPr>
      <w:r>
        <w:rPr>
          <w:rFonts w:ascii="Arial" w:cs="Arial" w:eastAsia="Arial" w:hAnsi="Arial"/>
          <w:sz w:val="22"/>
          <w:szCs w:val="22"/>
          <w:b w:val="1"/>
          <w:bCs w:val="1"/>
          <w:color w:val="auto"/>
        </w:rPr>
        <w:t>Quarterly report pursuant to Section 13 or 15(d) of the Securities Exchange Act of 1934</w:t>
      </w:r>
    </w:p>
    <w:p>
      <w:pPr>
        <w:spacing w:after="0" w:line="229"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For the quarterly period ended June 30, 2018</w:t>
      </w:r>
    </w:p>
    <w:p>
      <w:pPr>
        <w:spacing w:after="0" w:line="243" w:lineRule="exact"/>
        <w:rPr>
          <w:sz w:val="24"/>
          <w:szCs w:val="24"/>
          <w:color w:val="auto"/>
        </w:rPr>
      </w:pPr>
    </w:p>
    <w:p>
      <w:pPr>
        <w:ind w:left="460" w:hanging="452"/>
        <w:spacing w:after="0"/>
        <w:tabs>
          <w:tab w:leader="none" w:pos="460" w:val="left"/>
        </w:tabs>
        <w:numPr>
          <w:ilvl w:val="0"/>
          <w:numId w:val="2"/>
        </w:numPr>
        <w:rPr>
          <w:rFonts w:ascii="MS PGothic" w:cs="MS PGothic" w:eastAsia="MS PGothic" w:hAnsi="MS PGothic"/>
          <w:sz w:val="22"/>
          <w:szCs w:val="22"/>
          <w:color w:val="auto"/>
        </w:rPr>
      </w:pPr>
      <w:r>
        <w:rPr>
          <w:rFonts w:ascii="Arial" w:cs="Arial" w:eastAsia="Arial" w:hAnsi="Arial"/>
          <w:sz w:val="22"/>
          <w:szCs w:val="22"/>
          <w:b w:val="1"/>
          <w:bCs w:val="1"/>
          <w:color w:val="auto"/>
        </w:rPr>
        <w:t>Transition report pursuant to Section 13 or 15(d) of the Securities Exchange Act of 1934</w:t>
      </w:r>
    </w:p>
    <w:p>
      <w:pPr>
        <w:spacing w:after="0" w:line="229" w:lineRule="exact"/>
        <w:rPr>
          <w:sz w:val="24"/>
          <w:szCs w:val="24"/>
          <w:color w:val="auto"/>
        </w:rPr>
      </w:pPr>
    </w:p>
    <w:p>
      <w:pPr>
        <w:ind w:left="3500"/>
        <w:spacing w:after="0"/>
        <w:tabs>
          <w:tab w:leader="none" w:pos="6800" w:val="left"/>
        </w:tabs>
        <w:rPr>
          <w:sz w:val="20"/>
          <w:szCs w:val="20"/>
          <w:color w:val="auto"/>
        </w:rPr>
      </w:pPr>
      <w:r>
        <w:rPr>
          <w:rFonts w:ascii="Arial" w:cs="Arial" w:eastAsia="Arial" w:hAnsi="Arial"/>
          <w:sz w:val="18"/>
          <w:szCs w:val="18"/>
          <w:b w:val="1"/>
          <w:bCs w:val="1"/>
          <w:color w:val="auto"/>
        </w:rPr>
        <w:t>For the transition period from</w:t>
      </w:r>
      <w:r>
        <w:rPr>
          <w:sz w:val="20"/>
          <w:szCs w:val="20"/>
          <w:color w:val="auto"/>
        </w:rPr>
        <w:tab/>
      </w:r>
      <w:r>
        <w:rPr>
          <w:rFonts w:ascii="Arial" w:cs="Arial" w:eastAsia="Arial" w:hAnsi="Arial"/>
          <w:sz w:val="16"/>
          <w:szCs w:val="16"/>
          <w:b w:val="1"/>
          <w:bCs w:val="1"/>
          <w:color w:val="auto"/>
        </w:rPr>
        <w:t>to</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3733800</wp:posOffset>
            </wp:positionH>
            <wp:positionV relativeFrom="paragraph">
              <wp:posOffset>-7620</wp:posOffset>
            </wp:positionV>
            <wp:extent cx="1295400" cy="88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1295400" cy="8890"/>
                    </a:xfrm>
                    <a:prstGeom prst="rect">
                      <a:avLst/>
                    </a:prstGeom>
                    <a:noFill/>
                  </pic:spPr>
                </pic:pic>
              </a:graphicData>
            </a:graphic>
          </wp:anchor>
        </w:drawing>
      </w:r>
    </w:p>
    <w:p>
      <w:pPr>
        <w:spacing w:after="0" w:line="205"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Commission File No. 001-31791</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2869565</wp:posOffset>
            </wp:positionH>
            <wp:positionV relativeFrom="paragraph">
              <wp:posOffset>240665</wp:posOffset>
            </wp:positionV>
            <wp:extent cx="1517650" cy="889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1517650" cy="8890"/>
                    </a:xfrm>
                    <a:prstGeom prst="rect">
                      <a:avLst/>
                    </a:prstGeom>
                    <a:noFill/>
                  </pic:spPr>
                </pic:pic>
              </a:graphicData>
            </a:graphic>
          </wp:anchor>
        </w:drawing>
      </w:r>
    </w:p>
    <w:p>
      <w:pPr>
        <w:spacing w:after="0" w:line="200" w:lineRule="exact"/>
        <w:rPr>
          <w:sz w:val="24"/>
          <w:szCs w:val="24"/>
          <w:color w:val="auto"/>
        </w:rPr>
      </w:pPr>
    </w:p>
    <w:p>
      <w:pPr>
        <w:spacing w:after="0" w:line="345" w:lineRule="exact"/>
        <w:rPr>
          <w:sz w:val="24"/>
          <w:szCs w:val="24"/>
          <w:color w:val="auto"/>
        </w:rPr>
      </w:pPr>
    </w:p>
    <w:p>
      <w:pPr>
        <w:jc w:val="center"/>
        <w:spacing w:after="0"/>
        <w:rPr>
          <w:sz w:val="20"/>
          <w:szCs w:val="20"/>
          <w:color w:val="auto"/>
        </w:rPr>
      </w:pPr>
      <w:r>
        <w:rPr>
          <w:rFonts w:ascii="Arial" w:cs="Arial" w:eastAsia="Arial" w:hAnsi="Arial"/>
          <w:sz w:val="43"/>
          <w:szCs w:val="43"/>
          <w:b w:val="1"/>
          <w:bCs w:val="1"/>
          <w:color w:val="auto"/>
        </w:rPr>
        <w:t>GALECTIN THERAPEUTICS INC.</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2869565</wp:posOffset>
            </wp:positionH>
            <wp:positionV relativeFrom="paragraph">
              <wp:posOffset>254000</wp:posOffset>
            </wp:positionV>
            <wp:extent cx="1517650" cy="889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1517650" cy="8890"/>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259" w:lineRule="exact"/>
        <w:rPr>
          <w:sz w:val="24"/>
          <w:szCs w:val="24"/>
          <w:color w:val="auto"/>
        </w:rPr>
      </w:pPr>
    </w:p>
    <w:tbl>
      <w:tblPr>
        <w:tblLayout w:type="fixed"/>
        <w:tblInd w:w="1660" w:type="dxa"/>
        <w:tblCellMar>
          <w:top w:w="0" w:type="dxa"/>
          <w:left w:w="0" w:type="dxa"/>
          <w:bottom w:w="0" w:type="dxa"/>
          <w:right w:w="0" w:type="dxa"/>
        </w:tblCellMar>
      </w:tblPr>
      <w:tr>
        <w:trPr>
          <w:trHeight w:val="212"/>
        </w:trPr>
        <w:tc>
          <w:tcPr>
            <w:tcW w:w="6080" w:type="dxa"/>
            <w:vAlign w:val="bottom"/>
          </w:tcPr>
          <w:p>
            <w:pPr>
              <w:jc w:val="center"/>
              <w:ind w:right="3539"/>
              <w:spacing w:after="0"/>
              <w:rPr>
                <w:sz w:val="20"/>
                <w:szCs w:val="20"/>
                <w:color w:val="auto"/>
              </w:rPr>
            </w:pPr>
            <w:r>
              <w:rPr>
                <w:rFonts w:ascii="Arial" w:cs="Arial" w:eastAsia="Arial" w:hAnsi="Arial"/>
                <w:sz w:val="18"/>
                <w:szCs w:val="18"/>
                <w:b w:val="1"/>
                <w:bCs w:val="1"/>
                <w:color w:val="auto"/>
                <w:w w:val="90"/>
              </w:rPr>
              <w:t>Nevada</w:t>
            </w:r>
          </w:p>
        </w:tc>
        <w:tc>
          <w:tcPr>
            <w:tcW w:w="1480" w:type="dxa"/>
            <w:vAlign w:val="bottom"/>
          </w:tcPr>
          <w:p>
            <w:pPr>
              <w:jc w:val="right"/>
              <w:ind w:right="61"/>
              <w:spacing w:after="0"/>
              <w:rPr>
                <w:sz w:val="20"/>
                <w:szCs w:val="20"/>
                <w:color w:val="auto"/>
              </w:rPr>
            </w:pPr>
            <w:r>
              <w:rPr>
                <w:rFonts w:ascii="Arial" w:cs="Arial" w:eastAsia="Arial" w:hAnsi="Arial"/>
                <w:sz w:val="18"/>
                <w:szCs w:val="18"/>
                <w:b w:val="1"/>
                <w:bCs w:val="1"/>
                <w:color w:val="auto"/>
              </w:rPr>
              <w:t>04-3562325</w:t>
            </w:r>
          </w:p>
        </w:tc>
      </w:tr>
      <w:tr>
        <w:trPr>
          <w:trHeight w:val="149"/>
        </w:trPr>
        <w:tc>
          <w:tcPr>
            <w:tcW w:w="6080" w:type="dxa"/>
            <w:vAlign w:val="bottom"/>
          </w:tcPr>
          <w:p>
            <w:pPr>
              <w:jc w:val="center"/>
              <w:ind w:right="3519"/>
              <w:spacing w:after="0" w:line="149" w:lineRule="exact"/>
              <w:rPr>
                <w:sz w:val="20"/>
                <w:szCs w:val="20"/>
                <w:color w:val="auto"/>
              </w:rPr>
            </w:pPr>
            <w:r>
              <w:rPr>
                <w:rFonts w:ascii="Arial" w:cs="Arial" w:eastAsia="Arial" w:hAnsi="Arial"/>
                <w:sz w:val="14"/>
                <w:szCs w:val="14"/>
                <w:b w:val="1"/>
                <w:bCs w:val="1"/>
                <w:color w:val="auto"/>
                <w:w w:val="93"/>
              </w:rPr>
              <w:t>(State or other jurisdiction</w:t>
            </w:r>
          </w:p>
        </w:tc>
        <w:tc>
          <w:tcPr>
            <w:tcW w:w="1480" w:type="dxa"/>
            <w:vAlign w:val="bottom"/>
          </w:tcPr>
          <w:p>
            <w:pPr>
              <w:jc w:val="center"/>
              <w:ind w:left="281"/>
              <w:spacing w:after="0" w:line="149" w:lineRule="exact"/>
              <w:rPr>
                <w:sz w:val="20"/>
                <w:szCs w:val="20"/>
                <w:color w:val="auto"/>
              </w:rPr>
            </w:pPr>
            <w:r>
              <w:rPr>
                <w:rFonts w:ascii="Arial" w:cs="Arial" w:eastAsia="Arial" w:hAnsi="Arial"/>
                <w:sz w:val="14"/>
                <w:szCs w:val="14"/>
                <w:b w:val="1"/>
                <w:bCs w:val="1"/>
                <w:color w:val="auto"/>
                <w:w w:val="96"/>
              </w:rPr>
              <w:t>(I.R.S. Employer</w:t>
            </w:r>
          </w:p>
        </w:tc>
      </w:tr>
      <w:tr>
        <w:trPr>
          <w:trHeight w:val="186"/>
        </w:trPr>
        <w:tc>
          <w:tcPr>
            <w:tcW w:w="6080" w:type="dxa"/>
            <w:vAlign w:val="bottom"/>
          </w:tcPr>
          <w:p>
            <w:pPr>
              <w:jc w:val="center"/>
              <w:ind w:right="3539"/>
              <w:spacing w:after="0"/>
              <w:rPr>
                <w:sz w:val="20"/>
                <w:szCs w:val="20"/>
                <w:color w:val="auto"/>
              </w:rPr>
            </w:pPr>
            <w:r>
              <w:rPr>
                <w:rFonts w:ascii="Arial" w:cs="Arial" w:eastAsia="Arial" w:hAnsi="Arial"/>
                <w:sz w:val="14"/>
                <w:szCs w:val="14"/>
                <w:b w:val="1"/>
                <w:bCs w:val="1"/>
                <w:color w:val="auto"/>
                <w:w w:val="94"/>
              </w:rPr>
              <w:t>of incorporation)</w:t>
            </w:r>
          </w:p>
        </w:tc>
        <w:tc>
          <w:tcPr>
            <w:tcW w:w="1480" w:type="dxa"/>
            <w:vAlign w:val="bottom"/>
          </w:tcPr>
          <w:p>
            <w:pPr>
              <w:jc w:val="center"/>
              <w:ind w:left="261"/>
              <w:spacing w:after="0"/>
              <w:rPr>
                <w:sz w:val="20"/>
                <w:szCs w:val="20"/>
                <w:color w:val="auto"/>
              </w:rPr>
            </w:pPr>
            <w:r>
              <w:rPr>
                <w:rFonts w:ascii="Arial" w:cs="Arial" w:eastAsia="Arial" w:hAnsi="Arial"/>
                <w:sz w:val="14"/>
                <w:szCs w:val="14"/>
                <w:b w:val="1"/>
                <w:bCs w:val="1"/>
                <w:color w:val="auto"/>
                <w:w w:val="96"/>
              </w:rPr>
              <w:t>Identification No.)</w:t>
            </w:r>
          </w:p>
        </w:tc>
      </w:tr>
      <w:tr>
        <w:trPr>
          <w:trHeight w:val="412"/>
        </w:trPr>
        <w:tc>
          <w:tcPr>
            <w:tcW w:w="6080" w:type="dxa"/>
            <w:vAlign w:val="bottom"/>
          </w:tcPr>
          <w:p>
            <w:pPr>
              <w:jc w:val="center"/>
              <w:ind w:right="3539"/>
              <w:spacing w:after="0"/>
              <w:rPr>
                <w:sz w:val="20"/>
                <w:szCs w:val="20"/>
                <w:color w:val="auto"/>
              </w:rPr>
            </w:pPr>
            <w:r>
              <w:rPr>
                <w:rFonts w:ascii="Arial" w:cs="Arial" w:eastAsia="Arial" w:hAnsi="Arial"/>
                <w:sz w:val="18"/>
                <w:szCs w:val="18"/>
                <w:b w:val="1"/>
                <w:bCs w:val="1"/>
                <w:color w:val="auto"/>
                <w:w w:val="90"/>
              </w:rPr>
              <w:t>4960 Peachtree Industrial Blvd.,</w:t>
            </w:r>
          </w:p>
        </w:tc>
        <w:tc>
          <w:tcPr>
            <w:tcW w:w="1480" w:type="dxa"/>
            <w:vAlign w:val="bottom"/>
          </w:tcPr>
          <w:p>
            <w:pPr>
              <w:jc w:val="right"/>
              <w:ind w:right="261"/>
              <w:spacing w:after="0"/>
              <w:rPr>
                <w:sz w:val="20"/>
                <w:szCs w:val="20"/>
                <w:color w:val="auto"/>
              </w:rPr>
            </w:pPr>
            <w:r>
              <w:rPr>
                <w:rFonts w:ascii="Arial" w:cs="Arial" w:eastAsia="Arial" w:hAnsi="Arial"/>
                <w:sz w:val="18"/>
                <w:szCs w:val="18"/>
                <w:b w:val="1"/>
                <w:bCs w:val="1"/>
                <w:color w:val="auto"/>
              </w:rPr>
              <w:t>30071</w:t>
            </w:r>
          </w:p>
        </w:tc>
      </w:tr>
      <w:tr>
        <w:trPr>
          <w:trHeight w:val="225"/>
        </w:trPr>
        <w:tc>
          <w:tcPr>
            <w:tcW w:w="6080" w:type="dxa"/>
            <w:vAlign w:val="bottom"/>
          </w:tcPr>
          <w:p>
            <w:pPr>
              <w:jc w:val="center"/>
              <w:ind w:right="3519"/>
              <w:spacing w:after="0"/>
              <w:rPr>
                <w:sz w:val="20"/>
                <w:szCs w:val="20"/>
                <w:color w:val="auto"/>
              </w:rPr>
            </w:pPr>
            <w:r>
              <w:rPr>
                <w:rFonts w:ascii="Arial" w:cs="Arial" w:eastAsia="Arial" w:hAnsi="Arial"/>
                <w:sz w:val="18"/>
                <w:szCs w:val="18"/>
                <w:b w:val="1"/>
                <w:bCs w:val="1"/>
                <w:color w:val="auto"/>
                <w:w w:val="89"/>
              </w:rPr>
              <w:t>Suite 240, Norcross, GA</w:t>
            </w:r>
          </w:p>
        </w:tc>
        <w:tc>
          <w:tcPr>
            <w:tcW w:w="1480" w:type="dxa"/>
            <w:vAlign w:val="bottom"/>
          </w:tcPr>
          <w:p>
            <w:pPr>
              <w:spacing w:after="0"/>
              <w:rPr>
                <w:sz w:val="19"/>
                <w:szCs w:val="19"/>
                <w:color w:val="auto"/>
              </w:rPr>
            </w:pPr>
          </w:p>
        </w:tc>
      </w:tr>
      <w:tr>
        <w:trPr>
          <w:trHeight w:val="186"/>
        </w:trPr>
        <w:tc>
          <w:tcPr>
            <w:tcW w:w="6080" w:type="dxa"/>
            <w:vAlign w:val="bottom"/>
          </w:tcPr>
          <w:p>
            <w:pPr>
              <w:jc w:val="center"/>
              <w:ind w:right="3539"/>
              <w:spacing w:after="0"/>
              <w:rPr>
                <w:sz w:val="20"/>
                <w:szCs w:val="20"/>
                <w:color w:val="auto"/>
              </w:rPr>
            </w:pPr>
            <w:r>
              <w:rPr>
                <w:rFonts w:ascii="Arial" w:cs="Arial" w:eastAsia="Arial" w:hAnsi="Arial"/>
                <w:sz w:val="14"/>
                <w:szCs w:val="14"/>
                <w:b w:val="1"/>
                <w:bCs w:val="1"/>
                <w:color w:val="auto"/>
                <w:w w:val="92"/>
              </w:rPr>
              <w:t>(Address of Principal Executive Offices)</w:t>
            </w:r>
          </w:p>
        </w:tc>
        <w:tc>
          <w:tcPr>
            <w:tcW w:w="1480" w:type="dxa"/>
            <w:vAlign w:val="bottom"/>
          </w:tcPr>
          <w:p>
            <w:pPr>
              <w:jc w:val="center"/>
              <w:ind w:left="261"/>
              <w:spacing w:after="0"/>
              <w:rPr>
                <w:sz w:val="20"/>
                <w:szCs w:val="20"/>
                <w:color w:val="auto"/>
              </w:rPr>
            </w:pPr>
            <w:r>
              <w:rPr>
                <w:rFonts w:ascii="Arial" w:cs="Arial" w:eastAsia="Arial" w:hAnsi="Arial"/>
                <w:sz w:val="14"/>
                <w:szCs w:val="14"/>
                <w:b w:val="1"/>
                <w:bCs w:val="1"/>
                <w:color w:val="auto"/>
                <w:w w:val="95"/>
              </w:rPr>
              <w:t>(Zip Code)</w:t>
            </w:r>
          </w:p>
        </w:tc>
      </w:tr>
      <w:tr>
        <w:trPr>
          <w:trHeight w:val="394"/>
        </w:trPr>
        <w:tc>
          <w:tcPr>
            <w:tcW w:w="6080" w:type="dxa"/>
            <w:vAlign w:val="bottom"/>
          </w:tcPr>
          <w:p>
            <w:pPr>
              <w:jc w:val="right"/>
              <w:ind w:right="1379"/>
              <w:spacing w:after="0"/>
              <w:rPr>
                <w:sz w:val="20"/>
                <w:szCs w:val="20"/>
                <w:color w:val="auto"/>
              </w:rPr>
            </w:pPr>
            <w:r>
              <w:rPr>
                <w:rFonts w:ascii="Arial" w:cs="Arial" w:eastAsia="Arial" w:hAnsi="Arial"/>
                <w:sz w:val="18"/>
                <w:szCs w:val="18"/>
                <w:b w:val="1"/>
                <w:bCs w:val="1"/>
                <w:color w:val="auto"/>
              </w:rPr>
              <w:t>(678) 620-3186</w:t>
            </w:r>
          </w:p>
        </w:tc>
        <w:tc>
          <w:tcPr>
            <w:tcW w:w="1480" w:type="dxa"/>
            <w:vAlign w:val="bottom"/>
          </w:tcPr>
          <w:p>
            <w:pPr>
              <w:spacing w:after="0"/>
              <w:rPr>
                <w:sz w:val="24"/>
                <w:szCs w:val="24"/>
                <w:color w:val="auto"/>
              </w:rPr>
            </w:pPr>
          </w:p>
        </w:tc>
      </w:tr>
      <w:tr>
        <w:trPr>
          <w:trHeight w:val="186"/>
        </w:trPr>
        <w:tc>
          <w:tcPr>
            <w:tcW w:w="6080" w:type="dxa"/>
            <w:vAlign w:val="bottom"/>
          </w:tcPr>
          <w:p>
            <w:pPr>
              <w:jc w:val="center"/>
              <w:ind w:left="1959"/>
              <w:spacing w:after="0"/>
              <w:rPr>
                <w:sz w:val="20"/>
                <w:szCs w:val="20"/>
                <w:color w:val="auto"/>
              </w:rPr>
            </w:pPr>
            <w:r>
              <w:rPr>
                <w:rFonts w:ascii="Arial" w:cs="Arial" w:eastAsia="Arial" w:hAnsi="Arial"/>
                <w:sz w:val="14"/>
                <w:szCs w:val="14"/>
                <w:b w:val="1"/>
                <w:bCs w:val="1"/>
                <w:color w:val="auto"/>
                <w:w w:val="93"/>
              </w:rPr>
              <w:t>(Registrant’s Telephone Number, Including Area Code)</w:t>
            </w:r>
          </w:p>
        </w:tc>
        <w:tc>
          <w:tcPr>
            <w:tcW w:w="1480" w:type="dxa"/>
            <w:vAlign w:val="bottom"/>
          </w:tcPr>
          <w:p>
            <w:pPr>
              <w:spacing w:after="0"/>
              <w:rPr>
                <w:sz w:val="16"/>
                <w:szCs w:val="16"/>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2869565</wp:posOffset>
            </wp:positionH>
            <wp:positionV relativeFrom="paragraph">
              <wp:posOffset>213360</wp:posOffset>
            </wp:positionV>
            <wp:extent cx="1517650" cy="889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1517650" cy="8890"/>
                    </a:xfrm>
                    <a:prstGeom prst="rect">
                      <a:avLst/>
                    </a:prstGeom>
                    <a:noFill/>
                  </pic:spPr>
                </pic:pic>
              </a:graphicData>
            </a:graphic>
          </wp:anchor>
        </w:drawing>
      </w:r>
    </w:p>
    <w:p>
      <w:pPr>
        <w:spacing w:after="0" w:line="200" w:lineRule="exact"/>
        <w:rPr>
          <w:sz w:val="24"/>
          <w:szCs w:val="24"/>
          <w:color w:val="auto"/>
        </w:rPr>
      </w:pPr>
    </w:p>
    <w:p>
      <w:pPr>
        <w:spacing w:after="0" w:line="331" w:lineRule="exact"/>
        <w:rPr>
          <w:sz w:val="24"/>
          <w:szCs w:val="24"/>
          <w:color w:val="auto"/>
        </w:rPr>
      </w:pPr>
    </w:p>
    <w:p>
      <w:pPr>
        <w:ind w:right="480"/>
        <w:spacing w:after="0" w:line="227" w:lineRule="exact"/>
        <w:rPr>
          <w:sz w:val="20"/>
          <w:szCs w:val="20"/>
          <w:color w:val="auto"/>
        </w:rPr>
      </w:pPr>
      <w:r>
        <w:rPr>
          <w:rFonts w:ascii="Arial" w:cs="Arial" w:eastAsia="Arial" w:hAnsi="Arial"/>
          <w:sz w:val="18"/>
          <w:szCs w:val="18"/>
          <w:color w:val="auto"/>
        </w:rPr>
        <w:t xml:space="preserve">Indicate by check mark whether the registrant (1) has filed all reports required to be filed by Section 13 or 15(d) of the Securities Exchange Act of 1934 during the preceding 12 months (or for such shorter period that the registrant was required to file such reports), and (2) has been subject to such filing requirements for the past 90 days. </w:t>
      </w:r>
      <w:r>
        <w:rPr>
          <w:rFonts w:ascii="MS PGothic" w:cs="MS PGothic" w:eastAsia="MS PGothic" w:hAnsi="MS PGothic"/>
          <w:sz w:val="18"/>
          <w:szCs w:val="18"/>
          <w:color w:val="auto"/>
        </w:rPr>
        <w:t>☒</w:t>
      </w:r>
      <w:r>
        <w:rPr>
          <w:rFonts w:ascii="Arial" w:cs="Arial" w:eastAsia="Arial" w:hAnsi="Arial"/>
          <w:sz w:val="18"/>
          <w:szCs w:val="18"/>
          <w:color w:val="auto"/>
        </w:rPr>
        <w:t xml:space="preserve"> Yes </w:t>
      </w:r>
      <w:r>
        <w:rPr>
          <w:rFonts w:ascii="MS PGothic" w:cs="MS PGothic" w:eastAsia="MS PGothic" w:hAnsi="MS PGothic"/>
          <w:sz w:val="18"/>
          <w:szCs w:val="18"/>
          <w:color w:val="auto"/>
        </w:rPr>
        <w:t>☐</w:t>
      </w:r>
      <w:r>
        <w:rPr>
          <w:rFonts w:ascii="Arial" w:cs="Arial" w:eastAsia="Arial" w:hAnsi="Arial"/>
          <w:sz w:val="18"/>
          <w:szCs w:val="18"/>
          <w:color w:val="auto"/>
        </w:rPr>
        <w:t xml:space="preserve"> No</w:t>
      </w:r>
    </w:p>
    <w:p>
      <w:pPr>
        <w:spacing w:after="0" w:line="184" w:lineRule="exact"/>
        <w:rPr>
          <w:sz w:val="24"/>
          <w:szCs w:val="24"/>
          <w:color w:val="auto"/>
        </w:rPr>
      </w:pPr>
    </w:p>
    <w:p>
      <w:pPr>
        <w:jc w:val="both"/>
        <w:ind w:right="60"/>
        <w:spacing w:after="0" w:line="227" w:lineRule="exact"/>
        <w:rPr>
          <w:sz w:val="20"/>
          <w:szCs w:val="20"/>
          <w:color w:val="auto"/>
        </w:rPr>
      </w:pPr>
      <w:r>
        <w:rPr>
          <w:rFonts w:ascii="Arial" w:cs="Arial" w:eastAsia="Arial" w:hAnsi="Arial"/>
          <w:sz w:val="18"/>
          <w:szCs w:val="18"/>
          <w:color w:val="auto"/>
        </w:rPr>
        <w:t xml:space="preserve">Indicate by check mark whether the registrant has submitted electronically and posted on its corporate Web site, if any, every Interactive Data File required to be submitted and posted pursuant to Rule 405 of Regulation S-T (§232.05 of this chapter) during the preceding 12 months (or for such shorter period that the registrant was required to submit and post such files). </w:t>
      </w:r>
      <w:r>
        <w:rPr>
          <w:rFonts w:ascii="MS PGothic" w:cs="MS PGothic" w:eastAsia="MS PGothic" w:hAnsi="MS PGothic"/>
          <w:sz w:val="18"/>
          <w:szCs w:val="18"/>
          <w:color w:val="auto"/>
        </w:rPr>
        <w:t>☒</w:t>
      </w:r>
      <w:r>
        <w:rPr>
          <w:rFonts w:ascii="Arial" w:cs="Arial" w:eastAsia="Arial" w:hAnsi="Arial"/>
          <w:sz w:val="18"/>
          <w:szCs w:val="18"/>
          <w:color w:val="auto"/>
        </w:rPr>
        <w:t xml:space="preserve"> Yes </w:t>
      </w:r>
      <w:r>
        <w:rPr>
          <w:rFonts w:ascii="MS PGothic" w:cs="MS PGothic" w:eastAsia="MS PGothic" w:hAnsi="MS PGothic"/>
          <w:sz w:val="18"/>
          <w:szCs w:val="18"/>
          <w:color w:val="auto"/>
        </w:rPr>
        <w:t>☐</w:t>
      </w:r>
      <w:r>
        <w:rPr>
          <w:rFonts w:ascii="Arial" w:cs="Arial" w:eastAsia="Arial" w:hAnsi="Arial"/>
          <w:sz w:val="18"/>
          <w:szCs w:val="18"/>
          <w:color w:val="auto"/>
        </w:rPr>
        <w:t xml:space="preserve"> No</w:t>
      </w:r>
    </w:p>
    <w:p>
      <w:pPr>
        <w:spacing w:after="0" w:line="184" w:lineRule="exact"/>
        <w:rPr>
          <w:sz w:val="24"/>
          <w:szCs w:val="24"/>
          <w:color w:val="auto"/>
        </w:rPr>
      </w:pPr>
    </w:p>
    <w:p>
      <w:pPr>
        <w:jc w:val="both"/>
        <w:ind w:right="60"/>
        <w:spacing w:after="0" w:line="342" w:lineRule="auto"/>
        <w:rPr>
          <w:sz w:val="20"/>
          <w:szCs w:val="20"/>
          <w:color w:val="auto"/>
        </w:rPr>
      </w:pPr>
      <w:r>
        <w:rPr>
          <w:rFonts w:ascii="Arial" w:cs="Arial" w:eastAsia="Arial" w:hAnsi="Arial"/>
          <w:sz w:val="16"/>
          <w:szCs w:val="16"/>
          <w:color w:val="auto"/>
        </w:rPr>
        <w:t>Indicate by check mark whether the registrant is a large accelerated filer, an accelerated filer, a non-accelerated filer or a smaller reporting company. See the definitions of “large accelerated filer,” “accelerated filer,” “smaller reporting company” and “emerging growth company” in Rule 12b-2 of the Exchange Act.</w:t>
      </w:r>
    </w:p>
    <w:p>
      <w:pPr>
        <w:spacing w:after="0" w:line="118" w:lineRule="exact"/>
        <w:rPr>
          <w:sz w:val="24"/>
          <w:szCs w:val="24"/>
          <w:color w:val="auto"/>
        </w:rPr>
      </w:pPr>
    </w:p>
    <w:tbl>
      <w:tblPr>
        <w:tblLayout w:type="fixed"/>
        <w:tblInd w:w="0" w:type="dxa"/>
        <w:tblCellMar>
          <w:top w:w="0" w:type="dxa"/>
          <w:left w:w="0" w:type="dxa"/>
          <w:bottom w:w="0" w:type="dxa"/>
          <w:right w:w="0" w:type="dxa"/>
        </w:tblCellMar>
      </w:tblPr>
      <w:tr>
        <w:trPr>
          <w:trHeight w:val="283"/>
        </w:trPr>
        <w:tc>
          <w:tcPr>
            <w:tcW w:w="1860" w:type="dxa"/>
            <w:vAlign w:val="bottom"/>
          </w:tcPr>
          <w:p>
            <w:pPr>
              <w:spacing w:after="0"/>
              <w:rPr>
                <w:sz w:val="20"/>
                <w:szCs w:val="20"/>
                <w:color w:val="auto"/>
              </w:rPr>
            </w:pPr>
            <w:r>
              <w:rPr>
                <w:rFonts w:ascii="Arial" w:cs="Arial" w:eastAsia="Arial" w:hAnsi="Arial"/>
                <w:sz w:val="18"/>
                <w:szCs w:val="18"/>
                <w:color w:val="auto"/>
                <w:w w:val="98"/>
              </w:rPr>
              <w:t>Large Accelerated Filer</w:t>
            </w:r>
          </w:p>
        </w:tc>
        <w:tc>
          <w:tcPr>
            <w:tcW w:w="5380" w:type="dxa"/>
            <w:vAlign w:val="bottom"/>
          </w:tcPr>
          <w:p>
            <w:pPr>
              <w:ind w:left="180"/>
              <w:spacing w:after="0" w:line="181" w:lineRule="exact"/>
              <w:rPr>
                <w:sz w:val="20"/>
                <w:szCs w:val="20"/>
                <w:color w:val="auto"/>
              </w:rPr>
            </w:pPr>
            <w:r>
              <w:rPr>
                <w:rFonts w:ascii="MS PGothic" w:cs="MS PGothic" w:eastAsia="MS PGothic" w:hAnsi="MS PGothic"/>
                <w:sz w:val="18"/>
                <w:szCs w:val="18"/>
                <w:color w:val="auto"/>
              </w:rPr>
              <w:t>☐</w:t>
            </w:r>
          </w:p>
        </w:tc>
        <w:tc>
          <w:tcPr>
            <w:tcW w:w="3800" w:type="dxa"/>
            <w:vAlign w:val="bottom"/>
          </w:tcPr>
          <w:p>
            <w:pPr>
              <w:ind w:left="1620"/>
              <w:spacing w:after="0"/>
              <w:rPr>
                <w:sz w:val="20"/>
                <w:szCs w:val="20"/>
                <w:color w:val="auto"/>
              </w:rPr>
            </w:pPr>
            <w:r>
              <w:rPr>
                <w:rFonts w:ascii="Arial" w:cs="Arial" w:eastAsia="Arial" w:hAnsi="Arial"/>
                <w:sz w:val="18"/>
                <w:szCs w:val="18"/>
                <w:color w:val="auto"/>
              </w:rPr>
              <w:t>Accelerated Filer</w:t>
            </w:r>
          </w:p>
        </w:tc>
        <w:tc>
          <w:tcPr>
            <w:tcW w:w="380" w:type="dxa"/>
            <w:vAlign w:val="bottom"/>
          </w:tcPr>
          <w:p>
            <w:pPr>
              <w:ind w:left="220"/>
              <w:spacing w:after="0" w:line="181" w:lineRule="exact"/>
              <w:rPr>
                <w:sz w:val="20"/>
                <w:szCs w:val="20"/>
                <w:color w:val="auto"/>
              </w:rPr>
            </w:pPr>
            <w:r>
              <w:rPr>
                <w:rFonts w:ascii="MS PGothic" w:cs="MS PGothic" w:eastAsia="MS PGothic" w:hAnsi="MS PGothic"/>
                <w:sz w:val="18"/>
                <w:szCs w:val="18"/>
                <w:color w:val="auto"/>
                <w:w w:val="77"/>
              </w:rPr>
              <w:t>☐</w:t>
            </w:r>
          </w:p>
        </w:tc>
      </w:tr>
      <w:tr>
        <w:trPr>
          <w:trHeight w:val="324"/>
        </w:trPr>
        <w:tc>
          <w:tcPr>
            <w:tcW w:w="1860" w:type="dxa"/>
            <w:vAlign w:val="bottom"/>
          </w:tcPr>
          <w:p>
            <w:pPr>
              <w:spacing w:after="0"/>
              <w:rPr>
                <w:sz w:val="20"/>
                <w:szCs w:val="20"/>
                <w:color w:val="auto"/>
              </w:rPr>
            </w:pPr>
            <w:r>
              <w:rPr>
                <w:rFonts w:ascii="Arial" w:cs="Arial" w:eastAsia="Arial" w:hAnsi="Arial"/>
                <w:sz w:val="18"/>
                <w:szCs w:val="18"/>
                <w:color w:val="auto"/>
              </w:rPr>
              <w:t>Non-Accelerated Filer</w:t>
            </w:r>
          </w:p>
        </w:tc>
        <w:tc>
          <w:tcPr>
            <w:tcW w:w="5380" w:type="dxa"/>
            <w:vAlign w:val="bottom"/>
          </w:tcPr>
          <w:p>
            <w:pPr>
              <w:ind w:left="180"/>
              <w:spacing w:after="0" w:line="207" w:lineRule="exact"/>
              <w:rPr>
                <w:sz w:val="20"/>
                <w:szCs w:val="20"/>
                <w:color w:val="auto"/>
              </w:rPr>
            </w:pPr>
            <w:r>
              <w:rPr>
                <w:rFonts w:ascii="MS PGothic" w:cs="MS PGothic" w:eastAsia="MS PGothic" w:hAnsi="MS PGothic"/>
                <w:sz w:val="18"/>
                <w:szCs w:val="18"/>
                <w:color w:val="auto"/>
              </w:rPr>
              <w:t>☐</w:t>
            </w:r>
            <w:r>
              <w:rPr>
                <w:rFonts w:ascii="Arial" w:cs="Arial" w:eastAsia="Arial" w:hAnsi="Arial"/>
                <w:sz w:val="18"/>
                <w:szCs w:val="18"/>
                <w:color w:val="auto"/>
              </w:rPr>
              <w:t xml:space="preserve"> (Do not check if a smaller reporting company)</w:t>
            </w:r>
          </w:p>
        </w:tc>
        <w:tc>
          <w:tcPr>
            <w:tcW w:w="3800" w:type="dxa"/>
            <w:vAlign w:val="bottom"/>
          </w:tcPr>
          <w:p>
            <w:pPr>
              <w:ind w:left="1620"/>
              <w:spacing w:after="0"/>
              <w:rPr>
                <w:sz w:val="20"/>
                <w:szCs w:val="20"/>
                <w:color w:val="auto"/>
              </w:rPr>
            </w:pPr>
            <w:r>
              <w:rPr>
                <w:rFonts w:ascii="Arial" w:cs="Arial" w:eastAsia="Arial" w:hAnsi="Arial"/>
                <w:sz w:val="18"/>
                <w:szCs w:val="18"/>
                <w:color w:val="auto"/>
              </w:rPr>
              <w:t>Smaller reporting company</w:t>
            </w:r>
          </w:p>
        </w:tc>
        <w:tc>
          <w:tcPr>
            <w:tcW w:w="380" w:type="dxa"/>
            <w:vAlign w:val="bottom"/>
          </w:tcPr>
          <w:p>
            <w:pPr>
              <w:ind w:left="220"/>
              <w:spacing w:after="0" w:line="181" w:lineRule="exact"/>
              <w:rPr>
                <w:sz w:val="20"/>
                <w:szCs w:val="20"/>
                <w:color w:val="auto"/>
              </w:rPr>
            </w:pPr>
            <w:r>
              <w:rPr>
                <w:rFonts w:ascii="MS PGothic" w:cs="MS PGothic" w:eastAsia="MS PGothic" w:hAnsi="MS PGothic"/>
                <w:sz w:val="18"/>
                <w:szCs w:val="18"/>
                <w:color w:val="auto"/>
                <w:w w:val="77"/>
              </w:rPr>
              <w:t>☒</w:t>
            </w:r>
          </w:p>
        </w:tc>
      </w:tr>
      <w:tr>
        <w:trPr>
          <w:trHeight w:val="324"/>
        </w:trPr>
        <w:tc>
          <w:tcPr>
            <w:tcW w:w="1860" w:type="dxa"/>
            <w:vAlign w:val="bottom"/>
          </w:tcPr>
          <w:p>
            <w:pPr>
              <w:spacing w:after="0"/>
              <w:rPr>
                <w:sz w:val="24"/>
                <w:szCs w:val="24"/>
                <w:color w:val="auto"/>
              </w:rPr>
            </w:pPr>
          </w:p>
        </w:tc>
        <w:tc>
          <w:tcPr>
            <w:tcW w:w="5380" w:type="dxa"/>
            <w:vAlign w:val="bottom"/>
          </w:tcPr>
          <w:p>
            <w:pPr>
              <w:spacing w:after="0"/>
              <w:rPr>
                <w:sz w:val="24"/>
                <w:szCs w:val="24"/>
                <w:color w:val="auto"/>
              </w:rPr>
            </w:pPr>
          </w:p>
        </w:tc>
        <w:tc>
          <w:tcPr>
            <w:tcW w:w="3800" w:type="dxa"/>
            <w:vAlign w:val="bottom"/>
          </w:tcPr>
          <w:p>
            <w:pPr>
              <w:ind w:left="1620"/>
              <w:spacing w:after="0"/>
              <w:rPr>
                <w:sz w:val="20"/>
                <w:szCs w:val="20"/>
                <w:color w:val="auto"/>
              </w:rPr>
            </w:pPr>
            <w:r>
              <w:rPr>
                <w:rFonts w:ascii="Arial" w:cs="Arial" w:eastAsia="Arial" w:hAnsi="Arial"/>
                <w:sz w:val="18"/>
                <w:szCs w:val="18"/>
                <w:color w:val="auto"/>
              </w:rPr>
              <w:t>Emerging growth company</w:t>
            </w:r>
          </w:p>
        </w:tc>
        <w:tc>
          <w:tcPr>
            <w:tcW w:w="380" w:type="dxa"/>
            <w:vAlign w:val="bottom"/>
          </w:tcPr>
          <w:p>
            <w:pPr>
              <w:ind w:left="220"/>
              <w:spacing w:after="0" w:line="181" w:lineRule="exact"/>
              <w:rPr>
                <w:sz w:val="20"/>
                <w:szCs w:val="20"/>
                <w:color w:val="auto"/>
              </w:rPr>
            </w:pPr>
            <w:r>
              <w:rPr>
                <w:rFonts w:ascii="MS PGothic" w:cs="MS PGothic" w:eastAsia="MS PGothic" w:hAnsi="MS PGothic"/>
                <w:sz w:val="18"/>
                <w:szCs w:val="18"/>
                <w:color w:val="auto"/>
                <w:w w:val="77"/>
              </w:rPr>
              <w:t>☐</w:t>
            </w:r>
          </w:p>
        </w:tc>
      </w:tr>
    </w:tbl>
    <w:p>
      <w:pPr>
        <w:spacing w:after="0" w:line="182" w:lineRule="exact"/>
        <w:rPr>
          <w:sz w:val="24"/>
          <w:szCs w:val="24"/>
          <w:color w:val="auto"/>
        </w:rPr>
      </w:pPr>
    </w:p>
    <w:p>
      <w:pPr>
        <w:ind w:right="140"/>
        <w:spacing w:after="0" w:line="233" w:lineRule="exact"/>
        <w:rPr>
          <w:sz w:val="20"/>
          <w:szCs w:val="20"/>
          <w:color w:val="auto"/>
        </w:rPr>
      </w:pPr>
      <w:r>
        <w:rPr>
          <w:rFonts w:ascii="Arial" w:cs="Arial" w:eastAsia="Arial" w:hAnsi="Arial"/>
          <w:sz w:val="18"/>
          <w:szCs w:val="18"/>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MS PGothic" w:cs="MS PGothic" w:eastAsia="MS PGothic" w:hAnsi="MS PGothic"/>
          <w:sz w:val="18"/>
          <w:szCs w:val="18"/>
          <w:color w:val="auto"/>
        </w:rPr>
        <w:t>☐</w:t>
      </w:r>
    </w:p>
    <w:p>
      <w:pPr>
        <w:spacing w:after="0" w:line="150" w:lineRule="exact"/>
        <w:rPr>
          <w:sz w:val="24"/>
          <w:szCs w:val="24"/>
          <w:color w:val="auto"/>
        </w:rPr>
      </w:pPr>
    </w:p>
    <w:p>
      <w:pPr>
        <w:spacing w:after="0" w:line="207" w:lineRule="exact"/>
        <w:tabs>
          <w:tab w:leader="none" w:pos="8340" w:val="left"/>
        </w:tabs>
        <w:rPr>
          <w:sz w:val="20"/>
          <w:szCs w:val="20"/>
          <w:color w:val="auto"/>
        </w:rPr>
      </w:pPr>
      <w:r>
        <w:rPr>
          <w:rFonts w:ascii="Arial" w:cs="Arial" w:eastAsia="Arial" w:hAnsi="Arial"/>
          <w:sz w:val="18"/>
          <w:szCs w:val="18"/>
          <w:color w:val="auto"/>
        </w:rPr>
        <w:t>Indicate by check mark whether the registrant is a shell company (as defined in Rule 12b-2 of the Exchange Act).</w:t>
      </w:r>
      <w:r>
        <w:rPr>
          <w:sz w:val="20"/>
          <w:szCs w:val="20"/>
          <w:color w:val="auto"/>
        </w:rPr>
        <w:tab/>
      </w:r>
      <w:r>
        <w:rPr>
          <w:rFonts w:ascii="MS PGothic" w:cs="MS PGothic" w:eastAsia="MS PGothic" w:hAnsi="MS PGothic"/>
          <w:sz w:val="18"/>
          <w:szCs w:val="18"/>
          <w:color w:val="auto"/>
        </w:rPr>
        <w:t xml:space="preserve">☐ </w:t>
      </w:r>
      <w:r>
        <w:rPr>
          <w:rFonts w:ascii="Arial" w:cs="Arial" w:eastAsia="Arial" w:hAnsi="Arial"/>
          <w:sz w:val="18"/>
          <w:szCs w:val="18"/>
          <w:color w:val="auto"/>
        </w:rPr>
        <w:t>Yes</w:t>
      </w:r>
      <w:r>
        <w:rPr>
          <w:rFonts w:ascii="MS PGothic" w:cs="MS PGothic" w:eastAsia="MS PGothic" w:hAnsi="MS PGothic"/>
          <w:sz w:val="18"/>
          <w:szCs w:val="18"/>
          <w:color w:val="auto"/>
        </w:rPr>
        <w:t xml:space="preserve">  ☒ </w:t>
      </w:r>
      <w:r>
        <w:rPr>
          <w:rFonts w:ascii="Arial" w:cs="Arial" w:eastAsia="Arial" w:hAnsi="Arial"/>
          <w:sz w:val="18"/>
          <w:szCs w:val="18"/>
          <w:color w:val="auto"/>
        </w:rPr>
        <w:t>No</w:t>
      </w:r>
    </w:p>
    <w:p>
      <w:pPr>
        <w:spacing w:after="0" w:line="258" w:lineRule="exact"/>
        <w:rPr>
          <w:sz w:val="24"/>
          <w:szCs w:val="24"/>
          <w:color w:val="auto"/>
        </w:rPr>
      </w:pPr>
    </w:p>
    <w:p>
      <w:pPr>
        <w:spacing w:after="0"/>
        <w:rPr>
          <w:sz w:val="20"/>
          <w:szCs w:val="20"/>
          <w:color w:val="auto"/>
        </w:rPr>
      </w:pPr>
      <w:r>
        <w:rPr>
          <w:rFonts w:ascii="Arial" w:cs="Arial" w:eastAsia="Arial" w:hAnsi="Arial"/>
          <w:sz w:val="18"/>
          <w:szCs w:val="18"/>
          <w:color w:val="auto"/>
        </w:rPr>
        <w:t>The number of shares outstanding of the registrant’s common stock as of August 8, 2018 was 40,913,855.</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160655</wp:posOffset>
            </wp:positionV>
            <wp:extent cx="7246620" cy="889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246620"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203835</wp:posOffset>
            </wp:positionV>
            <wp:extent cx="7246620" cy="8890"/>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230" w:right="239" w:bottom="1440" w:gutter="0" w:footer="0" w:header="0"/>
        </w:sectPr>
      </w:pPr>
    </w:p>
    <w:bookmarkStart w:id="1" w:name="page2"/>
    <w:bookmarkEnd w:id="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jc w:val="center"/>
        <w:ind w:right="-59"/>
        <w:spacing w:after="0"/>
        <w:rPr>
          <w:sz w:val="20"/>
          <w:szCs w:val="20"/>
          <w:color w:val="auto"/>
        </w:rPr>
      </w:pPr>
      <w:r>
        <w:rPr>
          <w:rFonts w:ascii="Arial" w:cs="Arial" w:eastAsia="Arial" w:hAnsi="Arial"/>
          <w:sz w:val="18"/>
          <w:szCs w:val="18"/>
          <w:b w:val="1"/>
          <w:bCs w:val="1"/>
          <w:color w:val="auto"/>
        </w:rPr>
        <w:t>GALECTIN THERAPEUTICS INC.</w:t>
      </w:r>
    </w:p>
    <w:p>
      <w:pPr>
        <w:spacing w:after="0" w:line="27" w:lineRule="exact"/>
        <w:rPr>
          <w:sz w:val="20"/>
          <w:szCs w:val="20"/>
          <w:color w:val="auto"/>
        </w:rPr>
      </w:pPr>
    </w:p>
    <w:p>
      <w:pPr>
        <w:jc w:val="center"/>
        <w:ind w:right="-59"/>
        <w:spacing w:after="0"/>
        <w:rPr>
          <w:sz w:val="20"/>
          <w:szCs w:val="20"/>
          <w:color w:val="auto"/>
        </w:rPr>
      </w:pPr>
      <w:r>
        <w:rPr>
          <w:rFonts w:ascii="Arial" w:cs="Arial" w:eastAsia="Arial" w:hAnsi="Arial"/>
          <w:sz w:val="18"/>
          <w:szCs w:val="18"/>
          <w:b w:val="1"/>
          <w:bCs w:val="1"/>
          <w:color w:val="auto"/>
        </w:rPr>
        <w:t>INDEX TO FORM 10-Q</w:t>
      </w:r>
    </w:p>
    <w:p>
      <w:pPr>
        <w:spacing w:after="0" w:line="9" w:lineRule="exact"/>
        <w:rPr>
          <w:sz w:val="20"/>
          <w:szCs w:val="20"/>
          <w:color w:val="auto"/>
        </w:rPr>
      </w:pPr>
    </w:p>
    <w:p>
      <w:pPr>
        <w:jc w:val="center"/>
        <w:ind w:right="-59"/>
        <w:spacing w:after="0"/>
        <w:rPr>
          <w:sz w:val="20"/>
          <w:szCs w:val="20"/>
          <w:color w:val="auto"/>
        </w:rPr>
      </w:pPr>
      <w:r>
        <w:rPr>
          <w:rFonts w:ascii="Arial" w:cs="Arial" w:eastAsia="Arial" w:hAnsi="Arial"/>
          <w:sz w:val="18"/>
          <w:szCs w:val="18"/>
          <w:b w:val="1"/>
          <w:bCs w:val="1"/>
          <w:color w:val="auto"/>
        </w:rPr>
        <w:t>FOR THE QUARTER ENDED JUNE 30, 2018</w:t>
      </w:r>
    </w:p>
    <w:p>
      <w:pPr>
        <w:spacing w:after="0" w:line="229"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10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7640" w:type="dxa"/>
            <w:vAlign w:val="bottom"/>
            <w:gridSpan w:val="10"/>
            <w:vMerge w:val="restart"/>
          </w:tcPr>
          <w:p>
            <w:pPr>
              <w:jc w:val="center"/>
              <w:ind w:right="2560"/>
              <w:spacing w:after="0"/>
              <w:rPr>
                <w:sz w:val="20"/>
                <w:szCs w:val="20"/>
                <w:color w:val="auto"/>
              </w:rPr>
            </w:pPr>
            <w:r>
              <w:rPr>
                <w:rFonts w:ascii="Arial" w:cs="Arial" w:eastAsia="Arial" w:hAnsi="Arial"/>
                <w:sz w:val="18"/>
                <w:szCs w:val="18"/>
                <w:b w:val="1"/>
                <w:bCs w:val="1"/>
                <w:color w:val="auto"/>
              </w:rPr>
              <w:t>PART I — FINANCIAL INFORMATION</w:t>
            </w:r>
          </w:p>
        </w:tc>
        <w:tc>
          <w:tcPr>
            <w:tcW w:w="38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w w:val="90"/>
              </w:rPr>
              <w:t>PAGE</w:t>
            </w:r>
          </w:p>
        </w:tc>
        <w:tc>
          <w:tcPr>
            <w:tcW w:w="0" w:type="dxa"/>
            <w:vAlign w:val="bottom"/>
          </w:tcPr>
          <w:p>
            <w:pPr>
              <w:spacing w:after="0"/>
              <w:rPr>
                <w:sz w:val="1"/>
                <w:szCs w:val="1"/>
                <w:color w:val="auto"/>
              </w:rPr>
            </w:pPr>
          </w:p>
        </w:tc>
      </w:tr>
      <w:tr>
        <w:trPr>
          <w:trHeight w:val="210"/>
        </w:trPr>
        <w:tc>
          <w:tcPr>
            <w:tcW w:w="10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7640" w:type="dxa"/>
            <w:vAlign w:val="bottom"/>
            <w:gridSpan w:val="10"/>
            <w:vMerge w:val="continue"/>
          </w:tcPr>
          <w:p>
            <w:pPr>
              <w:spacing w:after="0"/>
              <w:rPr>
                <w:sz w:val="18"/>
                <w:szCs w:val="18"/>
                <w:color w:val="auto"/>
              </w:rPr>
            </w:pPr>
          </w:p>
        </w:tc>
        <w:tc>
          <w:tcPr>
            <w:tcW w:w="3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310"/>
        </w:trPr>
        <w:tc>
          <w:tcPr>
            <w:tcW w:w="1000" w:type="dxa"/>
            <w:vAlign w:val="bottom"/>
          </w:tcPr>
          <w:p>
            <w:pPr>
              <w:spacing w:after="0"/>
              <w:rPr>
                <w:sz w:val="20"/>
                <w:szCs w:val="20"/>
                <w:color w:val="auto"/>
              </w:rPr>
            </w:pPr>
            <w:r>
              <w:rPr>
                <w:rFonts w:ascii="Arial" w:cs="Arial" w:eastAsia="Arial" w:hAnsi="Arial"/>
                <w:sz w:val="18"/>
                <w:szCs w:val="18"/>
                <w:color w:val="auto"/>
              </w:rPr>
              <w:t>ITEM 1.</w:t>
            </w:r>
          </w:p>
        </w:tc>
        <w:tc>
          <w:tcPr>
            <w:tcW w:w="9980" w:type="dxa"/>
            <w:vAlign w:val="bottom"/>
            <w:gridSpan w:val="17"/>
          </w:tcPr>
          <w:p>
            <w:pPr>
              <w:spacing w:after="0"/>
              <w:rPr>
                <w:sz w:val="20"/>
                <w:szCs w:val="20"/>
                <w:color w:val="auto"/>
              </w:rPr>
            </w:pPr>
            <w:r>
              <w:rPr>
                <w:rFonts w:ascii="Arial" w:cs="Arial" w:eastAsia="Arial" w:hAnsi="Arial"/>
                <w:sz w:val="18"/>
                <w:szCs w:val="18"/>
                <w:color w:val="auto"/>
              </w:rPr>
              <w:t>Unaudited Condensed Consolidated Financial Statements</w:t>
            </w:r>
          </w:p>
        </w:tc>
        <w:tc>
          <w:tcPr>
            <w:tcW w:w="3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90"/>
        </w:trPr>
        <w:tc>
          <w:tcPr>
            <w:tcW w:w="1000" w:type="dxa"/>
            <w:vAlign w:val="bottom"/>
          </w:tcPr>
          <w:p>
            <w:pPr>
              <w:spacing w:after="0"/>
              <w:rPr>
                <w:sz w:val="16"/>
                <w:szCs w:val="16"/>
                <w:color w:val="auto"/>
              </w:rPr>
            </w:pPr>
          </w:p>
        </w:tc>
        <w:tc>
          <w:tcPr>
            <w:tcW w:w="9980" w:type="dxa"/>
            <w:vAlign w:val="bottom"/>
            <w:gridSpan w:val="17"/>
          </w:tcPr>
          <w:p>
            <w:pPr>
              <w:spacing w:after="0" w:line="190" w:lineRule="exact"/>
              <w:rPr>
                <w:rFonts w:ascii="Arial" w:cs="Arial" w:eastAsia="Arial" w:hAnsi="Arial"/>
                <w:sz w:val="18"/>
                <w:szCs w:val="18"/>
                <w:color w:val="0000EE"/>
              </w:rPr>
            </w:pPr>
            <w:hyperlink w:anchor="page3">
              <w:r>
                <w:rPr>
                  <w:rFonts w:ascii="Arial" w:cs="Arial" w:eastAsia="Arial" w:hAnsi="Arial"/>
                  <w:sz w:val="18"/>
                  <w:szCs w:val="18"/>
                  <w:color w:val="0000EE"/>
                </w:rPr>
                <w:t>Condensed Consolidated Balance Sheets as of June 30, 2018 and December 31, 2017 (unaudited)</w:t>
              </w:r>
            </w:hyperlink>
          </w:p>
        </w:tc>
        <w:tc>
          <w:tcPr>
            <w:tcW w:w="380" w:type="dxa"/>
            <w:vAlign w:val="bottom"/>
          </w:tcPr>
          <w:p>
            <w:pPr>
              <w:jc w:val="right"/>
              <w:spacing w:after="0" w:line="190" w:lineRule="exact"/>
              <w:rPr>
                <w:sz w:val="20"/>
                <w:szCs w:val="20"/>
                <w:color w:val="auto"/>
              </w:rPr>
            </w:pPr>
            <w:r>
              <w:rPr>
                <w:rFonts w:ascii="Arial" w:cs="Arial" w:eastAsia="Arial" w:hAnsi="Arial"/>
                <w:sz w:val="18"/>
                <w:szCs w:val="18"/>
                <w:color w:val="auto"/>
              </w:rPr>
              <w:t>3</w:t>
            </w:r>
          </w:p>
        </w:tc>
        <w:tc>
          <w:tcPr>
            <w:tcW w:w="0" w:type="dxa"/>
            <w:vAlign w:val="bottom"/>
          </w:tcPr>
          <w:p>
            <w:pPr>
              <w:spacing w:after="0"/>
              <w:rPr>
                <w:sz w:val="1"/>
                <w:szCs w:val="1"/>
                <w:color w:val="auto"/>
              </w:rPr>
            </w:pPr>
          </w:p>
        </w:tc>
      </w:tr>
      <w:tr>
        <w:trPr>
          <w:trHeight w:val="20"/>
        </w:trPr>
        <w:tc>
          <w:tcPr>
            <w:tcW w:w="1000" w:type="dxa"/>
            <w:vAlign w:val="bottom"/>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500" w:type="dxa"/>
            <w:vAlign w:val="bottom"/>
            <w:shd w:val="clear" w:color="auto" w:fill="0000EE"/>
          </w:tcPr>
          <w:p>
            <w:pPr>
              <w:spacing w:after="0" w:line="20" w:lineRule="exact"/>
              <w:rPr>
                <w:sz w:val="1"/>
                <w:szCs w:val="1"/>
                <w:color w:val="auto"/>
              </w:rPr>
            </w:pPr>
          </w:p>
        </w:tc>
        <w:tc>
          <w:tcPr>
            <w:tcW w:w="320" w:type="dxa"/>
            <w:vAlign w:val="bottom"/>
            <w:shd w:val="clear" w:color="auto" w:fill="0000EE"/>
          </w:tcPr>
          <w:p>
            <w:pPr>
              <w:spacing w:after="0" w:line="20" w:lineRule="exact"/>
              <w:rPr>
                <w:sz w:val="1"/>
                <w:szCs w:val="1"/>
                <w:color w:val="auto"/>
              </w:rPr>
            </w:pPr>
          </w:p>
        </w:tc>
        <w:tc>
          <w:tcPr>
            <w:tcW w:w="40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440" w:type="dxa"/>
            <w:vAlign w:val="bottom"/>
            <w:shd w:val="clear" w:color="auto" w:fill="0000EE"/>
          </w:tcPr>
          <w:p>
            <w:pPr>
              <w:spacing w:after="0" w:line="20" w:lineRule="exact"/>
              <w:rPr>
                <w:sz w:val="1"/>
                <w:szCs w:val="1"/>
                <w:color w:val="auto"/>
              </w:rPr>
            </w:pPr>
          </w:p>
        </w:tc>
        <w:tc>
          <w:tcPr>
            <w:tcW w:w="560" w:type="dxa"/>
            <w:vAlign w:val="bottom"/>
            <w:shd w:val="clear" w:color="auto" w:fill="0000EE"/>
          </w:tcPr>
          <w:p>
            <w:pPr>
              <w:spacing w:after="0" w:line="20" w:lineRule="exact"/>
              <w:rPr>
                <w:sz w:val="1"/>
                <w:szCs w:val="1"/>
                <w:color w:val="auto"/>
              </w:rPr>
            </w:pPr>
          </w:p>
        </w:tc>
        <w:tc>
          <w:tcPr>
            <w:tcW w:w="1060" w:type="dxa"/>
            <w:vAlign w:val="bottom"/>
            <w:shd w:val="clear" w:color="auto" w:fill="0000EE"/>
          </w:tcPr>
          <w:p>
            <w:pPr>
              <w:spacing w:after="0" w:line="20" w:lineRule="exact"/>
              <w:rPr>
                <w:sz w:val="1"/>
                <w:szCs w:val="1"/>
                <w:color w:val="auto"/>
              </w:rPr>
            </w:pPr>
          </w:p>
        </w:tc>
        <w:tc>
          <w:tcPr>
            <w:tcW w:w="920" w:type="dxa"/>
            <w:vAlign w:val="bottom"/>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440" w:type="dxa"/>
            <w:vAlign w:val="bottom"/>
            <w:shd w:val="clear" w:color="auto" w:fill="0000EE"/>
          </w:tcPr>
          <w:p>
            <w:pPr>
              <w:spacing w:after="0" w:line="20" w:lineRule="exact"/>
              <w:rPr>
                <w:sz w:val="1"/>
                <w:szCs w:val="1"/>
                <w:color w:val="auto"/>
              </w:rPr>
            </w:pPr>
          </w:p>
        </w:tc>
        <w:tc>
          <w:tcPr>
            <w:tcW w:w="1560" w:type="dxa"/>
            <w:vAlign w:val="bottom"/>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560" w:type="dxa"/>
            <w:vAlign w:val="bottom"/>
            <w:shd w:val="clear" w:color="auto" w:fill="0000EE"/>
          </w:tcPr>
          <w:p>
            <w:pPr>
              <w:spacing w:after="0" w:line="20" w:lineRule="exact"/>
              <w:rPr>
                <w:sz w:val="1"/>
                <w:szCs w:val="1"/>
                <w:color w:val="auto"/>
              </w:rPr>
            </w:pPr>
          </w:p>
        </w:tc>
        <w:tc>
          <w:tcPr>
            <w:tcW w:w="19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1000" w:type="dxa"/>
            <w:vAlign w:val="bottom"/>
          </w:tcPr>
          <w:p>
            <w:pPr>
              <w:spacing w:after="0"/>
              <w:rPr>
                <w:sz w:val="17"/>
                <w:szCs w:val="17"/>
                <w:color w:val="auto"/>
              </w:rPr>
            </w:pPr>
          </w:p>
        </w:tc>
        <w:tc>
          <w:tcPr>
            <w:tcW w:w="8980" w:type="dxa"/>
            <w:vAlign w:val="bottom"/>
            <w:tcBorders>
              <w:bottom w:val="single" w:sz="8" w:color="0000EE"/>
            </w:tcBorders>
            <w:gridSpan w:val="15"/>
          </w:tcPr>
          <w:p>
            <w:pPr>
              <w:spacing w:after="0" w:line="196" w:lineRule="exact"/>
              <w:rPr>
                <w:rFonts w:ascii="Arial" w:cs="Arial" w:eastAsia="Arial" w:hAnsi="Arial"/>
                <w:sz w:val="18"/>
                <w:szCs w:val="18"/>
                <w:color w:val="0000EE"/>
                <w:w w:val="89"/>
              </w:rPr>
            </w:pPr>
            <w:hyperlink w:anchor="page4">
              <w:r>
                <w:rPr>
                  <w:rFonts w:ascii="Arial" w:cs="Arial" w:eastAsia="Arial" w:hAnsi="Arial"/>
                  <w:sz w:val="18"/>
                  <w:szCs w:val="18"/>
                  <w:color w:val="0000EE"/>
                  <w:w w:val="89"/>
                </w:rPr>
                <w:t>Condensed Consolidated Statements of Operations for the Three and Six Months Ended June 30, 2018 and 2017 (unaudited)</w:t>
              </w:r>
            </w:hyperlink>
          </w:p>
        </w:tc>
        <w:tc>
          <w:tcPr>
            <w:tcW w:w="1000" w:type="dxa"/>
            <w:vAlign w:val="bottom"/>
            <w:gridSpan w:val="2"/>
          </w:tcPr>
          <w:p>
            <w:pPr>
              <w:spacing w:after="0"/>
              <w:rPr>
                <w:sz w:val="17"/>
                <w:szCs w:val="17"/>
                <w:color w:val="auto"/>
              </w:rPr>
            </w:pPr>
          </w:p>
        </w:tc>
        <w:tc>
          <w:tcPr>
            <w:tcW w:w="380" w:type="dxa"/>
            <w:vAlign w:val="bottom"/>
          </w:tcPr>
          <w:p>
            <w:pPr>
              <w:jc w:val="right"/>
              <w:spacing w:after="0" w:line="196" w:lineRule="exact"/>
              <w:rPr>
                <w:sz w:val="20"/>
                <w:szCs w:val="20"/>
                <w:color w:val="auto"/>
              </w:rPr>
            </w:pPr>
            <w:r>
              <w:rPr>
                <w:rFonts w:ascii="Arial" w:cs="Arial" w:eastAsia="Arial" w:hAnsi="Arial"/>
                <w:sz w:val="18"/>
                <w:szCs w:val="18"/>
                <w:color w:val="auto"/>
              </w:rPr>
              <w:t>4</w:t>
            </w:r>
          </w:p>
        </w:tc>
        <w:tc>
          <w:tcPr>
            <w:tcW w:w="0" w:type="dxa"/>
            <w:vAlign w:val="bottom"/>
          </w:tcPr>
          <w:p>
            <w:pPr>
              <w:spacing w:after="0"/>
              <w:rPr>
                <w:sz w:val="1"/>
                <w:szCs w:val="1"/>
                <w:color w:val="auto"/>
              </w:rPr>
            </w:pPr>
          </w:p>
        </w:tc>
      </w:tr>
      <w:tr>
        <w:trPr>
          <w:trHeight w:val="196"/>
        </w:trPr>
        <w:tc>
          <w:tcPr>
            <w:tcW w:w="1000" w:type="dxa"/>
            <w:vAlign w:val="bottom"/>
          </w:tcPr>
          <w:p>
            <w:pPr>
              <w:spacing w:after="0"/>
              <w:rPr>
                <w:sz w:val="17"/>
                <w:szCs w:val="17"/>
                <w:color w:val="auto"/>
              </w:rPr>
            </w:pPr>
          </w:p>
        </w:tc>
        <w:tc>
          <w:tcPr>
            <w:tcW w:w="9040" w:type="dxa"/>
            <w:vAlign w:val="bottom"/>
            <w:tcBorders>
              <w:bottom w:val="single" w:sz="8" w:color="0000EE"/>
            </w:tcBorders>
            <w:gridSpan w:val="16"/>
          </w:tcPr>
          <w:p>
            <w:pPr>
              <w:spacing w:after="0" w:line="196" w:lineRule="exact"/>
              <w:rPr>
                <w:rFonts w:ascii="Arial" w:cs="Arial" w:eastAsia="Arial" w:hAnsi="Arial"/>
                <w:sz w:val="18"/>
                <w:szCs w:val="18"/>
                <w:color w:val="0000EE"/>
                <w:w w:val="89"/>
              </w:rPr>
            </w:pPr>
            <w:hyperlink w:anchor="page5">
              <w:r>
                <w:rPr>
                  <w:rFonts w:ascii="Arial" w:cs="Arial" w:eastAsia="Arial" w:hAnsi="Arial"/>
                  <w:sz w:val="18"/>
                  <w:szCs w:val="18"/>
                  <w:color w:val="0000EE"/>
                  <w:w w:val="89"/>
                </w:rPr>
                <w:t>Condensed Consolidated Statements of Cash Flows for the Three and Six Months Ended June 30, 2018 and 2017 (unaudited)</w:t>
              </w:r>
            </w:hyperlink>
          </w:p>
        </w:tc>
        <w:tc>
          <w:tcPr>
            <w:tcW w:w="940" w:type="dxa"/>
            <w:vAlign w:val="bottom"/>
          </w:tcPr>
          <w:p>
            <w:pPr>
              <w:spacing w:after="0"/>
              <w:rPr>
                <w:sz w:val="17"/>
                <w:szCs w:val="17"/>
                <w:color w:val="auto"/>
              </w:rPr>
            </w:pPr>
          </w:p>
        </w:tc>
        <w:tc>
          <w:tcPr>
            <w:tcW w:w="380" w:type="dxa"/>
            <w:vAlign w:val="bottom"/>
          </w:tcPr>
          <w:p>
            <w:pPr>
              <w:jc w:val="right"/>
              <w:spacing w:after="0" w:line="196" w:lineRule="exact"/>
              <w:rPr>
                <w:sz w:val="20"/>
                <w:szCs w:val="20"/>
                <w:color w:val="auto"/>
              </w:rPr>
            </w:pPr>
            <w:r>
              <w:rPr>
                <w:rFonts w:ascii="Arial" w:cs="Arial" w:eastAsia="Arial" w:hAnsi="Arial"/>
                <w:sz w:val="18"/>
                <w:szCs w:val="18"/>
                <w:color w:val="auto"/>
              </w:rPr>
              <w:t>5</w:t>
            </w:r>
          </w:p>
        </w:tc>
        <w:tc>
          <w:tcPr>
            <w:tcW w:w="0" w:type="dxa"/>
            <w:vAlign w:val="bottom"/>
          </w:tcPr>
          <w:p>
            <w:pPr>
              <w:spacing w:after="0"/>
              <w:rPr>
                <w:sz w:val="1"/>
                <w:szCs w:val="1"/>
                <w:color w:val="auto"/>
              </w:rPr>
            </w:pPr>
          </w:p>
        </w:tc>
      </w:tr>
      <w:tr>
        <w:trPr>
          <w:trHeight w:val="196"/>
        </w:trPr>
        <w:tc>
          <w:tcPr>
            <w:tcW w:w="1000" w:type="dxa"/>
            <w:vAlign w:val="bottom"/>
          </w:tcPr>
          <w:p>
            <w:pPr>
              <w:spacing w:after="0"/>
              <w:rPr>
                <w:sz w:val="17"/>
                <w:szCs w:val="17"/>
                <w:color w:val="auto"/>
              </w:rPr>
            </w:pPr>
          </w:p>
        </w:tc>
        <w:tc>
          <w:tcPr>
            <w:tcW w:w="4800" w:type="dxa"/>
            <w:vAlign w:val="bottom"/>
            <w:tcBorders>
              <w:bottom w:val="single" w:sz="8" w:color="0000EE"/>
            </w:tcBorders>
            <w:gridSpan w:val="11"/>
          </w:tcPr>
          <w:p>
            <w:pPr>
              <w:spacing w:after="0" w:line="196" w:lineRule="exact"/>
              <w:rPr>
                <w:rFonts w:ascii="Arial" w:cs="Arial" w:eastAsia="Arial" w:hAnsi="Arial"/>
                <w:sz w:val="18"/>
                <w:szCs w:val="18"/>
                <w:color w:val="0000EE"/>
                <w:w w:val="89"/>
              </w:rPr>
            </w:pPr>
            <w:hyperlink w:anchor="page6">
              <w:r>
                <w:rPr>
                  <w:rFonts w:ascii="Arial" w:cs="Arial" w:eastAsia="Arial" w:hAnsi="Arial"/>
                  <w:sz w:val="18"/>
                  <w:szCs w:val="18"/>
                  <w:color w:val="0000EE"/>
                  <w:w w:val="89"/>
                </w:rPr>
                <w:t>Notes to Unaudited Condensed Consolidated Financial Statements</w:t>
              </w:r>
            </w:hyperlink>
          </w:p>
        </w:tc>
        <w:tc>
          <w:tcPr>
            <w:tcW w:w="5180" w:type="dxa"/>
            <w:vAlign w:val="bottom"/>
            <w:gridSpan w:val="6"/>
          </w:tcPr>
          <w:p>
            <w:pPr>
              <w:spacing w:after="0"/>
              <w:rPr>
                <w:sz w:val="17"/>
                <w:szCs w:val="17"/>
                <w:color w:val="auto"/>
              </w:rPr>
            </w:pPr>
          </w:p>
        </w:tc>
        <w:tc>
          <w:tcPr>
            <w:tcW w:w="380" w:type="dxa"/>
            <w:vAlign w:val="bottom"/>
          </w:tcPr>
          <w:p>
            <w:pPr>
              <w:jc w:val="right"/>
              <w:spacing w:after="0" w:line="196" w:lineRule="exact"/>
              <w:rPr>
                <w:sz w:val="20"/>
                <w:szCs w:val="20"/>
                <w:color w:val="auto"/>
              </w:rPr>
            </w:pPr>
            <w:r>
              <w:rPr>
                <w:rFonts w:ascii="Arial" w:cs="Arial" w:eastAsia="Arial" w:hAnsi="Arial"/>
                <w:sz w:val="18"/>
                <w:szCs w:val="18"/>
                <w:color w:val="auto"/>
              </w:rPr>
              <w:t>6</w:t>
            </w:r>
          </w:p>
        </w:tc>
        <w:tc>
          <w:tcPr>
            <w:tcW w:w="0" w:type="dxa"/>
            <w:vAlign w:val="bottom"/>
          </w:tcPr>
          <w:p>
            <w:pPr>
              <w:spacing w:after="0"/>
              <w:rPr>
                <w:sz w:val="1"/>
                <w:szCs w:val="1"/>
                <w:color w:val="auto"/>
              </w:rPr>
            </w:pPr>
          </w:p>
        </w:tc>
      </w:tr>
      <w:tr>
        <w:trPr>
          <w:trHeight w:val="196"/>
        </w:trPr>
        <w:tc>
          <w:tcPr>
            <w:tcW w:w="1000" w:type="dxa"/>
            <w:vAlign w:val="bottom"/>
          </w:tcPr>
          <w:p>
            <w:pPr>
              <w:spacing w:after="0" w:line="196" w:lineRule="exact"/>
              <w:rPr>
                <w:sz w:val="20"/>
                <w:szCs w:val="20"/>
                <w:color w:val="auto"/>
              </w:rPr>
            </w:pPr>
            <w:r>
              <w:rPr>
                <w:rFonts w:ascii="Arial" w:cs="Arial" w:eastAsia="Arial" w:hAnsi="Arial"/>
                <w:sz w:val="18"/>
                <w:szCs w:val="18"/>
                <w:color w:val="auto"/>
              </w:rPr>
              <w:t>ITEM 2.</w:t>
            </w:r>
          </w:p>
        </w:tc>
        <w:tc>
          <w:tcPr>
            <w:tcW w:w="9980" w:type="dxa"/>
            <w:vAlign w:val="bottom"/>
            <w:gridSpan w:val="17"/>
          </w:tcPr>
          <w:p>
            <w:pPr>
              <w:spacing w:after="0" w:line="196" w:lineRule="exact"/>
              <w:rPr>
                <w:rFonts w:ascii="Arial" w:cs="Arial" w:eastAsia="Arial" w:hAnsi="Arial"/>
                <w:sz w:val="18"/>
                <w:szCs w:val="18"/>
                <w:color w:val="0000EE"/>
              </w:rPr>
            </w:pPr>
            <w:hyperlink w:anchor="page10">
              <w:r>
                <w:rPr>
                  <w:rFonts w:ascii="Arial" w:cs="Arial" w:eastAsia="Arial" w:hAnsi="Arial"/>
                  <w:sz w:val="18"/>
                  <w:szCs w:val="18"/>
                  <w:color w:val="0000EE"/>
                </w:rPr>
                <w:t>Management’s Discussion and Analysis of Financial Condition and Results of Operations</w:t>
              </w:r>
            </w:hyperlink>
          </w:p>
        </w:tc>
        <w:tc>
          <w:tcPr>
            <w:tcW w:w="380" w:type="dxa"/>
            <w:vAlign w:val="bottom"/>
          </w:tcPr>
          <w:p>
            <w:pPr>
              <w:jc w:val="right"/>
              <w:spacing w:after="0" w:line="196" w:lineRule="exact"/>
              <w:rPr>
                <w:sz w:val="20"/>
                <w:szCs w:val="20"/>
                <w:color w:val="auto"/>
              </w:rPr>
            </w:pPr>
            <w:r>
              <w:rPr>
                <w:rFonts w:ascii="Arial" w:cs="Arial" w:eastAsia="Arial" w:hAnsi="Arial"/>
                <w:sz w:val="18"/>
                <w:szCs w:val="18"/>
                <w:color w:val="auto"/>
              </w:rPr>
              <w:t>10</w:t>
            </w:r>
          </w:p>
        </w:tc>
        <w:tc>
          <w:tcPr>
            <w:tcW w:w="0" w:type="dxa"/>
            <w:vAlign w:val="bottom"/>
          </w:tcPr>
          <w:p>
            <w:pPr>
              <w:spacing w:after="0"/>
              <w:rPr>
                <w:sz w:val="1"/>
                <w:szCs w:val="1"/>
                <w:color w:val="auto"/>
              </w:rPr>
            </w:pPr>
          </w:p>
        </w:tc>
      </w:tr>
      <w:tr>
        <w:trPr>
          <w:trHeight w:val="196"/>
        </w:trPr>
        <w:tc>
          <w:tcPr>
            <w:tcW w:w="1000" w:type="dxa"/>
            <w:vAlign w:val="bottom"/>
          </w:tcPr>
          <w:p>
            <w:pPr>
              <w:spacing w:after="0" w:line="196" w:lineRule="exact"/>
              <w:rPr>
                <w:sz w:val="20"/>
                <w:szCs w:val="20"/>
                <w:color w:val="auto"/>
              </w:rPr>
            </w:pPr>
            <w:r>
              <w:rPr>
                <w:rFonts w:ascii="Arial" w:cs="Arial" w:eastAsia="Arial" w:hAnsi="Arial"/>
                <w:sz w:val="18"/>
                <w:szCs w:val="18"/>
                <w:color w:val="auto"/>
              </w:rPr>
              <w:t>ITEM 3.</w:t>
            </w:r>
          </w:p>
        </w:tc>
        <w:tc>
          <w:tcPr>
            <w:tcW w:w="4320" w:type="dxa"/>
            <w:vAlign w:val="bottom"/>
            <w:tcBorders>
              <w:top w:val="single" w:sz="8" w:color="0000EE"/>
              <w:bottom w:val="single" w:sz="8" w:color="0000EE"/>
            </w:tcBorders>
            <w:gridSpan w:val="9"/>
          </w:tcPr>
          <w:p>
            <w:pPr>
              <w:spacing w:after="0" w:line="196" w:lineRule="exact"/>
              <w:rPr>
                <w:rFonts w:ascii="Arial" w:cs="Arial" w:eastAsia="Arial" w:hAnsi="Arial"/>
                <w:sz w:val="18"/>
                <w:szCs w:val="18"/>
                <w:color w:val="0000EE"/>
                <w:w w:val="91"/>
              </w:rPr>
            </w:pPr>
            <w:hyperlink w:anchor="page18">
              <w:r>
                <w:rPr>
                  <w:rFonts w:ascii="Arial" w:cs="Arial" w:eastAsia="Arial" w:hAnsi="Arial"/>
                  <w:sz w:val="18"/>
                  <w:szCs w:val="18"/>
                  <w:color w:val="0000EE"/>
                  <w:w w:val="91"/>
                </w:rPr>
                <w:t>Quantitative and Qualitative Disclosures about Market Risk</w:t>
              </w:r>
            </w:hyperlink>
          </w:p>
        </w:tc>
        <w:tc>
          <w:tcPr>
            <w:tcW w:w="2140" w:type="dxa"/>
            <w:vAlign w:val="bottom"/>
            <w:tcBorders>
              <w:top w:val="single" w:sz="8" w:color="0000EE"/>
            </w:tcBorders>
            <w:gridSpan w:val="4"/>
          </w:tcPr>
          <w:p>
            <w:pPr>
              <w:spacing w:after="0"/>
              <w:rPr>
                <w:sz w:val="17"/>
                <w:szCs w:val="17"/>
                <w:color w:val="auto"/>
              </w:rPr>
            </w:pPr>
          </w:p>
        </w:tc>
        <w:tc>
          <w:tcPr>
            <w:tcW w:w="3520" w:type="dxa"/>
            <w:vAlign w:val="bottom"/>
            <w:gridSpan w:val="4"/>
          </w:tcPr>
          <w:p>
            <w:pPr>
              <w:spacing w:after="0"/>
              <w:rPr>
                <w:sz w:val="17"/>
                <w:szCs w:val="17"/>
                <w:color w:val="auto"/>
              </w:rPr>
            </w:pPr>
          </w:p>
        </w:tc>
        <w:tc>
          <w:tcPr>
            <w:tcW w:w="380" w:type="dxa"/>
            <w:vAlign w:val="bottom"/>
          </w:tcPr>
          <w:p>
            <w:pPr>
              <w:jc w:val="right"/>
              <w:spacing w:after="0" w:line="196" w:lineRule="exact"/>
              <w:rPr>
                <w:sz w:val="20"/>
                <w:szCs w:val="20"/>
                <w:color w:val="auto"/>
              </w:rPr>
            </w:pPr>
            <w:r>
              <w:rPr>
                <w:rFonts w:ascii="Arial" w:cs="Arial" w:eastAsia="Arial" w:hAnsi="Arial"/>
                <w:sz w:val="18"/>
                <w:szCs w:val="18"/>
                <w:color w:val="auto"/>
              </w:rPr>
              <w:t>18</w:t>
            </w:r>
          </w:p>
        </w:tc>
        <w:tc>
          <w:tcPr>
            <w:tcW w:w="0" w:type="dxa"/>
            <w:vAlign w:val="bottom"/>
          </w:tcPr>
          <w:p>
            <w:pPr>
              <w:spacing w:after="0"/>
              <w:rPr>
                <w:sz w:val="1"/>
                <w:szCs w:val="1"/>
                <w:color w:val="auto"/>
              </w:rPr>
            </w:pPr>
          </w:p>
        </w:tc>
      </w:tr>
      <w:tr>
        <w:trPr>
          <w:trHeight w:val="196"/>
        </w:trPr>
        <w:tc>
          <w:tcPr>
            <w:tcW w:w="1000" w:type="dxa"/>
            <w:vAlign w:val="bottom"/>
          </w:tcPr>
          <w:p>
            <w:pPr>
              <w:spacing w:after="0" w:line="196" w:lineRule="exact"/>
              <w:rPr>
                <w:sz w:val="20"/>
                <w:szCs w:val="20"/>
                <w:color w:val="auto"/>
              </w:rPr>
            </w:pPr>
            <w:r>
              <w:rPr>
                <w:rFonts w:ascii="Arial" w:cs="Arial" w:eastAsia="Arial" w:hAnsi="Arial"/>
                <w:sz w:val="18"/>
                <w:szCs w:val="18"/>
                <w:color w:val="auto"/>
              </w:rPr>
              <w:t>ITEM 4.</w:t>
            </w:r>
          </w:p>
        </w:tc>
        <w:tc>
          <w:tcPr>
            <w:tcW w:w="9980" w:type="dxa"/>
            <w:vAlign w:val="bottom"/>
            <w:gridSpan w:val="17"/>
          </w:tcPr>
          <w:p>
            <w:pPr>
              <w:spacing w:after="0" w:line="196" w:lineRule="exact"/>
              <w:rPr>
                <w:rFonts w:ascii="Arial" w:cs="Arial" w:eastAsia="Arial" w:hAnsi="Arial"/>
                <w:sz w:val="18"/>
                <w:szCs w:val="18"/>
                <w:color w:val="0000EE"/>
              </w:rPr>
            </w:pPr>
            <w:hyperlink w:anchor="page18">
              <w:r>
                <w:rPr>
                  <w:rFonts w:ascii="Arial" w:cs="Arial" w:eastAsia="Arial" w:hAnsi="Arial"/>
                  <w:sz w:val="18"/>
                  <w:szCs w:val="18"/>
                  <w:color w:val="0000EE"/>
                </w:rPr>
                <w:t>Controls and Procedures</w:t>
              </w:r>
            </w:hyperlink>
          </w:p>
        </w:tc>
        <w:tc>
          <w:tcPr>
            <w:tcW w:w="380" w:type="dxa"/>
            <w:vAlign w:val="bottom"/>
          </w:tcPr>
          <w:p>
            <w:pPr>
              <w:jc w:val="right"/>
              <w:spacing w:after="0" w:line="196" w:lineRule="exact"/>
              <w:rPr>
                <w:sz w:val="20"/>
                <w:szCs w:val="20"/>
                <w:color w:val="auto"/>
              </w:rPr>
            </w:pPr>
            <w:r>
              <w:rPr>
                <w:rFonts w:ascii="Arial" w:cs="Arial" w:eastAsia="Arial" w:hAnsi="Arial"/>
                <w:sz w:val="18"/>
                <w:szCs w:val="18"/>
                <w:color w:val="auto"/>
              </w:rPr>
              <w:t>18</w:t>
            </w:r>
          </w:p>
        </w:tc>
        <w:tc>
          <w:tcPr>
            <w:tcW w:w="0" w:type="dxa"/>
            <w:vAlign w:val="bottom"/>
          </w:tcPr>
          <w:p>
            <w:pPr>
              <w:spacing w:after="0"/>
              <w:rPr>
                <w:sz w:val="1"/>
                <w:szCs w:val="1"/>
                <w:color w:val="auto"/>
              </w:rPr>
            </w:pPr>
          </w:p>
        </w:tc>
      </w:tr>
      <w:tr>
        <w:trPr>
          <w:trHeight w:val="304"/>
        </w:trPr>
        <w:tc>
          <w:tcPr>
            <w:tcW w:w="1000" w:type="dxa"/>
            <w:vAlign w:val="bottom"/>
          </w:tcPr>
          <w:p>
            <w:pPr>
              <w:spacing w:after="0"/>
              <w:rPr>
                <w:sz w:val="24"/>
                <w:szCs w:val="24"/>
                <w:color w:val="auto"/>
              </w:rPr>
            </w:pPr>
          </w:p>
        </w:tc>
        <w:tc>
          <w:tcPr>
            <w:tcW w:w="100" w:type="dxa"/>
            <w:vAlign w:val="bottom"/>
            <w:tcBorders>
              <w:top w:val="single" w:sz="8" w:color="0000EE"/>
            </w:tcBorders>
          </w:tcPr>
          <w:p>
            <w:pPr>
              <w:spacing w:after="0"/>
              <w:rPr>
                <w:sz w:val="24"/>
                <w:szCs w:val="24"/>
                <w:color w:val="auto"/>
              </w:rPr>
            </w:pPr>
          </w:p>
        </w:tc>
        <w:tc>
          <w:tcPr>
            <w:tcW w:w="500" w:type="dxa"/>
            <w:vAlign w:val="bottom"/>
            <w:tcBorders>
              <w:top w:val="single" w:sz="8" w:color="0000EE"/>
            </w:tcBorders>
          </w:tcPr>
          <w:p>
            <w:pPr>
              <w:spacing w:after="0"/>
              <w:rPr>
                <w:sz w:val="24"/>
                <w:szCs w:val="24"/>
                <w:color w:val="auto"/>
              </w:rPr>
            </w:pPr>
          </w:p>
        </w:tc>
        <w:tc>
          <w:tcPr>
            <w:tcW w:w="320" w:type="dxa"/>
            <w:vAlign w:val="bottom"/>
            <w:tcBorders>
              <w:top w:val="single" w:sz="8" w:color="0000EE"/>
            </w:tcBorders>
          </w:tcPr>
          <w:p>
            <w:pPr>
              <w:spacing w:after="0"/>
              <w:rPr>
                <w:sz w:val="24"/>
                <w:szCs w:val="24"/>
                <w:color w:val="auto"/>
              </w:rPr>
            </w:pPr>
          </w:p>
        </w:tc>
        <w:tc>
          <w:tcPr>
            <w:tcW w:w="400" w:type="dxa"/>
            <w:vAlign w:val="bottom"/>
            <w:tcBorders>
              <w:top w:val="single" w:sz="8" w:color="0000EE"/>
            </w:tcBorders>
          </w:tcPr>
          <w:p>
            <w:pPr>
              <w:spacing w:after="0"/>
              <w:rPr>
                <w:sz w:val="24"/>
                <w:szCs w:val="24"/>
                <w:color w:val="auto"/>
              </w:rPr>
            </w:pPr>
          </w:p>
        </w:tc>
        <w:tc>
          <w:tcPr>
            <w:tcW w:w="20" w:type="dxa"/>
            <w:vAlign w:val="bottom"/>
            <w:tcBorders>
              <w:top w:val="single" w:sz="8" w:color="0000EE"/>
            </w:tcBorders>
          </w:tcPr>
          <w:p>
            <w:pPr>
              <w:spacing w:after="0"/>
              <w:rPr>
                <w:sz w:val="24"/>
                <w:szCs w:val="24"/>
                <w:color w:val="auto"/>
              </w:rPr>
            </w:pPr>
          </w:p>
        </w:tc>
        <w:tc>
          <w:tcPr>
            <w:tcW w:w="440" w:type="dxa"/>
            <w:vAlign w:val="bottom"/>
            <w:tcBorders>
              <w:top w:val="single" w:sz="8" w:color="0000EE"/>
            </w:tcBorders>
          </w:tcPr>
          <w:p>
            <w:pPr>
              <w:spacing w:after="0"/>
              <w:rPr>
                <w:sz w:val="24"/>
                <w:szCs w:val="24"/>
                <w:color w:val="auto"/>
              </w:rPr>
            </w:pPr>
          </w:p>
        </w:tc>
        <w:tc>
          <w:tcPr>
            <w:tcW w:w="56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2960" w:type="dxa"/>
            <w:vAlign w:val="bottom"/>
            <w:tcBorders>
              <w:bottom w:val="single" w:sz="8" w:color="0000EE"/>
            </w:tcBorders>
            <w:gridSpan w:val="4"/>
          </w:tcPr>
          <w:p>
            <w:pPr>
              <w:jc w:val="center"/>
              <w:spacing w:after="0"/>
              <w:rPr>
                <w:rFonts w:ascii="Arial" w:cs="Arial" w:eastAsia="Arial" w:hAnsi="Arial"/>
                <w:sz w:val="18"/>
                <w:szCs w:val="18"/>
                <w:b w:val="1"/>
                <w:bCs w:val="1"/>
                <w:color w:val="0000EE"/>
              </w:rPr>
            </w:pPr>
            <w:hyperlink w:anchor="page19">
              <w:r>
                <w:rPr>
                  <w:rFonts w:ascii="Arial" w:cs="Arial" w:eastAsia="Arial" w:hAnsi="Arial"/>
                  <w:sz w:val="18"/>
                  <w:szCs w:val="18"/>
                  <w:b w:val="1"/>
                  <w:bCs w:val="1"/>
                  <w:color w:val="0000EE"/>
                </w:rPr>
                <w:t>PART II — OTHER INFORMATION</w:t>
              </w:r>
            </w:hyperlink>
          </w:p>
        </w:tc>
        <w:tc>
          <w:tcPr>
            <w:tcW w:w="3620" w:type="dxa"/>
            <w:vAlign w:val="bottom"/>
            <w:gridSpan w:val="5"/>
          </w:tcPr>
          <w:p>
            <w:pPr>
              <w:spacing w:after="0"/>
              <w:rPr>
                <w:sz w:val="24"/>
                <w:szCs w:val="24"/>
                <w:color w:val="auto"/>
              </w:rPr>
            </w:pPr>
          </w:p>
        </w:tc>
        <w:tc>
          <w:tcPr>
            <w:tcW w:w="3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04"/>
        </w:trPr>
        <w:tc>
          <w:tcPr>
            <w:tcW w:w="1000" w:type="dxa"/>
            <w:vAlign w:val="bottom"/>
          </w:tcPr>
          <w:p>
            <w:pPr>
              <w:spacing w:after="0"/>
              <w:rPr>
                <w:sz w:val="20"/>
                <w:szCs w:val="20"/>
                <w:color w:val="auto"/>
              </w:rPr>
            </w:pPr>
            <w:r>
              <w:rPr>
                <w:rFonts w:ascii="Arial" w:cs="Arial" w:eastAsia="Arial" w:hAnsi="Arial"/>
                <w:sz w:val="18"/>
                <w:szCs w:val="18"/>
                <w:color w:val="auto"/>
              </w:rPr>
              <w:t>ITEM 1.</w:t>
            </w:r>
          </w:p>
        </w:tc>
        <w:tc>
          <w:tcPr>
            <w:tcW w:w="9980" w:type="dxa"/>
            <w:vAlign w:val="bottom"/>
            <w:gridSpan w:val="17"/>
          </w:tcPr>
          <w:p>
            <w:pPr>
              <w:spacing w:after="0"/>
              <w:rPr>
                <w:rFonts w:ascii="Arial" w:cs="Arial" w:eastAsia="Arial" w:hAnsi="Arial"/>
                <w:sz w:val="18"/>
                <w:szCs w:val="18"/>
                <w:color w:val="0000EE"/>
              </w:rPr>
            </w:pPr>
            <w:hyperlink w:anchor="page19">
              <w:r>
                <w:rPr>
                  <w:rFonts w:ascii="Arial" w:cs="Arial" w:eastAsia="Arial" w:hAnsi="Arial"/>
                  <w:sz w:val="18"/>
                  <w:szCs w:val="18"/>
                  <w:color w:val="0000EE"/>
                </w:rPr>
                <w:t>Legal Proceedings</w:t>
              </w:r>
            </w:hyperlink>
          </w:p>
        </w:tc>
        <w:tc>
          <w:tcPr>
            <w:tcW w:w="380" w:type="dxa"/>
            <w:vAlign w:val="bottom"/>
          </w:tcPr>
          <w:p>
            <w:pPr>
              <w:jc w:val="right"/>
              <w:spacing w:after="0"/>
              <w:rPr>
                <w:sz w:val="20"/>
                <w:szCs w:val="20"/>
                <w:color w:val="auto"/>
              </w:rPr>
            </w:pPr>
            <w:r>
              <w:rPr>
                <w:rFonts w:ascii="Arial" w:cs="Arial" w:eastAsia="Arial" w:hAnsi="Arial"/>
                <w:sz w:val="18"/>
                <w:szCs w:val="18"/>
                <w:color w:val="auto"/>
              </w:rPr>
              <w:t>19</w:t>
            </w:r>
          </w:p>
        </w:tc>
        <w:tc>
          <w:tcPr>
            <w:tcW w:w="0" w:type="dxa"/>
            <w:vAlign w:val="bottom"/>
          </w:tcPr>
          <w:p>
            <w:pPr>
              <w:spacing w:after="0"/>
              <w:rPr>
                <w:sz w:val="1"/>
                <w:szCs w:val="1"/>
                <w:color w:val="auto"/>
              </w:rPr>
            </w:pPr>
          </w:p>
        </w:tc>
      </w:tr>
      <w:tr>
        <w:trPr>
          <w:trHeight w:val="196"/>
        </w:trPr>
        <w:tc>
          <w:tcPr>
            <w:tcW w:w="1000" w:type="dxa"/>
            <w:vAlign w:val="bottom"/>
          </w:tcPr>
          <w:p>
            <w:pPr>
              <w:spacing w:after="0" w:line="196" w:lineRule="exact"/>
              <w:rPr>
                <w:sz w:val="20"/>
                <w:szCs w:val="20"/>
                <w:color w:val="auto"/>
              </w:rPr>
            </w:pPr>
            <w:r>
              <w:rPr>
                <w:rFonts w:ascii="Arial" w:cs="Arial" w:eastAsia="Arial" w:hAnsi="Arial"/>
                <w:sz w:val="18"/>
                <w:szCs w:val="18"/>
                <w:color w:val="auto"/>
              </w:rPr>
              <w:t>ITEM 1A.</w:t>
            </w:r>
          </w:p>
        </w:tc>
        <w:tc>
          <w:tcPr>
            <w:tcW w:w="920" w:type="dxa"/>
            <w:vAlign w:val="bottom"/>
            <w:tcBorders>
              <w:top w:val="single" w:sz="8" w:color="0000EE"/>
              <w:bottom w:val="single" w:sz="8" w:color="0000EE"/>
            </w:tcBorders>
            <w:gridSpan w:val="3"/>
          </w:tcPr>
          <w:p>
            <w:pPr>
              <w:spacing w:after="0" w:line="196" w:lineRule="exact"/>
              <w:rPr>
                <w:rFonts w:ascii="Arial" w:cs="Arial" w:eastAsia="Arial" w:hAnsi="Arial"/>
                <w:sz w:val="18"/>
                <w:szCs w:val="18"/>
                <w:color w:val="0000EE"/>
                <w:w w:val="89"/>
              </w:rPr>
            </w:pPr>
            <w:hyperlink w:anchor="page19">
              <w:r>
                <w:rPr>
                  <w:rFonts w:ascii="Arial" w:cs="Arial" w:eastAsia="Arial" w:hAnsi="Arial"/>
                  <w:sz w:val="18"/>
                  <w:szCs w:val="18"/>
                  <w:color w:val="0000EE"/>
                  <w:w w:val="89"/>
                </w:rPr>
                <w:t>Risk Factors</w:t>
              </w:r>
            </w:hyperlink>
          </w:p>
        </w:tc>
        <w:tc>
          <w:tcPr>
            <w:tcW w:w="420" w:type="dxa"/>
            <w:vAlign w:val="bottom"/>
            <w:tcBorders>
              <w:top w:val="single" w:sz="8" w:color="0000EE"/>
            </w:tcBorders>
            <w:gridSpan w:val="2"/>
          </w:tcPr>
          <w:p>
            <w:pPr>
              <w:spacing w:after="0"/>
              <w:rPr>
                <w:sz w:val="17"/>
                <w:szCs w:val="17"/>
                <w:color w:val="auto"/>
              </w:rPr>
            </w:pPr>
          </w:p>
        </w:tc>
        <w:tc>
          <w:tcPr>
            <w:tcW w:w="8640" w:type="dxa"/>
            <w:vAlign w:val="bottom"/>
            <w:gridSpan w:val="12"/>
          </w:tcPr>
          <w:p>
            <w:pPr>
              <w:spacing w:after="0"/>
              <w:rPr>
                <w:sz w:val="17"/>
                <w:szCs w:val="17"/>
                <w:color w:val="auto"/>
              </w:rPr>
            </w:pPr>
          </w:p>
        </w:tc>
        <w:tc>
          <w:tcPr>
            <w:tcW w:w="380" w:type="dxa"/>
            <w:vAlign w:val="bottom"/>
          </w:tcPr>
          <w:p>
            <w:pPr>
              <w:jc w:val="right"/>
              <w:spacing w:after="0" w:line="196" w:lineRule="exact"/>
              <w:rPr>
                <w:sz w:val="20"/>
                <w:szCs w:val="20"/>
                <w:color w:val="auto"/>
              </w:rPr>
            </w:pPr>
            <w:r>
              <w:rPr>
                <w:rFonts w:ascii="Arial" w:cs="Arial" w:eastAsia="Arial" w:hAnsi="Arial"/>
                <w:sz w:val="18"/>
                <w:szCs w:val="18"/>
                <w:color w:val="auto"/>
              </w:rPr>
              <w:t>19</w:t>
            </w:r>
          </w:p>
        </w:tc>
        <w:tc>
          <w:tcPr>
            <w:tcW w:w="0" w:type="dxa"/>
            <w:vAlign w:val="bottom"/>
          </w:tcPr>
          <w:p>
            <w:pPr>
              <w:spacing w:after="0"/>
              <w:rPr>
                <w:sz w:val="1"/>
                <w:szCs w:val="1"/>
                <w:color w:val="auto"/>
              </w:rPr>
            </w:pPr>
          </w:p>
        </w:tc>
      </w:tr>
      <w:tr>
        <w:trPr>
          <w:trHeight w:val="196"/>
        </w:trPr>
        <w:tc>
          <w:tcPr>
            <w:tcW w:w="1000" w:type="dxa"/>
            <w:vAlign w:val="bottom"/>
          </w:tcPr>
          <w:p>
            <w:pPr>
              <w:spacing w:after="0" w:line="196" w:lineRule="exact"/>
              <w:rPr>
                <w:sz w:val="20"/>
                <w:szCs w:val="20"/>
                <w:color w:val="auto"/>
              </w:rPr>
            </w:pPr>
            <w:r>
              <w:rPr>
                <w:rFonts w:ascii="Arial" w:cs="Arial" w:eastAsia="Arial" w:hAnsi="Arial"/>
                <w:sz w:val="18"/>
                <w:szCs w:val="18"/>
                <w:color w:val="auto"/>
              </w:rPr>
              <w:t>ITEM 2.</w:t>
            </w:r>
          </w:p>
        </w:tc>
        <w:tc>
          <w:tcPr>
            <w:tcW w:w="4360" w:type="dxa"/>
            <w:vAlign w:val="bottom"/>
            <w:tcBorders>
              <w:bottom w:val="single" w:sz="8" w:color="0000EE"/>
            </w:tcBorders>
            <w:gridSpan w:val="10"/>
          </w:tcPr>
          <w:p>
            <w:pPr>
              <w:spacing w:after="0" w:line="196" w:lineRule="exact"/>
              <w:rPr>
                <w:rFonts w:ascii="Arial" w:cs="Arial" w:eastAsia="Arial" w:hAnsi="Arial"/>
                <w:sz w:val="18"/>
                <w:szCs w:val="18"/>
                <w:color w:val="0000EE"/>
                <w:w w:val="89"/>
              </w:rPr>
            </w:pPr>
            <w:hyperlink w:anchor="page19">
              <w:r>
                <w:rPr>
                  <w:rFonts w:ascii="Arial" w:cs="Arial" w:eastAsia="Arial" w:hAnsi="Arial"/>
                  <w:sz w:val="18"/>
                  <w:szCs w:val="18"/>
                  <w:color w:val="0000EE"/>
                  <w:w w:val="89"/>
                </w:rPr>
                <w:t>Unregistered Sales of Equity Securities and Use of Proceeds</w:t>
              </w:r>
            </w:hyperlink>
          </w:p>
        </w:tc>
        <w:tc>
          <w:tcPr>
            <w:tcW w:w="5620" w:type="dxa"/>
            <w:vAlign w:val="bottom"/>
            <w:gridSpan w:val="7"/>
          </w:tcPr>
          <w:p>
            <w:pPr>
              <w:spacing w:after="0"/>
              <w:rPr>
                <w:sz w:val="17"/>
                <w:szCs w:val="17"/>
                <w:color w:val="auto"/>
              </w:rPr>
            </w:pPr>
          </w:p>
        </w:tc>
        <w:tc>
          <w:tcPr>
            <w:tcW w:w="380" w:type="dxa"/>
            <w:vAlign w:val="bottom"/>
          </w:tcPr>
          <w:p>
            <w:pPr>
              <w:jc w:val="right"/>
              <w:spacing w:after="0" w:line="196" w:lineRule="exact"/>
              <w:rPr>
                <w:sz w:val="20"/>
                <w:szCs w:val="20"/>
                <w:color w:val="auto"/>
              </w:rPr>
            </w:pPr>
            <w:r>
              <w:rPr>
                <w:rFonts w:ascii="Arial" w:cs="Arial" w:eastAsia="Arial" w:hAnsi="Arial"/>
                <w:sz w:val="18"/>
                <w:szCs w:val="18"/>
                <w:color w:val="auto"/>
              </w:rPr>
              <w:t>19</w:t>
            </w:r>
          </w:p>
        </w:tc>
        <w:tc>
          <w:tcPr>
            <w:tcW w:w="0" w:type="dxa"/>
            <w:vAlign w:val="bottom"/>
          </w:tcPr>
          <w:p>
            <w:pPr>
              <w:spacing w:after="0"/>
              <w:rPr>
                <w:sz w:val="1"/>
                <w:szCs w:val="1"/>
                <w:color w:val="auto"/>
              </w:rPr>
            </w:pPr>
          </w:p>
        </w:tc>
      </w:tr>
      <w:tr>
        <w:trPr>
          <w:trHeight w:val="196"/>
        </w:trPr>
        <w:tc>
          <w:tcPr>
            <w:tcW w:w="1000" w:type="dxa"/>
            <w:vAlign w:val="bottom"/>
          </w:tcPr>
          <w:p>
            <w:pPr>
              <w:spacing w:after="0" w:line="196" w:lineRule="exact"/>
              <w:rPr>
                <w:sz w:val="20"/>
                <w:szCs w:val="20"/>
                <w:color w:val="auto"/>
              </w:rPr>
            </w:pPr>
            <w:r>
              <w:rPr>
                <w:rFonts w:ascii="Arial" w:cs="Arial" w:eastAsia="Arial" w:hAnsi="Arial"/>
                <w:sz w:val="18"/>
                <w:szCs w:val="18"/>
                <w:color w:val="auto"/>
              </w:rPr>
              <w:t>ITEM 3.</w:t>
            </w:r>
          </w:p>
        </w:tc>
        <w:tc>
          <w:tcPr>
            <w:tcW w:w="2340" w:type="dxa"/>
            <w:vAlign w:val="bottom"/>
            <w:tcBorders>
              <w:bottom w:val="single" w:sz="8" w:color="0000EE"/>
            </w:tcBorders>
            <w:gridSpan w:val="7"/>
          </w:tcPr>
          <w:p>
            <w:pPr>
              <w:spacing w:after="0" w:line="196" w:lineRule="exact"/>
              <w:rPr>
                <w:rFonts w:ascii="Arial" w:cs="Arial" w:eastAsia="Arial" w:hAnsi="Arial"/>
                <w:sz w:val="18"/>
                <w:szCs w:val="18"/>
                <w:color w:val="0000EE"/>
                <w:w w:val="90"/>
              </w:rPr>
            </w:pPr>
            <w:hyperlink w:anchor="page19">
              <w:r>
                <w:rPr>
                  <w:rFonts w:ascii="Arial" w:cs="Arial" w:eastAsia="Arial" w:hAnsi="Arial"/>
                  <w:sz w:val="18"/>
                  <w:szCs w:val="18"/>
                  <w:color w:val="0000EE"/>
                  <w:w w:val="90"/>
                </w:rPr>
                <w:t>Defaults Upon Senior Securities</w:t>
              </w:r>
            </w:hyperlink>
          </w:p>
        </w:tc>
        <w:tc>
          <w:tcPr>
            <w:tcW w:w="7640" w:type="dxa"/>
            <w:vAlign w:val="bottom"/>
            <w:gridSpan w:val="10"/>
          </w:tcPr>
          <w:p>
            <w:pPr>
              <w:spacing w:after="0"/>
              <w:rPr>
                <w:sz w:val="17"/>
                <w:szCs w:val="17"/>
                <w:color w:val="auto"/>
              </w:rPr>
            </w:pPr>
          </w:p>
        </w:tc>
        <w:tc>
          <w:tcPr>
            <w:tcW w:w="380" w:type="dxa"/>
            <w:vAlign w:val="bottom"/>
          </w:tcPr>
          <w:p>
            <w:pPr>
              <w:jc w:val="right"/>
              <w:spacing w:after="0" w:line="196" w:lineRule="exact"/>
              <w:rPr>
                <w:sz w:val="20"/>
                <w:szCs w:val="20"/>
                <w:color w:val="auto"/>
              </w:rPr>
            </w:pPr>
            <w:r>
              <w:rPr>
                <w:rFonts w:ascii="Arial" w:cs="Arial" w:eastAsia="Arial" w:hAnsi="Arial"/>
                <w:sz w:val="18"/>
                <w:szCs w:val="18"/>
                <w:color w:val="auto"/>
              </w:rPr>
              <w:t>19</w:t>
            </w:r>
          </w:p>
        </w:tc>
        <w:tc>
          <w:tcPr>
            <w:tcW w:w="0" w:type="dxa"/>
            <w:vAlign w:val="bottom"/>
          </w:tcPr>
          <w:p>
            <w:pPr>
              <w:spacing w:after="0"/>
              <w:rPr>
                <w:sz w:val="1"/>
                <w:szCs w:val="1"/>
                <w:color w:val="auto"/>
              </w:rPr>
            </w:pPr>
          </w:p>
        </w:tc>
      </w:tr>
      <w:tr>
        <w:trPr>
          <w:trHeight w:val="196"/>
        </w:trPr>
        <w:tc>
          <w:tcPr>
            <w:tcW w:w="1000" w:type="dxa"/>
            <w:vAlign w:val="bottom"/>
          </w:tcPr>
          <w:p>
            <w:pPr>
              <w:spacing w:after="0" w:line="196" w:lineRule="exact"/>
              <w:rPr>
                <w:sz w:val="20"/>
                <w:szCs w:val="20"/>
                <w:color w:val="auto"/>
              </w:rPr>
            </w:pPr>
            <w:r>
              <w:rPr>
                <w:rFonts w:ascii="Arial" w:cs="Arial" w:eastAsia="Arial" w:hAnsi="Arial"/>
                <w:sz w:val="18"/>
                <w:szCs w:val="18"/>
                <w:color w:val="auto"/>
              </w:rPr>
              <w:t>ITEM 4.</w:t>
            </w:r>
          </w:p>
        </w:tc>
        <w:tc>
          <w:tcPr>
            <w:tcW w:w="1780" w:type="dxa"/>
            <w:vAlign w:val="bottom"/>
            <w:tcBorders>
              <w:bottom w:val="single" w:sz="8" w:color="0000EE"/>
            </w:tcBorders>
            <w:gridSpan w:val="6"/>
          </w:tcPr>
          <w:p>
            <w:pPr>
              <w:spacing w:after="0" w:line="196" w:lineRule="exact"/>
              <w:rPr>
                <w:rFonts w:ascii="Arial" w:cs="Arial" w:eastAsia="Arial" w:hAnsi="Arial"/>
                <w:sz w:val="18"/>
                <w:szCs w:val="18"/>
                <w:color w:val="0000EE"/>
                <w:w w:val="91"/>
              </w:rPr>
            </w:pPr>
            <w:hyperlink w:anchor="page19">
              <w:r>
                <w:rPr>
                  <w:rFonts w:ascii="Arial" w:cs="Arial" w:eastAsia="Arial" w:hAnsi="Arial"/>
                  <w:sz w:val="18"/>
                  <w:szCs w:val="18"/>
                  <w:color w:val="0000EE"/>
                  <w:w w:val="91"/>
                </w:rPr>
                <w:t>Mine Safety Disclosures</w:t>
              </w:r>
            </w:hyperlink>
          </w:p>
        </w:tc>
        <w:tc>
          <w:tcPr>
            <w:tcW w:w="8200" w:type="dxa"/>
            <w:vAlign w:val="bottom"/>
            <w:gridSpan w:val="11"/>
          </w:tcPr>
          <w:p>
            <w:pPr>
              <w:spacing w:after="0"/>
              <w:rPr>
                <w:sz w:val="17"/>
                <w:szCs w:val="17"/>
                <w:color w:val="auto"/>
              </w:rPr>
            </w:pPr>
          </w:p>
        </w:tc>
        <w:tc>
          <w:tcPr>
            <w:tcW w:w="380" w:type="dxa"/>
            <w:vAlign w:val="bottom"/>
          </w:tcPr>
          <w:p>
            <w:pPr>
              <w:jc w:val="right"/>
              <w:spacing w:after="0" w:line="196" w:lineRule="exact"/>
              <w:rPr>
                <w:sz w:val="20"/>
                <w:szCs w:val="20"/>
                <w:color w:val="auto"/>
              </w:rPr>
            </w:pPr>
            <w:r>
              <w:rPr>
                <w:rFonts w:ascii="Arial" w:cs="Arial" w:eastAsia="Arial" w:hAnsi="Arial"/>
                <w:sz w:val="18"/>
                <w:szCs w:val="18"/>
                <w:color w:val="auto"/>
              </w:rPr>
              <w:t>19</w:t>
            </w:r>
          </w:p>
        </w:tc>
        <w:tc>
          <w:tcPr>
            <w:tcW w:w="0" w:type="dxa"/>
            <w:vAlign w:val="bottom"/>
          </w:tcPr>
          <w:p>
            <w:pPr>
              <w:spacing w:after="0"/>
              <w:rPr>
                <w:sz w:val="1"/>
                <w:szCs w:val="1"/>
                <w:color w:val="auto"/>
              </w:rPr>
            </w:pPr>
          </w:p>
        </w:tc>
      </w:tr>
      <w:tr>
        <w:trPr>
          <w:trHeight w:val="196"/>
        </w:trPr>
        <w:tc>
          <w:tcPr>
            <w:tcW w:w="1000" w:type="dxa"/>
            <w:vAlign w:val="bottom"/>
          </w:tcPr>
          <w:p>
            <w:pPr>
              <w:spacing w:after="0" w:line="196" w:lineRule="exact"/>
              <w:rPr>
                <w:sz w:val="20"/>
                <w:szCs w:val="20"/>
                <w:color w:val="auto"/>
              </w:rPr>
            </w:pPr>
            <w:r>
              <w:rPr>
                <w:rFonts w:ascii="Arial" w:cs="Arial" w:eastAsia="Arial" w:hAnsi="Arial"/>
                <w:sz w:val="18"/>
                <w:szCs w:val="18"/>
                <w:color w:val="auto"/>
              </w:rPr>
              <w:t>ITEM 5.</w:t>
            </w:r>
          </w:p>
        </w:tc>
        <w:tc>
          <w:tcPr>
            <w:tcW w:w="9980" w:type="dxa"/>
            <w:vAlign w:val="bottom"/>
            <w:gridSpan w:val="17"/>
          </w:tcPr>
          <w:p>
            <w:pPr>
              <w:spacing w:after="0" w:line="196" w:lineRule="exact"/>
              <w:rPr>
                <w:rFonts w:ascii="Arial" w:cs="Arial" w:eastAsia="Arial" w:hAnsi="Arial"/>
                <w:sz w:val="18"/>
                <w:szCs w:val="18"/>
                <w:color w:val="0000EE"/>
              </w:rPr>
            </w:pPr>
            <w:hyperlink w:anchor="page19">
              <w:r>
                <w:rPr>
                  <w:rFonts w:ascii="Arial" w:cs="Arial" w:eastAsia="Arial" w:hAnsi="Arial"/>
                  <w:sz w:val="18"/>
                  <w:szCs w:val="18"/>
                  <w:color w:val="0000EE"/>
                </w:rPr>
                <w:t>Other Information</w:t>
              </w:r>
            </w:hyperlink>
          </w:p>
        </w:tc>
        <w:tc>
          <w:tcPr>
            <w:tcW w:w="380" w:type="dxa"/>
            <w:vAlign w:val="bottom"/>
          </w:tcPr>
          <w:p>
            <w:pPr>
              <w:jc w:val="right"/>
              <w:spacing w:after="0" w:line="196" w:lineRule="exact"/>
              <w:rPr>
                <w:sz w:val="20"/>
                <w:szCs w:val="20"/>
                <w:color w:val="auto"/>
              </w:rPr>
            </w:pPr>
            <w:r>
              <w:rPr>
                <w:rFonts w:ascii="Arial" w:cs="Arial" w:eastAsia="Arial" w:hAnsi="Arial"/>
                <w:sz w:val="18"/>
                <w:szCs w:val="18"/>
                <w:color w:val="auto"/>
              </w:rPr>
              <w:t>19</w:t>
            </w:r>
          </w:p>
        </w:tc>
        <w:tc>
          <w:tcPr>
            <w:tcW w:w="0" w:type="dxa"/>
            <w:vAlign w:val="bottom"/>
          </w:tcPr>
          <w:p>
            <w:pPr>
              <w:spacing w:after="0"/>
              <w:rPr>
                <w:sz w:val="1"/>
                <w:szCs w:val="1"/>
                <w:color w:val="auto"/>
              </w:rPr>
            </w:pPr>
          </w:p>
        </w:tc>
      </w:tr>
      <w:tr>
        <w:trPr>
          <w:trHeight w:val="196"/>
        </w:trPr>
        <w:tc>
          <w:tcPr>
            <w:tcW w:w="1000" w:type="dxa"/>
            <w:vAlign w:val="bottom"/>
          </w:tcPr>
          <w:p>
            <w:pPr>
              <w:spacing w:after="0" w:line="196" w:lineRule="exact"/>
              <w:rPr>
                <w:sz w:val="20"/>
                <w:szCs w:val="20"/>
                <w:color w:val="auto"/>
              </w:rPr>
            </w:pPr>
            <w:r>
              <w:rPr>
                <w:rFonts w:ascii="Arial" w:cs="Arial" w:eastAsia="Arial" w:hAnsi="Arial"/>
                <w:sz w:val="18"/>
                <w:szCs w:val="18"/>
                <w:color w:val="auto"/>
              </w:rPr>
              <w:t>ITEM 6.</w:t>
            </w:r>
          </w:p>
        </w:tc>
        <w:tc>
          <w:tcPr>
            <w:tcW w:w="1320" w:type="dxa"/>
            <w:vAlign w:val="bottom"/>
            <w:tcBorders>
              <w:top w:val="single" w:sz="8" w:color="0000EE"/>
            </w:tcBorders>
            <w:gridSpan w:val="4"/>
          </w:tcPr>
          <w:p>
            <w:pPr>
              <w:spacing w:after="0" w:line="196" w:lineRule="exact"/>
              <w:rPr>
                <w:rFonts w:ascii="Arial" w:cs="Arial" w:eastAsia="Arial" w:hAnsi="Arial"/>
                <w:sz w:val="18"/>
                <w:szCs w:val="18"/>
                <w:color w:val="0000EE"/>
              </w:rPr>
            </w:pPr>
            <w:hyperlink w:anchor="page19">
              <w:r>
                <w:rPr>
                  <w:rFonts w:ascii="Arial" w:cs="Arial" w:eastAsia="Arial" w:hAnsi="Arial"/>
                  <w:sz w:val="18"/>
                  <w:szCs w:val="18"/>
                  <w:color w:val="0000EE"/>
                </w:rPr>
                <w:t>Exhibits</w:t>
              </w:r>
            </w:hyperlink>
          </w:p>
        </w:tc>
        <w:tc>
          <w:tcPr>
            <w:tcW w:w="8660" w:type="dxa"/>
            <w:vAlign w:val="bottom"/>
            <w:gridSpan w:val="13"/>
          </w:tcPr>
          <w:p>
            <w:pPr>
              <w:spacing w:after="0"/>
              <w:rPr>
                <w:sz w:val="17"/>
                <w:szCs w:val="17"/>
                <w:color w:val="auto"/>
              </w:rPr>
            </w:pPr>
          </w:p>
        </w:tc>
        <w:tc>
          <w:tcPr>
            <w:tcW w:w="380" w:type="dxa"/>
            <w:vAlign w:val="bottom"/>
          </w:tcPr>
          <w:p>
            <w:pPr>
              <w:jc w:val="right"/>
              <w:spacing w:after="0" w:line="196" w:lineRule="exact"/>
              <w:rPr>
                <w:sz w:val="20"/>
                <w:szCs w:val="20"/>
                <w:color w:val="auto"/>
              </w:rPr>
            </w:pPr>
            <w:r>
              <w:rPr>
                <w:rFonts w:ascii="Arial" w:cs="Arial" w:eastAsia="Arial" w:hAnsi="Arial"/>
                <w:sz w:val="18"/>
                <w:szCs w:val="18"/>
                <w:color w:val="auto"/>
              </w:rPr>
              <w:t>19</w:t>
            </w:r>
          </w:p>
        </w:tc>
        <w:tc>
          <w:tcPr>
            <w:tcW w:w="0" w:type="dxa"/>
            <w:vAlign w:val="bottom"/>
          </w:tcPr>
          <w:p>
            <w:pPr>
              <w:spacing w:after="0"/>
              <w:rPr>
                <w:sz w:val="1"/>
                <w:szCs w:val="1"/>
                <w:color w:val="auto"/>
              </w:rPr>
            </w:pPr>
          </w:p>
        </w:tc>
      </w:tr>
      <w:tr>
        <w:trPr>
          <w:trHeight w:val="20"/>
        </w:trPr>
        <w:tc>
          <w:tcPr>
            <w:tcW w:w="1000" w:type="dxa"/>
            <w:vAlign w:val="bottom"/>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500" w:type="dxa"/>
            <w:vAlign w:val="bottom"/>
            <w:shd w:val="clear" w:color="auto" w:fill="0000EE"/>
          </w:tcPr>
          <w:p>
            <w:pPr>
              <w:spacing w:after="0" w:line="20" w:lineRule="exact"/>
              <w:rPr>
                <w:sz w:val="1"/>
                <w:szCs w:val="1"/>
                <w:color w:val="auto"/>
              </w:rPr>
            </w:pPr>
          </w:p>
        </w:tc>
        <w:tc>
          <w:tcPr>
            <w:tcW w:w="9380" w:type="dxa"/>
            <w:vAlign w:val="bottom"/>
            <w:gridSpan w:val="15"/>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10980" w:type="dxa"/>
            <w:vAlign w:val="bottom"/>
            <w:gridSpan w:val="18"/>
          </w:tcPr>
          <w:p>
            <w:pPr>
              <w:spacing w:after="0" w:line="196" w:lineRule="exact"/>
              <w:rPr>
                <w:rFonts w:ascii="Arial" w:cs="Arial" w:eastAsia="Arial" w:hAnsi="Arial"/>
                <w:sz w:val="18"/>
                <w:szCs w:val="18"/>
                <w:color w:val="0000EE"/>
              </w:rPr>
            </w:pPr>
            <w:hyperlink w:anchor="page20">
              <w:r>
                <w:rPr>
                  <w:rFonts w:ascii="Arial" w:cs="Arial" w:eastAsia="Arial" w:hAnsi="Arial"/>
                  <w:sz w:val="18"/>
                  <w:szCs w:val="18"/>
                  <w:color w:val="0000EE"/>
                </w:rPr>
                <w:t>SIGNATURES</w:t>
              </w:r>
            </w:hyperlink>
          </w:p>
        </w:tc>
        <w:tc>
          <w:tcPr>
            <w:tcW w:w="380" w:type="dxa"/>
            <w:vAlign w:val="bottom"/>
          </w:tcPr>
          <w:p>
            <w:pPr>
              <w:jc w:val="right"/>
              <w:spacing w:after="0" w:line="196" w:lineRule="exact"/>
              <w:rPr>
                <w:sz w:val="20"/>
                <w:szCs w:val="20"/>
                <w:color w:val="auto"/>
              </w:rPr>
            </w:pPr>
            <w:r>
              <w:rPr>
                <w:rFonts w:ascii="Arial" w:cs="Arial" w:eastAsia="Arial" w:hAnsi="Arial"/>
                <w:sz w:val="18"/>
                <w:szCs w:val="18"/>
                <w:color w:val="auto"/>
              </w:rPr>
              <w:t>20</w:t>
            </w:r>
          </w:p>
        </w:tc>
        <w:tc>
          <w:tcPr>
            <w:tcW w:w="0" w:type="dxa"/>
            <w:vAlign w:val="bottom"/>
          </w:tcPr>
          <w:p>
            <w:pPr>
              <w:spacing w:after="0"/>
              <w:rPr>
                <w:sz w:val="1"/>
                <w:szCs w:val="1"/>
                <w:color w:val="auto"/>
              </w:rPr>
            </w:pPr>
          </w:p>
        </w:tc>
      </w:tr>
      <w:tr>
        <w:trPr>
          <w:trHeight w:val="385"/>
        </w:trPr>
        <w:tc>
          <w:tcPr>
            <w:tcW w:w="1000" w:type="dxa"/>
            <w:vAlign w:val="bottom"/>
            <w:tcBorders>
              <w:top w:val="single" w:sz="8" w:color="0000EE"/>
            </w:tcBorders>
          </w:tcPr>
          <w:p>
            <w:pPr>
              <w:spacing w:after="0"/>
              <w:rPr>
                <w:sz w:val="24"/>
                <w:szCs w:val="24"/>
                <w:color w:val="auto"/>
              </w:rPr>
            </w:pPr>
          </w:p>
        </w:tc>
        <w:tc>
          <w:tcPr>
            <w:tcW w:w="100" w:type="dxa"/>
            <w:vAlign w:val="bottom"/>
            <w:tcBorders>
              <w:top w:val="single" w:sz="8" w:color="0000EE"/>
            </w:tcBorders>
          </w:tcPr>
          <w:p>
            <w:pPr>
              <w:spacing w:after="0"/>
              <w:rPr>
                <w:sz w:val="24"/>
                <w:szCs w:val="24"/>
                <w:color w:val="auto"/>
              </w:rPr>
            </w:pPr>
          </w:p>
        </w:tc>
        <w:tc>
          <w:tcPr>
            <w:tcW w:w="4700" w:type="dxa"/>
            <w:vAlign w:val="bottom"/>
            <w:gridSpan w:val="10"/>
          </w:tcPr>
          <w:p>
            <w:pPr>
              <w:jc w:val="right"/>
              <w:ind w:right="40"/>
              <w:spacing w:after="0"/>
              <w:rPr>
                <w:sz w:val="20"/>
                <w:szCs w:val="20"/>
                <w:color w:val="auto"/>
              </w:rPr>
            </w:pPr>
            <w:r>
              <w:rPr>
                <w:rFonts w:ascii="Arial" w:cs="Arial" w:eastAsia="Arial" w:hAnsi="Arial"/>
                <w:sz w:val="18"/>
                <w:szCs w:val="18"/>
                <w:color w:val="auto"/>
              </w:rPr>
              <w:t>2</w:t>
            </w:r>
          </w:p>
        </w:tc>
        <w:tc>
          <w:tcPr>
            <w:tcW w:w="15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19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360"/>
          </w:cols>
          <w:pgMar w:left="240" w:top="459" w:right="299" w:bottom="1440" w:gutter="0" w:footer="0" w:header="0"/>
        </w:sectPr>
      </w:pPr>
    </w:p>
    <w:bookmarkStart w:id="2" w:name="page3"/>
    <w:bookmarkEnd w:id="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GALECTIN THERAPEUTICS INC.</w:t>
      </w:r>
    </w:p>
    <w:p>
      <w:pPr>
        <w:spacing w:after="0" w:line="2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CONDENSED CONSOLIDATED BALANCE SHEETS (UNAUDITED)</w:t>
      </w:r>
    </w:p>
    <w:p>
      <w:pPr>
        <w:spacing w:after="0" w:line="217"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91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180" w:type="dxa"/>
            <w:vAlign w:val="bottom"/>
            <w:gridSpan w:val="2"/>
          </w:tcPr>
          <w:p>
            <w:pPr>
              <w:jc w:val="right"/>
              <w:ind w:right="640"/>
              <w:spacing w:after="0"/>
              <w:rPr>
                <w:sz w:val="20"/>
                <w:szCs w:val="20"/>
                <w:color w:val="auto"/>
              </w:rPr>
            </w:pPr>
            <w:r>
              <w:rPr>
                <w:rFonts w:ascii="Arial" w:cs="Arial" w:eastAsia="Arial" w:hAnsi="Arial"/>
                <w:sz w:val="14"/>
                <w:szCs w:val="14"/>
                <w:b w:val="1"/>
                <w:bCs w:val="1"/>
                <w:color w:val="auto"/>
                <w:w w:val="92"/>
              </w:rPr>
              <w:t>June 30,</w:t>
            </w:r>
          </w:p>
        </w:tc>
        <w:tc>
          <w:tcPr>
            <w:tcW w:w="940" w:type="dxa"/>
            <w:vAlign w:val="bottom"/>
            <w:gridSpan w:val="3"/>
          </w:tcPr>
          <w:p>
            <w:pPr>
              <w:spacing w:after="0"/>
              <w:rPr>
                <w:sz w:val="20"/>
                <w:szCs w:val="20"/>
                <w:color w:val="auto"/>
              </w:rPr>
            </w:pPr>
            <w:r>
              <w:rPr>
                <w:rFonts w:ascii="Arial" w:cs="Arial" w:eastAsia="Arial" w:hAnsi="Arial"/>
                <w:sz w:val="14"/>
                <w:szCs w:val="14"/>
                <w:b w:val="1"/>
                <w:bCs w:val="1"/>
                <w:color w:val="auto"/>
              </w:rPr>
              <w:t>December 31,</w:t>
            </w:r>
          </w:p>
        </w:tc>
        <w:tc>
          <w:tcPr>
            <w:tcW w:w="0" w:type="dxa"/>
            <w:vAlign w:val="bottom"/>
          </w:tcPr>
          <w:p>
            <w:pPr>
              <w:spacing w:after="0"/>
              <w:rPr>
                <w:sz w:val="1"/>
                <w:szCs w:val="1"/>
                <w:color w:val="auto"/>
              </w:rPr>
            </w:pPr>
          </w:p>
        </w:tc>
      </w:tr>
      <w:tr>
        <w:trPr>
          <w:trHeight w:val="171"/>
        </w:trPr>
        <w:tc>
          <w:tcPr>
            <w:tcW w:w="20" w:type="dxa"/>
            <w:vAlign w:val="bottom"/>
          </w:tcPr>
          <w:p>
            <w:pPr>
              <w:spacing w:after="0"/>
              <w:rPr>
                <w:sz w:val="14"/>
                <w:szCs w:val="14"/>
                <w:color w:val="auto"/>
              </w:rPr>
            </w:pPr>
          </w:p>
        </w:tc>
        <w:tc>
          <w:tcPr>
            <w:tcW w:w="9180" w:type="dxa"/>
            <w:vAlign w:val="bottom"/>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640" w:type="dxa"/>
            <w:vAlign w:val="bottom"/>
            <w:tcBorders>
              <w:bottom w:val="single" w:sz="8" w:color="auto"/>
            </w:tcBorders>
          </w:tcPr>
          <w:p>
            <w:pPr>
              <w:jc w:val="right"/>
              <w:ind w:right="132"/>
              <w:spacing w:after="0"/>
              <w:rPr>
                <w:sz w:val="20"/>
                <w:szCs w:val="20"/>
                <w:color w:val="auto"/>
              </w:rPr>
            </w:pPr>
            <w:r>
              <w:rPr>
                <w:rFonts w:ascii="Arial" w:cs="Arial" w:eastAsia="Arial" w:hAnsi="Arial"/>
                <w:sz w:val="14"/>
                <w:szCs w:val="14"/>
                <w:b w:val="1"/>
                <w:bCs w:val="1"/>
                <w:color w:val="auto"/>
              </w:rPr>
              <w:t>2018</w:t>
            </w:r>
          </w:p>
        </w:tc>
        <w:tc>
          <w:tcPr>
            <w:tcW w:w="540" w:type="dxa"/>
            <w:vAlign w:val="bottom"/>
            <w:tcBorders>
              <w:bottom w:val="single" w:sz="8" w:color="auto"/>
            </w:tcBorders>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700" w:type="dxa"/>
            <w:vAlign w:val="bottom"/>
            <w:tcBorders>
              <w:bottom w:val="single" w:sz="8" w:color="auto"/>
            </w:tcBorders>
          </w:tcPr>
          <w:p>
            <w:pPr>
              <w:jc w:val="right"/>
              <w:ind w:right="191"/>
              <w:spacing w:after="0"/>
              <w:rPr>
                <w:sz w:val="20"/>
                <w:szCs w:val="20"/>
                <w:color w:val="auto"/>
              </w:rPr>
            </w:pPr>
            <w:r>
              <w:rPr>
                <w:rFonts w:ascii="Arial" w:cs="Arial" w:eastAsia="Arial" w:hAnsi="Arial"/>
                <w:sz w:val="14"/>
                <w:szCs w:val="14"/>
                <w:b w:val="1"/>
                <w:bCs w:val="1"/>
                <w:color w:val="auto"/>
              </w:rPr>
              <w:t>2017</w:t>
            </w: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91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020" w:type="dxa"/>
            <w:vAlign w:val="bottom"/>
            <w:gridSpan w:val="4"/>
          </w:tcPr>
          <w:p>
            <w:pPr>
              <w:jc w:val="right"/>
              <w:ind w:right="531"/>
              <w:spacing w:after="0" w:line="142" w:lineRule="exact"/>
              <w:rPr>
                <w:sz w:val="20"/>
                <w:szCs w:val="20"/>
                <w:color w:val="auto"/>
              </w:rPr>
            </w:pPr>
            <w:r>
              <w:rPr>
                <w:rFonts w:ascii="Arial" w:cs="Arial" w:eastAsia="Arial" w:hAnsi="Arial"/>
                <w:sz w:val="14"/>
                <w:szCs w:val="14"/>
                <w:b w:val="1"/>
                <w:bCs w:val="1"/>
                <w:color w:val="auto"/>
              </w:rPr>
              <w:t>(in thousands)</w:t>
            </w: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18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ASSETS</w:t>
            </w:r>
          </w:p>
        </w:tc>
        <w:tc>
          <w:tcPr>
            <w:tcW w:w="10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180" w:type="dxa"/>
            <w:vAlign w:val="bottom"/>
          </w:tcPr>
          <w:p>
            <w:pPr>
              <w:spacing w:after="0"/>
              <w:rPr>
                <w:sz w:val="20"/>
                <w:szCs w:val="20"/>
                <w:color w:val="auto"/>
              </w:rPr>
            </w:pPr>
            <w:r>
              <w:rPr>
                <w:rFonts w:ascii="Arial" w:cs="Arial" w:eastAsia="Arial" w:hAnsi="Arial"/>
                <w:sz w:val="18"/>
                <w:szCs w:val="18"/>
                <w:color w:val="auto"/>
              </w:rPr>
              <w:t>Current assets:</w:t>
            </w:r>
          </w:p>
        </w:tc>
        <w:tc>
          <w:tcPr>
            <w:tcW w:w="10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180" w:type="dxa"/>
            <w:vAlign w:val="bottom"/>
            <w:shd w:val="clear" w:color="auto" w:fill="CCEEFF"/>
          </w:tcPr>
          <w:p>
            <w:pPr>
              <w:spacing w:after="0"/>
              <w:rPr>
                <w:sz w:val="20"/>
                <w:szCs w:val="20"/>
                <w:color w:val="auto"/>
              </w:rPr>
            </w:pPr>
            <w:r>
              <w:rPr>
                <w:rFonts w:ascii="Arial" w:cs="Arial" w:eastAsia="Arial" w:hAnsi="Arial"/>
                <w:sz w:val="18"/>
                <w:szCs w:val="18"/>
                <w:color w:val="auto"/>
              </w:rPr>
              <w:t>Cash and cash equivalents</w:t>
            </w: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180" w:type="dxa"/>
            <w:vAlign w:val="bottom"/>
            <w:gridSpan w:val="2"/>
            <w:shd w:val="clear" w:color="auto" w:fill="CCEEFF"/>
          </w:tcPr>
          <w:p>
            <w:pPr>
              <w:jc w:val="right"/>
              <w:ind w:right="540"/>
              <w:spacing w:after="0"/>
              <w:rPr>
                <w:sz w:val="20"/>
                <w:szCs w:val="20"/>
                <w:color w:val="auto"/>
              </w:rPr>
            </w:pPr>
            <w:r>
              <w:rPr>
                <w:rFonts w:ascii="Arial" w:cs="Arial" w:eastAsia="Arial" w:hAnsi="Arial"/>
                <w:sz w:val="18"/>
                <w:szCs w:val="18"/>
                <w:color w:val="auto"/>
              </w:rPr>
              <w:t>10,497</w:t>
            </w:r>
          </w:p>
        </w:tc>
        <w:tc>
          <w:tcPr>
            <w:tcW w:w="14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8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3,053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180" w:type="dxa"/>
            <w:vAlign w:val="bottom"/>
          </w:tcPr>
          <w:p>
            <w:pPr>
              <w:spacing w:after="0"/>
              <w:rPr>
                <w:sz w:val="20"/>
                <w:szCs w:val="20"/>
                <w:color w:val="auto"/>
              </w:rPr>
            </w:pPr>
            <w:r>
              <w:rPr>
                <w:rFonts w:ascii="Arial" w:cs="Arial" w:eastAsia="Arial" w:hAnsi="Arial"/>
                <w:sz w:val="18"/>
                <w:szCs w:val="18"/>
                <w:color w:val="auto"/>
              </w:rPr>
              <w:t>Prepaid expenses and other current assets</w:t>
            </w:r>
          </w:p>
        </w:tc>
        <w:tc>
          <w:tcPr>
            <w:tcW w:w="100" w:type="dxa"/>
            <w:vAlign w:val="bottom"/>
          </w:tcPr>
          <w:p>
            <w:pPr>
              <w:spacing w:after="0"/>
              <w:rPr>
                <w:sz w:val="18"/>
                <w:szCs w:val="18"/>
                <w:color w:val="auto"/>
              </w:rPr>
            </w:pPr>
          </w:p>
        </w:tc>
        <w:tc>
          <w:tcPr>
            <w:tcW w:w="1180" w:type="dxa"/>
            <w:vAlign w:val="bottom"/>
            <w:gridSpan w:val="2"/>
          </w:tcPr>
          <w:p>
            <w:pPr>
              <w:jc w:val="right"/>
              <w:ind w:right="540"/>
              <w:spacing w:after="0"/>
              <w:rPr>
                <w:sz w:val="20"/>
                <w:szCs w:val="20"/>
                <w:color w:val="auto"/>
              </w:rPr>
            </w:pPr>
            <w:r>
              <w:rPr>
                <w:rFonts w:ascii="Arial" w:cs="Arial" w:eastAsia="Arial" w:hAnsi="Arial"/>
                <w:sz w:val="18"/>
                <w:szCs w:val="18"/>
                <w:color w:val="auto"/>
              </w:rPr>
              <w:t>541</w:t>
            </w:r>
          </w:p>
        </w:tc>
        <w:tc>
          <w:tcPr>
            <w:tcW w:w="140" w:type="dxa"/>
            <w:vAlign w:val="bottom"/>
          </w:tcPr>
          <w:p>
            <w:pPr>
              <w:spacing w:after="0"/>
              <w:rPr>
                <w:sz w:val="18"/>
                <w:szCs w:val="18"/>
                <w:color w:val="auto"/>
              </w:rPr>
            </w:pPr>
          </w:p>
        </w:tc>
        <w:tc>
          <w:tcPr>
            <w:tcW w:w="800" w:type="dxa"/>
            <w:vAlign w:val="bottom"/>
            <w:gridSpan w:val="2"/>
          </w:tcPr>
          <w:p>
            <w:pPr>
              <w:jc w:val="right"/>
              <w:ind w:right="100"/>
              <w:spacing w:after="0"/>
              <w:rPr>
                <w:sz w:val="20"/>
                <w:szCs w:val="20"/>
                <w:color w:val="auto"/>
              </w:rPr>
            </w:pPr>
            <w:r>
              <w:rPr>
                <w:rFonts w:ascii="Arial" w:cs="Arial" w:eastAsia="Arial" w:hAnsi="Arial"/>
                <w:sz w:val="18"/>
                <w:szCs w:val="18"/>
                <w:color w:val="auto"/>
              </w:rPr>
              <w:t>766</w:t>
            </w:r>
          </w:p>
        </w:tc>
        <w:tc>
          <w:tcPr>
            <w:tcW w:w="0" w:type="dxa"/>
            <w:vAlign w:val="bottom"/>
          </w:tcPr>
          <w:p>
            <w:pPr>
              <w:spacing w:after="0"/>
              <w:rPr>
                <w:sz w:val="1"/>
                <w:szCs w:val="1"/>
                <w:color w:val="auto"/>
              </w:rPr>
            </w:pPr>
          </w:p>
        </w:tc>
      </w:tr>
      <w:tr>
        <w:trPr>
          <w:trHeight w:val="27"/>
        </w:trPr>
        <w:tc>
          <w:tcPr>
            <w:tcW w:w="20" w:type="dxa"/>
            <w:vAlign w:val="bottom"/>
          </w:tcPr>
          <w:p>
            <w:pPr>
              <w:spacing w:after="0"/>
              <w:rPr>
                <w:sz w:val="2"/>
                <w:szCs w:val="2"/>
                <w:color w:val="auto"/>
              </w:rPr>
            </w:pPr>
          </w:p>
        </w:tc>
        <w:tc>
          <w:tcPr>
            <w:tcW w:w="918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640" w:type="dxa"/>
            <w:vAlign w:val="bottom"/>
            <w:shd w:val="clear" w:color="auto" w:fill="000000"/>
          </w:tcPr>
          <w:p>
            <w:pPr>
              <w:spacing w:after="0"/>
              <w:rPr>
                <w:sz w:val="2"/>
                <w:szCs w:val="2"/>
                <w:color w:val="auto"/>
              </w:rPr>
            </w:pPr>
          </w:p>
        </w:tc>
        <w:tc>
          <w:tcPr>
            <w:tcW w:w="540" w:type="dxa"/>
            <w:vAlign w:val="bottom"/>
          </w:tcPr>
          <w:p>
            <w:pPr>
              <w:spacing w:after="0"/>
              <w:rPr>
                <w:sz w:val="2"/>
                <w:szCs w:val="2"/>
                <w:color w:val="auto"/>
              </w:rPr>
            </w:pPr>
          </w:p>
        </w:tc>
        <w:tc>
          <w:tcPr>
            <w:tcW w:w="140" w:type="dxa"/>
            <w:vAlign w:val="bottom"/>
            <w:shd w:val="clear" w:color="auto" w:fill="000000"/>
          </w:tcPr>
          <w:p>
            <w:pPr>
              <w:spacing w:after="0"/>
              <w:rPr>
                <w:sz w:val="2"/>
                <w:szCs w:val="2"/>
                <w:color w:val="auto"/>
              </w:rPr>
            </w:pPr>
          </w:p>
        </w:tc>
        <w:tc>
          <w:tcPr>
            <w:tcW w:w="70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tcPr>
          <w:p>
            <w:pPr>
              <w:spacing w:after="0"/>
              <w:rPr>
                <w:sz w:val="18"/>
                <w:szCs w:val="18"/>
                <w:color w:val="auto"/>
              </w:rPr>
            </w:pPr>
          </w:p>
        </w:tc>
        <w:tc>
          <w:tcPr>
            <w:tcW w:w="9180" w:type="dxa"/>
            <w:vAlign w:val="bottom"/>
            <w:shd w:val="clear" w:color="auto" w:fill="CCEEFF"/>
          </w:tcPr>
          <w:p>
            <w:pPr>
              <w:ind w:left="340"/>
              <w:spacing w:after="0"/>
              <w:rPr>
                <w:sz w:val="20"/>
                <w:szCs w:val="20"/>
                <w:color w:val="auto"/>
              </w:rPr>
            </w:pPr>
            <w:r>
              <w:rPr>
                <w:rFonts w:ascii="Arial" w:cs="Arial" w:eastAsia="Arial" w:hAnsi="Arial"/>
                <w:sz w:val="18"/>
                <w:szCs w:val="18"/>
                <w:color w:val="auto"/>
              </w:rPr>
              <w:t>Total current assets</w:t>
            </w:r>
          </w:p>
        </w:tc>
        <w:tc>
          <w:tcPr>
            <w:tcW w:w="100" w:type="dxa"/>
            <w:vAlign w:val="bottom"/>
            <w:shd w:val="clear" w:color="auto" w:fill="CCEEFF"/>
          </w:tcPr>
          <w:p>
            <w:pPr>
              <w:spacing w:after="0"/>
              <w:rPr>
                <w:sz w:val="18"/>
                <w:szCs w:val="18"/>
                <w:color w:val="auto"/>
              </w:rPr>
            </w:pPr>
          </w:p>
        </w:tc>
        <w:tc>
          <w:tcPr>
            <w:tcW w:w="1180" w:type="dxa"/>
            <w:vAlign w:val="bottom"/>
            <w:gridSpan w:val="2"/>
            <w:shd w:val="clear" w:color="auto" w:fill="CCEEFF"/>
          </w:tcPr>
          <w:p>
            <w:pPr>
              <w:jc w:val="right"/>
              <w:ind w:right="540"/>
              <w:spacing w:after="0"/>
              <w:rPr>
                <w:sz w:val="20"/>
                <w:szCs w:val="20"/>
                <w:color w:val="auto"/>
              </w:rPr>
            </w:pPr>
            <w:r>
              <w:rPr>
                <w:rFonts w:ascii="Arial" w:cs="Arial" w:eastAsia="Arial" w:hAnsi="Arial"/>
                <w:sz w:val="18"/>
                <w:szCs w:val="18"/>
                <w:color w:val="auto"/>
              </w:rPr>
              <w:t>11,038</w:t>
            </w:r>
          </w:p>
        </w:tc>
        <w:tc>
          <w:tcPr>
            <w:tcW w:w="14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3,819</w:t>
            </w:r>
          </w:p>
        </w:tc>
        <w:tc>
          <w:tcPr>
            <w:tcW w:w="0" w:type="dxa"/>
            <w:vAlign w:val="bottom"/>
          </w:tcPr>
          <w:p>
            <w:pPr>
              <w:spacing w:after="0"/>
              <w:rPr>
                <w:sz w:val="1"/>
                <w:szCs w:val="1"/>
                <w:color w:val="auto"/>
              </w:rPr>
            </w:pPr>
          </w:p>
        </w:tc>
      </w:tr>
      <w:tr>
        <w:trPr>
          <w:trHeight w:val="230"/>
        </w:trPr>
        <w:tc>
          <w:tcPr>
            <w:tcW w:w="9200" w:type="dxa"/>
            <w:vAlign w:val="bottom"/>
            <w:gridSpan w:val="2"/>
          </w:tcPr>
          <w:p>
            <w:pPr>
              <w:spacing w:after="0"/>
              <w:rPr>
                <w:sz w:val="20"/>
                <w:szCs w:val="20"/>
                <w:color w:val="auto"/>
              </w:rPr>
            </w:pPr>
            <w:r>
              <w:rPr>
                <w:rFonts w:ascii="Arial" w:cs="Arial" w:eastAsia="Arial" w:hAnsi="Arial"/>
                <w:sz w:val="18"/>
                <w:szCs w:val="18"/>
                <w:color w:val="auto"/>
              </w:rPr>
              <w:t>Other</w:t>
            </w:r>
          </w:p>
        </w:tc>
        <w:tc>
          <w:tcPr>
            <w:tcW w:w="100" w:type="dxa"/>
            <w:vAlign w:val="bottom"/>
            <w:tcBorders>
              <w:top w:val="single" w:sz="8" w:color="auto"/>
              <w:bottom w:val="single" w:sz="8" w:color="auto"/>
            </w:tcBorders>
          </w:tcPr>
          <w:p>
            <w:pPr>
              <w:spacing w:after="0"/>
              <w:rPr>
                <w:sz w:val="20"/>
                <w:szCs w:val="20"/>
                <w:color w:val="auto"/>
              </w:rPr>
            </w:pPr>
          </w:p>
        </w:tc>
        <w:tc>
          <w:tcPr>
            <w:tcW w:w="6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172</w:t>
            </w:r>
          </w:p>
        </w:tc>
        <w:tc>
          <w:tcPr>
            <w:tcW w:w="540" w:type="dxa"/>
            <w:vAlign w:val="bottom"/>
          </w:tcPr>
          <w:p>
            <w:pPr>
              <w:spacing w:after="0"/>
              <w:rPr>
                <w:sz w:val="20"/>
                <w:szCs w:val="20"/>
                <w:color w:val="auto"/>
              </w:rPr>
            </w:pPr>
          </w:p>
        </w:tc>
        <w:tc>
          <w:tcPr>
            <w:tcW w:w="140" w:type="dxa"/>
            <w:vAlign w:val="bottom"/>
            <w:tcBorders>
              <w:top w:val="single" w:sz="8" w:color="auto"/>
              <w:bottom w:val="single" w:sz="8" w:color="auto"/>
            </w:tcBorders>
          </w:tcPr>
          <w:p>
            <w:pPr>
              <w:spacing w:after="0"/>
              <w:rPr>
                <w:sz w:val="20"/>
                <w:szCs w:val="20"/>
                <w:color w:val="auto"/>
              </w:rPr>
            </w:pPr>
          </w:p>
        </w:tc>
        <w:tc>
          <w:tcPr>
            <w:tcW w:w="7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342</w:t>
            </w: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180" w:type="dxa"/>
            <w:vAlign w:val="bottom"/>
            <w:shd w:val="clear" w:color="auto" w:fill="CCEEFF"/>
          </w:tcPr>
          <w:p>
            <w:pPr>
              <w:spacing w:after="0"/>
              <w:rPr>
                <w:sz w:val="20"/>
                <w:szCs w:val="20"/>
                <w:color w:val="auto"/>
              </w:rPr>
            </w:pPr>
            <w:r>
              <w:rPr>
                <w:rFonts w:ascii="Arial" w:cs="Arial" w:eastAsia="Arial" w:hAnsi="Arial"/>
                <w:sz w:val="18"/>
                <w:szCs w:val="18"/>
                <w:color w:val="auto"/>
              </w:rPr>
              <w:t>Total assets</w:t>
            </w: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180" w:type="dxa"/>
            <w:vAlign w:val="bottom"/>
            <w:gridSpan w:val="2"/>
            <w:shd w:val="clear" w:color="auto" w:fill="CCEEFF"/>
          </w:tcPr>
          <w:p>
            <w:pPr>
              <w:jc w:val="right"/>
              <w:ind w:right="540"/>
              <w:spacing w:after="0"/>
              <w:rPr>
                <w:sz w:val="20"/>
                <w:szCs w:val="20"/>
                <w:color w:val="auto"/>
              </w:rPr>
            </w:pPr>
            <w:r>
              <w:rPr>
                <w:rFonts w:ascii="Arial" w:cs="Arial" w:eastAsia="Arial" w:hAnsi="Arial"/>
                <w:sz w:val="18"/>
                <w:szCs w:val="18"/>
                <w:color w:val="auto"/>
              </w:rPr>
              <w:t>11,210</w:t>
            </w:r>
          </w:p>
        </w:tc>
        <w:tc>
          <w:tcPr>
            <w:tcW w:w="14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8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4,161</w:t>
            </w:r>
          </w:p>
        </w:tc>
        <w:tc>
          <w:tcPr>
            <w:tcW w:w="0" w:type="dxa"/>
            <w:vAlign w:val="bottom"/>
          </w:tcPr>
          <w:p>
            <w:pPr>
              <w:spacing w:after="0"/>
              <w:rPr>
                <w:sz w:val="1"/>
                <w:szCs w:val="1"/>
                <w:color w:val="auto"/>
              </w:rPr>
            </w:pPr>
          </w:p>
        </w:tc>
      </w:tr>
      <w:tr>
        <w:trPr>
          <w:trHeight w:val="20"/>
        </w:trPr>
        <w:tc>
          <w:tcPr>
            <w:tcW w:w="9200" w:type="dxa"/>
            <w:vAlign w:val="bottom"/>
            <w:gridSpan w:val="2"/>
            <w:vMerge w:val="restart"/>
          </w:tcPr>
          <w:p>
            <w:pPr>
              <w:spacing w:after="0"/>
              <w:rPr>
                <w:sz w:val="20"/>
                <w:szCs w:val="20"/>
                <w:color w:val="auto"/>
              </w:rPr>
            </w:pPr>
            <w:r>
              <w:rPr>
                <w:rFonts w:ascii="Arial" w:cs="Arial" w:eastAsia="Arial" w:hAnsi="Arial"/>
                <w:sz w:val="18"/>
                <w:szCs w:val="18"/>
                <w:b w:val="1"/>
                <w:bCs w:val="1"/>
                <w:color w:val="auto"/>
              </w:rPr>
              <w:t>LIABILITIES, REDEEMABLE CONVERTIBLE PREFERRED STOCK AND STOCKHOLDERS’ EQUITY</w:t>
            </w:r>
          </w:p>
        </w:tc>
        <w:tc>
          <w:tcPr>
            <w:tcW w:w="100" w:type="dxa"/>
            <w:vAlign w:val="bottom"/>
            <w:tcBorders>
              <w:top w:val="single" w:sz="8" w:color="auto"/>
              <w:bottom w:val="single" w:sz="8" w:color="auto"/>
            </w:tcBorders>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7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2"/>
        </w:trPr>
        <w:tc>
          <w:tcPr>
            <w:tcW w:w="9200" w:type="dxa"/>
            <w:vAlign w:val="bottom"/>
            <w:gridSpan w:val="2"/>
            <w:vMerge w:val="continue"/>
          </w:tcPr>
          <w:p>
            <w:pPr>
              <w:spacing w:after="0"/>
              <w:rPr>
                <w:sz w:val="16"/>
                <w:szCs w:val="16"/>
                <w:color w:val="auto"/>
              </w:rPr>
            </w:pPr>
          </w:p>
        </w:tc>
        <w:tc>
          <w:tcPr>
            <w:tcW w:w="100" w:type="dxa"/>
            <w:vAlign w:val="bottom"/>
          </w:tcPr>
          <w:p>
            <w:pPr>
              <w:spacing w:after="0"/>
              <w:rPr>
                <w:sz w:val="16"/>
                <w:szCs w:val="16"/>
                <w:color w:val="auto"/>
              </w:rPr>
            </w:pPr>
          </w:p>
        </w:tc>
        <w:tc>
          <w:tcPr>
            <w:tcW w:w="640" w:type="dxa"/>
            <w:vAlign w:val="bottom"/>
          </w:tcPr>
          <w:p>
            <w:pPr>
              <w:spacing w:after="0"/>
              <w:rPr>
                <w:sz w:val="16"/>
                <w:szCs w:val="16"/>
                <w:color w:val="auto"/>
              </w:rPr>
            </w:pPr>
          </w:p>
        </w:tc>
        <w:tc>
          <w:tcPr>
            <w:tcW w:w="54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7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34"/>
        </w:trPr>
        <w:tc>
          <w:tcPr>
            <w:tcW w:w="20" w:type="dxa"/>
            <w:vAlign w:val="bottom"/>
          </w:tcPr>
          <w:p>
            <w:pPr>
              <w:spacing w:after="0"/>
              <w:rPr>
                <w:sz w:val="20"/>
                <w:szCs w:val="20"/>
                <w:color w:val="auto"/>
              </w:rPr>
            </w:pPr>
          </w:p>
        </w:tc>
        <w:tc>
          <w:tcPr>
            <w:tcW w:w="9180" w:type="dxa"/>
            <w:vAlign w:val="bottom"/>
          </w:tcPr>
          <w:p>
            <w:pPr>
              <w:ind w:left="160"/>
              <w:spacing w:after="0"/>
              <w:rPr>
                <w:sz w:val="20"/>
                <w:szCs w:val="20"/>
                <w:color w:val="auto"/>
              </w:rPr>
            </w:pPr>
            <w:r>
              <w:rPr>
                <w:rFonts w:ascii="Arial" w:cs="Arial" w:eastAsia="Arial" w:hAnsi="Arial"/>
                <w:sz w:val="18"/>
                <w:szCs w:val="18"/>
                <w:b w:val="1"/>
                <w:bCs w:val="1"/>
                <w:color w:val="auto"/>
              </w:rPr>
              <w:t>(DEFICIT)</w:t>
            </w:r>
          </w:p>
        </w:tc>
        <w:tc>
          <w:tcPr>
            <w:tcW w:w="100" w:type="dxa"/>
            <w:vAlign w:val="bottom"/>
          </w:tcPr>
          <w:p>
            <w:pPr>
              <w:spacing w:after="0"/>
              <w:rPr>
                <w:sz w:val="20"/>
                <w:szCs w:val="20"/>
                <w:color w:val="auto"/>
              </w:rPr>
            </w:pPr>
          </w:p>
        </w:tc>
        <w:tc>
          <w:tcPr>
            <w:tcW w:w="640" w:type="dxa"/>
            <w:vAlign w:val="bottom"/>
          </w:tcPr>
          <w:p>
            <w:pPr>
              <w:spacing w:after="0"/>
              <w:rPr>
                <w:sz w:val="20"/>
                <w:szCs w:val="20"/>
                <w:color w:val="auto"/>
              </w:rPr>
            </w:pPr>
          </w:p>
        </w:tc>
        <w:tc>
          <w:tcPr>
            <w:tcW w:w="54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180" w:type="dxa"/>
            <w:vAlign w:val="bottom"/>
            <w:shd w:val="clear" w:color="auto" w:fill="CCEEFF"/>
          </w:tcPr>
          <w:p>
            <w:pPr>
              <w:spacing w:after="0"/>
              <w:rPr>
                <w:sz w:val="20"/>
                <w:szCs w:val="20"/>
                <w:color w:val="auto"/>
              </w:rPr>
            </w:pPr>
            <w:r>
              <w:rPr>
                <w:rFonts w:ascii="Arial" w:cs="Arial" w:eastAsia="Arial" w:hAnsi="Arial"/>
                <w:sz w:val="18"/>
                <w:szCs w:val="18"/>
                <w:color w:val="auto"/>
              </w:rPr>
              <w:t>Current liabilities:</w:t>
            </w:r>
          </w:p>
        </w:tc>
        <w:tc>
          <w:tcPr>
            <w:tcW w:w="10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180" w:type="dxa"/>
            <w:vAlign w:val="bottom"/>
          </w:tcPr>
          <w:p>
            <w:pPr>
              <w:spacing w:after="0"/>
              <w:rPr>
                <w:sz w:val="20"/>
                <w:szCs w:val="20"/>
                <w:color w:val="auto"/>
              </w:rPr>
            </w:pPr>
            <w:r>
              <w:rPr>
                <w:rFonts w:ascii="Arial" w:cs="Arial" w:eastAsia="Arial" w:hAnsi="Arial"/>
                <w:sz w:val="18"/>
                <w:szCs w:val="18"/>
                <w:color w:val="auto"/>
              </w:rPr>
              <w:t>Accounts payable</w:t>
            </w:r>
          </w:p>
        </w:tc>
        <w:tc>
          <w:tcPr>
            <w:tcW w:w="10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180" w:type="dxa"/>
            <w:vAlign w:val="bottom"/>
            <w:gridSpan w:val="2"/>
          </w:tcPr>
          <w:p>
            <w:pPr>
              <w:jc w:val="right"/>
              <w:ind w:right="540"/>
              <w:spacing w:after="0"/>
              <w:rPr>
                <w:sz w:val="20"/>
                <w:szCs w:val="20"/>
                <w:color w:val="auto"/>
              </w:rPr>
            </w:pPr>
            <w:r>
              <w:rPr>
                <w:rFonts w:ascii="Arial" w:cs="Arial" w:eastAsia="Arial" w:hAnsi="Arial"/>
                <w:sz w:val="18"/>
                <w:szCs w:val="18"/>
                <w:color w:val="auto"/>
              </w:rPr>
              <w:t>220</w:t>
            </w:r>
          </w:p>
        </w:tc>
        <w:tc>
          <w:tcPr>
            <w:tcW w:w="140" w:type="dxa"/>
            <w:vAlign w:val="bottom"/>
          </w:tcPr>
          <w:p>
            <w:pPr>
              <w:spacing w:after="0"/>
              <w:rPr>
                <w:sz w:val="20"/>
                <w:szCs w:val="20"/>
                <w:color w:val="auto"/>
              </w:rPr>
            </w:pPr>
            <w:r>
              <w:rPr>
                <w:rFonts w:ascii="Arial" w:cs="Arial" w:eastAsia="Arial" w:hAnsi="Arial"/>
                <w:sz w:val="18"/>
                <w:szCs w:val="18"/>
                <w:color w:val="auto"/>
              </w:rPr>
              <w:t>$</w:t>
            </w:r>
          </w:p>
        </w:tc>
        <w:tc>
          <w:tcPr>
            <w:tcW w:w="800" w:type="dxa"/>
            <w:vAlign w:val="bottom"/>
            <w:gridSpan w:val="2"/>
          </w:tcPr>
          <w:p>
            <w:pPr>
              <w:jc w:val="right"/>
              <w:ind w:right="100"/>
              <w:spacing w:after="0"/>
              <w:rPr>
                <w:sz w:val="20"/>
                <w:szCs w:val="20"/>
                <w:color w:val="auto"/>
              </w:rPr>
            </w:pPr>
            <w:r>
              <w:rPr>
                <w:rFonts w:ascii="Arial" w:cs="Arial" w:eastAsia="Arial" w:hAnsi="Arial"/>
                <w:sz w:val="18"/>
                <w:szCs w:val="18"/>
                <w:color w:val="auto"/>
              </w:rPr>
              <w:t>608</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180" w:type="dxa"/>
            <w:vAlign w:val="bottom"/>
            <w:shd w:val="clear" w:color="auto" w:fill="CCEEFF"/>
          </w:tcPr>
          <w:p>
            <w:pPr>
              <w:spacing w:after="0"/>
              <w:rPr>
                <w:sz w:val="20"/>
                <w:szCs w:val="20"/>
                <w:color w:val="auto"/>
              </w:rPr>
            </w:pPr>
            <w:r>
              <w:rPr>
                <w:rFonts w:ascii="Arial" w:cs="Arial" w:eastAsia="Arial" w:hAnsi="Arial"/>
                <w:sz w:val="18"/>
                <w:szCs w:val="18"/>
                <w:color w:val="auto"/>
              </w:rPr>
              <w:t>Accrued expenses</w:t>
            </w:r>
          </w:p>
        </w:tc>
        <w:tc>
          <w:tcPr>
            <w:tcW w:w="100" w:type="dxa"/>
            <w:vAlign w:val="bottom"/>
            <w:shd w:val="clear" w:color="auto" w:fill="CCEEFF"/>
          </w:tcPr>
          <w:p>
            <w:pPr>
              <w:spacing w:after="0"/>
              <w:rPr>
                <w:sz w:val="18"/>
                <w:szCs w:val="18"/>
                <w:color w:val="auto"/>
              </w:rPr>
            </w:pPr>
          </w:p>
        </w:tc>
        <w:tc>
          <w:tcPr>
            <w:tcW w:w="1180" w:type="dxa"/>
            <w:vAlign w:val="bottom"/>
            <w:gridSpan w:val="2"/>
            <w:shd w:val="clear" w:color="auto" w:fill="CCEEFF"/>
          </w:tcPr>
          <w:p>
            <w:pPr>
              <w:jc w:val="right"/>
              <w:ind w:right="540"/>
              <w:spacing w:after="0"/>
              <w:rPr>
                <w:sz w:val="20"/>
                <w:szCs w:val="20"/>
                <w:color w:val="auto"/>
              </w:rPr>
            </w:pPr>
            <w:r>
              <w:rPr>
                <w:rFonts w:ascii="Arial" w:cs="Arial" w:eastAsia="Arial" w:hAnsi="Arial"/>
                <w:sz w:val="18"/>
                <w:szCs w:val="18"/>
                <w:color w:val="auto"/>
              </w:rPr>
              <w:t>1,148</w:t>
            </w:r>
          </w:p>
        </w:tc>
        <w:tc>
          <w:tcPr>
            <w:tcW w:w="14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2,292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180" w:type="dxa"/>
            <w:vAlign w:val="bottom"/>
          </w:tcPr>
          <w:p>
            <w:pPr>
              <w:spacing w:after="0"/>
              <w:rPr>
                <w:sz w:val="20"/>
                <w:szCs w:val="20"/>
                <w:color w:val="auto"/>
              </w:rPr>
            </w:pPr>
            <w:r>
              <w:rPr>
                <w:rFonts w:ascii="Arial" w:cs="Arial" w:eastAsia="Arial" w:hAnsi="Arial"/>
                <w:sz w:val="18"/>
                <w:szCs w:val="18"/>
                <w:color w:val="auto"/>
              </w:rPr>
              <w:t>Accrued dividends payable</w:t>
            </w:r>
          </w:p>
        </w:tc>
        <w:tc>
          <w:tcPr>
            <w:tcW w:w="100" w:type="dxa"/>
            <w:vAlign w:val="bottom"/>
          </w:tcPr>
          <w:p>
            <w:pPr>
              <w:spacing w:after="0"/>
              <w:rPr>
                <w:sz w:val="18"/>
                <w:szCs w:val="18"/>
                <w:color w:val="auto"/>
              </w:rPr>
            </w:pPr>
          </w:p>
        </w:tc>
        <w:tc>
          <w:tcPr>
            <w:tcW w:w="1180" w:type="dxa"/>
            <w:vAlign w:val="bottom"/>
            <w:gridSpan w:val="2"/>
          </w:tcPr>
          <w:p>
            <w:pPr>
              <w:jc w:val="right"/>
              <w:ind w:right="540"/>
              <w:spacing w:after="0"/>
              <w:rPr>
                <w:sz w:val="20"/>
                <w:szCs w:val="20"/>
                <w:color w:val="auto"/>
              </w:rPr>
            </w:pPr>
            <w:r>
              <w:rPr>
                <w:rFonts w:ascii="Arial" w:cs="Arial" w:eastAsia="Arial" w:hAnsi="Arial"/>
                <w:sz w:val="18"/>
                <w:szCs w:val="18"/>
                <w:color w:val="auto"/>
              </w:rPr>
              <w:t>67</w:t>
            </w:r>
          </w:p>
        </w:tc>
        <w:tc>
          <w:tcPr>
            <w:tcW w:w="140" w:type="dxa"/>
            <w:vAlign w:val="bottom"/>
          </w:tcPr>
          <w:p>
            <w:pPr>
              <w:spacing w:after="0"/>
              <w:rPr>
                <w:sz w:val="18"/>
                <w:szCs w:val="18"/>
                <w:color w:val="auto"/>
              </w:rPr>
            </w:pPr>
          </w:p>
        </w:tc>
        <w:tc>
          <w:tcPr>
            <w:tcW w:w="800" w:type="dxa"/>
            <w:vAlign w:val="bottom"/>
            <w:gridSpan w:val="2"/>
          </w:tcPr>
          <w:p>
            <w:pPr>
              <w:jc w:val="right"/>
              <w:ind w:right="100"/>
              <w:spacing w:after="0"/>
              <w:rPr>
                <w:sz w:val="20"/>
                <w:szCs w:val="20"/>
                <w:color w:val="auto"/>
              </w:rPr>
            </w:pPr>
            <w:r>
              <w:rPr>
                <w:rFonts w:ascii="Arial" w:cs="Arial" w:eastAsia="Arial" w:hAnsi="Arial"/>
                <w:sz w:val="18"/>
                <w:szCs w:val="18"/>
                <w:color w:val="auto"/>
              </w:rPr>
              <w:t>68</w:t>
            </w:r>
          </w:p>
        </w:tc>
        <w:tc>
          <w:tcPr>
            <w:tcW w:w="0" w:type="dxa"/>
            <w:vAlign w:val="bottom"/>
          </w:tcPr>
          <w:p>
            <w:pPr>
              <w:spacing w:after="0"/>
              <w:rPr>
                <w:sz w:val="1"/>
                <w:szCs w:val="1"/>
                <w:color w:val="auto"/>
              </w:rPr>
            </w:pPr>
          </w:p>
        </w:tc>
      </w:tr>
      <w:tr>
        <w:trPr>
          <w:trHeight w:val="27"/>
        </w:trPr>
        <w:tc>
          <w:tcPr>
            <w:tcW w:w="20" w:type="dxa"/>
            <w:vAlign w:val="bottom"/>
          </w:tcPr>
          <w:p>
            <w:pPr>
              <w:spacing w:after="0"/>
              <w:rPr>
                <w:sz w:val="2"/>
                <w:szCs w:val="2"/>
                <w:color w:val="auto"/>
              </w:rPr>
            </w:pPr>
          </w:p>
        </w:tc>
        <w:tc>
          <w:tcPr>
            <w:tcW w:w="918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640" w:type="dxa"/>
            <w:vAlign w:val="bottom"/>
            <w:shd w:val="clear" w:color="auto" w:fill="000000"/>
          </w:tcPr>
          <w:p>
            <w:pPr>
              <w:spacing w:after="0"/>
              <w:rPr>
                <w:sz w:val="2"/>
                <w:szCs w:val="2"/>
                <w:color w:val="auto"/>
              </w:rPr>
            </w:pPr>
          </w:p>
        </w:tc>
        <w:tc>
          <w:tcPr>
            <w:tcW w:w="540" w:type="dxa"/>
            <w:vAlign w:val="bottom"/>
          </w:tcPr>
          <w:p>
            <w:pPr>
              <w:spacing w:after="0"/>
              <w:rPr>
                <w:sz w:val="2"/>
                <w:szCs w:val="2"/>
                <w:color w:val="auto"/>
              </w:rPr>
            </w:pPr>
          </w:p>
        </w:tc>
        <w:tc>
          <w:tcPr>
            <w:tcW w:w="140" w:type="dxa"/>
            <w:vAlign w:val="bottom"/>
            <w:shd w:val="clear" w:color="auto" w:fill="000000"/>
          </w:tcPr>
          <w:p>
            <w:pPr>
              <w:spacing w:after="0"/>
              <w:rPr>
                <w:sz w:val="2"/>
                <w:szCs w:val="2"/>
                <w:color w:val="auto"/>
              </w:rPr>
            </w:pPr>
          </w:p>
        </w:tc>
        <w:tc>
          <w:tcPr>
            <w:tcW w:w="70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tcPr>
          <w:p>
            <w:pPr>
              <w:spacing w:after="0"/>
              <w:rPr>
                <w:sz w:val="18"/>
                <w:szCs w:val="18"/>
                <w:color w:val="auto"/>
              </w:rPr>
            </w:pPr>
          </w:p>
        </w:tc>
        <w:tc>
          <w:tcPr>
            <w:tcW w:w="9180" w:type="dxa"/>
            <w:vAlign w:val="bottom"/>
            <w:shd w:val="clear" w:color="auto" w:fill="CCEEFF"/>
          </w:tcPr>
          <w:p>
            <w:pPr>
              <w:ind w:left="340"/>
              <w:spacing w:after="0"/>
              <w:rPr>
                <w:sz w:val="20"/>
                <w:szCs w:val="20"/>
                <w:color w:val="auto"/>
              </w:rPr>
            </w:pPr>
            <w:r>
              <w:rPr>
                <w:rFonts w:ascii="Arial" w:cs="Arial" w:eastAsia="Arial" w:hAnsi="Arial"/>
                <w:sz w:val="18"/>
                <w:szCs w:val="18"/>
                <w:color w:val="auto"/>
              </w:rPr>
              <w:t>Total current liabilities</w:t>
            </w:r>
          </w:p>
        </w:tc>
        <w:tc>
          <w:tcPr>
            <w:tcW w:w="100" w:type="dxa"/>
            <w:vAlign w:val="bottom"/>
            <w:shd w:val="clear" w:color="auto" w:fill="CCEEFF"/>
          </w:tcPr>
          <w:p>
            <w:pPr>
              <w:spacing w:after="0"/>
              <w:rPr>
                <w:sz w:val="18"/>
                <w:szCs w:val="18"/>
                <w:color w:val="auto"/>
              </w:rPr>
            </w:pPr>
          </w:p>
        </w:tc>
        <w:tc>
          <w:tcPr>
            <w:tcW w:w="1180" w:type="dxa"/>
            <w:vAlign w:val="bottom"/>
            <w:gridSpan w:val="2"/>
            <w:shd w:val="clear" w:color="auto" w:fill="CCEEFF"/>
          </w:tcPr>
          <w:p>
            <w:pPr>
              <w:jc w:val="right"/>
              <w:ind w:right="540"/>
              <w:spacing w:after="0"/>
              <w:rPr>
                <w:sz w:val="20"/>
                <w:szCs w:val="20"/>
                <w:color w:val="auto"/>
              </w:rPr>
            </w:pPr>
            <w:r>
              <w:rPr>
                <w:rFonts w:ascii="Arial" w:cs="Arial" w:eastAsia="Arial" w:hAnsi="Arial"/>
                <w:sz w:val="18"/>
                <w:szCs w:val="18"/>
                <w:color w:val="auto"/>
              </w:rPr>
              <w:t>1,435</w:t>
            </w:r>
          </w:p>
        </w:tc>
        <w:tc>
          <w:tcPr>
            <w:tcW w:w="14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2,968</w:t>
            </w:r>
          </w:p>
        </w:tc>
        <w:tc>
          <w:tcPr>
            <w:tcW w:w="0" w:type="dxa"/>
            <w:vAlign w:val="bottom"/>
          </w:tcPr>
          <w:p>
            <w:pPr>
              <w:spacing w:after="0"/>
              <w:rPr>
                <w:sz w:val="1"/>
                <w:szCs w:val="1"/>
                <w:color w:val="auto"/>
              </w:rPr>
            </w:pPr>
          </w:p>
        </w:tc>
      </w:tr>
      <w:tr>
        <w:trPr>
          <w:trHeight w:val="230"/>
        </w:trPr>
        <w:tc>
          <w:tcPr>
            <w:tcW w:w="9200" w:type="dxa"/>
            <w:vAlign w:val="bottom"/>
            <w:gridSpan w:val="2"/>
          </w:tcPr>
          <w:p>
            <w:pPr>
              <w:spacing w:after="0"/>
              <w:rPr>
                <w:sz w:val="20"/>
                <w:szCs w:val="20"/>
                <w:color w:val="auto"/>
              </w:rPr>
            </w:pPr>
            <w:r>
              <w:rPr>
                <w:rFonts w:ascii="Arial" w:cs="Arial" w:eastAsia="Arial" w:hAnsi="Arial"/>
                <w:sz w:val="18"/>
                <w:szCs w:val="18"/>
                <w:color w:val="auto"/>
              </w:rPr>
              <w:t>Total liabilities</w:t>
            </w:r>
          </w:p>
        </w:tc>
        <w:tc>
          <w:tcPr>
            <w:tcW w:w="100" w:type="dxa"/>
            <w:vAlign w:val="bottom"/>
            <w:tcBorders>
              <w:top w:val="single" w:sz="8" w:color="auto"/>
              <w:bottom w:val="single" w:sz="8" w:color="auto"/>
            </w:tcBorders>
          </w:tcPr>
          <w:p>
            <w:pPr>
              <w:spacing w:after="0"/>
              <w:rPr>
                <w:sz w:val="20"/>
                <w:szCs w:val="20"/>
                <w:color w:val="auto"/>
              </w:rPr>
            </w:pPr>
          </w:p>
        </w:tc>
        <w:tc>
          <w:tcPr>
            <w:tcW w:w="6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1,435</w:t>
            </w:r>
          </w:p>
        </w:tc>
        <w:tc>
          <w:tcPr>
            <w:tcW w:w="540" w:type="dxa"/>
            <w:vAlign w:val="bottom"/>
          </w:tcPr>
          <w:p>
            <w:pPr>
              <w:spacing w:after="0"/>
              <w:rPr>
                <w:sz w:val="20"/>
                <w:szCs w:val="20"/>
                <w:color w:val="auto"/>
              </w:rPr>
            </w:pPr>
          </w:p>
        </w:tc>
        <w:tc>
          <w:tcPr>
            <w:tcW w:w="140" w:type="dxa"/>
            <w:vAlign w:val="bottom"/>
            <w:tcBorders>
              <w:top w:val="single" w:sz="8" w:color="auto"/>
              <w:bottom w:val="single" w:sz="8" w:color="auto"/>
            </w:tcBorders>
          </w:tcPr>
          <w:p>
            <w:pPr>
              <w:spacing w:after="0"/>
              <w:rPr>
                <w:sz w:val="20"/>
                <w:szCs w:val="20"/>
                <w:color w:val="auto"/>
              </w:rPr>
            </w:pPr>
          </w:p>
        </w:tc>
        <w:tc>
          <w:tcPr>
            <w:tcW w:w="7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2,968</w:t>
            </w: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180" w:type="dxa"/>
            <w:vAlign w:val="bottom"/>
            <w:shd w:val="clear" w:color="auto" w:fill="CCEEFF"/>
          </w:tcPr>
          <w:p>
            <w:pPr>
              <w:spacing w:after="0"/>
              <w:rPr>
                <w:sz w:val="20"/>
                <w:szCs w:val="20"/>
                <w:color w:val="auto"/>
              </w:rPr>
            </w:pPr>
            <w:r>
              <w:rPr>
                <w:rFonts w:ascii="Arial" w:cs="Arial" w:eastAsia="Arial" w:hAnsi="Arial"/>
                <w:sz w:val="18"/>
                <w:szCs w:val="18"/>
                <w:color w:val="auto"/>
              </w:rPr>
              <w:t>Commitments and contingencies (Note 9)</w:t>
            </w:r>
          </w:p>
        </w:tc>
        <w:tc>
          <w:tcPr>
            <w:tcW w:w="10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9180" w:type="dxa"/>
            <w:vAlign w:val="bottom"/>
          </w:tcPr>
          <w:p>
            <w:pPr>
              <w:spacing w:after="0" w:line="201" w:lineRule="exact"/>
              <w:rPr>
                <w:sz w:val="20"/>
                <w:szCs w:val="20"/>
                <w:color w:val="auto"/>
              </w:rPr>
            </w:pPr>
            <w:r>
              <w:rPr>
                <w:rFonts w:ascii="Arial" w:cs="Arial" w:eastAsia="Arial" w:hAnsi="Arial"/>
                <w:sz w:val="18"/>
                <w:szCs w:val="18"/>
                <w:color w:val="auto"/>
                <w:w w:val="99"/>
              </w:rPr>
              <w:t>Series C super dividend convertible preferred stock; 1,000 shares authorized, 176 shares issued and outstanding at</w:t>
            </w:r>
          </w:p>
        </w:tc>
        <w:tc>
          <w:tcPr>
            <w:tcW w:w="10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5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9180" w:type="dxa"/>
            <w:vAlign w:val="bottom"/>
          </w:tcPr>
          <w:p>
            <w:pPr>
              <w:ind w:left="160"/>
              <w:spacing w:after="0"/>
              <w:rPr>
                <w:sz w:val="20"/>
                <w:szCs w:val="20"/>
                <w:color w:val="auto"/>
              </w:rPr>
            </w:pPr>
            <w:r>
              <w:rPr>
                <w:rFonts w:ascii="Arial" w:cs="Arial" w:eastAsia="Arial" w:hAnsi="Arial"/>
                <w:sz w:val="18"/>
                <w:szCs w:val="18"/>
                <w:color w:val="auto"/>
                <w:w w:val="95"/>
              </w:rPr>
              <w:t>June 30, 2018 and December 31, 2017, redemption value: $7,983,000, liquidation value: $1,760,000 at June 30, 2018</w:t>
            </w:r>
          </w:p>
        </w:tc>
        <w:tc>
          <w:tcPr>
            <w:tcW w:w="100" w:type="dxa"/>
            <w:vAlign w:val="bottom"/>
          </w:tcPr>
          <w:p>
            <w:pPr>
              <w:spacing w:after="0"/>
              <w:rPr>
                <w:sz w:val="20"/>
                <w:szCs w:val="20"/>
                <w:color w:val="auto"/>
              </w:rPr>
            </w:pPr>
          </w:p>
        </w:tc>
        <w:tc>
          <w:tcPr>
            <w:tcW w:w="1180" w:type="dxa"/>
            <w:vAlign w:val="bottom"/>
            <w:gridSpan w:val="2"/>
          </w:tcPr>
          <w:p>
            <w:pPr>
              <w:jc w:val="right"/>
              <w:ind w:right="540"/>
              <w:spacing w:after="0"/>
              <w:rPr>
                <w:sz w:val="20"/>
                <w:szCs w:val="20"/>
                <w:color w:val="auto"/>
              </w:rPr>
            </w:pPr>
            <w:r>
              <w:rPr>
                <w:rFonts w:ascii="Arial" w:cs="Arial" w:eastAsia="Arial" w:hAnsi="Arial"/>
                <w:sz w:val="18"/>
                <w:szCs w:val="18"/>
                <w:color w:val="auto"/>
              </w:rPr>
              <w:t>1,723</w:t>
            </w:r>
          </w:p>
        </w:tc>
        <w:tc>
          <w:tcPr>
            <w:tcW w:w="140" w:type="dxa"/>
            <w:vAlign w:val="bottom"/>
          </w:tcPr>
          <w:p>
            <w:pPr>
              <w:spacing w:after="0"/>
              <w:rPr>
                <w:sz w:val="20"/>
                <w:szCs w:val="20"/>
                <w:color w:val="auto"/>
              </w:rPr>
            </w:pPr>
          </w:p>
        </w:tc>
        <w:tc>
          <w:tcPr>
            <w:tcW w:w="800" w:type="dxa"/>
            <w:vAlign w:val="bottom"/>
            <w:gridSpan w:val="2"/>
          </w:tcPr>
          <w:p>
            <w:pPr>
              <w:jc w:val="right"/>
              <w:ind w:right="100"/>
              <w:spacing w:after="0"/>
              <w:rPr>
                <w:sz w:val="20"/>
                <w:szCs w:val="20"/>
                <w:color w:val="auto"/>
              </w:rPr>
            </w:pPr>
            <w:r>
              <w:rPr>
                <w:rFonts w:ascii="Arial" w:cs="Arial" w:eastAsia="Arial" w:hAnsi="Arial"/>
                <w:sz w:val="18"/>
                <w:szCs w:val="18"/>
                <w:color w:val="auto"/>
              </w:rPr>
              <w:t>1,723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180" w:type="dxa"/>
            <w:vAlign w:val="bottom"/>
            <w:shd w:val="clear" w:color="auto" w:fill="CCEEFF"/>
          </w:tcPr>
          <w:p>
            <w:pPr>
              <w:spacing w:after="0"/>
              <w:rPr>
                <w:sz w:val="20"/>
                <w:szCs w:val="20"/>
                <w:color w:val="auto"/>
              </w:rPr>
            </w:pPr>
            <w:r>
              <w:rPr>
                <w:rFonts w:ascii="Arial" w:cs="Arial" w:eastAsia="Arial" w:hAnsi="Arial"/>
                <w:sz w:val="18"/>
                <w:szCs w:val="18"/>
                <w:color w:val="auto"/>
              </w:rPr>
              <w:t>Stockholders’ equity (deficit):</w:t>
            </w:r>
          </w:p>
        </w:tc>
        <w:tc>
          <w:tcPr>
            <w:tcW w:w="10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9180" w:type="dxa"/>
            <w:vAlign w:val="bottom"/>
          </w:tcPr>
          <w:p>
            <w:pPr>
              <w:ind w:left="700"/>
              <w:spacing w:after="0" w:line="201" w:lineRule="exact"/>
              <w:rPr>
                <w:sz w:val="20"/>
                <w:szCs w:val="20"/>
                <w:color w:val="auto"/>
              </w:rPr>
            </w:pPr>
            <w:r>
              <w:rPr>
                <w:rFonts w:ascii="Arial" w:cs="Arial" w:eastAsia="Arial" w:hAnsi="Arial"/>
                <w:sz w:val="18"/>
                <w:szCs w:val="18"/>
                <w:color w:val="auto"/>
                <w:w w:val="96"/>
              </w:rPr>
              <w:t>Undesignated stock, $0.01 par value; 20,000,000 shares authorized, 20,000,000 designated at June 30, 2018</w:t>
            </w:r>
          </w:p>
        </w:tc>
        <w:tc>
          <w:tcPr>
            <w:tcW w:w="10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5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9180" w:type="dxa"/>
            <w:vAlign w:val="bottom"/>
          </w:tcPr>
          <w:p>
            <w:pPr>
              <w:ind w:left="880"/>
              <w:spacing w:after="0"/>
              <w:rPr>
                <w:sz w:val="20"/>
                <w:szCs w:val="20"/>
                <w:color w:val="auto"/>
              </w:rPr>
            </w:pPr>
            <w:r>
              <w:rPr>
                <w:rFonts w:ascii="Arial" w:cs="Arial" w:eastAsia="Arial" w:hAnsi="Arial"/>
                <w:sz w:val="18"/>
                <w:szCs w:val="18"/>
                <w:color w:val="auto"/>
              </w:rPr>
              <w:t>and December 31, 2017, respectively</w:t>
            </w:r>
          </w:p>
        </w:tc>
        <w:tc>
          <w:tcPr>
            <w:tcW w:w="100" w:type="dxa"/>
            <w:vAlign w:val="bottom"/>
          </w:tcPr>
          <w:p>
            <w:pPr>
              <w:spacing w:after="0"/>
              <w:rPr>
                <w:sz w:val="20"/>
                <w:szCs w:val="20"/>
                <w:color w:val="auto"/>
              </w:rPr>
            </w:pPr>
          </w:p>
        </w:tc>
        <w:tc>
          <w:tcPr>
            <w:tcW w:w="1180" w:type="dxa"/>
            <w:vAlign w:val="bottom"/>
            <w:gridSpan w:val="2"/>
          </w:tcPr>
          <w:p>
            <w:pPr>
              <w:jc w:val="right"/>
              <w:ind w:right="62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20"/>
                <w:szCs w:val="20"/>
                <w:color w:val="auto"/>
              </w:rPr>
            </w:pPr>
          </w:p>
        </w:tc>
        <w:tc>
          <w:tcPr>
            <w:tcW w:w="80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9180" w:type="dxa"/>
            <w:vAlign w:val="bottom"/>
            <w:shd w:val="clear" w:color="auto" w:fill="CCEEFF"/>
          </w:tcPr>
          <w:p>
            <w:pPr>
              <w:ind w:left="700"/>
              <w:spacing w:after="0" w:line="201" w:lineRule="exact"/>
              <w:rPr>
                <w:sz w:val="20"/>
                <w:szCs w:val="20"/>
                <w:color w:val="auto"/>
              </w:rPr>
            </w:pPr>
            <w:r>
              <w:rPr>
                <w:rFonts w:ascii="Arial" w:cs="Arial" w:eastAsia="Arial" w:hAnsi="Arial"/>
                <w:sz w:val="18"/>
                <w:szCs w:val="18"/>
                <w:color w:val="auto"/>
                <w:w w:val="97"/>
              </w:rPr>
              <w:t>Series A 12% convertible preferred stock; 1,742,500 shares authorized, 1,352,500 and 1,377,500 issued and</w:t>
            </w:r>
          </w:p>
        </w:tc>
        <w:tc>
          <w:tcPr>
            <w:tcW w:w="100" w:type="dxa"/>
            <w:vAlign w:val="bottom"/>
            <w:shd w:val="clear" w:color="auto" w:fill="CCEEFF"/>
          </w:tcPr>
          <w:p>
            <w:pPr>
              <w:spacing w:after="0"/>
              <w:rPr>
                <w:sz w:val="17"/>
                <w:szCs w:val="17"/>
                <w:color w:val="auto"/>
              </w:rPr>
            </w:pPr>
          </w:p>
        </w:tc>
        <w:tc>
          <w:tcPr>
            <w:tcW w:w="640" w:type="dxa"/>
            <w:vAlign w:val="bottom"/>
            <w:shd w:val="clear" w:color="auto" w:fill="CCEEFF"/>
          </w:tcPr>
          <w:p>
            <w:pPr>
              <w:spacing w:after="0"/>
              <w:rPr>
                <w:sz w:val="17"/>
                <w:szCs w:val="17"/>
                <w:color w:val="auto"/>
              </w:rPr>
            </w:pPr>
          </w:p>
        </w:tc>
        <w:tc>
          <w:tcPr>
            <w:tcW w:w="54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7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180" w:type="dxa"/>
            <w:vAlign w:val="bottom"/>
            <w:shd w:val="clear" w:color="auto" w:fill="CCEEFF"/>
          </w:tcPr>
          <w:p>
            <w:pPr>
              <w:ind w:left="880"/>
              <w:spacing w:after="0"/>
              <w:rPr>
                <w:sz w:val="20"/>
                <w:szCs w:val="20"/>
                <w:color w:val="auto"/>
              </w:rPr>
            </w:pPr>
            <w:r>
              <w:rPr>
                <w:rFonts w:ascii="Arial" w:cs="Arial" w:eastAsia="Arial" w:hAnsi="Arial"/>
                <w:sz w:val="18"/>
                <w:szCs w:val="18"/>
                <w:color w:val="auto"/>
                <w:w w:val="95"/>
              </w:rPr>
              <w:t>outstanding at June 30, 2018 and December 31, 2017, respectively, liquidation value $1,352,500 at June 30,</w:t>
            </w:r>
          </w:p>
        </w:tc>
        <w:tc>
          <w:tcPr>
            <w:tcW w:w="10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9180" w:type="dxa"/>
            <w:vAlign w:val="bottom"/>
            <w:shd w:val="clear" w:color="auto" w:fill="CCEEFF"/>
          </w:tcPr>
          <w:p>
            <w:pPr>
              <w:ind w:left="880"/>
              <w:spacing w:after="0"/>
              <w:rPr>
                <w:sz w:val="20"/>
                <w:szCs w:val="20"/>
                <w:color w:val="auto"/>
              </w:rPr>
            </w:pPr>
            <w:r>
              <w:rPr>
                <w:rFonts w:ascii="Arial" w:cs="Arial" w:eastAsia="Arial" w:hAnsi="Arial"/>
                <w:sz w:val="18"/>
                <w:szCs w:val="18"/>
                <w:color w:val="auto"/>
              </w:rPr>
              <w:t>2018</w:t>
            </w:r>
          </w:p>
        </w:tc>
        <w:tc>
          <w:tcPr>
            <w:tcW w:w="100" w:type="dxa"/>
            <w:vAlign w:val="bottom"/>
            <w:shd w:val="clear" w:color="auto" w:fill="CCEEFF"/>
          </w:tcPr>
          <w:p>
            <w:pPr>
              <w:spacing w:after="0"/>
              <w:rPr>
                <w:sz w:val="20"/>
                <w:szCs w:val="20"/>
                <w:color w:val="auto"/>
              </w:rPr>
            </w:pPr>
          </w:p>
        </w:tc>
        <w:tc>
          <w:tcPr>
            <w:tcW w:w="1180" w:type="dxa"/>
            <w:vAlign w:val="bottom"/>
            <w:gridSpan w:val="2"/>
            <w:shd w:val="clear" w:color="auto" w:fill="CCEEFF"/>
          </w:tcPr>
          <w:p>
            <w:pPr>
              <w:jc w:val="right"/>
              <w:ind w:right="540"/>
              <w:spacing w:after="0"/>
              <w:rPr>
                <w:sz w:val="20"/>
                <w:szCs w:val="20"/>
                <w:color w:val="auto"/>
              </w:rPr>
            </w:pPr>
            <w:r>
              <w:rPr>
                <w:rFonts w:ascii="Arial" w:cs="Arial" w:eastAsia="Arial" w:hAnsi="Arial"/>
                <w:sz w:val="18"/>
                <w:szCs w:val="18"/>
                <w:color w:val="auto"/>
              </w:rPr>
              <w:t>547</w:t>
            </w:r>
          </w:p>
        </w:tc>
        <w:tc>
          <w:tcPr>
            <w:tcW w:w="140" w:type="dxa"/>
            <w:vAlign w:val="bottom"/>
            <w:shd w:val="clear" w:color="auto" w:fill="CCEEFF"/>
          </w:tcPr>
          <w:p>
            <w:pPr>
              <w:spacing w:after="0"/>
              <w:rPr>
                <w:sz w:val="20"/>
                <w:szCs w:val="20"/>
                <w:color w:val="auto"/>
              </w:rPr>
            </w:pPr>
          </w:p>
        </w:tc>
        <w:tc>
          <w:tcPr>
            <w:tcW w:w="8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557</w:t>
            </w: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9180" w:type="dxa"/>
            <w:vAlign w:val="bottom"/>
          </w:tcPr>
          <w:p>
            <w:pPr>
              <w:ind w:left="700"/>
              <w:spacing w:after="0" w:line="201" w:lineRule="exact"/>
              <w:rPr>
                <w:sz w:val="20"/>
                <w:szCs w:val="20"/>
                <w:color w:val="auto"/>
              </w:rPr>
            </w:pPr>
            <w:r>
              <w:rPr>
                <w:rFonts w:ascii="Arial" w:cs="Arial" w:eastAsia="Arial" w:hAnsi="Arial"/>
                <w:sz w:val="18"/>
                <w:szCs w:val="18"/>
                <w:color w:val="auto"/>
                <w:w w:val="94"/>
              </w:rPr>
              <w:t>Series B-1 12% convertible preferred stock; 900,000 shares authorized, issued and outstanding at June 30, 2018</w:t>
            </w:r>
          </w:p>
        </w:tc>
        <w:tc>
          <w:tcPr>
            <w:tcW w:w="10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5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9180" w:type="dxa"/>
            <w:vAlign w:val="bottom"/>
          </w:tcPr>
          <w:p>
            <w:pPr>
              <w:ind w:left="880"/>
              <w:spacing w:after="0"/>
              <w:rPr>
                <w:sz w:val="20"/>
                <w:szCs w:val="20"/>
                <w:color w:val="auto"/>
              </w:rPr>
            </w:pPr>
            <w:r>
              <w:rPr>
                <w:rFonts w:ascii="Arial" w:cs="Arial" w:eastAsia="Arial" w:hAnsi="Arial"/>
                <w:sz w:val="18"/>
                <w:szCs w:val="18"/>
                <w:color w:val="auto"/>
              </w:rPr>
              <w:t>and December 31, 2017, liquidation value $1,800,000 at June 30, 2018</w:t>
            </w:r>
          </w:p>
        </w:tc>
        <w:tc>
          <w:tcPr>
            <w:tcW w:w="100" w:type="dxa"/>
            <w:vAlign w:val="bottom"/>
          </w:tcPr>
          <w:p>
            <w:pPr>
              <w:spacing w:after="0"/>
              <w:rPr>
                <w:sz w:val="20"/>
                <w:szCs w:val="20"/>
                <w:color w:val="auto"/>
              </w:rPr>
            </w:pPr>
          </w:p>
        </w:tc>
        <w:tc>
          <w:tcPr>
            <w:tcW w:w="1180" w:type="dxa"/>
            <w:vAlign w:val="bottom"/>
            <w:gridSpan w:val="2"/>
          </w:tcPr>
          <w:p>
            <w:pPr>
              <w:jc w:val="right"/>
              <w:ind w:right="540"/>
              <w:spacing w:after="0"/>
              <w:rPr>
                <w:sz w:val="20"/>
                <w:szCs w:val="20"/>
                <w:color w:val="auto"/>
              </w:rPr>
            </w:pPr>
            <w:r>
              <w:rPr>
                <w:rFonts w:ascii="Arial" w:cs="Arial" w:eastAsia="Arial" w:hAnsi="Arial"/>
                <w:sz w:val="18"/>
                <w:szCs w:val="18"/>
                <w:color w:val="auto"/>
              </w:rPr>
              <w:t>1,761</w:t>
            </w:r>
          </w:p>
        </w:tc>
        <w:tc>
          <w:tcPr>
            <w:tcW w:w="140" w:type="dxa"/>
            <w:vAlign w:val="bottom"/>
          </w:tcPr>
          <w:p>
            <w:pPr>
              <w:spacing w:after="0"/>
              <w:rPr>
                <w:sz w:val="20"/>
                <w:szCs w:val="20"/>
                <w:color w:val="auto"/>
              </w:rPr>
            </w:pPr>
          </w:p>
        </w:tc>
        <w:tc>
          <w:tcPr>
            <w:tcW w:w="800" w:type="dxa"/>
            <w:vAlign w:val="bottom"/>
            <w:gridSpan w:val="2"/>
          </w:tcPr>
          <w:p>
            <w:pPr>
              <w:jc w:val="right"/>
              <w:ind w:right="100"/>
              <w:spacing w:after="0"/>
              <w:rPr>
                <w:sz w:val="20"/>
                <w:szCs w:val="20"/>
                <w:color w:val="auto"/>
              </w:rPr>
            </w:pPr>
            <w:r>
              <w:rPr>
                <w:rFonts w:ascii="Arial" w:cs="Arial" w:eastAsia="Arial" w:hAnsi="Arial"/>
                <w:sz w:val="18"/>
                <w:szCs w:val="18"/>
                <w:color w:val="auto"/>
              </w:rPr>
              <w:t>1,761</w:t>
            </w: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9180" w:type="dxa"/>
            <w:vAlign w:val="bottom"/>
            <w:shd w:val="clear" w:color="auto" w:fill="CCEEFF"/>
          </w:tcPr>
          <w:p>
            <w:pPr>
              <w:ind w:left="700"/>
              <w:spacing w:after="0" w:line="201" w:lineRule="exact"/>
              <w:rPr>
                <w:sz w:val="20"/>
                <w:szCs w:val="20"/>
                <w:color w:val="auto"/>
              </w:rPr>
            </w:pPr>
            <w:r>
              <w:rPr>
                <w:rFonts w:ascii="Arial" w:cs="Arial" w:eastAsia="Arial" w:hAnsi="Arial"/>
                <w:sz w:val="18"/>
                <w:szCs w:val="18"/>
                <w:color w:val="auto"/>
                <w:w w:val="97"/>
              </w:rPr>
              <w:t>Series B-2 12% convertible preferred stock; 2,100,000 shares authorized, issued and outstanding at June 30,</w:t>
            </w:r>
          </w:p>
        </w:tc>
        <w:tc>
          <w:tcPr>
            <w:tcW w:w="100" w:type="dxa"/>
            <w:vAlign w:val="bottom"/>
            <w:shd w:val="clear" w:color="auto" w:fill="CCEEFF"/>
          </w:tcPr>
          <w:p>
            <w:pPr>
              <w:spacing w:after="0"/>
              <w:rPr>
                <w:sz w:val="17"/>
                <w:szCs w:val="17"/>
                <w:color w:val="auto"/>
              </w:rPr>
            </w:pPr>
          </w:p>
        </w:tc>
        <w:tc>
          <w:tcPr>
            <w:tcW w:w="640" w:type="dxa"/>
            <w:vAlign w:val="bottom"/>
            <w:shd w:val="clear" w:color="auto" w:fill="CCEEFF"/>
          </w:tcPr>
          <w:p>
            <w:pPr>
              <w:spacing w:after="0"/>
              <w:rPr>
                <w:sz w:val="17"/>
                <w:szCs w:val="17"/>
                <w:color w:val="auto"/>
              </w:rPr>
            </w:pPr>
          </w:p>
        </w:tc>
        <w:tc>
          <w:tcPr>
            <w:tcW w:w="54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7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9180" w:type="dxa"/>
            <w:vAlign w:val="bottom"/>
            <w:shd w:val="clear" w:color="auto" w:fill="CCEEFF"/>
          </w:tcPr>
          <w:p>
            <w:pPr>
              <w:ind w:left="880"/>
              <w:spacing w:after="0"/>
              <w:rPr>
                <w:sz w:val="20"/>
                <w:szCs w:val="20"/>
                <w:color w:val="auto"/>
              </w:rPr>
            </w:pPr>
            <w:r>
              <w:rPr>
                <w:rFonts w:ascii="Arial" w:cs="Arial" w:eastAsia="Arial" w:hAnsi="Arial"/>
                <w:sz w:val="18"/>
                <w:szCs w:val="18"/>
                <w:color w:val="auto"/>
              </w:rPr>
              <w:t>2018 and December 31, 2017, liquidation value $4,200,000 at June 30, 2018</w:t>
            </w:r>
          </w:p>
        </w:tc>
        <w:tc>
          <w:tcPr>
            <w:tcW w:w="100" w:type="dxa"/>
            <w:vAlign w:val="bottom"/>
            <w:shd w:val="clear" w:color="auto" w:fill="CCEEFF"/>
          </w:tcPr>
          <w:p>
            <w:pPr>
              <w:spacing w:after="0"/>
              <w:rPr>
                <w:sz w:val="20"/>
                <w:szCs w:val="20"/>
                <w:color w:val="auto"/>
              </w:rPr>
            </w:pPr>
          </w:p>
        </w:tc>
        <w:tc>
          <w:tcPr>
            <w:tcW w:w="1180" w:type="dxa"/>
            <w:vAlign w:val="bottom"/>
            <w:gridSpan w:val="2"/>
            <w:shd w:val="clear" w:color="auto" w:fill="CCEEFF"/>
          </w:tcPr>
          <w:p>
            <w:pPr>
              <w:jc w:val="right"/>
              <w:ind w:right="540"/>
              <w:spacing w:after="0"/>
              <w:rPr>
                <w:sz w:val="20"/>
                <w:szCs w:val="20"/>
                <w:color w:val="auto"/>
              </w:rPr>
            </w:pPr>
            <w:r>
              <w:rPr>
                <w:rFonts w:ascii="Arial" w:cs="Arial" w:eastAsia="Arial" w:hAnsi="Arial"/>
                <w:sz w:val="18"/>
                <w:szCs w:val="18"/>
                <w:color w:val="auto"/>
              </w:rPr>
              <w:t>3,697</w:t>
            </w:r>
          </w:p>
        </w:tc>
        <w:tc>
          <w:tcPr>
            <w:tcW w:w="140" w:type="dxa"/>
            <w:vAlign w:val="bottom"/>
            <w:shd w:val="clear" w:color="auto" w:fill="CCEEFF"/>
          </w:tcPr>
          <w:p>
            <w:pPr>
              <w:spacing w:after="0"/>
              <w:rPr>
                <w:sz w:val="20"/>
                <w:szCs w:val="20"/>
                <w:color w:val="auto"/>
              </w:rPr>
            </w:pPr>
          </w:p>
        </w:tc>
        <w:tc>
          <w:tcPr>
            <w:tcW w:w="8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3,697</w:t>
            </w: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9180" w:type="dxa"/>
            <w:vAlign w:val="bottom"/>
          </w:tcPr>
          <w:p>
            <w:pPr>
              <w:ind w:left="700"/>
              <w:spacing w:after="0" w:line="201" w:lineRule="exact"/>
              <w:rPr>
                <w:sz w:val="20"/>
                <w:szCs w:val="20"/>
                <w:color w:val="auto"/>
              </w:rPr>
            </w:pPr>
            <w:r>
              <w:rPr>
                <w:rFonts w:ascii="Arial" w:cs="Arial" w:eastAsia="Arial" w:hAnsi="Arial"/>
                <w:sz w:val="18"/>
                <w:szCs w:val="18"/>
                <w:color w:val="auto"/>
                <w:w w:val="97"/>
              </w:rPr>
              <w:t>Series B-3 8% convertible preferred stock; 2,508,000 shares authorized, 2,508,000 issued and outstanding at</w:t>
            </w:r>
          </w:p>
        </w:tc>
        <w:tc>
          <w:tcPr>
            <w:tcW w:w="10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5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9180" w:type="dxa"/>
            <w:vAlign w:val="bottom"/>
          </w:tcPr>
          <w:p>
            <w:pPr>
              <w:ind w:left="880"/>
              <w:spacing w:after="0"/>
              <w:rPr>
                <w:sz w:val="20"/>
                <w:szCs w:val="20"/>
                <w:color w:val="auto"/>
              </w:rPr>
            </w:pPr>
            <w:r>
              <w:rPr>
                <w:rFonts w:ascii="Arial" w:cs="Arial" w:eastAsia="Arial" w:hAnsi="Arial"/>
                <w:sz w:val="18"/>
                <w:szCs w:val="18"/>
                <w:color w:val="auto"/>
              </w:rPr>
              <w:t>June 30, 2018 and December 31, 2017, liquidation value $2,508,000 at June 30, 2018</w:t>
            </w:r>
          </w:p>
        </w:tc>
        <w:tc>
          <w:tcPr>
            <w:tcW w:w="100" w:type="dxa"/>
            <w:vAlign w:val="bottom"/>
          </w:tcPr>
          <w:p>
            <w:pPr>
              <w:spacing w:after="0"/>
              <w:rPr>
                <w:sz w:val="20"/>
                <w:szCs w:val="20"/>
                <w:color w:val="auto"/>
              </w:rPr>
            </w:pPr>
          </w:p>
        </w:tc>
        <w:tc>
          <w:tcPr>
            <w:tcW w:w="1180" w:type="dxa"/>
            <w:vAlign w:val="bottom"/>
            <w:gridSpan w:val="2"/>
          </w:tcPr>
          <w:p>
            <w:pPr>
              <w:jc w:val="right"/>
              <w:ind w:right="540"/>
              <w:spacing w:after="0"/>
              <w:rPr>
                <w:sz w:val="20"/>
                <w:szCs w:val="20"/>
                <w:color w:val="auto"/>
              </w:rPr>
            </w:pPr>
            <w:r>
              <w:rPr>
                <w:rFonts w:ascii="Arial" w:cs="Arial" w:eastAsia="Arial" w:hAnsi="Arial"/>
                <w:sz w:val="18"/>
                <w:szCs w:val="18"/>
                <w:color w:val="auto"/>
              </w:rPr>
              <w:t>1,224</w:t>
            </w:r>
          </w:p>
        </w:tc>
        <w:tc>
          <w:tcPr>
            <w:tcW w:w="140" w:type="dxa"/>
            <w:vAlign w:val="bottom"/>
          </w:tcPr>
          <w:p>
            <w:pPr>
              <w:spacing w:after="0"/>
              <w:rPr>
                <w:sz w:val="20"/>
                <w:szCs w:val="20"/>
                <w:color w:val="auto"/>
              </w:rPr>
            </w:pPr>
          </w:p>
        </w:tc>
        <w:tc>
          <w:tcPr>
            <w:tcW w:w="800" w:type="dxa"/>
            <w:vAlign w:val="bottom"/>
            <w:gridSpan w:val="2"/>
          </w:tcPr>
          <w:p>
            <w:pPr>
              <w:jc w:val="right"/>
              <w:ind w:right="100"/>
              <w:spacing w:after="0"/>
              <w:rPr>
                <w:sz w:val="20"/>
                <w:szCs w:val="20"/>
                <w:color w:val="auto"/>
              </w:rPr>
            </w:pPr>
            <w:r>
              <w:rPr>
                <w:rFonts w:ascii="Arial" w:cs="Arial" w:eastAsia="Arial" w:hAnsi="Arial"/>
                <w:sz w:val="18"/>
                <w:szCs w:val="18"/>
                <w:color w:val="auto"/>
              </w:rPr>
              <w:t>1,224</w:t>
            </w: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9180" w:type="dxa"/>
            <w:vAlign w:val="bottom"/>
            <w:shd w:val="clear" w:color="auto" w:fill="CCEEFF"/>
          </w:tcPr>
          <w:p>
            <w:pPr>
              <w:ind w:left="700"/>
              <w:spacing w:after="0" w:line="201" w:lineRule="exact"/>
              <w:rPr>
                <w:sz w:val="20"/>
                <w:szCs w:val="20"/>
                <w:color w:val="auto"/>
              </w:rPr>
            </w:pPr>
            <w:r>
              <w:rPr>
                <w:rFonts w:ascii="Arial" w:cs="Arial" w:eastAsia="Arial" w:hAnsi="Arial"/>
                <w:sz w:val="18"/>
                <w:szCs w:val="18"/>
                <w:color w:val="auto"/>
              </w:rPr>
              <w:t>Common stock, $0.001 par value; 100,000,000 and 50,000,000 shares authorized at June 30, 2018 and</w:t>
            </w:r>
          </w:p>
        </w:tc>
        <w:tc>
          <w:tcPr>
            <w:tcW w:w="100" w:type="dxa"/>
            <w:vAlign w:val="bottom"/>
            <w:shd w:val="clear" w:color="auto" w:fill="CCEEFF"/>
          </w:tcPr>
          <w:p>
            <w:pPr>
              <w:spacing w:after="0"/>
              <w:rPr>
                <w:sz w:val="17"/>
                <w:szCs w:val="17"/>
                <w:color w:val="auto"/>
              </w:rPr>
            </w:pPr>
          </w:p>
        </w:tc>
        <w:tc>
          <w:tcPr>
            <w:tcW w:w="640" w:type="dxa"/>
            <w:vAlign w:val="bottom"/>
            <w:shd w:val="clear" w:color="auto" w:fill="CCEEFF"/>
          </w:tcPr>
          <w:p>
            <w:pPr>
              <w:spacing w:after="0"/>
              <w:rPr>
                <w:sz w:val="17"/>
                <w:szCs w:val="17"/>
                <w:color w:val="auto"/>
              </w:rPr>
            </w:pPr>
          </w:p>
        </w:tc>
        <w:tc>
          <w:tcPr>
            <w:tcW w:w="54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7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180" w:type="dxa"/>
            <w:vAlign w:val="bottom"/>
            <w:shd w:val="clear" w:color="auto" w:fill="CCEEFF"/>
          </w:tcPr>
          <w:p>
            <w:pPr>
              <w:ind w:left="880"/>
              <w:spacing w:after="0"/>
              <w:rPr>
                <w:sz w:val="20"/>
                <w:szCs w:val="20"/>
                <w:color w:val="auto"/>
              </w:rPr>
            </w:pPr>
            <w:r>
              <w:rPr>
                <w:rFonts w:ascii="Arial" w:cs="Arial" w:eastAsia="Arial" w:hAnsi="Arial"/>
                <w:sz w:val="18"/>
                <w:szCs w:val="18"/>
                <w:color w:val="auto"/>
                <w:w w:val="96"/>
              </w:rPr>
              <w:t>December 31, 2017, respectively, 40,628,183 and 35,789,388 issued and outstanding at June 30, 2018 and</w:t>
            </w:r>
          </w:p>
        </w:tc>
        <w:tc>
          <w:tcPr>
            <w:tcW w:w="10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9180" w:type="dxa"/>
            <w:vAlign w:val="bottom"/>
            <w:shd w:val="clear" w:color="auto" w:fill="CCEEFF"/>
          </w:tcPr>
          <w:p>
            <w:pPr>
              <w:ind w:left="880"/>
              <w:spacing w:after="0"/>
              <w:rPr>
                <w:sz w:val="20"/>
                <w:szCs w:val="20"/>
                <w:color w:val="auto"/>
              </w:rPr>
            </w:pPr>
            <w:r>
              <w:rPr>
                <w:rFonts w:ascii="Arial" w:cs="Arial" w:eastAsia="Arial" w:hAnsi="Arial"/>
                <w:sz w:val="18"/>
                <w:szCs w:val="18"/>
                <w:color w:val="auto"/>
              </w:rPr>
              <w:t>December 31, 2017, respectively</w:t>
            </w:r>
          </w:p>
        </w:tc>
        <w:tc>
          <w:tcPr>
            <w:tcW w:w="100" w:type="dxa"/>
            <w:vAlign w:val="bottom"/>
            <w:shd w:val="clear" w:color="auto" w:fill="CCEEFF"/>
          </w:tcPr>
          <w:p>
            <w:pPr>
              <w:spacing w:after="0"/>
              <w:rPr>
                <w:sz w:val="20"/>
                <w:szCs w:val="20"/>
                <w:color w:val="auto"/>
              </w:rPr>
            </w:pPr>
          </w:p>
        </w:tc>
        <w:tc>
          <w:tcPr>
            <w:tcW w:w="1180" w:type="dxa"/>
            <w:vAlign w:val="bottom"/>
            <w:gridSpan w:val="2"/>
            <w:shd w:val="clear" w:color="auto" w:fill="CCEEFF"/>
          </w:tcPr>
          <w:p>
            <w:pPr>
              <w:jc w:val="right"/>
              <w:ind w:right="540"/>
              <w:spacing w:after="0"/>
              <w:rPr>
                <w:sz w:val="20"/>
                <w:szCs w:val="20"/>
                <w:color w:val="auto"/>
              </w:rPr>
            </w:pPr>
            <w:r>
              <w:rPr>
                <w:rFonts w:ascii="Arial" w:cs="Arial" w:eastAsia="Arial" w:hAnsi="Arial"/>
                <w:sz w:val="18"/>
                <w:szCs w:val="18"/>
                <w:color w:val="auto"/>
              </w:rPr>
              <w:t>41</w:t>
            </w:r>
          </w:p>
        </w:tc>
        <w:tc>
          <w:tcPr>
            <w:tcW w:w="140" w:type="dxa"/>
            <w:vAlign w:val="bottom"/>
            <w:shd w:val="clear" w:color="auto" w:fill="CCEEFF"/>
          </w:tcPr>
          <w:p>
            <w:pPr>
              <w:spacing w:after="0"/>
              <w:rPr>
                <w:sz w:val="20"/>
                <w:szCs w:val="20"/>
                <w:color w:val="auto"/>
              </w:rPr>
            </w:pPr>
          </w:p>
        </w:tc>
        <w:tc>
          <w:tcPr>
            <w:tcW w:w="8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36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180" w:type="dxa"/>
            <w:vAlign w:val="bottom"/>
          </w:tcPr>
          <w:p>
            <w:pPr>
              <w:ind w:left="700"/>
              <w:spacing w:after="0"/>
              <w:rPr>
                <w:sz w:val="20"/>
                <w:szCs w:val="20"/>
                <w:color w:val="auto"/>
              </w:rPr>
            </w:pPr>
            <w:r>
              <w:rPr>
                <w:rFonts w:ascii="Arial" w:cs="Arial" w:eastAsia="Arial" w:hAnsi="Arial"/>
                <w:sz w:val="18"/>
                <w:szCs w:val="18"/>
                <w:color w:val="auto"/>
              </w:rPr>
              <w:t>Additional paid-in capital</w:t>
            </w:r>
          </w:p>
        </w:tc>
        <w:tc>
          <w:tcPr>
            <w:tcW w:w="100" w:type="dxa"/>
            <w:vAlign w:val="bottom"/>
          </w:tcPr>
          <w:p>
            <w:pPr>
              <w:spacing w:after="0"/>
              <w:rPr>
                <w:sz w:val="18"/>
                <w:szCs w:val="18"/>
                <w:color w:val="auto"/>
              </w:rPr>
            </w:pPr>
          </w:p>
        </w:tc>
        <w:tc>
          <w:tcPr>
            <w:tcW w:w="1180" w:type="dxa"/>
            <w:vAlign w:val="bottom"/>
            <w:gridSpan w:val="2"/>
          </w:tcPr>
          <w:p>
            <w:pPr>
              <w:jc w:val="right"/>
              <w:ind w:right="540"/>
              <w:spacing w:after="0"/>
              <w:rPr>
                <w:sz w:val="20"/>
                <w:szCs w:val="20"/>
                <w:color w:val="auto"/>
              </w:rPr>
            </w:pPr>
            <w:r>
              <w:rPr>
                <w:rFonts w:ascii="Arial" w:cs="Arial" w:eastAsia="Arial" w:hAnsi="Arial"/>
                <w:sz w:val="18"/>
                <w:szCs w:val="18"/>
                <w:color w:val="auto"/>
                <w:w w:val="95"/>
              </w:rPr>
              <w:t>190,602</w:t>
            </w:r>
          </w:p>
        </w:tc>
        <w:tc>
          <w:tcPr>
            <w:tcW w:w="140" w:type="dxa"/>
            <w:vAlign w:val="bottom"/>
          </w:tcPr>
          <w:p>
            <w:pPr>
              <w:spacing w:after="0"/>
              <w:rPr>
                <w:sz w:val="18"/>
                <w:szCs w:val="18"/>
                <w:color w:val="auto"/>
              </w:rPr>
            </w:pPr>
          </w:p>
        </w:tc>
        <w:tc>
          <w:tcPr>
            <w:tcW w:w="800" w:type="dxa"/>
            <w:vAlign w:val="bottom"/>
            <w:gridSpan w:val="2"/>
          </w:tcPr>
          <w:p>
            <w:pPr>
              <w:jc w:val="right"/>
              <w:ind w:right="100"/>
              <w:spacing w:after="0"/>
              <w:rPr>
                <w:sz w:val="20"/>
                <w:szCs w:val="20"/>
                <w:color w:val="auto"/>
              </w:rPr>
            </w:pPr>
            <w:r>
              <w:rPr>
                <w:rFonts w:ascii="Arial" w:cs="Arial" w:eastAsia="Arial" w:hAnsi="Arial"/>
                <w:sz w:val="18"/>
                <w:szCs w:val="18"/>
                <w:color w:val="auto"/>
              </w:rPr>
              <w:t>173,363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180" w:type="dxa"/>
            <w:vAlign w:val="bottom"/>
            <w:shd w:val="clear" w:color="auto" w:fill="CCEEFF"/>
          </w:tcPr>
          <w:p>
            <w:pPr>
              <w:ind w:left="700"/>
              <w:spacing w:after="0"/>
              <w:rPr>
                <w:sz w:val="20"/>
                <w:szCs w:val="20"/>
                <w:color w:val="auto"/>
              </w:rPr>
            </w:pPr>
            <w:r>
              <w:rPr>
                <w:rFonts w:ascii="Arial" w:cs="Arial" w:eastAsia="Arial" w:hAnsi="Arial"/>
                <w:sz w:val="18"/>
                <w:szCs w:val="18"/>
                <w:color w:val="auto"/>
              </w:rPr>
              <w:t>Retained deficit</w:t>
            </w:r>
          </w:p>
        </w:tc>
        <w:tc>
          <w:tcPr>
            <w:tcW w:w="100" w:type="dxa"/>
            <w:vAlign w:val="bottom"/>
            <w:shd w:val="clear" w:color="auto" w:fill="CCEEFF"/>
          </w:tcPr>
          <w:p>
            <w:pPr>
              <w:spacing w:after="0"/>
              <w:rPr>
                <w:sz w:val="18"/>
                <w:szCs w:val="18"/>
                <w:color w:val="auto"/>
              </w:rPr>
            </w:pPr>
          </w:p>
        </w:tc>
        <w:tc>
          <w:tcPr>
            <w:tcW w:w="1180" w:type="dxa"/>
            <w:vAlign w:val="bottom"/>
            <w:gridSpan w:val="2"/>
            <w:shd w:val="clear" w:color="auto" w:fill="CCEEFF"/>
          </w:tcPr>
          <w:p>
            <w:pPr>
              <w:jc w:val="right"/>
              <w:ind w:right="480"/>
              <w:spacing w:after="0"/>
              <w:rPr>
                <w:sz w:val="20"/>
                <w:szCs w:val="20"/>
                <w:color w:val="auto"/>
              </w:rPr>
            </w:pPr>
            <w:r>
              <w:rPr>
                <w:rFonts w:ascii="Arial" w:cs="Arial" w:eastAsia="Arial" w:hAnsi="Arial"/>
                <w:sz w:val="18"/>
                <w:szCs w:val="18"/>
                <w:color w:val="auto"/>
                <w:w w:val="88"/>
              </w:rPr>
              <w:t>(189,820)</w:t>
            </w:r>
          </w:p>
        </w:tc>
        <w:tc>
          <w:tcPr>
            <w:tcW w:w="14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w w:val="95"/>
              </w:rPr>
              <w:t>(181,168)</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9180" w:type="dxa"/>
            <w:vAlign w:val="bottom"/>
          </w:tcPr>
          <w:p>
            <w:pPr>
              <w:ind w:left="1060"/>
              <w:spacing w:after="0"/>
              <w:rPr>
                <w:sz w:val="20"/>
                <w:szCs w:val="20"/>
                <w:color w:val="auto"/>
              </w:rPr>
            </w:pPr>
            <w:r>
              <w:rPr>
                <w:rFonts w:ascii="Arial" w:cs="Arial" w:eastAsia="Arial" w:hAnsi="Arial"/>
                <w:sz w:val="18"/>
                <w:szCs w:val="18"/>
                <w:color w:val="auto"/>
              </w:rPr>
              <w:t>Total stockholders’ equity (deficit)</w:t>
            </w:r>
          </w:p>
        </w:tc>
        <w:tc>
          <w:tcPr>
            <w:tcW w:w="100" w:type="dxa"/>
            <w:vAlign w:val="bottom"/>
            <w:tcBorders>
              <w:top w:val="single" w:sz="8" w:color="auto"/>
              <w:bottom w:val="single" w:sz="8" w:color="auto"/>
            </w:tcBorders>
          </w:tcPr>
          <w:p>
            <w:pPr>
              <w:spacing w:after="0"/>
              <w:rPr>
                <w:sz w:val="20"/>
                <w:szCs w:val="20"/>
                <w:color w:val="auto"/>
              </w:rPr>
            </w:pPr>
          </w:p>
        </w:tc>
        <w:tc>
          <w:tcPr>
            <w:tcW w:w="6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8,052</w:t>
            </w:r>
          </w:p>
        </w:tc>
        <w:tc>
          <w:tcPr>
            <w:tcW w:w="540" w:type="dxa"/>
            <w:vAlign w:val="bottom"/>
          </w:tcPr>
          <w:p>
            <w:pPr>
              <w:spacing w:after="0"/>
              <w:rPr>
                <w:sz w:val="20"/>
                <w:szCs w:val="20"/>
                <w:color w:val="auto"/>
              </w:rPr>
            </w:pPr>
          </w:p>
        </w:tc>
        <w:tc>
          <w:tcPr>
            <w:tcW w:w="140" w:type="dxa"/>
            <w:vAlign w:val="bottom"/>
            <w:tcBorders>
              <w:top w:val="single" w:sz="8" w:color="auto"/>
              <w:bottom w:val="single" w:sz="8" w:color="auto"/>
            </w:tcBorders>
          </w:tcPr>
          <w:p>
            <w:pPr>
              <w:spacing w:after="0"/>
              <w:rPr>
                <w:sz w:val="20"/>
                <w:szCs w:val="20"/>
                <w:color w:val="auto"/>
              </w:rPr>
            </w:pPr>
          </w:p>
        </w:tc>
        <w:tc>
          <w:tcPr>
            <w:tcW w:w="7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(530)</w:t>
            </w: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180" w:type="dxa"/>
            <w:vAlign w:val="bottom"/>
            <w:shd w:val="clear" w:color="auto" w:fill="CCEEFF"/>
          </w:tcPr>
          <w:p>
            <w:pPr>
              <w:spacing w:after="0"/>
              <w:rPr>
                <w:sz w:val="20"/>
                <w:szCs w:val="20"/>
                <w:color w:val="auto"/>
              </w:rPr>
            </w:pPr>
            <w:r>
              <w:rPr>
                <w:rFonts w:ascii="Arial" w:cs="Arial" w:eastAsia="Arial" w:hAnsi="Arial"/>
                <w:sz w:val="18"/>
                <w:szCs w:val="18"/>
                <w:color w:val="auto"/>
              </w:rPr>
              <w:t>Total liabilities, redeemable convertible preferred stock and stockholders’ equity(deficit)</w:t>
            </w: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180" w:type="dxa"/>
            <w:vAlign w:val="bottom"/>
            <w:gridSpan w:val="2"/>
            <w:shd w:val="clear" w:color="auto" w:fill="CCEEFF"/>
          </w:tcPr>
          <w:p>
            <w:pPr>
              <w:jc w:val="right"/>
              <w:ind w:right="540"/>
              <w:spacing w:after="0"/>
              <w:rPr>
                <w:sz w:val="20"/>
                <w:szCs w:val="20"/>
                <w:color w:val="auto"/>
              </w:rPr>
            </w:pPr>
            <w:r>
              <w:rPr>
                <w:rFonts w:ascii="Arial" w:cs="Arial" w:eastAsia="Arial" w:hAnsi="Arial"/>
                <w:sz w:val="18"/>
                <w:szCs w:val="18"/>
                <w:color w:val="auto"/>
              </w:rPr>
              <w:t>11,210</w:t>
            </w:r>
          </w:p>
        </w:tc>
        <w:tc>
          <w:tcPr>
            <w:tcW w:w="14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8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4,161</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918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7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1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See notes to unaudited condensed consolidated financial statements.</w:t>
      </w:r>
    </w:p>
    <w:p>
      <w:pPr>
        <w:spacing w:after="0" w:line="15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w:t>
      </w:r>
    </w:p>
    <w:p>
      <w:pPr>
        <w:sectPr>
          <w:pgSz w:w="11900" w:h="16838" w:orient="portrait"/>
          <w:cols w:equalWidth="0" w:num="1">
            <w:col w:w="11420"/>
          </w:cols>
          <w:pgMar w:left="240" w:top="459" w:right="239" w:bottom="1440" w:gutter="0" w:footer="0" w:header="0"/>
        </w:sectPr>
      </w:pPr>
    </w:p>
    <w:bookmarkStart w:id="3" w:name="page4"/>
    <w:bookmarkEnd w:id="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GALECTIN THERAPEUTICS INC.</w:t>
      </w:r>
    </w:p>
    <w:p>
      <w:pPr>
        <w:spacing w:after="0" w:line="2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CONDENSED CONSOLIDATED STATEMENTS OF OPERATIONS (UNAUDITED)</w:t>
      </w:r>
    </w:p>
    <w:p>
      <w:pPr>
        <w:spacing w:after="0" w:line="217"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60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740" w:type="dxa"/>
            <w:vAlign w:val="bottom"/>
            <w:gridSpan w:val="5"/>
          </w:tcPr>
          <w:p>
            <w:pPr>
              <w:jc w:val="center"/>
              <w:ind w:right="460"/>
              <w:spacing w:after="0"/>
              <w:rPr>
                <w:sz w:val="20"/>
                <w:szCs w:val="20"/>
                <w:color w:val="auto"/>
              </w:rPr>
            </w:pPr>
            <w:r>
              <w:rPr>
                <w:rFonts w:ascii="Arial" w:cs="Arial" w:eastAsia="Arial" w:hAnsi="Arial"/>
                <w:sz w:val="14"/>
                <w:szCs w:val="14"/>
                <w:b w:val="1"/>
                <w:bCs w:val="1"/>
                <w:color w:val="auto"/>
                <w:w w:val="95"/>
              </w:rPr>
              <w:t>Three Months Ended</w:t>
            </w:r>
          </w:p>
        </w:tc>
        <w:tc>
          <w:tcPr>
            <w:tcW w:w="80" w:type="dxa"/>
            <w:vAlign w:val="bottom"/>
          </w:tcPr>
          <w:p>
            <w:pPr>
              <w:spacing w:after="0"/>
              <w:rPr>
                <w:sz w:val="14"/>
                <w:szCs w:val="14"/>
                <w:color w:val="auto"/>
              </w:rPr>
            </w:pPr>
          </w:p>
        </w:tc>
        <w:tc>
          <w:tcPr>
            <w:tcW w:w="2480" w:type="dxa"/>
            <w:vAlign w:val="bottom"/>
            <w:gridSpan w:val="6"/>
          </w:tcPr>
          <w:p>
            <w:pPr>
              <w:jc w:val="center"/>
              <w:ind w:right="180"/>
              <w:spacing w:after="0"/>
              <w:rPr>
                <w:sz w:val="20"/>
                <w:szCs w:val="20"/>
                <w:color w:val="auto"/>
              </w:rPr>
            </w:pPr>
            <w:r>
              <w:rPr>
                <w:rFonts w:ascii="Arial" w:cs="Arial" w:eastAsia="Arial" w:hAnsi="Arial"/>
                <w:sz w:val="14"/>
                <w:szCs w:val="14"/>
                <w:b w:val="1"/>
                <w:bCs w:val="1"/>
                <w:color w:val="auto"/>
                <w:w w:val="93"/>
              </w:rPr>
              <w:t>Six Months Ended</w:t>
            </w:r>
          </w:p>
        </w:tc>
      </w:tr>
      <w:tr>
        <w:trPr>
          <w:trHeight w:val="171"/>
        </w:trPr>
        <w:tc>
          <w:tcPr>
            <w:tcW w:w="20" w:type="dxa"/>
            <w:vAlign w:val="bottom"/>
          </w:tcPr>
          <w:p>
            <w:pPr>
              <w:spacing w:after="0"/>
              <w:rPr>
                <w:sz w:val="14"/>
                <w:szCs w:val="14"/>
                <w:color w:val="auto"/>
              </w:rPr>
            </w:pPr>
          </w:p>
        </w:tc>
        <w:tc>
          <w:tcPr>
            <w:tcW w:w="6020" w:type="dxa"/>
            <w:vAlign w:val="bottom"/>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1580" w:type="dxa"/>
            <w:vAlign w:val="bottom"/>
            <w:tcBorders>
              <w:bottom w:val="single" w:sz="8" w:color="auto"/>
            </w:tcBorders>
            <w:gridSpan w:val="3"/>
          </w:tcPr>
          <w:p>
            <w:pPr>
              <w:jc w:val="center"/>
              <w:ind w:left="614"/>
              <w:spacing w:after="0"/>
              <w:rPr>
                <w:sz w:val="20"/>
                <w:szCs w:val="20"/>
                <w:color w:val="auto"/>
              </w:rPr>
            </w:pPr>
            <w:r>
              <w:rPr>
                <w:rFonts w:ascii="Arial" w:cs="Arial" w:eastAsia="Arial" w:hAnsi="Arial"/>
                <w:sz w:val="14"/>
                <w:szCs w:val="14"/>
                <w:b w:val="1"/>
                <w:bCs w:val="1"/>
                <w:color w:val="auto"/>
                <w:w w:val="92"/>
              </w:rPr>
              <w:t>June 30,</w:t>
            </w:r>
          </w:p>
        </w:tc>
        <w:tc>
          <w:tcPr>
            <w:tcW w:w="780" w:type="dxa"/>
            <w:vAlign w:val="bottom"/>
            <w:tcBorders>
              <w:bottom w:val="single" w:sz="8" w:color="auto"/>
            </w:tcBorders>
          </w:tcPr>
          <w:p>
            <w:pPr>
              <w:spacing w:after="0"/>
              <w:rPr>
                <w:sz w:val="14"/>
                <w:szCs w:val="14"/>
                <w:color w:val="auto"/>
              </w:rPr>
            </w:pPr>
          </w:p>
        </w:tc>
        <w:tc>
          <w:tcPr>
            <w:tcW w:w="380" w:type="dxa"/>
            <w:vAlign w:val="bottom"/>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860" w:type="dxa"/>
            <w:vAlign w:val="bottom"/>
            <w:tcBorders>
              <w:bottom w:val="single" w:sz="8" w:color="auto"/>
            </w:tcBorders>
          </w:tcPr>
          <w:p>
            <w:pPr>
              <w:spacing w:after="0"/>
              <w:rPr>
                <w:sz w:val="14"/>
                <w:szCs w:val="14"/>
                <w:color w:val="auto"/>
              </w:rPr>
            </w:pPr>
          </w:p>
        </w:tc>
        <w:tc>
          <w:tcPr>
            <w:tcW w:w="680" w:type="dxa"/>
            <w:vAlign w:val="bottom"/>
            <w:tcBorders>
              <w:bottom w:val="single" w:sz="8" w:color="auto"/>
            </w:tcBorders>
            <w:gridSpan w:val="3"/>
          </w:tcPr>
          <w:p>
            <w:pPr>
              <w:jc w:val="center"/>
              <w:ind w:right="45"/>
              <w:spacing w:after="0"/>
              <w:rPr>
                <w:sz w:val="20"/>
                <w:szCs w:val="20"/>
                <w:color w:val="auto"/>
              </w:rPr>
            </w:pPr>
            <w:r>
              <w:rPr>
                <w:rFonts w:ascii="Arial" w:cs="Arial" w:eastAsia="Arial" w:hAnsi="Arial"/>
                <w:sz w:val="14"/>
                <w:szCs w:val="14"/>
                <w:b w:val="1"/>
                <w:bCs w:val="1"/>
                <w:color w:val="auto"/>
                <w:w w:val="92"/>
              </w:rPr>
              <w:t>June 30,</w:t>
            </w:r>
          </w:p>
        </w:tc>
        <w:tc>
          <w:tcPr>
            <w:tcW w:w="840" w:type="dxa"/>
            <w:vAlign w:val="bottom"/>
            <w:tcBorders>
              <w:bottom w:val="single" w:sz="8" w:color="auto"/>
            </w:tcBorders>
          </w:tcPr>
          <w:p>
            <w:pPr>
              <w:spacing w:after="0"/>
              <w:rPr>
                <w:sz w:val="14"/>
                <w:szCs w:val="14"/>
                <w:color w:val="auto"/>
              </w:rPr>
            </w:pPr>
          </w:p>
        </w:tc>
        <w:tc>
          <w:tcPr>
            <w:tcW w:w="100" w:type="dxa"/>
            <w:vAlign w:val="bottom"/>
          </w:tcPr>
          <w:p>
            <w:pPr>
              <w:spacing w:after="0"/>
              <w:rPr>
                <w:sz w:val="14"/>
                <w:szCs w:val="14"/>
                <w:color w:val="auto"/>
              </w:rPr>
            </w:pPr>
          </w:p>
        </w:tc>
      </w:tr>
      <w:tr>
        <w:trPr>
          <w:trHeight w:val="142"/>
        </w:trPr>
        <w:tc>
          <w:tcPr>
            <w:tcW w:w="20" w:type="dxa"/>
            <w:vAlign w:val="bottom"/>
          </w:tcPr>
          <w:p>
            <w:pPr>
              <w:spacing w:after="0"/>
              <w:rPr>
                <w:sz w:val="12"/>
                <w:szCs w:val="12"/>
                <w:color w:val="auto"/>
              </w:rPr>
            </w:pPr>
          </w:p>
        </w:tc>
        <w:tc>
          <w:tcPr>
            <w:tcW w:w="6020" w:type="dxa"/>
            <w:vAlign w:val="bottom"/>
          </w:tcPr>
          <w:p>
            <w:pPr>
              <w:spacing w:after="0"/>
              <w:rPr>
                <w:sz w:val="12"/>
                <w:szCs w:val="12"/>
                <w:color w:val="auto"/>
              </w:rPr>
            </w:pPr>
          </w:p>
        </w:tc>
        <w:tc>
          <w:tcPr>
            <w:tcW w:w="80" w:type="dxa"/>
            <w:vAlign w:val="bottom"/>
            <w:tcBorders>
              <w:bottom w:val="single" w:sz="8" w:color="auto"/>
            </w:tcBorders>
          </w:tcPr>
          <w:p>
            <w:pPr>
              <w:spacing w:after="0"/>
              <w:rPr>
                <w:sz w:val="12"/>
                <w:szCs w:val="12"/>
                <w:color w:val="auto"/>
              </w:rPr>
            </w:pPr>
          </w:p>
        </w:tc>
        <w:tc>
          <w:tcPr>
            <w:tcW w:w="900" w:type="dxa"/>
            <w:vAlign w:val="bottom"/>
            <w:tcBorders>
              <w:bottom w:val="single" w:sz="8" w:color="auto"/>
            </w:tcBorders>
          </w:tcPr>
          <w:p>
            <w:pPr>
              <w:jc w:val="right"/>
              <w:ind w:right="274"/>
              <w:spacing w:after="0" w:line="142" w:lineRule="exact"/>
              <w:rPr>
                <w:sz w:val="20"/>
                <w:szCs w:val="20"/>
                <w:color w:val="auto"/>
              </w:rPr>
            </w:pPr>
            <w:r>
              <w:rPr>
                <w:rFonts w:ascii="Arial" w:cs="Arial" w:eastAsia="Arial" w:hAnsi="Arial"/>
                <w:sz w:val="14"/>
                <w:szCs w:val="14"/>
                <w:b w:val="1"/>
                <w:bCs w:val="1"/>
                <w:color w:val="auto"/>
              </w:rPr>
              <w:t>2018</w:t>
            </w:r>
          </w:p>
        </w:tc>
        <w:tc>
          <w:tcPr>
            <w:tcW w:w="440" w:type="dxa"/>
            <w:vAlign w:val="bottom"/>
            <w:tcBorders>
              <w:bottom w:val="single" w:sz="8" w:color="auto"/>
            </w:tcBorders>
          </w:tcPr>
          <w:p>
            <w:pPr>
              <w:spacing w:after="0"/>
              <w:rPr>
                <w:sz w:val="12"/>
                <w:szCs w:val="12"/>
                <w:color w:val="auto"/>
              </w:rPr>
            </w:pPr>
          </w:p>
        </w:tc>
        <w:tc>
          <w:tcPr>
            <w:tcW w:w="240" w:type="dxa"/>
            <w:vAlign w:val="bottom"/>
            <w:tcBorders>
              <w:bottom w:val="single" w:sz="8" w:color="auto"/>
            </w:tcBorders>
          </w:tcPr>
          <w:p>
            <w:pPr>
              <w:spacing w:after="0"/>
              <w:rPr>
                <w:sz w:val="12"/>
                <w:szCs w:val="12"/>
                <w:color w:val="auto"/>
              </w:rPr>
            </w:pPr>
          </w:p>
        </w:tc>
        <w:tc>
          <w:tcPr>
            <w:tcW w:w="780" w:type="dxa"/>
            <w:vAlign w:val="bottom"/>
            <w:tcBorders>
              <w:bottom w:val="single" w:sz="8" w:color="auto"/>
            </w:tcBorders>
          </w:tcPr>
          <w:p>
            <w:pPr>
              <w:jc w:val="right"/>
              <w:ind w:right="271"/>
              <w:spacing w:after="0" w:line="142" w:lineRule="exact"/>
              <w:rPr>
                <w:sz w:val="20"/>
                <w:szCs w:val="20"/>
                <w:color w:val="auto"/>
              </w:rPr>
            </w:pPr>
            <w:r>
              <w:rPr>
                <w:rFonts w:ascii="Arial" w:cs="Arial" w:eastAsia="Arial" w:hAnsi="Arial"/>
                <w:sz w:val="14"/>
                <w:szCs w:val="14"/>
                <w:b w:val="1"/>
                <w:bCs w:val="1"/>
                <w:color w:val="auto"/>
              </w:rPr>
              <w:t>2017</w:t>
            </w:r>
          </w:p>
        </w:tc>
        <w:tc>
          <w:tcPr>
            <w:tcW w:w="380" w:type="dxa"/>
            <w:vAlign w:val="bottom"/>
          </w:tcPr>
          <w:p>
            <w:pPr>
              <w:spacing w:after="0"/>
              <w:rPr>
                <w:sz w:val="12"/>
                <w:szCs w:val="12"/>
                <w:color w:val="auto"/>
              </w:rPr>
            </w:pPr>
          </w:p>
        </w:tc>
        <w:tc>
          <w:tcPr>
            <w:tcW w:w="80" w:type="dxa"/>
            <w:vAlign w:val="bottom"/>
            <w:tcBorders>
              <w:bottom w:val="single" w:sz="8" w:color="auto"/>
            </w:tcBorders>
          </w:tcPr>
          <w:p>
            <w:pPr>
              <w:spacing w:after="0"/>
              <w:rPr>
                <w:sz w:val="12"/>
                <w:szCs w:val="12"/>
                <w:color w:val="auto"/>
              </w:rPr>
            </w:pPr>
          </w:p>
        </w:tc>
        <w:tc>
          <w:tcPr>
            <w:tcW w:w="860" w:type="dxa"/>
            <w:vAlign w:val="bottom"/>
            <w:tcBorders>
              <w:bottom w:val="single" w:sz="8" w:color="auto"/>
            </w:tcBorders>
          </w:tcPr>
          <w:p>
            <w:pPr>
              <w:jc w:val="right"/>
              <w:ind w:right="234"/>
              <w:spacing w:after="0" w:line="142" w:lineRule="exact"/>
              <w:rPr>
                <w:sz w:val="20"/>
                <w:szCs w:val="20"/>
                <w:color w:val="auto"/>
              </w:rPr>
            </w:pPr>
            <w:r>
              <w:rPr>
                <w:rFonts w:ascii="Arial" w:cs="Arial" w:eastAsia="Arial" w:hAnsi="Arial"/>
                <w:sz w:val="14"/>
                <w:szCs w:val="14"/>
                <w:b w:val="1"/>
                <w:bCs w:val="1"/>
                <w:color w:val="auto"/>
              </w:rPr>
              <w:t>2018</w:t>
            </w:r>
          </w:p>
        </w:tc>
        <w:tc>
          <w:tcPr>
            <w:tcW w:w="240" w:type="dxa"/>
            <w:vAlign w:val="bottom"/>
            <w:tcBorders>
              <w:bottom w:val="single" w:sz="8" w:color="auto"/>
            </w:tcBorders>
          </w:tcPr>
          <w:p>
            <w:pPr>
              <w:spacing w:after="0"/>
              <w:rPr>
                <w:sz w:val="12"/>
                <w:szCs w:val="12"/>
                <w:color w:val="auto"/>
              </w:rPr>
            </w:pPr>
          </w:p>
        </w:tc>
        <w:tc>
          <w:tcPr>
            <w:tcW w:w="200" w:type="dxa"/>
            <w:vAlign w:val="bottom"/>
            <w:tcBorders>
              <w:bottom w:val="single" w:sz="8" w:color="auto"/>
            </w:tcBorders>
          </w:tcPr>
          <w:p>
            <w:pPr>
              <w:spacing w:after="0"/>
              <w:rPr>
                <w:sz w:val="12"/>
                <w:szCs w:val="12"/>
                <w:color w:val="auto"/>
              </w:rPr>
            </w:pPr>
          </w:p>
        </w:tc>
        <w:tc>
          <w:tcPr>
            <w:tcW w:w="240" w:type="dxa"/>
            <w:vAlign w:val="bottom"/>
            <w:tcBorders>
              <w:bottom w:val="single" w:sz="8" w:color="auto"/>
            </w:tcBorders>
          </w:tcPr>
          <w:p>
            <w:pPr>
              <w:spacing w:after="0"/>
              <w:rPr>
                <w:sz w:val="12"/>
                <w:szCs w:val="12"/>
                <w:color w:val="auto"/>
              </w:rPr>
            </w:pPr>
          </w:p>
        </w:tc>
        <w:tc>
          <w:tcPr>
            <w:tcW w:w="840" w:type="dxa"/>
            <w:vAlign w:val="bottom"/>
            <w:tcBorders>
              <w:bottom w:val="single" w:sz="8" w:color="auto"/>
            </w:tcBorders>
          </w:tcPr>
          <w:p>
            <w:pPr>
              <w:jc w:val="right"/>
              <w:ind w:right="311"/>
              <w:spacing w:after="0" w:line="142" w:lineRule="exact"/>
              <w:rPr>
                <w:sz w:val="20"/>
                <w:szCs w:val="20"/>
                <w:color w:val="auto"/>
              </w:rPr>
            </w:pPr>
            <w:r>
              <w:rPr>
                <w:rFonts w:ascii="Arial" w:cs="Arial" w:eastAsia="Arial" w:hAnsi="Arial"/>
                <w:sz w:val="14"/>
                <w:szCs w:val="14"/>
                <w:b w:val="1"/>
                <w:bCs w:val="1"/>
                <w:color w:val="auto"/>
              </w:rPr>
              <w:t>2017</w:t>
            </w:r>
          </w:p>
        </w:tc>
        <w:tc>
          <w:tcPr>
            <w:tcW w:w="100" w:type="dxa"/>
            <w:vAlign w:val="bottom"/>
          </w:tcPr>
          <w:p>
            <w:pPr>
              <w:spacing w:after="0"/>
              <w:rPr>
                <w:sz w:val="12"/>
                <w:szCs w:val="12"/>
                <w:color w:val="auto"/>
              </w:rPr>
            </w:pPr>
          </w:p>
        </w:tc>
      </w:tr>
      <w:tr>
        <w:trPr>
          <w:trHeight w:val="142"/>
        </w:trPr>
        <w:tc>
          <w:tcPr>
            <w:tcW w:w="20" w:type="dxa"/>
            <w:vAlign w:val="bottom"/>
          </w:tcPr>
          <w:p>
            <w:pPr>
              <w:spacing w:after="0"/>
              <w:rPr>
                <w:sz w:val="12"/>
                <w:szCs w:val="12"/>
                <w:color w:val="auto"/>
              </w:rPr>
            </w:pPr>
          </w:p>
        </w:tc>
        <w:tc>
          <w:tcPr>
            <w:tcW w:w="60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2360" w:type="dxa"/>
            <w:vAlign w:val="bottom"/>
            <w:gridSpan w:val="4"/>
          </w:tcPr>
          <w:p>
            <w:pPr>
              <w:jc w:val="center"/>
              <w:spacing w:after="0" w:line="142" w:lineRule="exact"/>
              <w:rPr>
                <w:sz w:val="20"/>
                <w:szCs w:val="20"/>
                <w:color w:val="auto"/>
              </w:rPr>
            </w:pPr>
            <w:r>
              <w:rPr>
                <w:rFonts w:ascii="Arial" w:cs="Arial" w:eastAsia="Arial" w:hAnsi="Arial"/>
                <w:sz w:val="14"/>
                <w:szCs w:val="14"/>
                <w:b w:val="1"/>
                <w:bCs w:val="1"/>
                <w:color w:val="auto"/>
                <w:w w:val="90"/>
              </w:rPr>
              <w:t>(in thousands, except per share data)</w:t>
            </w:r>
          </w:p>
        </w:tc>
        <w:tc>
          <w:tcPr>
            <w:tcW w:w="3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2380" w:type="dxa"/>
            <w:vAlign w:val="bottom"/>
            <w:gridSpan w:val="5"/>
          </w:tcPr>
          <w:p>
            <w:pPr>
              <w:jc w:val="center"/>
              <w:spacing w:after="0" w:line="142" w:lineRule="exact"/>
              <w:rPr>
                <w:sz w:val="20"/>
                <w:szCs w:val="20"/>
                <w:color w:val="auto"/>
              </w:rPr>
            </w:pPr>
            <w:r>
              <w:rPr>
                <w:rFonts w:ascii="Arial" w:cs="Arial" w:eastAsia="Arial" w:hAnsi="Arial"/>
                <w:sz w:val="14"/>
                <w:szCs w:val="14"/>
                <w:b w:val="1"/>
                <w:bCs w:val="1"/>
                <w:color w:val="auto"/>
                <w:w w:val="91"/>
              </w:rPr>
              <w:t>(in thousands, except per share data)</w:t>
            </w:r>
          </w:p>
        </w:tc>
        <w:tc>
          <w:tcPr>
            <w:tcW w:w="100" w:type="dxa"/>
            <w:vAlign w:val="bottom"/>
          </w:tcPr>
          <w:p>
            <w:pPr>
              <w:spacing w:after="0"/>
              <w:rPr>
                <w:sz w:val="12"/>
                <w:szCs w:val="12"/>
                <w:color w:val="auto"/>
              </w:rPr>
            </w:pPr>
          </w:p>
        </w:tc>
      </w:tr>
      <w:tr>
        <w:trPr>
          <w:trHeight w:val="216"/>
        </w:trPr>
        <w:tc>
          <w:tcPr>
            <w:tcW w:w="20" w:type="dxa"/>
            <w:vAlign w:val="bottom"/>
          </w:tcPr>
          <w:p>
            <w:pPr>
              <w:spacing w:after="0"/>
              <w:rPr>
                <w:sz w:val="18"/>
                <w:szCs w:val="18"/>
                <w:color w:val="auto"/>
              </w:rPr>
            </w:pPr>
          </w:p>
        </w:tc>
        <w:tc>
          <w:tcPr>
            <w:tcW w:w="6020" w:type="dxa"/>
            <w:vAlign w:val="bottom"/>
            <w:shd w:val="clear" w:color="auto" w:fill="CCEEFF"/>
          </w:tcPr>
          <w:p>
            <w:pPr>
              <w:spacing w:after="0"/>
              <w:rPr>
                <w:sz w:val="20"/>
                <w:szCs w:val="20"/>
                <w:color w:val="auto"/>
              </w:rPr>
            </w:pPr>
            <w:r>
              <w:rPr>
                <w:rFonts w:ascii="Arial" w:cs="Arial" w:eastAsia="Arial" w:hAnsi="Arial"/>
                <w:sz w:val="18"/>
                <w:szCs w:val="18"/>
                <w:color w:val="auto"/>
              </w:rPr>
              <w:t>Operating expenses:</w:t>
            </w:r>
          </w:p>
        </w:tc>
        <w:tc>
          <w:tcPr>
            <w:tcW w:w="8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6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8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6020" w:type="dxa"/>
            <w:vAlign w:val="bottom"/>
          </w:tcPr>
          <w:p>
            <w:pPr>
              <w:ind w:left="340"/>
              <w:spacing w:after="0"/>
              <w:rPr>
                <w:sz w:val="20"/>
                <w:szCs w:val="20"/>
                <w:color w:val="auto"/>
              </w:rPr>
            </w:pPr>
            <w:r>
              <w:rPr>
                <w:rFonts w:ascii="Arial" w:cs="Arial" w:eastAsia="Arial" w:hAnsi="Arial"/>
                <w:sz w:val="18"/>
                <w:szCs w:val="18"/>
                <w:color w:val="auto"/>
              </w:rPr>
              <w:t>Research and development</w:t>
            </w:r>
          </w:p>
        </w:tc>
        <w:tc>
          <w:tcPr>
            <w:tcW w:w="8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1340" w:type="dxa"/>
            <w:vAlign w:val="bottom"/>
            <w:gridSpan w:val="2"/>
          </w:tcPr>
          <w:p>
            <w:pPr>
              <w:jc w:val="right"/>
              <w:ind w:right="440"/>
              <w:spacing w:after="0"/>
              <w:rPr>
                <w:sz w:val="20"/>
                <w:szCs w:val="20"/>
                <w:color w:val="auto"/>
              </w:rPr>
            </w:pPr>
            <w:r>
              <w:rPr>
                <w:rFonts w:ascii="Arial" w:cs="Arial" w:eastAsia="Arial" w:hAnsi="Arial"/>
                <w:sz w:val="18"/>
                <w:szCs w:val="18"/>
                <w:color w:val="auto"/>
              </w:rPr>
              <w:t>1,476</w:t>
            </w:r>
          </w:p>
        </w:tc>
        <w:tc>
          <w:tcPr>
            <w:tcW w:w="240" w:type="dxa"/>
            <w:vAlign w:val="bottom"/>
          </w:tcPr>
          <w:p>
            <w:pPr>
              <w:jc w:val="right"/>
              <w:ind w:right="50"/>
              <w:spacing w:after="0"/>
              <w:rPr>
                <w:sz w:val="20"/>
                <w:szCs w:val="20"/>
                <w:color w:val="auto"/>
              </w:rPr>
            </w:pPr>
            <w:r>
              <w:rPr>
                <w:rFonts w:ascii="Arial" w:cs="Arial" w:eastAsia="Arial" w:hAnsi="Arial"/>
                <w:sz w:val="18"/>
                <w:szCs w:val="18"/>
                <w:color w:val="auto"/>
                <w:w w:val="79"/>
              </w:rPr>
              <w:t>$</w:t>
            </w:r>
          </w:p>
        </w:tc>
        <w:tc>
          <w:tcPr>
            <w:tcW w:w="1160" w:type="dxa"/>
            <w:vAlign w:val="bottom"/>
            <w:gridSpan w:val="2"/>
          </w:tcPr>
          <w:p>
            <w:pPr>
              <w:jc w:val="right"/>
              <w:ind w:right="380"/>
              <w:spacing w:after="0"/>
              <w:rPr>
                <w:sz w:val="20"/>
                <w:szCs w:val="20"/>
                <w:color w:val="auto"/>
              </w:rPr>
            </w:pPr>
            <w:r>
              <w:rPr>
                <w:rFonts w:ascii="Arial" w:cs="Arial" w:eastAsia="Arial" w:hAnsi="Arial"/>
                <w:sz w:val="18"/>
                <w:szCs w:val="18"/>
                <w:color w:val="auto"/>
              </w:rPr>
              <w:t>3,444</w:t>
            </w:r>
          </w:p>
        </w:tc>
        <w:tc>
          <w:tcPr>
            <w:tcW w:w="8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1100" w:type="dxa"/>
            <w:vAlign w:val="bottom"/>
            <w:gridSpan w:val="2"/>
          </w:tcPr>
          <w:p>
            <w:pPr>
              <w:jc w:val="right"/>
              <w:ind w:right="168"/>
              <w:spacing w:after="0"/>
              <w:rPr>
                <w:sz w:val="20"/>
                <w:szCs w:val="20"/>
                <w:color w:val="auto"/>
              </w:rPr>
            </w:pPr>
            <w:r>
              <w:rPr>
                <w:rFonts w:ascii="Arial" w:cs="Arial" w:eastAsia="Arial" w:hAnsi="Arial"/>
                <w:sz w:val="18"/>
                <w:szCs w:val="18"/>
                <w:color w:val="auto"/>
              </w:rPr>
              <w:t>3,774</w:t>
            </w:r>
          </w:p>
        </w:tc>
        <w:tc>
          <w:tcPr>
            <w:tcW w:w="440" w:type="dxa"/>
            <w:vAlign w:val="bottom"/>
            <w:gridSpan w:val="2"/>
          </w:tcPr>
          <w:p>
            <w:pPr>
              <w:jc w:val="right"/>
              <w:ind w:right="85"/>
              <w:spacing w:after="0"/>
              <w:rPr>
                <w:sz w:val="20"/>
                <w:szCs w:val="20"/>
                <w:color w:val="auto"/>
              </w:rPr>
            </w:pPr>
            <w:r>
              <w:rPr>
                <w:rFonts w:ascii="Arial" w:cs="Arial" w:eastAsia="Arial" w:hAnsi="Arial"/>
                <w:sz w:val="18"/>
                <w:szCs w:val="18"/>
                <w:color w:val="auto"/>
              </w:rPr>
              <w:t>$</w:t>
            </w:r>
          </w:p>
        </w:tc>
        <w:tc>
          <w:tcPr>
            <w:tcW w:w="940" w:type="dxa"/>
            <w:vAlign w:val="bottom"/>
            <w:gridSpan w:val="2"/>
          </w:tcPr>
          <w:p>
            <w:pPr>
              <w:jc w:val="right"/>
              <w:ind w:right="100"/>
              <w:spacing w:after="0"/>
              <w:rPr>
                <w:sz w:val="20"/>
                <w:szCs w:val="20"/>
                <w:color w:val="auto"/>
              </w:rPr>
            </w:pPr>
            <w:r>
              <w:rPr>
                <w:rFonts w:ascii="Arial" w:cs="Arial" w:eastAsia="Arial" w:hAnsi="Arial"/>
                <w:sz w:val="18"/>
                <w:szCs w:val="18"/>
                <w:color w:val="auto"/>
              </w:rPr>
              <w:t>7,216</w:t>
            </w:r>
          </w:p>
        </w:tc>
      </w:tr>
      <w:tr>
        <w:trPr>
          <w:trHeight w:val="216"/>
        </w:trPr>
        <w:tc>
          <w:tcPr>
            <w:tcW w:w="20" w:type="dxa"/>
            <w:vAlign w:val="bottom"/>
          </w:tcPr>
          <w:p>
            <w:pPr>
              <w:spacing w:after="0"/>
              <w:rPr>
                <w:sz w:val="18"/>
                <w:szCs w:val="18"/>
                <w:color w:val="auto"/>
              </w:rPr>
            </w:pPr>
          </w:p>
        </w:tc>
        <w:tc>
          <w:tcPr>
            <w:tcW w:w="6020" w:type="dxa"/>
            <w:vAlign w:val="bottom"/>
            <w:shd w:val="clear" w:color="auto" w:fill="CCEEFF"/>
          </w:tcPr>
          <w:p>
            <w:pPr>
              <w:ind w:left="340"/>
              <w:spacing w:after="0"/>
              <w:rPr>
                <w:sz w:val="20"/>
                <w:szCs w:val="20"/>
                <w:color w:val="auto"/>
              </w:rPr>
            </w:pPr>
            <w:r>
              <w:rPr>
                <w:rFonts w:ascii="Arial" w:cs="Arial" w:eastAsia="Arial" w:hAnsi="Arial"/>
                <w:sz w:val="18"/>
                <w:szCs w:val="18"/>
                <w:color w:val="auto"/>
              </w:rPr>
              <w:t>General and administrative</w:t>
            </w:r>
          </w:p>
        </w:tc>
        <w:tc>
          <w:tcPr>
            <w:tcW w:w="80" w:type="dxa"/>
            <w:vAlign w:val="bottom"/>
            <w:shd w:val="clear" w:color="auto" w:fill="CCEEFF"/>
          </w:tcPr>
          <w:p>
            <w:pPr>
              <w:spacing w:after="0"/>
              <w:rPr>
                <w:sz w:val="18"/>
                <w:szCs w:val="18"/>
                <w:color w:val="auto"/>
              </w:rPr>
            </w:pPr>
          </w:p>
        </w:tc>
        <w:tc>
          <w:tcPr>
            <w:tcW w:w="1340" w:type="dxa"/>
            <w:vAlign w:val="bottom"/>
            <w:gridSpan w:val="2"/>
            <w:shd w:val="clear" w:color="auto" w:fill="CCEEFF"/>
          </w:tcPr>
          <w:p>
            <w:pPr>
              <w:jc w:val="right"/>
              <w:ind w:right="440"/>
              <w:spacing w:after="0"/>
              <w:rPr>
                <w:sz w:val="20"/>
                <w:szCs w:val="20"/>
                <w:color w:val="auto"/>
              </w:rPr>
            </w:pPr>
            <w:r>
              <w:rPr>
                <w:rFonts w:ascii="Arial" w:cs="Arial" w:eastAsia="Arial" w:hAnsi="Arial"/>
                <w:sz w:val="18"/>
                <w:szCs w:val="18"/>
                <w:color w:val="auto"/>
              </w:rPr>
              <w:t>2,283</w:t>
            </w:r>
          </w:p>
        </w:tc>
        <w:tc>
          <w:tcPr>
            <w:tcW w:w="24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380"/>
              <w:spacing w:after="0"/>
              <w:rPr>
                <w:sz w:val="20"/>
                <w:szCs w:val="20"/>
                <w:color w:val="auto"/>
              </w:rPr>
            </w:pPr>
            <w:r>
              <w:rPr>
                <w:rFonts w:ascii="Arial" w:cs="Arial" w:eastAsia="Arial" w:hAnsi="Arial"/>
                <w:sz w:val="18"/>
                <w:szCs w:val="18"/>
                <w:color w:val="auto"/>
              </w:rPr>
              <w:t>1,070</w:t>
            </w:r>
          </w:p>
        </w:tc>
        <w:tc>
          <w:tcPr>
            <w:tcW w:w="8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168"/>
              <w:spacing w:after="0"/>
              <w:rPr>
                <w:sz w:val="20"/>
                <w:szCs w:val="20"/>
                <w:color w:val="auto"/>
              </w:rPr>
            </w:pPr>
            <w:r>
              <w:rPr>
                <w:rFonts w:ascii="Arial" w:cs="Arial" w:eastAsia="Arial" w:hAnsi="Arial"/>
                <w:sz w:val="18"/>
                <w:szCs w:val="18"/>
                <w:color w:val="auto"/>
              </w:rPr>
              <w:t>4,163</w:t>
            </w:r>
          </w:p>
        </w:tc>
        <w:tc>
          <w:tcPr>
            <w:tcW w:w="2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2,244</w:t>
            </w:r>
          </w:p>
        </w:tc>
      </w:tr>
      <w:tr>
        <w:trPr>
          <w:trHeight w:val="230"/>
        </w:trPr>
        <w:tc>
          <w:tcPr>
            <w:tcW w:w="20" w:type="dxa"/>
            <w:vAlign w:val="bottom"/>
          </w:tcPr>
          <w:p>
            <w:pPr>
              <w:spacing w:after="0"/>
              <w:rPr>
                <w:sz w:val="20"/>
                <w:szCs w:val="20"/>
                <w:color w:val="auto"/>
              </w:rPr>
            </w:pPr>
          </w:p>
        </w:tc>
        <w:tc>
          <w:tcPr>
            <w:tcW w:w="6020" w:type="dxa"/>
            <w:vAlign w:val="bottom"/>
          </w:tcPr>
          <w:p>
            <w:pPr>
              <w:ind w:left="700"/>
              <w:spacing w:after="0"/>
              <w:rPr>
                <w:sz w:val="20"/>
                <w:szCs w:val="20"/>
                <w:color w:val="auto"/>
              </w:rPr>
            </w:pPr>
            <w:r>
              <w:rPr>
                <w:rFonts w:ascii="Arial" w:cs="Arial" w:eastAsia="Arial" w:hAnsi="Arial"/>
                <w:sz w:val="18"/>
                <w:szCs w:val="18"/>
                <w:color w:val="auto"/>
              </w:rPr>
              <w:t>Total operating expenses</w:t>
            </w:r>
          </w:p>
        </w:tc>
        <w:tc>
          <w:tcPr>
            <w:tcW w:w="80" w:type="dxa"/>
            <w:vAlign w:val="bottom"/>
            <w:tcBorders>
              <w:top w:val="single" w:sz="8" w:color="auto"/>
              <w:bottom w:val="single" w:sz="8" w:color="auto"/>
            </w:tcBorders>
          </w:tcPr>
          <w:p>
            <w:pPr>
              <w:spacing w:after="0"/>
              <w:rPr>
                <w:sz w:val="20"/>
                <w:szCs w:val="20"/>
                <w:color w:val="auto"/>
              </w:rPr>
            </w:pPr>
          </w:p>
        </w:tc>
        <w:tc>
          <w:tcPr>
            <w:tcW w:w="9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3,759</w:t>
            </w:r>
          </w:p>
        </w:tc>
        <w:tc>
          <w:tcPr>
            <w:tcW w:w="440" w:type="dxa"/>
            <w:vAlign w:val="bottom"/>
          </w:tcPr>
          <w:p>
            <w:pPr>
              <w:spacing w:after="0"/>
              <w:rPr>
                <w:sz w:val="20"/>
                <w:szCs w:val="20"/>
                <w:color w:val="auto"/>
              </w:rPr>
            </w:pPr>
          </w:p>
        </w:tc>
        <w:tc>
          <w:tcPr>
            <w:tcW w:w="240" w:type="dxa"/>
            <w:vAlign w:val="bottom"/>
            <w:tcBorders>
              <w:top w:val="single" w:sz="8" w:color="auto"/>
              <w:bottom w:val="single" w:sz="8" w:color="auto"/>
            </w:tcBorders>
          </w:tcPr>
          <w:p>
            <w:pPr>
              <w:spacing w:after="0"/>
              <w:rPr>
                <w:sz w:val="20"/>
                <w:szCs w:val="20"/>
                <w:color w:val="auto"/>
              </w:rPr>
            </w:pPr>
          </w:p>
        </w:tc>
        <w:tc>
          <w:tcPr>
            <w:tcW w:w="7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4,514</w:t>
            </w:r>
          </w:p>
        </w:tc>
        <w:tc>
          <w:tcPr>
            <w:tcW w:w="380" w:type="dxa"/>
            <w:vAlign w:val="bottom"/>
          </w:tcPr>
          <w:p>
            <w:pPr>
              <w:spacing w:after="0"/>
              <w:rPr>
                <w:sz w:val="20"/>
                <w:szCs w:val="20"/>
                <w:color w:val="auto"/>
              </w:rPr>
            </w:pPr>
          </w:p>
        </w:tc>
        <w:tc>
          <w:tcPr>
            <w:tcW w:w="80" w:type="dxa"/>
            <w:vAlign w:val="bottom"/>
            <w:tcBorders>
              <w:top w:val="single" w:sz="8" w:color="auto"/>
              <w:bottom w:val="single" w:sz="8" w:color="auto"/>
            </w:tcBorders>
          </w:tcPr>
          <w:p>
            <w:pPr>
              <w:spacing w:after="0"/>
              <w:rPr>
                <w:sz w:val="20"/>
                <w:szCs w:val="20"/>
                <w:color w:val="auto"/>
              </w:rPr>
            </w:pPr>
          </w:p>
        </w:tc>
        <w:tc>
          <w:tcPr>
            <w:tcW w:w="8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7,937</w:t>
            </w:r>
          </w:p>
        </w:tc>
        <w:tc>
          <w:tcPr>
            <w:tcW w:w="24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240" w:type="dxa"/>
            <w:vAlign w:val="bottom"/>
            <w:tcBorders>
              <w:top w:val="single" w:sz="8" w:color="auto"/>
              <w:bottom w:val="single" w:sz="8" w:color="auto"/>
            </w:tcBorders>
          </w:tcPr>
          <w:p>
            <w:pPr>
              <w:spacing w:after="0"/>
              <w:rPr>
                <w:sz w:val="20"/>
                <w:szCs w:val="20"/>
                <w:color w:val="auto"/>
              </w:rPr>
            </w:pPr>
          </w:p>
        </w:tc>
        <w:tc>
          <w:tcPr>
            <w:tcW w:w="8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9,460</w:t>
            </w:r>
          </w:p>
        </w:tc>
        <w:tc>
          <w:tcPr>
            <w:tcW w:w="100" w:type="dxa"/>
            <w:vAlign w:val="bottom"/>
          </w:tcPr>
          <w:p>
            <w:pPr>
              <w:spacing w:after="0"/>
              <w:rPr>
                <w:sz w:val="20"/>
                <w:szCs w:val="20"/>
                <w:color w:val="auto"/>
              </w:rPr>
            </w:pPr>
          </w:p>
        </w:tc>
      </w:tr>
      <w:tr>
        <w:trPr>
          <w:trHeight w:val="216"/>
        </w:trPr>
        <w:tc>
          <w:tcPr>
            <w:tcW w:w="20" w:type="dxa"/>
            <w:vAlign w:val="bottom"/>
          </w:tcPr>
          <w:p>
            <w:pPr>
              <w:spacing w:after="0"/>
              <w:rPr>
                <w:sz w:val="18"/>
                <w:szCs w:val="18"/>
                <w:color w:val="auto"/>
              </w:rPr>
            </w:pPr>
          </w:p>
        </w:tc>
        <w:tc>
          <w:tcPr>
            <w:tcW w:w="6020" w:type="dxa"/>
            <w:vAlign w:val="bottom"/>
            <w:shd w:val="clear" w:color="auto" w:fill="CCEEFF"/>
          </w:tcPr>
          <w:p>
            <w:pPr>
              <w:ind w:left="700"/>
              <w:spacing w:after="0"/>
              <w:rPr>
                <w:sz w:val="20"/>
                <w:szCs w:val="20"/>
                <w:color w:val="auto"/>
              </w:rPr>
            </w:pPr>
            <w:r>
              <w:rPr>
                <w:rFonts w:ascii="Arial" w:cs="Arial" w:eastAsia="Arial" w:hAnsi="Arial"/>
                <w:sz w:val="18"/>
                <w:szCs w:val="18"/>
                <w:color w:val="auto"/>
              </w:rPr>
              <w:t>Total operating loss</w:t>
            </w:r>
          </w:p>
        </w:tc>
        <w:tc>
          <w:tcPr>
            <w:tcW w:w="80" w:type="dxa"/>
            <w:vAlign w:val="bottom"/>
            <w:shd w:val="clear" w:color="auto" w:fill="CCEEFF"/>
          </w:tcPr>
          <w:p>
            <w:pPr>
              <w:spacing w:after="0"/>
              <w:rPr>
                <w:sz w:val="18"/>
                <w:szCs w:val="18"/>
                <w:color w:val="auto"/>
              </w:rPr>
            </w:pPr>
          </w:p>
        </w:tc>
        <w:tc>
          <w:tcPr>
            <w:tcW w:w="1340" w:type="dxa"/>
            <w:vAlign w:val="bottom"/>
            <w:gridSpan w:val="2"/>
            <w:shd w:val="clear" w:color="auto" w:fill="CCEEFF"/>
          </w:tcPr>
          <w:p>
            <w:pPr>
              <w:jc w:val="right"/>
              <w:ind w:right="380"/>
              <w:spacing w:after="0"/>
              <w:rPr>
                <w:sz w:val="20"/>
                <w:szCs w:val="20"/>
                <w:color w:val="auto"/>
              </w:rPr>
            </w:pPr>
            <w:r>
              <w:rPr>
                <w:rFonts w:ascii="Arial" w:cs="Arial" w:eastAsia="Arial" w:hAnsi="Arial"/>
                <w:sz w:val="18"/>
                <w:szCs w:val="18"/>
                <w:color w:val="auto"/>
              </w:rPr>
              <w:t>(3,759)</w:t>
            </w:r>
          </w:p>
        </w:tc>
        <w:tc>
          <w:tcPr>
            <w:tcW w:w="24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(4,514)</w:t>
            </w:r>
          </w:p>
        </w:tc>
        <w:tc>
          <w:tcPr>
            <w:tcW w:w="8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108"/>
              <w:spacing w:after="0"/>
              <w:rPr>
                <w:sz w:val="20"/>
                <w:szCs w:val="20"/>
                <w:color w:val="auto"/>
              </w:rPr>
            </w:pPr>
            <w:r>
              <w:rPr>
                <w:rFonts w:ascii="Arial" w:cs="Arial" w:eastAsia="Arial" w:hAnsi="Arial"/>
                <w:sz w:val="18"/>
                <w:szCs w:val="18"/>
                <w:color w:val="auto"/>
              </w:rPr>
              <w:t>(7,937)</w:t>
            </w:r>
          </w:p>
        </w:tc>
        <w:tc>
          <w:tcPr>
            <w:tcW w:w="2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(9,460)</w:t>
            </w:r>
          </w:p>
        </w:tc>
      </w:tr>
      <w:tr>
        <w:trPr>
          <w:trHeight w:val="223"/>
        </w:trPr>
        <w:tc>
          <w:tcPr>
            <w:tcW w:w="6040" w:type="dxa"/>
            <w:vAlign w:val="bottom"/>
            <w:gridSpan w:val="2"/>
          </w:tcPr>
          <w:p>
            <w:pPr>
              <w:spacing w:after="0"/>
              <w:rPr>
                <w:sz w:val="20"/>
                <w:szCs w:val="20"/>
                <w:color w:val="auto"/>
              </w:rPr>
            </w:pPr>
            <w:r>
              <w:rPr>
                <w:rFonts w:ascii="Arial" w:cs="Arial" w:eastAsia="Arial" w:hAnsi="Arial"/>
                <w:sz w:val="18"/>
                <w:szCs w:val="18"/>
                <w:color w:val="auto"/>
              </w:rPr>
              <w:t>Other income (expense):</w:t>
            </w:r>
          </w:p>
        </w:tc>
        <w:tc>
          <w:tcPr>
            <w:tcW w:w="80" w:type="dxa"/>
            <w:vAlign w:val="bottom"/>
            <w:tcBorders>
              <w:top w:val="single" w:sz="8" w:color="auto"/>
            </w:tcBorders>
          </w:tcPr>
          <w:p>
            <w:pPr>
              <w:spacing w:after="0"/>
              <w:rPr>
                <w:sz w:val="19"/>
                <w:szCs w:val="19"/>
                <w:color w:val="auto"/>
              </w:rPr>
            </w:pPr>
          </w:p>
        </w:tc>
        <w:tc>
          <w:tcPr>
            <w:tcW w:w="900" w:type="dxa"/>
            <w:vAlign w:val="bottom"/>
            <w:tcBorders>
              <w:top w:val="single" w:sz="8" w:color="auto"/>
            </w:tcBorders>
          </w:tcPr>
          <w:p>
            <w:pPr>
              <w:spacing w:after="0"/>
              <w:rPr>
                <w:sz w:val="19"/>
                <w:szCs w:val="19"/>
                <w:color w:val="auto"/>
              </w:rPr>
            </w:pPr>
          </w:p>
        </w:tc>
        <w:tc>
          <w:tcPr>
            <w:tcW w:w="440" w:type="dxa"/>
            <w:vAlign w:val="bottom"/>
          </w:tcPr>
          <w:p>
            <w:pPr>
              <w:spacing w:after="0"/>
              <w:rPr>
                <w:sz w:val="19"/>
                <w:szCs w:val="19"/>
                <w:color w:val="auto"/>
              </w:rPr>
            </w:pPr>
          </w:p>
        </w:tc>
        <w:tc>
          <w:tcPr>
            <w:tcW w:w="240" w:type="dxa"/>
            <w:vAlign w:val="bottom"/>
            <w:tcBorders>
              <w:top w:val="single" w:sz="8" w:color="auto"/>
            </w:tcBorders>
          </w:tcPr>
          <w:p>
            <w:pPr>
              <w:spacing w:after="0"/>
              <w:rPr>
                <w:sz w:val="19"/>
                <w:szCs w:val="19"/>
                <w:color w:val="auto"/>
              </w:rPr>
            </w:pPr>
          </w:p>
        </w:tc>
        <w:tc>
          <w:tcPr>
            <w:tcW w:w="780" w:type="dxa"/>
            <w:vAlign w:val="bottom"/>
            <w:tcBorders>
              <w:top w:val="single" w:sz="8" w:color="auto"/>
            </w:tcBorders>
          </w:tcPr>
          <w:p>
            <w:pPr>
              <w:spacing w:after="0"/>
              <w:rPr>
                <w:sz w:val="19"/>
                <w:szCs w:val="19"/>
                <w:color w:val="auto"/>
              </w:rPr>
            </w:pPr>
          </w:p>
        </w:tc>
        <w:tc>
          <w:tcPr>
            <w:tcW w:w="380" w:type="dxa"/>
            <w:vAlign w:val="bottom"/>
          </w:tcPr>
          <w:p>
            <w:pPr>
              <w:spacing w:after="0"/>
              <w:rPr>
                <w:sz w:val="19"/>
                <w:szCs w:val="19"/>
                <w:color w:val="auto"/>
              </w:rPr>
            </w:pPr>
          </w:p>
        </w:tc>
        <w:tc>
          <w:tcPr>
            <w:tcW w:w="80" w:type="dxa"/>
            <w:vAlign w:val="bottom"/>
            <w:tcBorders>
              <w:top w:val="single" w:sz="8" w:color="auto"/>
            </w:tcBorders>
          </w:tcPr>
          <w:p>
            <w:pPr>
              <w:spacing w:after="0"/>
              <w:rPr>
                <w:sz w:val="19"/>
                <w:szCs w:val="19"/>
                <w:color w:val="auto"/>
              </w:rPr>
            </w:pPr>
          </w:p>
        </w:tc>
        <w:tc>
          <w:tcPr>
            <w:tcW w:w="860" w:type="dxa"/>
            <w:vAlign w:val="bottom"/>
            <w:tcBorders>
              <w:top w:val="single" w:sz="8" w:color="auto"/>
            </w:tcBorders>
          </w:tcPr>
          <w:p>
            <w:pPr>
              <w:spacing w:after="0"/>
              <w:rPr>
                <w:sz w:val="19"/>
                <w:szCs w:val="19"/>
                <w:color w:val="auto"/>
              </w:rPr>
            </w:pPr>
          </w:p>
        </w:tc>
        <w:tc>
          <w:tcPr>
            <w:tcW w:w="24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240" w:type="dxa"/>
            <w:vAlign w:val="bottom"/>
            <w:tcBorders>
              <w:top w:val="single" w:sz="8" w:color="auto"/>
            </w:tcBorders>
          </w:tcPr>
          <w:p>
            <w:pPr>
              <w:spacing w:after="0"/>
              <w:rPr>
                <w:sz w:val="19"/>
                <w:szCs w:val="19"/>
                <w:color w:val="auto"/>
              </w:rPr>
            </w:pPr>
          </w:p>
        </w:tc>
        <w:tc>
          <w:tcPr>
            <w:tcW w:w="840" w:type="dxa"/>
            <w:vAlign w:val="bottom"/>
            <w:tcBorders>
              <w:top w:val="single" w:sz="8" w:color="auto"/>
            </w:tcBorders>
          </w:tcPr>
          <w:p>
            <w:pPr>
              <w:spacing w:after="0"/>
              <w:rPr>
                <w:sz w:val="19"/>
                <w:szCs w:val="19"/>
                <w:color w:val="auto"/>
              </w:rPr>
            </w:pPr>
          </w:p>
        </w:tc>
        <w:tc>
          <w:tcPr>
            <w:tcW w:w="100" w:type="dxa"/>
            <w:vAlign w:val="bottom"/>
          </w:tcPr>
          <w:p>
            <w:pPr>
              <w:spacing w:after="0"/>
              <w:rPr>
                <w:sz w:val="19"/>
                <w:szCs w:val="19"/>
                <w:color w:val="auto"/>
              </w:rPr>
            </w:pPr>
          </w:p>
        </w:tc>
      </w:tr>
      <w:tr>
        <w:trPr>
          <w:trHeight w:val="216"/>
        </w:trPr>
        <w:tc>
          <w:tcPr>
            <w:tcW w:w="20" w:type="dxa"/>
            <w:vAlign w:val="bottom"/>
          </w:tcPr>
          <w:p>
            <w:pPr>
              <w:spacing w:after="0"/>
              <w:rPr>
                <w:sz w:val="18"/>
                <w:szCs w:val="18"/>
                <w:color w:val="auto"/>
              </w:rPr>
            </w:pPr>
          </w:p>
        </w:tc>
        <w:tc>
          <w:tcPr>
            <w:tcW w:w="6020" w:type="dxa"/>
            <w:vAlign w:val="bottom"/>
            <w:shd w:val="clear" w:color="auto" w:fill="CCEEFF"/>
          </w:tcPr>
          <w:p>
            <w:pPr>
              <w:ind w:left="340"/>
              <w:spacing w:after="0"/>
              <w:rPr>
                <w:sz w:val="20"/>
                <w:szCs w:val="20"/>
                <w:color w:val="auto"/>
              </w:rPr>
            </w:pPr>
            <w:r>
              <w:rPr>
                <w:rFonts w:ascii="Arial" w:cs="Arial" w:eastAsia="Arial" w:hAnsi="Arial"/>
                <w:sz w:val="18"/>
                <w:szCs w:val="18"/>
                <w:color w:val="auto"/>
              </w:rPr>
              <w:t>Interest income</w:t>
            </w:r>
          </w:p>
        </w:tc>
        <w:tc>
          <w:tcPr>
            <w:tcW w:w="80" w:type="dxa"/>
            <w:vAlign w:val="bottom"/>
            <w:shd w:val="clear" w:color="auto" w:fill="CCEEFF"/>
          </w:tcPr>
          <w:p>
            <w:pPr>
              <w:spacing w:after="0"/>
              <w:rPr>
                <w:sz w:val="18"/>
                <w:szCs w:val="18"/>
                <w:color w:val="auto"/>
              </w:rPr>
            </w:pPr>
          </w:p>
        </w:tc>
        <w:tc>
          <w:tcPr>
            <w:tcW w:w="1340" w:type="dxa"/>
            <w:vAlign w:val="bottom"/>
            <w:gridSpan w:val="2"/>
            <w:shd w:val="clear" w:color="auto" w:fill="CCEEFF"/>
          </w:tcPr>
          <w:p>
            <w:pPr>
              <w:jc w:val="right"/>
              <w:ind w:right="440"/>
              <w:spacing w:after="0"/>
              <w:rPr>
                <w:sz w:val="20"/>
                <w:szCs w:val="20"/>
                <w:color w:val="auto"/>
              </w:rPr>
            </w:pPr>
            <w:r>
              <w:rPr>
                <w:rFonts w:ascii="Arial" w:cs="Arial" w:eastAsia="Arial" w:hAnsi="Arial"/>
                <w:sz w:val="18"/>
                <w:szCs w:val="18"/>
                <w:color w:val="auto"/>
              </w:rPr>
              <w:t>4</w:t>
            </w:r>
          </w:p>
        </w:tc>
        <w:tc>
          <w:tcPr>
            <w:tcW w:w="24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380"/>
              <w:spacing w:after="0"/>
              <w:rPr>
                <w:sz w:val="20"/>
                <w:szCs w:val="20"/>
                <w:color w:val="auto"/>
              </w:rPr>
            </w:pPr>
            <w:r>
              <w:rPr>
                <w:rFonts w:ascii="Arial" w:cs="Arial" w:eastAsia="Arial" w:hAnsi="Arial"/>
                <w:sz w:val="18"/>
                <w:szCs w:val="18"/>
                <w:color w:val="auto"/>
              </w:rPr>
              <w:t>6</w:t>
            </w:r>
          </w:p>
        </w:tc>
        <w:tc>
          <w:tcPr>
            <w:tcW w:w="8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168"/>
              <w:spacing w:after="0"/>
              <w:rPr>
                <w:sz w:val="20"/>
                <w:szCs w:val="20"/>
                <w:color w:val="auto"/>
              </w:rPr>
            </w:pPr>
            <w:r>
              <w:rPr>
                <w:rFonts w:ascii="Arial" w:cs="Arial" w:eastAsia="Arial" w:hAnsi="Arial"/>
                <w:sz w:val="18"/>
                <w:szCs w:val="18"/>
                <w:color w:val="auto"/>
              </w:rPr>
              <w:t>8</w:t>
            </w:r>
          </w:p>
        </w:tc>
        <w:tc>
          <w:tcPr>
            <w:tcW w:w="2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15</w:t>
            </w:r>
          </w:p>
        </w:tc>
      </w:tr>
      <w:tr>
        <w:trPr>
          <w:trHeight w:val="216"/>
        </w:trPr>
        <w:tc>
          <w:tcPr>
            <w:tcW w:w="20" w:type="dxa"/>
            <w:vAlign w:val="bottom"/>
          </w:tcPr>
          <w:p>
            <w:pPr>
              <w:spacing w:after="0"/>
              <w:rPr>
                <w:sz w:val="18"/>
                <w:szCs w:val="18"/>
                <w:color w:val="auto"/>
              </w:rPr>
            </w:pPr>
          </w:p>
        </w:tc>
        <w:tc>
          <w:tcPr>
            <w:tcW w:w="6020" w:type="dxa"/>
            <w:vAlign w:val="bottom"/>
          </w:tcPr>
          <w:p>
            <w:pPr>
              <w:ind w:left="340"/>
              <w:spacing w:after="0"/>
              <w:rPr>
                <w:sz w:val="20"/>
                <w:szCs w:val="20"/>
                <w:color w:val="auto"/>
              </w:rPr>
            </w:pPr>
            <w:r>
              <w:rPr>
                <w:rFonts w:ascii="Arial" w:cs="Arial" w:eastAsia="Arial" w:hAnsi="Arial"/>
                <w:sz w:val="18"/>
                <w:szCs w:val="18"/>
                <w:color w:val="auto"/>
              </w:rPr>
              <w:t>Interest expense</w:t>
            </w:r>
          </w:p>
        </w:tc>
        <w:tc>
          <w:tcPr>
            <w:tcW w:w="80" w:type="dxa"/>
            <w:vAlign w:val="bottom"/>
          </w:tcPr>
          <w:p>
            <w:pPr>
              <w:spacing w:after="0"/>
              <w:rPr>
                <w:sz w:val="18"/>
                <w:szCs w:val="18"/>
                <w:color w:val="auto"/>
              </w:rPr>
            </w:pPr>
          </w:p>
        </w:tc>
        <w:tc>
          <w:tcPr>
            <w:tcW w:w="1340" w:type="dxa"/>
            <w:vAlign w:val="bottom"/>
            <w:gridSpan w:val="2"/>
          </w:tcPr>
          <w:p>
            <w:pPr>
              <w:jc w:val="right"/>
              <w:ind w:right="380"/>
              <w:spacing w:after="0"/>
              <w:rPr>
                <w:sz w:val="20"/>
                <w:szCs w:val="20"/>
                <w:color w:val="auto"/>
              </w:rPr>
            </w:pPr>
            <w:r>
              <w:rPr>
                <w:rFonts w:ascii="Arial" w:cs="Arial" w:eastAsia="Arial" w:hAnsi="Arial"/>
                <w:sz w:val="18"/>
                <w:szCs w:val="18"/>
                <w:color w:val="auto"/>
              </w:rPr>
              <w:t>(85)</w:t>
            </w:r>
          </w:p>
        </w:tc>
        <w:tc>
          <w:tcPr>
            <w:tcW w:w="24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100" w:type="dxa"/>
            <w:vAlign w:val="bottom"/>
            <w:gridSpan w:val="2"/>
          </w:tcPr>
          <w:p>
            <w:pPr>
              <w:jc w:val="right"/>
              <w:ind w:right="108"/>
              <w:spacing w:after="0"/>
              <w:rPr>
                <w:sz w:val="20"/>
                <w:szCs w:val="20"/>
                <w:color w:val="auto"/>
              </w:rPr>
            </w:pPr>
            <w:r>
              <w:rPr>
                <w:rFonts w:ascii="Arial" w:cs="Arial" w:eastAsia="Arial" w:hAnsi="Arial"/>
                <w:sz w:val="18"/>
                <w:szCs w:val="18"/>
                <w:color w:val="auto"/>
              </w:rPr>
              <w:t>(169)</w:t>
            </w:r>
          </w:p>
        </w:tc>
        <w:tc>
          <w:tcPr>
            <w:tcW w:w="2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7"/>
        </w:trPr>
        <w:tc>
          <w:tcPr>
            <w:tcW w:w="20" w:type="dxa"/>
            <w:vAlign w:val="bottom"/>
          </w:tcPr>
          <w:p>
            <w:pPr>
              <w:spacing w:after="0"/>
              <w:rPr>
                <w:sz w:val="2"/>
                <w:szCs w:val="2"/>
                <w:color w:val="auto"/>
              </w:rPr>
            </w:pPr>
          </w:p>
        </w:tc>
        <w:tc>
          <w:tcPr>
            <w:tcW w:w="602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900" w:type="dxa"/>
            <w:vAlign w:val="bottom"/>
            <w:shd w:val="clear" w:color="auto" w:fill="000000"/>
          </w:tcPr>
          <w:p>
            <w:pPr>
              <w:spacing w:after="0"/>
              <w:rPr>
                <w:sz w:val="2"/>
                <w:szCs w:val="2"/>
                <w:color w:val="auto"/>
              </w:rPr>
            </w:pPr>
          </w:p>
        </w:tc>
        <w:tc>
          <w:tcPr>
            <w:tcW w:w="440" w:type="dxa"/>
            <w:vAlign w:val="bottom"/>
          </w:tcPr>
          <w:p>
            <w:pPr>
              <w:spacing w:after="0"/>
              <w:rPr>
                <w:sz w:val="2"/>
                <w:szCs w:val="2"/>
                <w:color w:val="auto"/>
              </w:rPr>
            </w:pPr>
          </w:p>
        </w:tc>
        <w:tc>
          <w:tcPr>
            <w:tcW w:w="240" w:type="dxa"/>
            <w:vAlign w:val="bottom"/>
            <w:shd w:val="clear" w:color="auto" w:fill="000000"/>
          </w:tcPr>
          <w:p>
            <w:pPr>
              <w:spacing w:after="0"/>
              <w:rPr>
                <w:sz w:val="2"/>
                <w:szCs w:val="2"/>
                <w:color w:val="auto"/>
              </w:rPr>
            </w:pPr>
          </w:p>
        </w:tc>
        <w:tc>
          <w:tcPr>
            <w:tcW w:w="780" w:type="dxa"/>
            <w:vAlign w:val="bottom"/>
            <w:shd w:val="clear" w:color="auto" w:fill="000000"/>
          </w:tcPr>
          <w:p>
            <w:pPr>
              <w:spacing w:after="0"/>
              <w:rPr>
                <w:sz w:val="2"/>
                <w:szCs w:val="2"/>
                <w:color w:val="auto"/>
              </w:rPr>
            </w:pPr>
          </w:p>
        </w:tc>
        <w:tc>
          <w:tcPr>
            <w:tcW w:w="38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860" w:type="dxa"/>
            <w:vAlign w:val="bottom"/>
            <w:shd w:val="clear" w:color="auto" w:fill="000000"/>
          </w:tcPr>
          <w:p>
            <w:pPr>
              <w:spacing w:after="0"/>
              <w:rPr>
                <w:sz w:val="2"/>
                <w:szCs w:val="2"/>
                <w:color w:val="auto"/>
              </w:rPr>
            </w:pPr>
          </w:p>
        </w:tc>
        <w:tc>
          <w:tcPr>
            <w:tcW w:w="240" w:type="dxa"/>
            <w:vAlign w:val="bottom"/>
          </w:tcPr>
          <w:p>
            <w:pPr>
              <w:spacing w:after="0"/>
              <w:rPr>
                <w:sz w:val="2"/>
                <w:szCs w:val="2"/>
                <w:color w:val="auto"/>
              </w:rPr>
            </w:pPr>
          </w:p>
        </w:tc>
        <w:tc>
          <w:tcPr>
            <w:tcW w:w="200" w:type="dxa"/>
            <w:vAlign w:val="bottom"/>
          </w:tcPr>
          <w:p>
            <w:pPr>
              <w:spacing w:after="0"/>
              <w:rPr>
                <w:sz w:val="2"/>
                <w:szCs w:val="2"/>
                <w:color w:val="auto"/>
              </w:rPr>
            </w:pPr>
          </w:p>
        </w:tc>
        <w:tc>
          <w:tcPr>
            <w:tcW w:w="240" w:type="dxa"/>
            <w:vAlign w:val="bottom"/>
            <w:shd w:val="clear" w:color="auto" w:fill="000000"/>
          </w:tcPr>
          <w:p>
            <w:pPr>
              <w:spacing w:after="0"/>
              <w:rPr>
                <w:sz w:val="2"/>
                <w:szCs w:val="2"/>
                <w:color w:val="auto"/>
              </w:rPr>
            </w:pPr>
          </w:p>
        </w:tc>
        <w:tc>
          <w:tcPr>
            <w:tcW w:w="84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r>
      <w:tr>
        <w:trPr>
          <w:trHeight w:val="216"/>
        </w:trPr>
        <w:tc>
          <w:tcPr>
            <w:tcW w:w="20" w:type="dxa"/>
            <w:vAlign w:val="bottom"/>
          </w:tcPr>
          <w:p>
            <w:pPr>
              <w:spacing w:after="0"/>
              <w:rPr>
                <w:sz w:val="18"/>
                <w:szCs w:val="18"/>
                <w:color w:val="auto"/>
              </w:rPr>
            </w:pPr>
          </w:p>
        </w:tc>
        <w:tc>
          <w:tcPr>
            <w:tcW w:w="6020" w:type="dxa"/>
            <w:vAlign w:val="bottom"/>
            <w:shd w:val="clear" w:color="auto" w:fill="CCEEFF"/>
          </w:tcPr>
          <w:p>
            <w:pPr>
              <w:ind w:left="700"/>
              <w:spacing w:after="0"/>
              <w:rPr>
                <w:sz w:val="20"/>
                <w:szCs w:val="20"/>
                <w:color w:val="auto"/>
              </w:rPr>
            </w:pPr>
            <w:r>
              <w:rPr>
                <w:rFonts w:ascii="Arial" w:cs="Arial" w:eastAsia="Arial" w:hAnsi="Arial"/>
                <w:sz w:val="18"/>
                <w:szCs w:val="18"/>
                <w:color w:val="auto"/>
              </w:rPr>
              <w:t>Total other income (expense)</w:t>
            </w:r>
          </w:p>
        </w:tc>
        <w:tc>
          <w:tcPr>
            <w:tcW w:w="80" w:type="dxa"/>
            <w:vAlign w:val="bottom"/>
            <w:shd w:val="clear" w:color="auto" w:fill="CCEEFF"/>
          </w:tcPr>
          <w:p>
            <w:pPr>
              <w:spacing w:after="0"/>
              <w:rPr>
                <w:sz w:val="18"/>
                <w:szCs w:val="18"/>
                <w:color w:val="auto"/>
              </w:rPr>
            </w:pPr>
          </w:p>
        </w:tc>
        <w:tc>
          <w:tcPr>
            <w:tcW w:w="1340" w:type="dxa"/>
            <w:vAlign w:val="bottom"/>
            <w:gridSpan w:val="2"/>
            <w:shd w:val="clear" w:color="auto" w:fill="CCEEFF"/>
          </w:tcPr>
          <w:p>
            <w:pPr>
              <w:jc w:val="right"/>
              <w:ind w:right="380"/>
              <w:spacing w:after="0"/>
              <w:rPr>
                <w:sz w:val="20"/>
                <w:szCs w:val="20"/>
                <w:color w:val="auto"/>
              </w:rPr>
            </w:pPr>
            <w:r>
              <w:rPr>
                <w:rFonts w:ascii="Arial" w:cs="Arial" w:eastAsia="Arial" w:hAnsi="Arial"/>
                <w:sz w:val="18"/>
                <w:szCs w:val="18"/>
                <w:color w:val="auto"/>
              </w:rPr>
              <w:t>(81)</w:t>
            </w:r>
          </w:p>
        </w:tc>
        <w:tc>
          <w:tcPr>
            <w:tcW w:w="24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380"/>
              <w:spacing w:after="0"/>
              <w:rPr>
                <w:sz w:val="20"/>
                <w:szCs w:val="20"/>
                <w:color w:val="auto"/>
              </w:rPr>
            </w:pPr>
            <w:r>
              <w:rPr>
                <w:rFonts w:ascii="Arial" w:cs="Arial" w:eastAsia="Arial" w:hAnsi="Arial"/>
                <w:sz w:val="18"/>
                <w:szCs w:val="18"/>
                <w:color w:val="auto"/>
              </w:rPr>
              <w:t>6</w:t>
            </w:r>
          </w:p>
        </w:tc>
        <w:tc>
          <w:tcPr>
            <w:tcW w:w="8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108"/>
              <w:spacing w:after="0"/>
              <w:rPr>
                <w:sz w:val="20"/>
                <w:szCs w:val="20"/>
                <w:color w:val="auto"/>
              </w:rPr>
            </w:pPr>
            <w:r>
              <w:rPr>
                <w:rFonts w:ascii="Arial" w:cs="Arial" w:eastAsia="Arial" w:hAnsi="Arial"/>
                <w:sz w:val="18"/>
                <w:szCs w:val="18"/>
                <w:color w:val="auto"/>
              </w:rPr>
              <w:t>(161)</w:t>
            </w:r>
          </w:p>
        </w:tc>
        <w:tc>
          <w:tcPr>
            <w:tcW w:w="2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15</w:t>
            </w:r>
          </w:p>
        </w:tc>
      </w:tr>
      <w:tr>
        <w:trPr>
          <w:trHeight w:val="230"/>
        </w:trPr>
        <w:tc>
          <w:tcPr>
            <w:tcW w:w="6040" w:type="dxa"/>
            <w:vAlign w:val="bottom"/>
            <w:gridSpan w:val="2"/>
          </w:tcPr>
          <w:p>
            <w:pPr>
              <w:spacing w:after="0"/>
              <w:rPr>
                <w:sz w:val="20"/>
                <w:szCs w:val="20"/>
                <w:color w:val="auto"/>
              </w:rPr>
            </w:pPr>
            <w:r>
              <w:rPr>
                <w:rFonts w:ascii="Arial" w:cs="Arial" w:eastAsia="Arial" w:hAnsi="Arial"/>
                <w:sz w:val="18"/>
                <w:szCs w:val="18"/>
                <w:color w:val="auto"/>
              </w:rPr>
              <w:t>Net loss</w:t>
            </w:r>
          </w:p>
        </w:tc>
        <w:tc>
          <w:tcPr>
            <w:tcW w:w="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9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(3,840)</w:t>
            </w:r>
          </w:p>
        </w:tc>
        <w:tc>
          <w:tcPr>
            <w:tcW w:w="440" w:type="dxa"/>
            <w:vAlign w:val="bottom"/>
          </w:tcPr>
          <w:p>
            <w:pPr>
              <w:spacing w:after="0"/>
              <w:rPr>
                <w:sz w:val="20"/>
                <w:szCs w:val="20"/>
                <w:color w:val="auto"/>
              </w:rPr>
            </w:pPr>
          </w:p>
        </w:tc>
        <w:tc>
          <w:tcPr>
            <w:tcW w:w="240" w:type="dxa"/>
            <w:vAlign w:val="bottom"/>
            <w:tcBorders>
              <w:top w:val="single" w:sz="8" w:color="auto"/>
              <w:bottom w:val="single" w:sz="8" w:color="auto"/>
            </w:tcBorders>
          </w:tcPr>
          <w:p>
            <w:pPr>
              <w:jc w:val="right"/>
              <w:ind w:right="50"/>
              <w:spacing w:after="0"/>
              <w:rPr>
                <w:sz w:val="20"/>
                <w:szCs w:val="20"/>
                <w:color w:val="auto"/>
              </w:rPr>
            </w:pPr>
            <w:r>
              <w:rPr>
                <w:rFonts w:ascii="Arial" w:cs="Arial" w:eastAsia="Arial" w:hAnsi="Arial"/>
                <w:sz w:val="18"/>
                <w:szCs w:val="18"/>
                <w:color w:val="auto"/>
                <w:w w:val="79"/>
              </w:rPr>
              <w:t>$</w:t>
            </w:r>
          </w:p>
        </w:tc>
        <w:tc>
          <w:tcPr>
            <w:tcW w:w="7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(4,508)</w:t>
            </w:r>
          </w:p>
        </w:tc>
        <w:tc>
          <w:tcPr>
            <w:tcW w:w="380" w:type="dxa"/>
            <w:vAlign w:val="bottom"/>
          </w:tcPr>
          <w:p>
            <w:pPr>
              <w:spacing w:after="0"/>
              <w:rPr>
                <w:sz w:val="20"/>
                <w:szCs w:val="20"/>
                <w:color w:val="auto"/>
              </w:rPr>
            </w:pPr>
          </w:p>
        </w:tc>
        <w:tc>
          <w:tcPr>
            <w:tcW w:w="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8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(8,098)</w:t>
            </w:r>
          </w:p>
        </w:tc>
        <w:tc>
          <w:tcPr>
            <w:tcW w:w="24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240" w:type="dxa"/>
            <w:vAlign w:val="bottom"/>
            <w:tcBorders>
              <w:top w:val="single" w:sz="8" w:color="auto"/>
              <w:bottom w:val="single" w:sz="8" w:color="auto"/>
            </w:tcBorders>
          </w:tcPr>
          <w:p>
            <w:pPr>
              <w:jc w:val="right"/>
              <w:ind w:right="85"/>
              <w:spacing w:after="0"/>
              <w:rPr>
                <w:sz w:val="20"/>
                <w:szCs w:val="20"/>
                <w:color w:val="auto"/>
              </w:rPr>
            </w:pPr>
            <w:r>
              <w:rPr>
                <w:rFonts w:ascii="Arial" w:cs="Arial" w:eastAsia="Arial" w:hAnsi="Arial"/>
                <w:sz w:val="15"/>
                <w:szCs w:val="15"/>
                <w:color w:val="auto"/>
                <w:w w:val="71"/>
              </w:rPr>
              <w:t>$</w:t>
            </w:r>
          </w:p>
        </w:tc>
        <w:tc>
          <w:tcPr>
            <w:tcW w:w="8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(9,445)</w:t>
            </w:r>
          </w:p>
        </w:tc>
        <w:tc>
          <w:tcPr>
            <w:tcW w:w="100" w:type="dxa"/>
            <w:vAlign w:val="bottom"/>
          </w:tcPr>
          <w:p>
            <w:pPr>
              <w:spacing w:after="0"/>
              <w:rPr>
                <w:sz w:val="20"/>
                <w:szCs w:val="20"/>
                <w:color w:val="auto"/>
              </w:rPr>
            </w:pPr>
          </w:p>
        </w:tc>
      </w:tr>
      <w:tr>
        <w:trPr>
          <w:trHeight w:val="216"/>
        </w:trPr>
        <w:tc>
          <w:tcPr>
            <w:tcW w:w="20" w:type="dxa"/>
            <w:vAlign w:val="bottom"/>
          </w:tcPr>
          <w:p>
            <w:pPr>
              <w:spacing w:after="0"/>
              <w:rPr>
                <w:sz w:val="18"/>
                <w:szCs w:val="18"/>
                <w:color w:val="auto"/>
              </w:rPr>
            </w:pPr>
          </w:p>
        </w:tc>
        <w:tc>
          <w:tcPr>
            <w:tcW w:w="6020" w:type="dxa"/>
            <w:vAlign w:val="bottom"/>
            <w:shd w:val="clear" w:color="auto" w:fill="CCEEFF"/>
          </w:tcPr>
          <w:p>
            <w:pPr>
              <w:spacing w:after="0"/>
              <w:rPr>
                <w:sz w:val="20"/>
                <w:szCs w:val="20"/>
                <w:color w:val="auto"/>
              </w:rPr>
            </w:pPr>
            <w:r>
              <w:rPr>
                <w:rFonts w:ascii="Arial" w:cs="Arial" w:eastAsia="Arial" w:hAnsi="Arial"/>
                <w:sz w:val="18"/>
                <w:szCs w:val="18"/>
                <w:color w:val="auto"/>
              </w:rPr>
              <w:t>Preferred stock dividends</w:t>
            </w:r>
          </w:p>
        </w:tc>
        <w:tc>
          <w:tcPr>
            <w:tcW w:w="80" w:type="dxa"/>
            <w:vAlign w:val="bottom"/>
            <w:shd w:val="clear" w:color="auto" w:fill="CCEEFF"/>
          </w:tcPr>
          <w:p>
            <w:pPr>
              <w:spacing w:after="0"/>
              <w:rPr>
                <w:sz w:val="18"/>
                <w:szCs w:val="18"/>
                <w:color w:val="auto"/>
              </w:rPr>
            </w:pPr>
          </w:p>
        </w:tc>
        <w:tc>
          <w:tcPr>
            <w:tcW w:w="1340" w:type="dxa"/>
            <w:vAlign w:val="bottom"/>
            <w:gridSpan w:val="2"/>
            <w:shd w:val="clear" w:color="auto" w:fill="CCEEFF"/>
          </w:tcPr>
          <w:p>
            <w:pPr>
              <w:jc w:val="right"/>
              <w:ind w:right="380"/>
              <w:spacing w:after="0"/>
              <w:rPr>
                <w:sz w:val="20"/>
                <w:szCs w:val="20"/>
                <w:color w:val="auto"/>
              </w:rPr>
            </w:pPr>
            <w:r>
              <w:rPr>
                <w:rFonts w:ascii="Arial" w:cs="Arial" w:eastAsia="Arial" w:hAnsi="Arial"/>
                <w:sz w:val="18"/>
                <w:szCs w:val="18"/>
                <w:color w:val="auto"/>
              </w:rPr>
              <w:t>(268)</w:t>
            </w:r>
          </w:p>
        </w:tc>
        <w:tc>
          <w:tcPr>
            <w:tcW w:w="24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(301)</w:t>
            </w:r>
          </w:p>
        </w:tc>
        <w:tc>
          <w:tcPr>
            <w:tcW w:w="8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108"/>
              <w:spacing w:after="0"/>
              <w:rPr>
                <w:sz w:val="20"/>
                <w:szCs w:val="20"/>
                <w:color w:val="auto"/>
              </w:rPr>
            </w:pPr>
            <w:r>
              <w:rPr>
                <w:rFonts w:ascii="Arial" w:cs="Arial" w:eastAsia="Arial" w:hAnsi="Arial"/>
                <w:sz w:val="18"/>
                <w:szCs w:val="18"/>
                <w:color w:val="auto"/>
              </w:rPr>
              <w:t>(553)</w:t>
            </w:r>
          </w:p>
        </w:tc>
        <w:tc>
          <w:tcPr>
            <w:tcW w:w="2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(573)</w:t>
            </w:r>
          </w:p>
        </w:tc>
      </w:tr>
      <w:tr>
        <w:trPr>
          <w:trHeight w:val="223"/>
        </w:trPr>
        <w:tc>
          <w:tcPr>
            <w:tcW w:w="6040" w:type="dxa"/>
            <w:vAlign w:val="bottom"/>
            <w:gridSpan w:val="2"/>
          </w:tcPr>
          <w:p>
            <w:pPr>
              <w:spacing w:after="0"/>
              <w:rPr>
                <w:sz w:val="20"/>
                <w:szCs w:val="20"/>
                <w:color w:val="auto"/>
              </w:rPr>
            </w:pPr>
            <w:r>
              <w:rPr>
                <w:rFonts w:ascii="Arial" w:cs="Arial" w:eastAsia="Arial" w:hAnsi="Arial"/>
                <w:sz w:val="18"/>
                <w:szCs w:val="18"/>
                <w:color w:val="auto"/>
              </w:rPr>
              <w:t>Net loss applicable to common stockholders</w:t>
            </w:r>
          </w:p>
        </w:tc>
        <w:tc>
          <w:tcPr>
            <w:tcW w:w="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9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(4,108)</w:t>
            </w:r>
          </w:p>
        </w:tc>
        <w:tc>
          <w:tcPr>
            <w:tcW w:w="440" w:type="dxa"/>
            <w:vAlign w:val="bottom"/>
          </w:tcPr>
          <w:p>
            <w:pPr>
              <w:spacing w:after="0"/>
              <w:rPr>
                <w:sz w:val="19"/>
                <w:szCs w:val="19"/>
                <w:color w:val="auto"/>
              </w:rPr>
            </w:pPr>
          </w:p>
        </w:tc>
        <w:tc>
          <w:tcPr>
            <w:tcW w:w="240" w:type="dxa"/>
            <w:vAlign w:val="bottom"/>
            <w:tcBorders>
              <w:top w:val="single" w:sz="8" w:color="auto"/>
              <w:bottom w:val="single" w:sz="8" w:color="auto"/>
            </w:tcBorders>
          </w:tcPr>
          <w:p>
            <w:pPr>
              <w:jc w:val="right"/>
              <w:ind w:right="50"/>
              <w:spacing w:after="0"/>
              <w:rPr>
                <w:sz w:val="20"/>
                <w:szCs w:val="20"/>
                <w:color w:val="auto"/>
              </w:rPr>
            </w:pPr>
            <w:r>
              <w:rPr>
                <w:rFonts w:ascii="Arial" w:cs="Arial" w:eastAsia="Arial" w:hAnsi="Arial"/>
                <w:sz w:val="18"/>
                <w:szCs w:val="18"/>
                <w:color w:val="auto"/>
                <w:w w:val="79"/>
              </w:rPr>
              <w:t>$</w:t>
            </w:r>
          </w:p>
        </w:tc>
        <w:tc>
          <w:tcPr>
            <w:tcW w:w="7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(4,809)</w:t>
            </w:r>
          </w:p>
        </w:tc>
        <w:tc>
          <w:tcPr>
            <w:tcW w:w="380" w:type="dxa"/>
            <w:vAlign w:val="bottom"/>
          </w:tcPr>
          <w:p>
            <w:pPr>
              <w:spacing w:after="0"/>
              <w:rPr>
                <w:sz w:val="19"/>
                <w:szCs w:val="19"/>
                <w:color w:val="auto"/>
              </w:rPr>
            </w:pPr>
          </w:p>
        </w:tc>
        <w:tc>
          <w:tcPr>
            <w:tcW w:w="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8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(8,651)</w:t>
            </w:r>
          </w:p>
        </w:tc>
        <w:tc>
          <w:tcPr>
            <w:tcW w:w="24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240" w:type="dxa"/>
            <w:vAlign w:val="bottom"/>
            <w:tcBorders>
              <w:top w:val="single" w:sz="8" w:color="auto"/>
              <w:bottom w:val="single" w:sz="8" w:color="auto"/>
            </w:tcBorders>
          </w:tcPr>
          <w:p>
            <w:pPr>
              <w:jc w:val="right"/>
              <w:ind w:right="85"/>
              <w:spacing w:after="0"/>
              <w:rPr>
                <w:sz w:val="20"/>
                <w:szCs w:val="20"/>
                <w:color w:val="auto"/>
              </w:rPr>
            </w:pPr>
            <w:r>
              <w:rPr>
                <w:rFonts w:ascii="Arial" w:cs="Arial" w:eastAsia="Arial" w:hAnsi="Arial"/>
                <w:sz w:val="15"/>
                <w:szCs w:val="15"/>
                <w:color w:val="auto"/>
                <w:w w:val="71"/>
              </w:rPr>
              <w:t>$</w:t>
            </w:r>
          </w:p>
        </w:tc>
        <w:tc>
          <w:tcPr>
            <w:tcW w:w="8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(10,018)</w:t>
            </w:r>
          </w:p>
        </w:tc>
        <w:tc>
          <w:tcPr>
            <w:tcW w:w="100" w:type="dxa"/>
            <w:vAlign w:val="bottom"/>
          </w:tcPr>
          <w:p>
            <w:pPr>
              <w:spacing w:after="0"/>
              <w:rPr>
                <w:sz w:val="19"/>
                <w:szCs w:val="19"/>
                <w:color w:val="auto"/>
              </w:rPr>
            </w:pPr>
          </w:p>
        </w:tc>
      </w:tr>
      <w:tr>
        <w:trPr>
          <w:trHeight w:val="20"/>
        </w:trPr>
        <w:tc>
          <w:tcPr>
            <w:tcW w:w="20" w:type="dxa"/>
            <w:vAlign w:val="bottom"/>
          </w:tcPr>
          <w:p>
            <w:pPr>
              <w:spacing w:after="0" w:line="20" w:lineRule="exact"/>
              <w:rPr>
                <w:sz w:val="1"/>
                <w:szCs w:val="1"/>
                <w:color w:val="auto"/>
              </w:rPr>
            </w:pPr>
          </w:p>
        </w:tc>
        <w:tc>
          <w:tcPr>
            <w:tcW w:w="602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210"/>
        </w:trPr>
        <w:tc>
          <w:tcPr>
            <w:tcW w:w="20" w:type="dxa"/>
            <w:vAlign w:val="bottom"/>
          </w:tcPr>
          <w:p>
            <w:pPr>
              <w:spacing w:after="0"/>
              <w:rPr>
                <w:sz w:val="18"/>
                <w:szCs w:val="18"/>
                <w:color w:val="auto"/>
              </w:rPr>
            </w:pPr>
          </w:p>
        </w:tc>
        <w:tc>
          <w:tcPr>
            <w:tcW w:w="6020" w:type="dxa"/>
            <w:vAlign w:val="bottom"/>
            <w:shd w:val="clear" w:color="auto" w:fill="CCEEFF"/>
          </w:tcPr>
          <w:p>
            <w:pPr>
              <w:spacing w:after="0"/>
              <w:rPr>
                <w:sz w:val="20"/>
                <w:szCs w:val="20"/>
                <w:color w:val="auto"/>
              </w:rPr>
            </w:pPr>
            <w:r>
              <w:rPr>
                <w:rFonts w:ascii="Arial" w:cs="Arial" w:eastAsia="Arial" w:hAnsi="Arial"/>
                <w:sz w:val="18"/>
                <w:szCs w:val="18"/>
                <w:color w:val="auto"/>
              </w:rPr>
              <w:t>Net loss per common share — basic and diluted</w:t>
            </w:r>
          </w:p>
        </w:tc>
        <w:tc>
          <w:tcPr>
            <w:tcW w:w="8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340" w:type="dxa"/>
            <w:vAlign w:val="bottom"/>
            <w:gridSpan w:val="2"/>
            <w:shd w:val="clear" w:color="auto" w:fill="CCEEFF"/>
          </w:tcPr>
          <w:p>
            <w:pPr>
              <w:jc w:val="right"/>
              <w:ind w:right="380"/>
              <w:spacing w:after="0"/>
              <w:rPr>
                <w:sz w:val="20"/>
                <w:szCs w:val="20"/>
                <w:color w:val="auto"/>
              </w:rPr>
            </w:pPr>
            <w:r>
              <w:rPr>
                <w:rFonts w:ascii="Arial" w:cs="Arial" w:eastAsia="Arial" w:hAnsi="Arial"/>
                <w:sz w:val="18"/>
                <w:szCs w:val="18"/>
                <w:color w:val="auto"/>
              </w:rPr>
              <w:t>(0.11)</w:t>
            </w:r>
          </w:p>
        </w:tc>
        <w:tc>
          <w:tcPr>
            <w:tcW w:w="24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w w:val="79"/>
              </w:rPr>
              <w:t>$</w:t>
            </w:r>
          </w:p>
        </w:tc>
        <w:tc>
          <w:tcPr>
            <w:tcW w:w="116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(0.14)</w:t>
            </w:r>
          </w:p>
        </w:tc>
        <w:tc>
          <w:tcPr>
            <w:tcW w:w="8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100" w:type="dxa"/>
            <w:vAlign w:val="bottom"/>
            <w:gridSpan w:val="2"/>
            <w:shd w:val="clear" w:color="auto" w:fill="CCEEFF"/>
          </w:tcPr>
          <w:p>
            <w:pPr>
              <w:jc w:val="right"/>
              <w:ind w:right="108"/>
              <w:spacing w:after="0"/>
              <w:rPr>
                <w:sz w:val="20"/>
                <w:szCs w:val="20"/>
                <w:color w:val="auto"/>
              </w:rPr>
            </w:pPr>
            <w:r>
              <w:rPr>
                <w:rFonts w:ascii="Arial" w:cs="Arial" w:eastAsia="Arial" w:hAnsi="Arial"/>
                <w:sz w:val="18"/>
                <w:szCs w:val="18"/>
                <w:color w:val="auto"/>
              </w:rPr>
              <w:t>(0.23)</w:t>
            </w:r>
          </w:p>
        </w:tc>
        <w:tc>
          <w:tcPr>
            <w:tcW w:w="440" w:type="dxa"/>
            <w:vAlign w:val="bottom"/>
            <w:gridSpan w:val="2"/>
            <w:shd w:val="clear" w:color="auto" w:fill="CCEEFF"/>
          </w:tcPr>
          <w:p>
            <w:pPr>
              <w:jc w:val="right"/>
              <w:ind w:right="85"/>
              <w:spacing w:after="0"/>
              <w:rPr>
                <w:sz w:val="20"/>
                <w:szCs w:val="20"/>
                <w:color w:val="auto"/>
              </w:rPr>
            </w:pPr>
            <w:r>
              <w:rPr>
                <w:rFonts w:ascii="Arial" w:cs="Arial" w:eastAsia="Arial" w:hAnsi="Arial"/>
                <w:sz w:val="18"/>
                <w:szCs w:val="18"/>
                <w:color w:val="auto"/>
              </w:rPr>
              <w:t>$</w:t>
            </w:r>
          </w:p>
        </w:tc>
        <w:tc>
          <w:tcPr>
            <w:tcW w:w="94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(0.29)</w:t>
            </w:r>
          </w:p>
        </w:tc>
      </w:tr>
      <w:tr>
        <w:trPr>
          <w:trHeight w:val="202"/>
        </w:trPr>
        <w:tc>
          <w:tcPr>
            <w:tcW w:w="20" w:type="dxa"/>
            <w:vAlign w:val="bottom"/>
          </w:tcPr>
          <w:p>
            <w:pPr>
              <w:spacing w:after="0"/>
              <w:rPr>
                <w:sz w:val="17"/>
                <w:szCs w:val="17"/>
                <w:color w:val="auto"/>
              </w:rPr>
            </w:pPr>
          </w:p>
        </w:tc>
        <w:tc>
          <w:tcPr>
            <w:tcW w:w="6020" w:type="dxa"/>
            <w:vAlign w:val="bottom"/>
          </w:tcPr>
          <w:p>
            <w:pPr>
              <w:spacing w:after="0" w:line="201" w:lineRule="exact"/>
              <w:rPr>
                <w:sz w:val="20"/>
                <w:szCs w:val="20"/>
                <w:color w:val="auto"/>
              </w:rPr>
            </w:pPr>
            <w:r>
              <w:rPr>
                <w:rFonts w:ascii="Arial" w:cs="Arial" w:eastAsia="Arial" w:hAnsi="Arial"/>
                <w:sz w:val="18"/>
                <w:szCs w:val="18"/>
                <w:color w:val="auto"/>
              </w:rPr>
              <w:t>Weighted average common shares outstanding — basic</w:t>
            </w:r>
          </w:p>
        </w:tc>
        <w:tc>
          <w:tcPr>
            <w:tcW w:w="8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100" w:type="dxa"/>
            <w:vAlign w:val="bottom"/>
          </w:tcPr>
          <w:p>
            <w:pPr>
              <w:spacing w:after="0"/>
              <w:rPr>
                <w:sz w:val="17"/>
                <w:szCs w:val="17"/>
                <w:color w:val="auto"/>
              </w:rPr>
            </w:pPr>
          </w:p>
        </w:tc>
      </w:tr>
      <w:tr>
        <w:trPr>
          <w:trHeight w:val="230"/>
        </w:trPr>
        <w:tc>
          <w:tcPr>
            <w:tcW w:w="20" w:type="dxa"/>
            <w:vAlign w:val="bottom"/>
          </w:tcPr>
          <w:p>
            <w:pPr>
              <w:spacing w:after="0"/>
              <w:rPr>
                <w:sz w:val="20"/>
                <w:szCs w:val="20"/>
                <w:color w:val="auto"/>
              </w:rPr>
            </w:pPr>
          </w:p>
        </w:tc>
        <w:tc>
          <w:tcPr>
            <w:tcW w:w="6020" w:type="dxa"/>
            <w:vAlign w:val="bottom"/>
          </w:tcPr>
          <w:p>
            <w:pPr>
              <w:ind w:left="160"/>
              <w:spacing w:after="0"/>
              <w:rPr>
                <w:sz w:val="20"/>
                <w:szCs w:val="20"/>
                <w:color w:val="auto"/>
              </w:rPr>
            </w:pPr>
            <w:r>
              <w:rPr>
                <w:rFonts w:ascii="Arial" w:cs="Arial" w:eastAsia="Arial" w:hAnsi="Arial"/>
                <w:sz w:val="18"/>
                <w:szCs w:val="18"/>
                <w:color w:val="auto"/>
              </w:rPr>
              <w:t>and diluted</w:t>
            </w:r>
          </w:p>
        </w:tc>
        <w:tc>
          <w:tcPr>
            <w:tcW w:w="80" w:type="dxa"/>
            <w:vAlign w:val="bottom"/>
          </w:tcPr>
          <w:p>
            <w:pPr>
              <w:spacing w:after="0"/>
              <w:rPr>
                <w:sz w:val="20"/>
                <w:szCs w:val="20"/>
                <w:color w:val="auto"/>
              </w:rPr>
            </w:pPr>
          </w:p>
        </w:tc>
        <w:tc>
          <w:tcPr>
            <w:tcW w:w="1340" w:type="dxa"/>
            <w:vAlign w:val="bottom"/>
            <w:gridSpan w:val="2"/>
          </w:tcPr>
          <w:p>
            <w:pPr>
              <w:jc w:val="right"/>
              <w:ind w:right="440"/>
              <w:spacing w:after="0"/>
              <w:rPr>
                <w:sz w:val="20"/>
                <w:szCs w:val="20"/>
                <w:color w:val="auto"/>
              </w:rPr>
            </w:pPr>
            <w:r>
              <w:rPr>
                <w:rFonts w:ascii="Arial" w:cs="Arial" w:eastAsia="Arial" w:hAnsi="Arial"/>
                <w:sz w:val="18"/>
                <w:szCs w:val="18"/>
                <w:color w:val="auto"/>
              </w:rPr>
              <w:t>38,227</w:t>
            </w:r>
          </w:p>
        </w:tc>
        <w:tc>
          <w:tcPr>
            <w:tcW w:w="240" w:type="dxa"/>
            <w:vAlign w:val="bottom"/>
          </w:tcPr>
          <w:p>
            <w:pPr>
              <w:spacing w:after="0"/>
              <w:rPr>
                <w:sz w:val="20"/>
                <w:szCs w:val="20"/>
                <w:color w:val="auto"/>
              </w:rPr>
            </w:pPr>
          </w:p>
        </w:tc>
        <w:tc>
          <w:tcPr>
            <w:tcW w:w="1160" w:type="dxa"/>
            <w:vAlign w:val="bottom"/>
            <w:gridSpan w:val="2"/>
          </w:tcPr>
          <w:p>
            <w:pPr>
              <w:jc w:val="right"/>
              <w:ind w:right="380"/>
              <w:spacing w:after="0"/>
              <w:rPr>
                <w:sz w:val="20"/>
                <w:szCs w:val="20"/>
                <w:color w:val="auto"/>
              </w:rPr>
            </w:pPr>
            <w:r>
              <w:rPr>
                <w:rFonts w:ascii="Arial" w:cs="Arial" w:eastAsia="Arial" w:hAnsi="Arial"/>
                <w:sz w:val="18"/>
                <w:szCs w:val="18"/>
                <w:color w:val="auto"/>
              </w:rPr>
              <w:t>34,692</w:t>
            </w:r>
          </w:p>
        </w:tc>
        <w:tc>
          <w:tcPr>
            <w:tcW w:w="80" w:type="dxa"/>
            <w:vAlign w:val="bottom"/>
          </w:tcPr>
          <w:p>
            <w:pPr>
              <w:spacing w:after="0"/>
              <w:rPr>
                <w:sz w:val="20"/>
                <w:szCs w:val="20"/>
                <w:color w:val="auto"/>
              </w:rPr>
            </w:pPr>
          </w:p>
        </w:tc>
        <w:tc>
          <w:tcPr>
            <w:tcW w:w="1100" w:type="dxa"/>
            <w:vAlign w:val="bottom"/>
            <w:gridSpan w:val="2"/>
          </w:tcPr>
          <w:p>
            <w:pPr>
              <w:jc w:val="right"/>
              <w:ind w:right="168"/>
              <w:spacing w:after="0"/>
              <w:rPr>
                <w:sz w:val="20"/>
                <w:szCs w:val="20"/>
                <w:color w:val="auto"/>
              </w:rPr>
            </w:pPr>
            <w:r>
              <w:rPr>
                <w:rFonts w:ascii="Arial" w:cs="Arial" w:eastAsia="Arial" w:hAnsi="Arial"/>
                <w:sz w:val="18"/>
                <w:szCs w:val="18"/>
                <w:color w:val="auto"/>
              </w:rPr>
              <w:t>37,755</w:t>
            </w:r>
          </w:p>
        </w:tc>
        <w:tc>
          <w:tcPr>
            <w:tcW w:w="20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940" w:type="dxa"/>
            <w:vAlign w:val="bottom"/>
            <w:gridSpan w:val="2"/>
          </w:tcPr>
          <w:p>
            <w:pPr>
              <w:jc w:val="right"/>
              <w:ind w:right="100"/>
              <w:spacing w:after="0"/>
              <w:rPr>
                <w:sz w:val="20"/>
                <w:szCs w:val="20"/>
                <w:color w:val="auto"/>
              </w:rPr>
            </w:pPr>
            <w:r>
              <w:rPr>
                <w:rFonts w:ascii="Arial" w:cs="Arial" w:eastAsia="Arial" w:hAnsi="Arial"/>
                <w:sz w:val="18"/>
                <w:szCs w:val="18"/>
                <w:color w:val="auto"/>
              </w:rPr>
              <w:t>34,312</w:t>
            </w:r>
          </w:p>
        </w:tc>
      </w:tr>
    </w:tbl>
    <w:p>
      <w:pPr>
        <w:spacing w:after="0" w:line="20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See notes to unaudited condensed consolidated financial statements.</w:t>
      </w:r>
    </w:p>
    <w:p>
      <w:pPr>
        <w:spacing w:after="0" w:line="15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w:t>
      </w:r>
    </w:p>
    <w:p>
      <w:pPr>
        <w:sectPr>
          <w:pgSz w:w="11900" w:h="16838" w:orient="portrait"/>
          <w:cols w:equalWidth="0" w:num="1">
            <w:col w:w="11420"/>
          </w:cols>
          <w:pgMar w:left="240" w:top="459" w:right="239" w:bottom="1440" w:gutter="0" w:footer="0" w:header="0"/>
        </w:sectPr>
      </w:pPr>
    </w:p>
    <w:bookmarkStart w:id="4" w:name="page5"/>
    <w:bookmarkEnd w:id="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GALECTIN THERAPEUTICS INC.</w:t>
      </w:r>
    </w:p>
    <w:p>
      <w:pPr>
        <w:spacing w:after="0" w:line="2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CONDENSED CONSOLIDATED STATEMENTS OF CASH FLOWS (UNAUDITED)</w:t>
      </w:r>
    </w:p>
    <w:p>
      <w:pPr>
        <w:spacing w:after="0" w:line="229" w:lineRule="exact"/>
        <w:rPr>
          <w:sz w:val="20"/>
          <w:szCs w:val="20"/>
          <w:color w:val="auto"/>
        </w:rPr>
      </w:pPr>
    </w:p>
    <w:p>
      <w:pPr>
        <w:jc w:val="center"/>
        <w:ind w:left="9700"/>
        <w:spacing w:after="0"/>
        <w:rPr>
          <w:sz w:val="20"/>
          <w:szCs w:val="20"/>
          <w:color w:val="auto"/>
        </w:rPr>
      </w:pPr>
      <w:r>
        <w:rPr>
          <w:rFonts w:ascii="Arial" w:cs="Arial" w:eastAsia="Arial" w:hAnsi="Arial"/>
          <w:sz w:val="14"/>
          <w:szCs w:val="14"/>
          <w:b w:val="1"/>
          <w:bCs w:val="1"/>
          <w:color w:val="auto"/>
        </w:rPr>
        <w:t>Six Months Ended</w:t>
      </w:r>
    </w:p>
    <w:p>
      <w:pPr>
        <w:jc w:val="center"/>
        <w:ind w:left="9700"/>
        <w:spacing w:after="0" w:line="236" w:lineRule="auto"/>
        <w:rPr>
          <w:sz w:val="20"/>
          <w:szCs w:val="20"/>
          <w:color w:val="auto"/>
        </w:rPr>
      </w:pPr>
      <w:r>
        <w:rPr>
          <w:rFonts w:ascii="Arial" w:cs="Arial" w:eastAsia="Arial" w:hAnsi="Arial"/>
          <w:sz w:val="14"/>
          <w:szCs w:val="14"/>
          <w:b w:val="1"/>
          <w:bCs w:val="1"/>
          <w:color w:val="auto"/>
        </w:rPr>
        <w:t>June 30,</w:t>
      </w:r>
    </w:p>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142"/>
        </w:trPr>
        <w:tc>
          <w:tcPr>
            <w:tcW w:w="20" w:type="dxa"/>
            <w:vAlign w:val="bottom"/>
          </w:tcPr>
          <w:p>
            <w:pPr>
              <w:spacing w:after="0"/>
              <w:rPr>
                <w:sz w:val="12"/>
                <w:szCs w:val="12"/>
                <w:color w:val="auto"/>
              </w:rPr>
            </w:pPr>
          </w:p>
        </w:tc>
        <w:tc>
          <w:tcPr>
            <w:tcW w:w="9780" w:type="dxa"/>
            <w:vAlign w:val="bottom"/>
          </w:tcPr>
          <w:p>
            <w:pPr>
              <w:spacing w:after="0"/>
              <w:rPr>
                <w:sz w:val="12"/>
                <w:szCs w:val="12"/>
                <w:color w:val="auto"/>
              </w:rPr>
            </w:pPr>
          </w:p>
        </w:tc>
        <w:tc>
          <w:tcPr>
            <w:tcW w:w="100" w:type="dxa"/>
            <w:vAlign w:val="bottom"/>
            <w:tcBorders>
              <w:top w:val="single" w:sz="8" w:color="auto"/>
              <w:bottom w:val="single" w:sz="8" w:color="auto"/>
            </w:tcBorders>
          </w:tcPr>
          <w:p>
            <w:pPr>
              <w:spacing w:after="0"/>
              <w:rPr>
                <w:sz w:val="12"/>
                <w:szCs w:val="12"/>
                <w:color w:val="auto"/>
              </w:rPr>
            </w:pPr>
          </w:p>
        </w:tc>
        <w:tc>
          <w:tcPr>
            <w:tcW w:w="500" w:type="dxa"/>
            <w:vAlign w:val="bottom"/>
            <w:tcBorders>
              <w:top w:val="single" w:sz="8" w:color="auto"/>
              <w:bottom w:val="single" w:sz="8" w:color="auto"/>
            </w:tcBorders>
          </w:tcPr>
          <w:p>
            <w:pPr>
              <w:jc w:val="right"/>
              <w:ind w:right="72"/>
              <w:spacing w:after="0" w:line="142" w:lineRule="exact"/>
              <w:rPr>
                <w:sz w:val="20"/>
                <w:szCs w:val="20"/>
                <w:color w:val="auto"/>
              </w:rPr>
            </w:pPr>
            <w:r>
              <w:rPr>
                <w:rFonts w:ascii="Arial" w:cs="Arial" w:eastAsia="Arial" w:hAnsi="Arial"/>
                <w:sz w:val="14"/>
                <w:szCs w:val="14"/>
                <w:b w:val="1"/>
                <w:bCs w:val="1"/>
                <w:color w:val="auto"/>
              </w:rPr>
              <w:t>2018</w:t>
            </w:r>
          </w:p>
        </w:tc>
        <w:tc>
          <w:tcPr>
            <w:tcW w:w="180" w:type="dxa"/>
            <w:vAlign w:val="bottom"/>
            <w:tcBorders>
              <w:top w:val="single" w:sz="8" w:color="auto"/>
              <w:bottom w:val="single" w:sz="8" w:color="auto"/>
            </w:tcBorders>
          </w:tcPr>
          <w:p>
            <w:pPr>
              <w:spacing w:after="0"/>
              <w:rPr>
                <w:sz w:val="12"/>
                <w:szCs w:val="12"/>
                <w:color w:val="auto"/>
              </w:rPr>
            </w:pPr>
          </w:p>
        </w:tc>
        <w:tc>
          <w:tcPr>
            <w:tcW w:w="140" w:type="dxa"/>
            <w:vAlign w:val="bottom"/>
            <w:tcBorders>
              <w:top w:val="single" w:sz="8" w:color="auto"/>
              <w:bottom w:val="single" w:sz="8" w:color="auto"/>
            </w:tcBorders>
          </w:tcPr>
          <w:p>
            <w:pPr>
              <w:spacing w:after="0"/>
              <w:rPr>
                <w:sz w:val="12"/>
                <w:szCs w:val="12"/>
                <w:color w:val="auto"/>
              </w:rPr>
            </w:pPr>
          </w:p>
        </w:tc>
        <w:tc>
          <w:tcPr>
            <w:tcW w:w="100" w:type="dxa"/>
            <w:vAlign w:val="bottom"/>
            <w:tcBorders>
              <w:top w:val="single" w:sz="8" w:color="auto"/>
              <w:bottom w:val="single" w:sz="8" w:color="auto"/>
            </w:tcBorders>
          </w:tcPr>
          <w:p>
            <w:pPr>
              <w:spacing w:after="0"/>
              <w:rPr>
                <w:sz w:val="12"/>
                <w:szCs w:val="12"/>
                <w:color w:val="auto"/>
              </w:rPr>
            </w:pPr>
          </w:p>
        </w:tc>
        <w:tc>
          <w:tcPr>
            <w:tcW w:w="500" w:type="dxa"/>
            <w:vAlign w:val="bottom"/>
            <w:tcBorders>
              <w:top w:val="single" w:sz="8" w:color="auto"/>
              <w:bottom w:val="single" w:sz="8" w:color="auto"/>
            </w:tcBorders>
          </w:tcPr>
          <w:p>
            <w:pPr>
              <w:jc w:val="right"/>
              <w:ind w:right="71"/>
              <w:spacing w:after="0" w:line="142" w:lineRule="exact"/>
              <w:rPr>
                <w:sz w:val="20"/>
                <w:szCs w:val="20"/>
                <w:color w:val="auto"/>
              </w:rPr>
            </w:pPr>
            <w:r>
              <w:rPr>
                <w:rFonts w:ascii="Arial" w:cs="Arial" w:eastAsia="Arial" w:hAnsi="Arial"/>
                <w:sz w:val="14"/>
                <w:szCs w:val="14"/>
                <w:b w:val="1"/>
                <w:bCs w:val="1"/>
                <w:color w:val="auto"/>
              </w:rPr>
              <w:t>2017</w:t>
            </w: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97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420" w:type="dxa"/>
            <w:vAlign w:val="bottom"/>
            <w:gridSpan w:val="5"/>
          </w:tcPr>
          <w:p>
            <w:pPr>
              <w:ind w:left="220"/>
              <w:spacing w:after="0" w:line="142" w:lineRule="exact"/>
              <w:rPr>
                <w:sz w:val="20"/>
                <w:szCs w:val="20"/>
                <w:color w:val="auto"/>
              </w:rPr>
            </w:pPr>
            <w:r>
              <w:rPr>
                <w:rFonts w:ascii="Arial" w:cs="Arial" w:eastAsia="Arial" w:hAnsi="Arial"/>
                <w:sz w:val="14"/>
                <w:szCs w:val="14"/>
                <w:b w:val="1"/>
                <w:bCs w:val="1"/>
                <w:color w:val="auto"/>
              </w:rPr>
              <w:t>(in thousands)</w:t>
            </w: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780" w:type="dxa"/>
            <w:vAlign w:val="bottom"/>
            <w:shd w:val="clear" w:color="auto" w:fill="CCEEFF"/>
          </w:tcPr>
          <w:p>
            <w:pPr>
              <w:spacing w:after="0"/>
              <w:rPr>
                <w:sz w:val="20"/>
                <w:szCs w:val="20"/>
                <w:color w:val="auto"/>
              </w:rPr>
            </w:pPr>
            <w:r>
              <w:rPr>
                <w:rFonts w:ascii="Arial" w:cs="Arial" w:eastAsia="Arial" w:hAnsi="Arial"/>
                <w:sz w:val="18"/>
                <w:szCs w:val="18"/>
                <w:color w:val="auto"/>
              </w:rPr>
              <w:t>CASH FLOWS FROM OPERATING ACTIVITIES:</w:t>
            </w:r>
          </w:p>
        </w:tc>
        <w:tc>
          <w:tcPr>
            <w:tcW w:w="10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780" w:type="dxa"/>
            <w:vAlign w:val="bottom"/>
          </w:tcPr>
          <w:p>
            <w:pPr>
              <w:ind w:left="340"/>
              <w:spacing w:after="0"/>
              <w:rPr>
                <w:sz w:val="20"/>
                <w:szCs w:val="20"/>
                <w:color w:val="auto"/>
              </w:rPr>
            </w:pPr>
            <w:r>
              <w:rPr>
                <w:rFonts w:ascii="Arial" w:cs="Arial" w:eastAsia="Arial" w:hAnsi="Arial"/>
                <w:sz w:val="18"/>
                <w:szCs w:val="18"/>
                <w:color w:val="auto"/>
              </w:rPr>
              <w:t>Net loss</w:t>
            </w:r>
          </w:p>
        </w:tc>
        <w:tc>
          <w:tcPr>
            <w:tcW w:w="10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680" w:type="dxa"/>
            <w:vAlign w:val="bottom"/>
            <w:gridSpan w:val="2"/>
          </w:tcPr>
          <w:p>
            <w:pPr>
              <w:jc w:val="right"/>
              <w:ind w:right="120"/>
              <w:spacing w:after="0"/>
              <w:rPr>
                <w:sz w:val="20"/>
                <w:szCs w:val="20"/>
                <w:color w:val="auto"/>
              </w:rPr>
            </w:pPr>
            <w:r>
              <w:rPr>
                <w:rFonts w:ascii="Arial" w:cs="Arial" w:eastAsia="Arial" w:hAnsi="Arial"/>
                <w:sz w:val="18"/>
                <w:szCs w:val="18"/>
                <w:color w:val="auto"/>
                <w:w w:val="94"/>
              </w:rPr>
              <w:t>(8,098)</w:t>
            </w:r>
          </w:p>
        </w:tc>
        <w:tc>
          <w:tcPr>
            <w:tcW w:w="240" w:type="dxa"/>
            <w:vAlign w:val="bottom"/>
            <w:gridSpan w:val="2"/>
          </w:tcPr>
          <w:p>
            <w:pPr>
              <w:jc w:val="right"/>
              <w:ind w:right="20"/>
              <w:spacing w:after="0"/>
              <w:rPr>
                <w:sz w:val="20"/>
                <w:szCs w:val="20"/>
                <w:color w:val="auto"/>
              </w:rPr>
            </w:pPr>
            <w:r>
              <w:rPr>
                <w:rFonts w:ascii="Arial" w:cs="Arial" w:eastAsia="Arial" w:hAnsi="Arial"/>
                <w:sz w:val="18"/>
                <w:szCs w:val="18"/>
                <w:color w:val="auto"/>
              </w:rPr>
              <w:t>$</w:t>
            </w:r>
          </w:p>
        </w:tc>
        <w:tc>
          <w:tcPr>
            <w:tcW w:w="600" w:type="dxa"/>
            <w:vAlign w:val="bottom"/>
            <w:gridSpan w:val="2"/>
          </w:tcPr>
          <w:p>
            <w:pPr>
              <w:jc w:val="right"/>
              <w:ind w:right="40"/>
              <w:spacing w:after="0"/>
              <w:rPr>
                <w:sz w:val="20"/>
                <w:szCs w:val="20"/>
                <w:color w:val="auto"/>
              </w:rPr>
            </w:pPr>
            <w:r>
              <w:rPr>
                <w:rFonts w:ascii="Arial" w:cs="Arial" w:eastAsia="Arial" w:hAnsi="Arial"/>
                <w:sz w:val="18"/>
                <w:szCs w:val="18"/>
                <w:color w:val="auto"/>
                <w:w w:val="94"/>
              </w:rPr>
              <w:t>(9,445)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780" w:type="dxa"/>
            <w:vAlign w:val="bottom"/>
            <w:shd w:val="clear" w:color="auto" w:fill="CCEEFF"/>
          </w:tcPr>
          <w:p>
            <w:pPr>
              <w:ind w:left="340"/>
              <w:spacing w:after="0"/>
              <w:rPr>
                <w:sz w:val="20"/>
                <w:szCs w:val="20"/>
                <w:color w:val="auto"/>
              </w:rPr>
            </w:pPr>
            <w:r>
              <w:rPr>
                <w:rFonts w:ascii="Arial" w:cs="Arial" w:eastAsia="Arial" w:hAnsi="Arial"/>
                <w:sz w:val="18"/>
                <w:szCs w:val="18"/>
                <w:color w:val="auto"/>
              </w:rPr>
              <w:t>Adjustments to reconcile net loss to net cash used in operating activities:</w:t>
            </w:r>
          </w:p>
        </w:tc>
        <w:tc>
          <w:tcPr>
            <w:tcW w:w="10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780" w:type="dxa"/>
            <w:vAlign w:val="bottom"/>
          </w:tcPr>
          <w:p>
            <w:pPr>
              <w:ind w:left="700"/>
              <w:spacing w:after="0"/>
              <w:rPr>
                <w:sz w:val="20"/>
                <w:szCs w:val="20"/>
                <w:color w:val="auto"/>
              </w:rPr>
            </w:pPr>
            <w:r>
              <w:rPr>
                <w:rFonts w:ascii="Arial" w:cs="Arial" w:eastAsia="Arial" w:hAnsi="Arial"/>
                <w:sz w:val="18"/>
                <w:szCs w:val="18"/>
                <w:color w:val="auto"/>
              </w:rPr>
              <w:t>Depreciation and amortization</w:t>
            </w:r>
          </w:p>
        </w:tc>
        <w:tc>
          <w:tcPr>
            <w:tcW w:w="100" w:type="dxa"/>
            <w:vAlign w:val="bottom"/>
          </w:tcPr>
          <w:p>
            <w:pPr>
              <w:spacing w:after="0"/>
              <w:rPr>
                <w:sz w:val="18"/>
                <w:szCs w:val="18"/>
                <w:color w:val="auto"/>
              </w:rPr>
            </w:pPr>
          </w:p>
        </w:tc>
        <w:tc>
          <w:tcPr>
            <w:tcW w:w="680" w:type="dxa"/>
            <w:vAlign w:val="bottom"/>
            <w:gridSpan w:val="2"/>
          </w:tcPr>
          <w:p>
            <w:pPr>
              <w:ind w:left="22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00" w:type="dxa"/>
            <w:vAlign w:val="bottom"/>
            <w:gridSpan w:val="2"/>
          </w:tcPr>
          <w:p>
            <w:pPr>
              <w:jc w:val="right"/>
              <w:ind w:right="100"/>
              <w:spacing w:after="0"/>
              <w:rPr>
                <w:sz w:val="20"/>
                <w:szCs w:val="20"/>
                <w:color w:val="auto"/>
              </w:rPr>
            </w:pPr>
            <w:r>
              <w:rPr>
                <w:rFonts w:ascii="Arial" w:cs="Arial" w:eastAsia="Arial" w:hAnsi="Arial"/>
                <w:sz w:val="18"/>
                <w:szCs w:val="18"/>
                <w:color w:val="auto"/>
              </w:rPr>
              <w:t>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780" w:type="dxa"/>
            <w:vAlign w:val="bottom"/>
            <w:shd w:val="clear" w:color="auto" w:fill="CCEEFF"/>
          </w:tcPr>
          <w:p>
            <w:pPr>
              <w:ind w:left="700"/>
              <w:spacing w:after="0"/>
              <w:rPr>
                <w:sz w:val="20"/>
                <w:szCs w:val="20"/>
                <w:color w:val="auto"/>
              </w:rPr>
            </w:pPr>
            <w:r>
              <w:rPr>
                <w:rFonts w:ascii="Arial" w:cs="Arial" w:eastAsia="Arial" w:hAnsi="Arial"/>
                <w:sz w:val="18"/>
                <w:szCs w:val="18"/>
                <w:color w:val="auto"/>
              </w:rPr>
              <w:t>Stock-based compensation expense</w:t>
            </w:r>
          </w:p>
        </w:tc>
        <w:tc>
          <w:tcPr>
            <w:tcW w:w="100" w:type="dxa"/>
            <w:vAlign w:val="bottom"/>
            <w:shd w:val="clear" w:color="auto" w:fill="CCEEFF"/>
          </w:tcPr>
          <w:p>
            <w:pPr>
              <w:spacing w:after="0"/>
              <w:rPr>
                <w:sz w:val="18"/>
                <w:szCs w:val="18"/>
                <w:color w:val="auto"/>
              </w:rPr>
            </w:pPr>
          </w:p>
        </w:tc>
        <w:tc>
          <w:tcPr>
            <w:tcW w:w="68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2,630</w:t>
            </w:r>
          </w:p>
        </w:tc>
        <w:tc>
          <w:tcPr>
            <w:tcW w:w="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599</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780" w:type="dxa"/>
            <w:vAlign w:val="bottom"/>
          </w:tcPr>
          <w:p>
            <w:pPr>
              <w:ind w:left="700"/>
              <w:spacing w:after="0"/>
              <w:rPr>
                <w:sz w:val="20"/>
                <w:szCs w:val="20"/>
                <w:color w:val="auto"/>
              </w:rPr>
            </w:pPr>
            <w:r>
              <w:rPr>
                <w:rFonts w:ascii="Arial" w:cs="Arial" w:eastAsia="Arial" w:hAnsi="Arial"/>
                <w:sz w:val="18"/>
                <w:szCs w:val="18"/>
                <w:color w:val="auto"/>
              </w:rPr>
              <w:t>Issuance of common stock for services</w:t>
            </w:r>
          </w:p>
        </w:tc>
        <w:tc>
          <w:tcPr>
            <w:tcW w:w="100" w:type="dxa"/>
            <w:vAlign w:val="bottom"/>
          </w:tcPr>
          <w:p>
            <w:pPr>
              <w:spacing w:after="0"/>
              <w:rPr>
                <w:sz w:val="18"/>
                <w:szCs w:val="18"/>
                <w:color w:val="auto"/>
              </w:rPr>
            </w:pPr>
          </w:p>
        </w:tc>
        <w:tc>
          <w:tcPr>
            <w:tcW w:w="680" w:type="dxa"/>
            <w:vAlign w:val="bottom"/>
            <w:gridSpan w:val="2"/>
          </w:tcPr>
          <w:p>
            <w:pPr>
              <w:jc w:val="right"/>
              <w:ind w:right="180"/>
              <w:spacing w:after="0"/>
              <w:rPr>
                <w:sz w:val="20"/>
                <w:szCs w:val="20"/>
                <w:color w:val="auto"/>
              </w:rPr>
            </w:pPr>
            <w:r>
              <w:rPr>
                <w:rFonts w:ascii="Arial" w:cs="Arial" w:eastAsia="Arial" w:hAnsi="Arial"/>
                <w:sz w:val="18"/>
                <w:szCs w:val="18"/>
                <w:color w:val="auto"/>
              </w:rPr>
              <w:t>10</w:t>
            </w: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00" w:type="dxa"/>
            <w:vAlign w:val="bottom"/>
            <w:gridSpan w:val="2"/>
          </w:tcPr>
          <w:p>
            <w:pPr>
              <w:jc w:val="right"/>
              <w:ind w:right="100"/>
              <w:spacing w:after="0"/>
              <w:rPr>
                <w:sz w:val="20"/>
                <w:szCs w:val="20"/>
                <w:color w:val="auto"/>
              </w:rPr>
            </w:pPr>
            <w:r>
              <w:rPr>
                <w:rFonts w:ascii="Arial" w:cs="Arial" w:eastAsia="Arial" w:hAnsi="Arial"/>
                <w:sz w:val="18"/>
                <w:szCs w:val="18"/>
                <w:color w:val="auto"/>
              </w:rPr>
              <w:t>18</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780" w:type="dxa"/>
            <w:vAlign w:val="bottom"/>
            <w:shd w:val="clear" w:color="auto" w:fill="CCEEFF"/>
          </w:tcPr>
          <w:p>
            <w:pPr>
              <w:ind w:left="700"/>
              <w:spacing w:after="0"/>
              <w:rPr>
                <w:sz w:val="20"/>
                <w:szCs w:val="20"/>
                <w:color w:val="auto"/>
              </w:rPr>
            </w:pPr>
            <w:r>
              <w:rPr>
                <w:rFonts w:ascii="Arial" w:cs="Arial" w:eastAsia="Arial" w:hAnsi="Arial"/>
                <w:sz w:val="18"/>
                <w:szCs w:val="18"/>
                <w:color w:val="auto"/>
              </w:rPr>
              <w:t>Non-cash interest expense</w:t>
            </w:r>
          </w:p>
        </w:tc>
        <w:tc>
          <w:tcPr>
            <w:tcW w:w="100" w:type="dxa"/>
            <w:vAlign w:val="bottom"/>
            <w:shd w:val="clear" w:color="auto" w:fill="CCEEFF"/>
          </w:tcPr>
          <w:p>
            <w:pPr>
              <w:spacing w:after="0"/>
              <w:rPr>
                <w:sz w:val="18"/>
                <w:szCs w:val="18"/>
                <w:color w:val="auto"/>
              </w:rPr>
            </w:pPr>
          </w:p>
        </w:tc>
        <w:tc>
          <w:tcPr>
            <w:tcW w:w="68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169</w:t>
            </w:r>
          </w:p>
        </w:tc>
        <w:tc>
          <w:tcPr>
            <w:tcW w:w="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0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780" w:type="dxa"/>
            <w:vAlign w:val="bottom"/>
          </w:tcPr>
          <w:p>
            <w:pPr>
              <w:ind w:left="700"/>
              <w:spacing w:after="0"/>
              <w:rPr>
                <w:sz w:val="20"/>
                <w:szCs w:val="20"/>
                <w:color w:val="auto"/>
              </w:rPr>
            </w:pPr>
            <w:r>
              <w:rPr>
                <w:rFonts w:ascii="Arial" w:cs="Arial" w:eastAsia="Arial" w:hAnsi="Arial"/>
                <w:sz w:val="18"/>
                <w:szCs w:val="18"/>
                <w:color w:val="auto"/>
              </w:rPr>
              <w:t>Changes in operating assets and liabilities:</w:t>
            </w:r>
          </w:p>
        </w:tc>
        <w:tc>
          <w:tcPr>
            <w:tcW w:w="10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780" w:type="dxa"/>
            <w:vAlign w:val="bottom"/>
            <w:shd w:val="clear" w:color="auto" w:fill="CCEEFF"/>
          </w:tcPr>
          <w:p>
            <w:pPr>
              <w:ind w:left="1060"/>
              <w:spacing w:after="0"/>
              <w:rPr>
                <w:sz w:val="20"/>
                <w:szCs w:val="20"/>
                <w:color w:val="auto"/>
              </w:rPr>
            </w:pPr>
            <w:r>
              <w:rPr>
                <w:rFonts w:ascii="Arial" w:cs="Arial" w:eastAsia="Arial" w:hAnsi="Arial"/>
                <w:sz w:val="18"/>
                <w:szCs w:val="18"/>
                <w:color w:val="auto"/>
              </w:rPr>
              <w:t>Prepaid expenses and other assets</w:t>
            </w:r>
          </w:p>
        </w:tc>
        <w:tc>
          <w:tcPr>
            <w:tcW w:w="100" w:type="dxa"/>
            <w:vAlign w:val="bottom"/>
            <w:shd w:val="clear" w:color="auto" w:fill="CCEEFF"/>
          </w:tcPr>
          <w:p>
            <w:pPr>
              <w:spacing w:after="0"/>
              <w:rPr>
                <w:sz w:val="18"/>
                <w:szCs w:val="18"/>
                <w:color w:val="auto"/>
              </w:rPr>
            </w:pPr>
          </w:p>
        </w:tc>
        <w:tc>
          <w:tcPr>
            <w:tcW w:w="68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226</w:t>
            </w:r>
          </w:p>
        </w:tc>
        <w:tc>
          <w:tcPr>
            <w:tcW w:w="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230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780" w:type="dxa"/>
            <w:vAlign w:val="bottom"/>
          </w:tcPr>
          <w:p>
            <w:pPr>
              <w:ind w:left="1060"/>
              <w:spacing w:after="0"/>
              <w:rPr>
                <w:sz w:val="20"/>
                <w:szCs w:val="20"/>
                <w:color w:val="auto"/>
              </w:rPr>
            </w:pPr>
            <w:r>
              <w:rPr>
                <w:rFonts w:ascii="Arial" w:cs="Arial" w:eastAsia="Arial" w:hAnsi="Arial"/>
                <w:sz w:val="18"/>
                <w:szCs w:val="18"/>
                <w:color w:val="auto"/>
              </w:rPr>
              <w:t>Accounts payable and accrued expenses</w:t>
            </w:r>
          </w:p>
        </w:tc>
        <w:tc>
          <w:tcPr>
            <w:tcW w:w="100" w:type="dxa"/>
            <w:vAlign w:val="bottom"/>
          </w:tcPr>
          <w:p>
            <w:pPr>
              <w:spacing w:after="0"/>
              <w:rPr>
                <w:sz w:val="18"/>
                <w:szCs w:val="18"/>
                <w:color w:val="auto"/>
              </w:rPr>
            </w:pPr>
          </w:p>
        </w:tc>
        <w:tc>
          <w:tcPr>
            <w:tcW w:w="680" w:type="dxa"/>
            <w:vAlign w:val="bottom"/>
            <w:gridSpan w:val="2"/>
          </w:tcPr>
          <w:p>
            <w:pPr>
              <w:jc w:val="right"/>
              <w:ind w:right="120"/>
              <w:spacing w:after="0"/>
              <w:rPr>
                <w:sz w:val="20"/>
                <w:szCs w:val="20"/>
                <w:color w:val="auto"/>
              </w:rPr>
            </w:pPr>
            <w:r>
              <w:rPr>
                <w:rFonts w:ascii="Arial" w:cs="Arial" w:eastAsia="Arial" w:hAnsi="Arial"/>
                <w:sz w:val="18"/>
                <w:szCs w:val="18"/>
                <w:color w:val="auto"/>
                <w:w w:val="94"/>
              </w:rPr>
              <w:t>(1,532)</w:t>
            </w: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00" w:type="dxa"/>
            <w:vAlign w:val="bottom"/>
            <w:gridSpan w:val="2"/>
          </w:tcPr>
          <w:p>
            <w:pPr>
              <w:jc w:val="right"/>
              <w:ind w:right="40"/>
              <w:spacing w:after="0"/>
              <w:rPr>
                <w:sz w:val="20"/>
                <w:szCs w:val="20"/>
                <w:color w:val="auto"/>
              </w:rPr>
            </w:pPr>
            <w:r>
              <w:rPr>
                <w:rFonts w:ascii="Arial" w:cs="Arial" w:eastAsia="Arial" w:hAnsi="Arial"/>
                <w:sz w:val="18"/>
                <w:szCs w:val="18"/>
                <w:color w:val="auto"/>
              </w:rPr>
              <w:t>(268)</w:t>
            </w:r>
          </w:p>
        </w:tc>
        <w:tc>
          <w:tcPr>
            <w:tcW w:w="0" w:type="dxa"/>
            <w:vAlign w:val="bottom"/>
          </w:tcPr>
          <w:p>
            <w:pPr>
              <w:spacing w:after="0"/>
              <w:rPr>
                <w:sz w:val="1"/>
                <w:szCs w:val="1"/>
                <w:color w:val="auto"/>
              </w:rPr>
            </w:pPr>
          </w:p>
        </w:tc>
      </w:tr>
      <w:tr>
        <w:trPr>
          <w:trHeight w:val="27"/>
        </w:trPr>
        <w:tc>
          <w:tcPr>
            <w:tcW w:w="20" w:type="dxa"/>
            <w:vAlign w:val="bottom"/>
          </w:tcPr>
          <w:p>
            <w:pPr>
              <w:spacing w:after="0"/>
              <w:rPr>
                <w:sz w:val="2"/>
                <w:szCs w:val="2"/>
                <w:color w:val="auto"/>
              </w:rPr>
            </w:pPr>
          </w:p>
        </w:tc>
        <w:tc>
          <w:tcPr>
            <w:tcW w:w="978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500" w:type="dxa"/>
            <w:vAlign w:val="bottom"/>
            <w:shd w:val="clear" w:color="auto" w:fill="000000"/>
          </w:tcPr>
          <w:p>
            <w:pPr>
              <w:spacing w:after="0"/>
              <w:rPr>
                <w:sz w:val="2"/>
                <w:szCs w:val="2"/>
                <w:color w:val="auto"/>
              </w:rPr>
            </w:pPr>
          </w:p>
        </w:tc>
        <w:tc>
          <w:tcPr>
            <w:tcW w:w="180" w:type="dxa"/>
            <w:vAlign w:val="bottom"/>
          </w:tcPr>
          <w:p>
            <w:pPr>
              <w:spacing w:after="0"/>
              <w:rPr>
                <w:sz w:val="2"/>
                <w:szCs w:val="2"/>
                <w:color w:val="auto"/>
              </w:rPr>
            </w:pPr>
          </w:p>
        </w:tc>
        <w:tc>
          <w:tcPr>
            <w:tcW w:w="14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50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tcPr>
          <w:p>
            <w:pPr>
              <w:spacing w:after="0"/>
              <w:rPr>
                <w:sz w:val="18"/>
                <w:szCs w:val="18"/>
                <w:color w:val="auto"/>
              </w:rPr>
            </w:pPr>
          </w:p>
        </w:tc>
        <w:tc>
          <w:tcPr>
            <w:tcW w:w="9780" w:type="dxa"/>
            <w:vAlign w:val="bottom"/>
            <w:shd w:val="clear" w:color="auto" w:fill="CCEEFF"/>
          </w:tcPr>
          <w:p>
            <w:pPr>
              <w:ind w:left="1420"/>
              <w:spacing w:after="0"/>
              <w:rPr>
                <w:sz w:val="20"/>
                <w:szCs w:val="20"/>
                <w:color w:val="auto"/>
              </w:rPr>
            </w:pPr>
            <w:r>
              <w:rPr>
                <w:rFonts w:ascii="Arial" w:cs="Arial" w:eastAsia="Arial" w:hAnsi="Arial"/>
                <w:sz w:val="18"/>
                <w:szCs w:val="18"/>
                <w:color w:val="auto"/>
              </w:rPr>
              <w:t>Net cash used in operating activities</w:t>
            </w:r>
          </w:p>
        </w:tc>
        <w:tc>
          <w:tcPr>
            <w:tcW w:w="100" w:type="dxa"/>
            <w:vAlign w:val="bottom"/>
            <w:shd w:val="clear" w:color="auto" w:fill="CCEEFF"/>
          </w:tcPr>
          <w:p>
            <w:pPr>
              <w:spacing w:after="0"/>
              <w:rPr>
                <w:sz w:val="18"/>
                <w:szCs w:val="18"/>
                <w:color w:val="auto"/>
              </w:rPr>
            </w:pPr>
          </w:p>
        </w:tc>
        <w:tc>
          <w:tcPr>
            <w:tcW w:w="68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w w:val="94"/>
              </w:rPr>
              <w:t>(6,595)</w:t>
            </w:r>
          </w:p>
        </w:tc>
        <w:tc>
          <w:tcPr>
            <w:tcW w:w="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0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w w:val="94"/>
              </w:rPr>
              <w:t>(8,865)</w:t>
            </w:r>
          </w:p>
        </w:tc>
        <w:tc>
          <w:tcPr>
            <w:tcW w:w="0" w:type="dxa"/>
            <w:vAlign w:val="bottom"/>
          </w:tcPr>
          <w:p>
            <w:pPr>
              <w:spacing w:after="0"/>
              <w:rPr>
                <w:sz w:val="1"/>
                <w:szCs w:val="1"/>
                <w:color w:val="auto"/>
              </w:rPr>
            </w:pPr>
          </w:p>
        </w:tc>
      </w:tr>
      <w:tr>
        <w:trPr>
          <w:trHeight w:val="223"/>
        </w:trPr>
        <w:tc>
          <w:tcPr>
            <w:tcW w:w="9800" w:type="dxa"/>
            <w:vAlign w:val="bottom"/>
            <w:gridSpan w:val="2"/>
          </w:tcPr>
          <w:p>
            <w:pPr>
              <w:spacing w:after="0"/>
              <w:rPr>
                <w:sz w:val="20"/>
                <w:szCs w:val="20"/>
                <w:color w:val="auto"/>
              </w:rPr>
            </w:pPr>
            <w:r>
              <w:rPr>
                <w:rFonts w:ascii="Arial" w:cs="Arial" w:eastAsia="Arial" w:hAnsi="Arial"/>
                <w:sz w:val="18"/>
                <w:szCs w:val="18"/>
                <w:color w:val="auto"/>
              </w:rPr>
              <w:t>CASH FLOWS FROM FINANCING ACTIVITIES:</w:t>
            </w:r>
          </w:p>
        </w:tc>
        <w:tc>
          <w:tcPr>
            <w:tcW w:w="100" w:type="dxa"/>
            <w:vAlign w:val="bottom"/>
            <w:tcBorders>
              <w:top w:val="single" w:sz="8" w:color="auto"/>
            </w:tcBorders>
          </w:tcPr>
          <w:p>
            <w:pPr>
              <w:spacing w:after="0"/>
              <w:rPr>
                <w:sz w:val="19"/>
                <w:szCs w:val="19"/>
                <w:color w:val="auto"/>
              </w:rPr>
            </w:pPr>
          </w:p>
        </w:tc>
        <w:tc>
          <w:tcPr>
            <w:tcW w:w="500" w:type="dxa"/>
            <w:vAlign w:val="bottom"/>
            <w:tcBorders>
              <w:top w:val="single" w:sz="8" w:color="auto"/>
            </w:tcBorders>
          </w:tcPr>
          <w:p>
            <w:pPr>
              <w:spacing w:after="0"/>
              <w:rPr>
                <w:sz w:val="19"/>
                <w:szCs w:val="19"/>
                <w:color w:val="auto"/>
              </w:rPr>
            </w:pPr>
          </w:p>
        </w:tc>
        <w:tc>
          <w:tcPr>
            <w:tcW w:w="1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00" w:type="dxa"/>
            <w:vAlign w:val="bottom"/>
            <w:tcBorders>
              <w:top w:val="single" w:sz="8" w:color="auto"/>
            </w:tcBorders>
          </w:tcPr>
          <w:p>
            <w:pPr>
              <w:spacing w:after="0"/>
              <w:rPr>
                <w:sz w:val="19"/>
                <w:szCs w:val="19"/>
                <w:color w:val="auto"/>
              </w:rPr>
            </w:pPr>
          </w:p>
        </w:tc>
        <w:tc>
          <w:tcPr>
            <w:tcW w:w="500" w:type="dxa"/>
            <w:vAlign w:val="bottom"/>
            <w:tcBorders>
              <w:top w:val="single" w:sz="8" w:color="auto"/>
            </w:tcBorders>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780" w:type="dxa"/>
            <w:vAlign w:val="bottom"/>
            <w:shd w:val="clear" w:color="auto" w:fill="CCEEFF"/>
          </w:tcPr>
          <w:p>
            <w:pPr>
              <w:ind w:left="340"/>
              <w:spacing w:after="0"/>
              <w:rPr>
                <w:sz w:val="20"/>
                <w:szCs w:val="20"/>
                <w:color w:val="auto"/>
              </w:rPr>
            </w:pPr>
            <w:r>
              <w:rPr>
                <w:rFonts w:ascii="Arial" w:cs="Arial" w:eastAsia="Arial" w:hAnsi="Arial"/>
                <w:sz w:val="18"/>
                <w:szCs w:val="18"/>
                <w:color w:val="auto"/>
              </w:rPr>
              <w:t>Net proceeds from issuance of common stock and warrants</w:t>
            </w:r>
          </w:p>
        </w:tc>
        <w:tc>
          <w:tcPr>
            <w:tcW w:w="100" w:type="dxa"/>
            <w:vAlign w:val="bottom"/>
            <w:shd w:val="clear" w:color="auto" w:fill="CCEEFF"/>
          </w:tcPr>
          <w:p>
            <w:pPr>
              <w:spacing w:after="0"/>
              <w:rPr>
                <w:sz w:val="18"/>
                <w:szCs w:val="18"/>
                <w:color w:val="auto"/>
              </w:rPr>
            </w:pPr>
          </w:p>
        </w:tc>
        <w:tc>
          <w:tcPr>
            <w:tcW w:w="68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w w:val="87"/>
              </w:rPr>
              <w:t>14,039</w:t>
            </w:r>
          </w:p>
        </w:tc>
        <w:tc>
          <w:tcPr>
            <w:tcW w:w="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2,630</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9780" w:type="dxa"/>
            <w:vAlign w:val="bottom"/>
          </w:tcPr>
          <w:p>
            <w:pPr>
              <w:ind w:left="700"/>
              <w:spacing w:after="0"/>
              <w:rPr>
                <w:sz w:val="20"/>
                <w:szCs w:val="20"/>
                <w:color w:val="auto"/>
              </w:rPr>
            </w:pPr>
            <w:r>
              <w:rPr>
                <w:rFonts w:ascii="Arial" w:cs="Arial" w:eastAsia="Arial" w:hAnsi="Arial"/>
                <w:sz w:val="18"/>
                <w:szCs w:val="18"/>
                <w:color w:val="auto"/>
              </w:rPr>
              <w:t>Net cash provided by financing activities</w:t>
            </w:r>
          </w:p>
        </w:tc>
        <w:tc>
          <w:tcPr>
            <w:tcW w:w="100" w:type="dxa"/>
            <w:vAlign w:val="bottom"/>
            <w:tcBorders>
              <w:top w:val="single" w:sz="8" w:color="auto"/>
              <w:bottom w:val="single" w:sz="8" w:color="auto"/>
            </w:tcBorders>
          </w:tcPr>
          <w:p>
            <w:pPr>
              <w:spacing w:after="0"/>
              <w:rPr>
                <w:sz w:val="20"/>
                <w:szCs w:val="20"/>
                <w:color w:val="auto"/>
              </w:rPr>
            </w:pPr>
          </w:p>
        </w:tc>
        <w:tc>
          <w:tcPr>
            <w:tcW w:w="5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87"/>
              </w:rPr>
              <w:t>14,039</w:t>
            </w:r>
          </w:p>
        </w:tc>
        <w:tc>
          <w:tcPr>
            <w:tcW w:w="18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00" w:type="dxa"/>
            <w:vAlign w:val="bottom"/>
            <w:tcBorders>
              <w:top w:val="single" w:sz="8" w:color="auto"/>
              <w:bottom w:val="single" w:sz="8" w:color="auto"/>
            </w:tcBorders>
          </w:tcPr>
          <w:p>
            <w:pPr>
              <w:spacing w:after="0"/>
              <w:rPr>
                <w:sz w:val="20"/>
                <w:szCs w:val="20"/>
                <w:color w:val="auto"/>
              </w:rPr>
            </w:pPr>
          </w:p>
        </w:tc>
        <w:tc>
          <w:tcPr>
            <w:tcW w:w="5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2,630</w:t>
            </w: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780" w:type="dxa"/>
            <w:vAlign w:val="bottom"/>
            <w:shd w:val="clear" w:color="auto" w:fill="CCEEFF"/>
          </w:tcPr>
          <w:p>
            <w:pPr>
              <w:spacing w:after="0"/>
              <w:rPr>
                <w:sz w:val="20"/>
                <w:szCs w:val="20"/>
                <w:color w:val="auto"/>
              </w:rPr>
            </w:pPr>
            <w:r>
              <w:rPr>
                <w:rFonts w:ascii="Arial" w:cs="Arial" w:eastAsia="Arial" w:hAnsi="Arial"/>
                <w:sz w:val="18"/>
                <w:szCs w:val="18"/>
                <w:color w:val="auto"/>
              </w:rPr>
              <w:t>NET (DECREASE) INCREASE IN CASH AND CASH EQUIVALENTS</w:t>
            </w:r>
          </w:p>
        </w:tc>
        <w:tc>
          <w:tcPr>
            <w:tcW w:w="100" w:type="dxa"/>
            <w:vAlign w:val="bottom"/>
            <w:shd w:val="clear" w:color="auto" w:fill="CCEEFF"/>
          </w:tcPr>
          <w:p>
            <w:pPr>
              <w:spacing w:after="0"/>
              <w:rPr>
                <w:sz w:val="18"/>
                <w:szCs w:val="18"/>
                <w:color w:val="auto"/>
              </w:rPr>
            </w:pPr>
          </w:p>
        </w:tc>
        <w:tc>
          <w:tcPr>
            <w:tcW w:w="68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7,444</w:t>
            </w:r>
          </w:p>
        </w:tc>
        <w:tc>
          <w:tcPr>
            <w:tcW w:w="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0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w w:val="94"/>
              </w:rPr>
              <w:t>(6,235)</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9780" w:type="dxa"/>
            <w:vAlign w:val="bottom"/>
          </w:tcPr>
          <w:p>
            <w:pPr>
              <w:spacing w:after="0"/>
              <w:rPr>
                <w:sz w:val="20"/>
                <w:szCs w:val="20"/>
                <w:color w:val="auto"/>
              </w:rPr>
            </w:pPr>
            <w:r>
              <w:rPr>
                <w:rFonts w:ascii="Arial" w:cs="Arial" w:eastAsia="Arial" w:hAnsi="Arial"/>
                <w:sz w:val="18"/>
                <w:szCs w:val="18"/>
                <w:color w:val="auto"/>
              </w:rPr>
              <w:t>CASH AND CASH EQUIVALENTS, BEGINNING OF PERIOD</w:t>
            </w:r>
          </w:p>
        </w:tc>
        <w:tc>
          <w:tcPr>
            <w:tcW w:w="100" w:type="dxa"/>
            <w:vAlign w:val="bottom"/>
            <w:tcBorders>
              <w:bottom w:val="single" w:sz="8" w:color="auto"/>
            </w:tcBorders>
          </w:tcPr>
          <w:p>
            <w:pPr>
              <w:spacing w:after="0"/>
              <w:rPr>
                <w:sz w:val="19"/>
                <w:szCs w:val="19"/>
                <w:color w:val="auto"/>
              </w:rPr>
            </w:pPr>
          </w:p>
        </w:tc>
        <w:tc>
          <w:tcPr>
            <w:tcW w:w="5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3,053</w:t>
            </w:r>
          </w:p>
        </w:tc>
        <w:tc>
          <w:tcPr>
            <w:tcW w:w="1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5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87"/>
              </w:rPr>
              <w:t>15,362</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780" w:type="dxa"/>
            <w:vAlign w:val="bottom"/>
            <w:shd w:val="clear" w:color="auto" w:fill="CCEEFF"/>
          </w:tcPr>
          <w:p>
            <w:pPr>
              <w:spacing w:after="0"/>
              <w:rPr>
                <w:sz w:val="20"/>
                <w:szCs w:val="20"/>
                <w:color w:val="auto"/>
              </w:rPr>
            </w:pPr>
            <w:r>
              <w:rPr>
                <w:rFonts w:ascii="Arial" w:cs="Arial" w:eastAsia="Arial" w:hAnsi="Arial"/>
                <w:sz w:val="18"/>
                <w:szCs w:val="18"/>
                <w:color w:val="auto"/>
              </w:rPr>
              <w:t>CASH AND CASH EQUIVALENTS, END OF PERIOD</w:t>
            </w: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u w:val="single" w:color="auto"/>
                <w:color w:val="auto"/>
                <w:w w:val="71"/>
              </w:rPr>
              <w:t>$</w:t>
            </w:r>
          </w:p>
        </w:tc>
        <w:tc>
          <w:tcPr>
            <w:tcW w:w="68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w w:val="87"/>
              </w:rPr>
              <w:t>10,497</w:t>
            </w:r>
          </w:p>
        </w:tc>
        <w:tc>
          <w:tcPr>
            <w:tcW w:w="24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w:t>
            </w:r>
          </w:p>
        </w:tc>
        <w:tc>
          <w:tcPr>
            <w:tcW w:w="6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9,127</w:t>
            </w:r>
          </w:p>
        </w:tc>
        <w:tc>
          <w:tcPr>
            <w:tcW w:w="0" w:type="dxa"/>
            <w:vAlign w:val="bottom"/>
          </w:tcPr>
          <w:p>
            <w:pPr>
              <w:spacing w:after="0"/>
              <w:rPr>
                <w:sz w:val="1"/>
                <w:szCs w:val="1"/>
                <w:color w:val="auto"/>
              </w:rPr>
            </w:pPr>
          </w:p>
        </w:tc>
      </w:tr>
      <w:tr>
        <w:trPr>
          <w:trHeight w:val="20"/>
        </w:trPr>
        <w:tc>
          <w:tcPr>
            <w:tcW w:w="9800" w:type="dxa"/>
            <w:vAlign w:val="bottom"/>
            <w:gridSpan w:val="2"/>
            <w:vMerge w:val="restart"/>
          </w:tcPr>
          <w:p>
            <w:pPr>
              <w:spacing w:after="0"/>
              <w:rPr>
                <w:sz w:val="20"/>
                <w:szCs w:val="20"/>
                <w:color w:val="auto"/>
              </w:rPr>
            </w:pPr>
            <w:r>
              <w:rPr>
                <w:rFonts w:ascii="Arial" w:cs="Arial" w:eastAsia="Arial" w:hAnsi="Arial"/>
                <w:sz w:val="18"/>
                <w:szCs w:val="18"/>
                <w:color w:val="auto"/>
              </w:rPr>
              <w:t>NONCASH FINANCING ACTIVITIES:</w:t>
            </w:r>
          </w:p>
        </w:tc>
        <w:tc>
          <w:tcPr>
            <w:tcW w:w="100" w:type="dxa"/>
            <w:vAlign w:val="bottom"/>
            <w:tcBorders>
              <w:top w:val="single" w:sz="8" w:color="auto"/>
              <w:bottom w:val="single" w:sz="8" w:color="auto"/>
            </w:tcBorders>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9800" w:type="dxa"/>
            <w:vAlign w:val="bottom"/>
            <w:gridSpan w:val="2"/>
            <w:vMerge w:val="continue"/>
          </w:tcPr>
          <w:p>
            <w:pPr>
              <w:spacing w:after="0"/>
              <w:rPr>
                <w:sz w:val="18"/>
                <w:szCs w:val="18"/>
                <w:color w:val="auto"/>
              </w:rPr>
            </w:pPr>
          </w:p>
        </w:tc>
        <w:tc>
          <w:tcPr>
            <w:tcW w:w="10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780" w:type="dxa"/>
            <w:vAlign w:val="bottom"/>
            <w:shd w:val="clear" w:color="auto" w:fill="CCEEFF"/>
          </w:tcPr>
          <w:p>
            <w:pPr>
              <w:ind w:left="340"/>
              <w:spacing w:after="0"/>
              <w:rPr>
                <w:sz w:val="20"/>
                <w:szCs w:val="20"/>
                <w:color w:val="auto"/>
              </w:rPr>
            </w:pPr>
            <w:r>
              <w:rPr>
                <w:rFonts w:ascii="Arial" w:cs="Arial" w:eastAsia="Arial" w:hAnsi="Arial"/>
                <w:sz w:val="18"/>
                <w:szCs w:val="18"/>
                <w:color w:val="auto"/>
              </w:rPr>
              <w:t>Payment of preferred stock dividends in common stock</w:t>
            </w: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68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553</w:t>
            </w:r>
          </w:p>
        </w:tc>
        <w:tc>
          <w:tcPr>
            <w:tcW w:w="24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w:t>
            </w:r>
          </w:p>
        </w:tc>
        <w:tc>
          <w:tcPr>
            <w:tcW w:w="6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573</w:t>
            </w:r>
          </w:p>
        </w:tc>
        <w:tc>
          <w:tcPr>
            <w:tcW w:w="0" w:type="dxa"/>
            <w:vAlign w:val="bottom"/>
          </w:tcPr>
          <w:p>
            <w:pPr>
              <w:spacing w:after="0"/>
              <w:rPr>
                <w:sz w:val="1"/>
                <w:szCs w:val="1"/>
                <w:color w:val="auto"/>
              </w:rPr>
            </w:pPr>
          </w:p>
        </w:tc>
      </w:tr>
    </w:tbl>
    <w:p>
      <w:pPr>
        <w:spacing w:after="0" w:line="20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See notes to unaudited condensed consolidated financial statements.</w:t>
      </w:r>
    </w:p>
    <w:p>
      <w:pPr>
        <w:spacing w:after="0" w:line="15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w:t>
      </w:r>
    </w:p>
    <w:p>
      <w:pPr>
        <w:sectPr>
          <w:pgSz w:w="11900" w:h="16838" w:orient="portrait"/>
          <w:cols w:equalWidth="0" w:num="1">
            <w:col w:w="11420"/>
          </w:cols>
          <w:pgMar w:left="240" w:top="459" w:right="239" w:bottom="1440" w:gutter="0" w:footer="0" w:header="0"/>
        </w:sectPr>
      </w:pPr>
    </w:p>
    <w:bookmarkStart w:id="5" w:name="page6"/>
    <w:bookmarkEnd w:id="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GALECTIN THERAPEUTICS INC.</w:t>
      </w:r>
    </w:p>
    <w:p>
      <w:pPr>
        <w:spacing w:after="0" w:line="2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NOTES TO UNAUDITED CONDENSED CONSOLIDATED FINANCIAL STATEMENTS</w:t>
      </w:r>
    </w:p>
    <w:p>
      <w:pPr>
        <w:spacing w:after="0" w:line="9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 Basis of Presentation</w:t>
      </w:r>
    </w:p>
    <w:p>
      <w:pPr>
        <w:spacing w:after="0" w:line="121" w:lineRule="exact"/>
        <w:rPr>
          <w:sz w:val="20"/>
          <w:szCs w:val="20"/>
          <w:color w:val="auto"/>
        </w:rPr>
      </w:pPr>
    </w:p>
    <w:p>
      <w:pPr>
        <w:ind w:firstLine="456"/>
        <w:spacing w:after="0" w:line="259" w:lineRule="auto"/>
        <w:rPr>
          <w:sz w:val="20"/>
          <w:szCs w:val="20"/>
          <w:color w:val="auto"/>
        </w:rPr>
      </w:pPr>
      <w:r>
        <w:rPr>
          <w:rFonts w:ascii="Arial" w:cs="Arial" w:eastAsia="Arial" w:hAnsi="Arial"/>
          <w:sz w:val="18"/>
          <w:szCs w:val="18"/>
          <w:color w:val="auto"/>
        </w:rPr>
        <w:t>Galectin Therapeutics Inc. (the “Company”) is a clinical stage biopharmaceutical company that is applying its leadership in galectin science and drug development to create new therapies for fibrotic disease, skin diseases and cancer. These candidates are based on the Company’s targeting of galectin proteins which are key mediators of biologic and pathologic functions. These compounds also may have application for drugs to treat other diseases and chronic health conditions.</w:t>
      </w:r>
    </w:p>
    <w:p>
      <w:pPr>
        <w:spacing w:after="0" w:line="187" w:lineRule="exact"/>
        <w:rPr>
          <w:sz w:val="20"/>
          <w:szCs w:val="20"/>
          <w:color w:val="auto"/>
        </w:rPr>
      </w:pPr>
    </w:p>
    <w:p>
      <w:pPr>
        <w:ind w:firstLine="456"/>
        <w:spacing w:after="0" w:line="269" w:lineRule="auto"/>
        <w:rPr>
          <w:sz w:val="20"/>
          <w:szCs w:val="20"/>
          <w:color w:val="auto"/>
        </w:rPr>
      </w:pPr>
      <w:r>
        <w:rPr>
          <w:rFonts w:ascii="Arial" w:cs="Arial" w:eastAsia="Arial" w:hAnsi="Arial"/>
          <w:sz w:val="17"/>
          <w:szCs w:val="17"/>
          <w:color w:val="auto"/>
        </w:rPr>
        <w:t>The unaudited condensed consolidated financial statements as reported in this Quarterly Report on Form 10-Q reflect all adjustments which are, in the opinion of management, necessary to present fairly the financial position of the Company as of June 30, 2018 and the results of its operations for the three and six months ended June 30, 2018 and 2017 and its cash flows for the six months ended June 30, 2018 and 2017. All adjustments made to the interim financial statements include all those of a normal and recurring nature. Amounts presented in the condensed consolidated balance sheet as of December 31, 2017 are derived from the Company’s audited consolidated financial statements as of that date, but do not include all of the information and footnotes required by accounting principles generally accepted in the United States of America for complete financial statements. The Company considers events or transactions that occur after the balance sheet date but before the financial statements are issued to provide additional evidence relative to certain estimates or to identify matters that require additional disclosure. Subsequent events have been evaluated through the date these financial statements are available to be issued. The results for interim periods are not necessarily indicative of results that may be expected for any other interim period or for the full year. The unaudited condensed consolidated financial statements of the Company should be read in conjunction with its Annual Report on Form 10-K for the year ended December 31, 2017.</w:t>
      </w:r>
    </w:p>
    <w:p>
      <w:pPr>
        <w:spacing w:after="0" w:line="183" w:lineRule="exact"/>
        <w:rPr>
          <w:sz w:val="20"/>
          <w:szCs w:val="20"/>
          <w:color w:val="auto"/>
        </w:rPr>
      </w:pPr>
    </w:p>
    <w:p>
      <w:pPr>
        <w:ind w:right="60" w:firstLine="456"/>
        <w:spacing w:after="0" w:line="255" w:lineRule="auto"/>
        <w:rPr>
          <w:sz w:val="20"/>
          <w:szCs w:val="20"/>
          <w:color w:val="auto"/>
        </w:rPr>
      </w:pPr>
      <w:r>
        <w:rPr>
          <w:rFonts w:ascii="Arial" w:cs="Arial" w:eastAsia="Arial" w:hAnsi="Arial"/>
          <w:sz w:val="18"/>
          <w:szCs w:val="18"/>
          <w:color w:val="auto"/>
        </w:rPr>
        <w:t>The Company has operated at a loss since its inception and has had no significant revenues. The Company anticipates that losses will continue for the foreseeable future. At June 30, 2018, the Company had $10.5 million of unrestricted cash and cash equivalents available to fund future operations. The Company believes there is sufficient cash, including availability of the line of credit (discussed in Note 3 below), to fund currently planned operations at least through June 30, 2019. The Company’s ability to fund operations after its current cash resources are exhausted depends on its ability to obtain additional financing or achieve profitable operations, as to which no assurances can be given. Accordingly, based on the forecasts and estimates underlying the Company’s current operating plan, the financial statements do not currently include any adjustments that might be necessary if the Company is unable to continue as a going concern.</w:t>
      </w:r>
    </w:p>
    <w:p>
      <w:pPr>
        <w:spacing w:after="0" w:line="189" w:lineRule="exact"/>
        <w:rPr>
          <w:sz w:val="20"/>
          <w:szCs w:val="20"/>
          <w:color w:val="auto"/>
        </w:rPr>
      </w:pPr>
    </w:p>
    <w:p>
      <w:pPr>
        <w:ind w:right="300" w:firstLine="456"/>
        <w:spacing w:after="0" w:line="277" w:lineRule="auto"/>
        <w:rPr>
          <w:sz w:val="20"/>
          <w:szCs w:val="20"/>
          <w:color w:val="auto"/>
        </w:rPr>
      </w:pPr>
      <w:r>
        <w:rPr>
          <w:rFonts w:ascii="Arial" w:cs="Arial" w:eastAsia="Arial" w:hAnsi="Arial"/>
          <w:sz w:val="18"/>
          <w:szCs w:val="18"/>
          <w:color w:val="auto"/>
        </w:rPr>
        <w:t>The Company was founded in July 2000, was incorporated in the State of Nevada in January 2001 under the name “Pro-Pharmaceuticals, Inc.,” and changed its name to “Galectin Therapeutics Inc.” on May 26, 2011.</w:t>
      </w:r>
    </w:p>
    <w:p>
      <w:pPr>
        <w:spacing w:after="0" w:line="27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2. Accrued Expenses</w:t>
      </w:r>
    </w:p>
    <w:p>
      <w:pPr>
        <w:spacing w:after="0" w:line="121" w:lineRule="exact"/>
        <w:rPr>
          <w:sz w:val="20"/>
          <w:szCs w:val="20"/>
          <w:color w:val="auto"/>
        </w:rPr>
      </w:pPr>
    </w:p>
    <w:p>
      <w:pPr>
        <w:ind w:left="460"/>
        <w:spacing w:after="0"/>
        <w:rPr>
          <w:sz w:val="20"/>
          <w:szCs w:val="20"/>
          <w:color w:val="auto"/>
        </w:rPr>
      </w:pPr>
      <w:r>
        <w:rPr>
          <w:rFonts w:ascii="Arial" w:cs="Arial" w:eastAsia="Arial" w:hAnsi="Arial"/>
          <w:sz w:val="18"/>
          <w:szCs w:val="18"/>
          <w:color w:val="auto"/>
        </w:rPr>
        <w:t>Accrued expenses consist of the following:</w:t>
      </w:r>
    </w:p>
    <w:p>
      <w:pPr>
        <w:spacing w:after="0" w:line="235" w:lineRule="exact"/>
        <w:rPr>
          <w:sz w:val="20"/>
          <w:szCs w:val="20"/>
          <w:color w:val="auto"/>
        </w:rPr>
      </w:pPr>
    </w:p>
    <w:tbl>
      <w:tblPr>
        <w:tblLayout w:type="fixed"/>
        <w:tblInd w:w="1380" w:type="dxa"/>
        <w:tblCellMar>
          <w:top w:w="0" w:type="dxa"/>
          <w:left w:w="0" w:type="dxa"/>
          <w:bottom w:w="0" w:type="dxa"/>
          <w:right w:w="0" w:type="dxa"/>
        </w:tblCellMar>
      </w:tblPr>
      <w:tr>
        <w:trPr>
          <w:trHeight w:val="161"/>
        </w:trPr>
        <w:tc>
          <w:tcPr>
            <w:tcW w:w="676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500" w:type="dxa"/>
            <w:vAlign w:val="bottom"/>
            <w:gridSpan w:val="2"/>
          </w:tcPr>
          <w:p>
            <w:pPr>
              <w:jc w:val="right"/>
              <w:spacing w:after="0"/>
              <w:rPr>
                <w:sz w:val="20"/>
                <w:szCs w:val="20"/>
                <w:color w:val="auto"/>
              </w:rPr>
            </w:pPr>
            <w:r>
              <w:rPr>
                <w:rFonts w:ascii="Arial" w:cs="Arial" w:eastAsia="Arial" w:hAnsi="Arial"/>
                <w:sz w:val="14"/>
                <w:szCs w:val="14"/>
                <w:color w:val="auto"/>
                <w:w w:val="85"/>
              </w:rPr>
              <w:t>June 30,</w:t>
            </w:r>
          </w:p>
        </w:tc>
        <w:tc>
          <w:tcPr>
            <w:tcW w:w="1400" w:type="dxa"/>
            <w:vAlign w:val="bottom"/>
            <w:gridSpan w:val="4"/>
          </w:tcPr>
          <w:p>
            <w:pPr>
              <w:ind w:left="520"/>
              <w:spacing w:after="0"/>
              <w:rPr>
                <w:sz w:val="20"/>
                <w:szCs w:val="20"/>
                <w:color w:val="auto"/>
              </w:rPr>
            </w:pPr>
            <w:r>
              <w:rPr>
                <w:rFonts w:ascii="Arial" w:cs="Arial" w:eastAsia="Arial" w:hAnsi="Arial"/>
                <w:sz w:val="14"/>
                <w:szCs w:val="14"/>
                <w:color w:val="auto"/>
                <w:w w:val="97"/>
              </w:rPr>
              <w:t>December 31,</w:t>
            </w:r>
          </w:p>
        </w:tc>
      </w:tr>
      <w:tr>
        <w:trPr>
          <w:trHeight w:val="167"/>
        </w:trPr>
        <w:tc>
          <w:tcPr>
            <w:tcW w:w="676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420" w:type="dxa"/>
            <w:vAlign w:val="bottom"/>
            <w:tcBorders>
              <w:bottom w:val="single" w:sz="8" w:color="auto"/>
            </w:tcBorders>
          </w:tcPr>
          <w:p>
            <w:pPr>
              <w:jc w:val="right"/>
              <w:ind w:right="34"/>
              <w:spacing w:after="0"/>
              <w:rPr>
                <w:sz w:val="20"/>
                <w:szCs w:val="20"/>
                <w:color w:val="auto"/>
              </w:rPr>
            </w:pPr>
            <w:r>
              <w:rPr>
                <w:rFonts w:ascii="Arial" w:cs="Arial" w:eastAsia="Arial" w:hAnsi="Arial"/>
                <w:sz w:val="14"/>
                <w:szCs w:val="14"/>
                <w:color w:val="auto"/>
                <w:w w:val="89"/>
              </w:rPr>
              <w:t>2018</w:t>
            </w:r>
          </w:p>
        </w:tc>
        <w:tc>
          <w:tcPr>
            <w:tcW w:w="540" w:type="dxa"/>
            <w:vAlign w:val="bottom"/>
            <w:tcBorders>
              <w:bottom w:val="single" w:sz="8" w:color="auto"/>
            </w:tcBorders>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640" w:type="dxa"/>
            <w:vAlign w:val="bottom"/>
            <w:tcBorders>
              <w:bottom w:val="single" w:sz="8" w:color="auto"/>
            </w:tcBorders>
          </w:tcPr>
          <w:p>
            <w:pPr>
              <w:jc w:val="right"/>
              <w:ind w:right="174"/>
              <w:spacing w:after="0"/>
              <w:rPr>
                <w:sz w:val="20"/>
                <w:szCs w:val="20"/>
                <w:color w:val="auto"/>
              </w:rPr>
            </w:pPr>
            <w:r>
              <w:rPr>
                <w:rFonts w:ascii="Arial" w:cs="Arial" w:eastAsia="Arial" w:hAnsi="Arial"/>
                <w:sz w:val="14"/>
                <w:szCs w:val="14"/>
                <w:color w:val="auto"/>
              </w:rPr>
              <w:t>2017</w:t>
            </w:r>
          </w:p>
        </w:tc>
        <w:tc>
          <w:tcPr>
            <w:tcW w:w="60" w:type="dxa"/>
            <w:vAlign w:val="bottom"/>
          </w:tcPr>
          <w:p>
            <w:pPr>
              <w:spacing w:after="0"/>
              <w:rPr>
                <w:sz w:val="14"/>
                <w:szCs w:val="14"/>
                <w:color w:val="auto"/>
              </w:rPr>
            </w:pPr>
          </w:p>
        </w:tc>
      </w:tr>
      <w:tr>
        <w:trPr>
          <w:trHeight w:val="142"/>
        </w:trPr>
        <w:tc>
          <w:tcPr>
            <w:tcW w:w="676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420" w:type="dxa"/>
            <w:vAlign w:val="bottom"/>
          </w:tcPr>
          <w:p>
            <w:pPr>
              <w:spacing w:after="0"/>
              <w:rPr>
                <w:sz w:val="12"/>
                <w:szCs w:val="12"/>
                <w:color w:val="auto"/>
              </w:rPr>
            </w:pPr>
          </w:p>
        </w:tc>
        <w:tc>
          <w:tcPr>
            <w:tcW w:w="1340" w:type="dxa"/>
            <w:vAlign w:val="bottom"/>
            <w:gridSpan w:val="3"/>
          </w:tcPr>
          <w:p>
            <w:pPr>
              <w:jc w:val="right"/>
              <w:ind w:right="434"/>
              <w:spacing w:after="0" w:line="142" w:lineRule="exact"/>
              <w:rPr>
                <w:sz w:val="20"/>
                <w:szCs w:val="20"/>
                <w:color w:val="auto"/>
              </w:rPr>
            </w:pPr>
            <w:r>
              <w:rPr>
                <w:rFonts w:ascii="Arial" w:cs="Arial" w:eastAsia="Arial" w:hAnsi="Arial"/>
                <w:sz w:val="14"/>
                <w:szCs w:val="14"/>
                <w:color w:val="auto"/>
                <w:w w:val="90"/>
              </w:rPr>
              <w:t>(in thousands)</w:t>
            </w:r>
          </w:p>
        </w:tc>
        <w:tc>
          <w:tcPr>
            <w:tcW w:w="60" w:type="dxa"/>
            <w:vAlign w:val="bottom"/>
          </w:tcPr>
          <w:p>
            <w:pPr>
              <w:spacing w:after="0"/>
              <w:rPr>
                <w:sz w:val="12"/>
                <w:szCs w:val="12"/>
                <w:color w:val="auto"/>
              </w:rPr>
            </w:pPr>
          </w:p>
        </w:tc>
      </w:tr>
      <w:tr>
        <w:trPr>
          <w:trHeight w:val="216"/>
        </w:trPr>
        <w:tc>
          <w:tcPr>
            <w:tcW w:w="6760" w:type="dxa"/>
            <w:vAlign w:val="bottom"/>
            <w:shd w:val="clear" w:color="auto" w:fill="CCEEFF"/>
          </w:tcPr>
          <w:p>
            <w:pPr>
              <w:spacing w:after="0"/>
              <w:rPr>
                <w:sz w:val="20"/>
                <w:szCs w:val="20"/>
                <w:color w:val="auto"/>
              </w:rPr>
            </w:pPr>
            <w:r>
              <w:rPr>
                <w:rFonts w:ascii="Arial" w:cs="Arial" w:eastAsia="Arial" w:hAnsi="Arial"/>
                <w:sz w:val="18"/>
                <w:szCs w:val="18"/>
                <w:color w:val="auto"/>
              </w:rPr>
              <w:t>Legal and accounting fees</w:t>
            </w:r>
          </w:p>
        </w:tc>
        <w:tc>
          <w:tcPr>
            <w:tcW w:w="1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4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77</w:t>
            </w:r>
          </w:p>
        </w:tc>
        <w:tc>
          <w:tcPr>
            <w:tcW w:w="700" w:type="dxa"/>
            <w:vAlign w:val="bottom"/>
            <w:gridSpan w:val="2"/>
            <w:shd w:val="clear" w:color="auto" w:fill="CCEEFF"/>
          </w:tcPr>
          <w:p>
            <w:pPr>
              <w:jc w:val="right"/>
              <w:ind w:right="5"/>
              <w:spacing w:after="0"/>
              <w:rPr>
                <w:sz w:val="20"/>
                <w:szCs w:val="20"/>
                <w:color w:val="auto"/>
              </w:rPr>
            </w:pPr>
            <w:r>
              <w:rPr>
                <w:rFonts w:ascii="Arial" w:cs="Arial" w:eastAsia="Arial" w:hAnsi="Arial"/>
                <w:sz w:val="18"/>
                <w:szCs w:val="18"/>
                <w:color w:val="auto"/>
              </w:rPr>
              <w:t>$</w:t>
            </w: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74</w:t>
            </w:r>
          </w:p>
        </w:tc>
        <w:tc>
          <w:tcPr>
            <w:tcW w:w="60" w:type="dxa"/>
            <w:vAlign w:val="bottom"/>
            <w:shd w:val="clear" w:color="auto" w:fill="CCEEFF"/>
          </w:tcPr>
          <w:p>
            <w:pPr>
              <w:spacing w:after="0"/>
              <w:rPr>
                <w:sz w:val="18"/>
                <w:szCs w:val="18"/>
                <w:color w:val="auto"/>
              </w:rPr>
            </w:pPr>
          </w:p>
        </w:tc>
      </w:tr>
      <w:tr>
        <w:trPr>
          <w:trHeight w:val="216"/>
        </w:trPr>
        <w:tc>
          <w:tcPr>
            <w:tcW w:w="6760" w:type="dxa"/>
            <w:vAlign w:val="bottom"/>
          </w:tcPr>
          <w:p>
            <w:pPr>
              <w:spacing w:after="0"/>
              <w:rPr>
                <w:sz w:val="20"/>
                <w:szCs w:val="20"/>
                <w:color w:val="auto"/>
              </w:rPr>
            </w:pPr>
            <w:r>
              <w:rPr>
                <w:rFonts w:ascii="Arial" w:cs="Arial" w:eastAsia="Arial" w:hAnsi="Arial"/>
                <w:sz w:val="18"/>
                <w:szCs w:val="18"/>
                <w:color w:val="auto"/>
              </w:rPr>
              <w:t>Accrued compensation</w:t>
            </w: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420" w:type="dxa"/>
            <w:vAlign w:val="bottom"/>
          </w:tcPr>
          <w:p>
            <w:pPr>
              <w:jc w:val="right"/>
              <w:spacing w:after="0"/>
              <w:rPr>
                <w:sz w:val="20"/>
                <w:szCs w:val="20"/>
                <w:color w:val="auto"/>
              </w:rPr>
            </w:pPr>
            <w:r>
              <w:rPr>
                <w:rFonts w:ascii="Arial" w:cs="Arial" w:eastAsia="Arial" w:hAnsi="Arial"/>
                <w:sz w:val="18"/>
                <w:szCs w:val="18"/>
                <w:color w:val="auto"/>
              </w:rPr>
              <w:t>692</w:t>
            </w:r>
          </w:p>
        </w:tc>
        <w:tc>
          <w:tcPr>
            <w:tcW w:w="5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40" w:type="dxa"/>
            <w:vAlign w:val="bottom"/>
          </w:tcPr>
          <w:p>
            <w:pPr>
              <w:jc w:val="right"/>
              <w:spacing w:after="0"/>
              <w:rPr>
                <w:sz w:val="20"/>
                <w:szCs w:val="20"/>
                <w:color w:val="auto"/>
              </w:rPr>
            </w:pPr>
            <w:r>
              <w:rPr>
                <w:rFonts w:ascii="Arial" w:cs="Arial" w:eastAsia="Arial" w:hAnsi="Arial"/>
                <w:sz w:val="18"/>
                <w:szCs w:val="18"/>
                <w:color w:val="auto"/>
              </w:rPr>
              <w:t>790</w:t>
            </w:r>
          </w:p>
        </w:tc>
        <w:tc>
          <w:tcPr>
            <w:tcW w:w="60" w:type="dxa"/>
            <w:vAlign w:val="bottom"/>
          </w:tcPr>
          <w:p>
            <w:pPr>
              <w:spacing w:after="0"/>
              <w:rPr>
                <w:sz w:val="18"/>
                <w:szCs w:val="18"/>
                <w:color w:val="auto"/>
              </w:rPr>
            </w:pPr>
          </w:p>
        </w:tc>
      </w:tr>
      <w:tr>
        <w:trPr>
          <w:trHeight w:val="216"/>
        </w:trPr>
        <w:tc>
          <w:tcPr>
            <w:tcW w:w="6760" w:type="dxa"/>
            <w:vAlign w:val="bottom"/>
            <w:shd w:val="clear" w:color="auto" w:fill="CCEEFF"/>
          </w:tcPr>
          <w:p>
            <w:pPr>
              <w:spacing w:after="0"/>
              <w:rPr>
                <w:sz w:val="20"/>
                <w:szCs w:val="20"/>
                <w:color w:val="auto"/>
              </w:rPr>
            </w:pPr>
            <w:r>
              <w:rPr>
                <w:rFonts w:ascii="Arial" w:cs="Arial" w:eastAsia="Arial" w:hAnsi="Arial"/>
                <w:sz w:val="18"/>
                <w:szCs w:val="18"/>
                <w:color w:val="auto"/>
              </w:rPr>
              <w:t>Accrued research and development costs and other</w:t>
            </w:r>
          </w:p>
        </w:tc>
        <w:tc>
          <w:tcPr>
            <w:tcW w:w="20" w:type="dxa"/>
            <w:vAlign w:val="bottom"/>
            <w:shd w:val="clear" w:color="auto" w:fill="CCEEFF"/>
          </w:tcPr>
          <w:p>
            <w:pPr>
              <w:spacing w:after="0"/>
              <w:rPr>
                <w:sz w:val="18"/>
                <w:szCs w:val="18"/>
                <w:color w:val="auto"/>
              </w:rPr>
            </w:pPr>
          </w:p>
        </w:tc>
        <w:tc>
          <w:tcPr>
            <w:tcW w:w="80" w:type="dxa"/>
            <w:vAlign w:val="bottom"/>
            <w:tcBorders>
              <w:bottom w:val="single" w:sz="8" w:color="auto"/>
            </w:tcBorders>
            <w:shd w:val="clear" w:color="auto" w:fill="CCEEFF"/>
          </w:tcPr>
          <w:p>
            <w:pPr>
              <w:spacing w:after="0"/>
              <w:rPr>
                <w:sz w:val="18"/>
                <w:szCs w:val="18"/>
                <w:color w:val="auto"/>
              </w:rPr>
            </w:pPr>
          </w:p>
        </w:tc>
        <w:tc>
          <w:tcPr>
            <w:tcW w:w="4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379</w:t>
            </w:r>
          </w:p>
        </w:tc>
        <w:tc>
          <w:tcPr>
            <w:tcW w:w="540" w:type="dxa"/>
            <w:vAlign w:val="bottom"/>
            <w:shd w:val="clear" w:color="auto" w:fill="CCEEFF"/>
          </w:tcPr>
          <w:p>
            <w:pPr>
              <w:spacing w:after="0"/>
              <w:rPr>
                <w:sz w:val="18"/>
                <w:szCs w:val="18"/>
                <w:color w:val="auto"/>
              </w:rPr>
            </w:pPr>
          </w:p>
        </w:tc>
        <w:tc>
          <w:tcPr>
            <w:tcW w:w="160" w:type="dxa"/>
            <w:vAlign w:val="bottom"/>
            <w:tcBorders>
              <w:bottom w:val="single" w:sz="8" w:color="auto"/>
            </w:tcBorders>
            <w:shd w:val="clear" w:color="auto" w:fill="CCEEFF"/>
          </w:tcPr>
          <w:p>
            <w:pPr>
              <w:spacing w:after="0"/>
              <w:rPr>
                <w:sz w:val="18"/>
                <w:szCs w:val="18"/>
                <w:color w:val="auto"/>
              </w:rPr>
            </w:pPr>
          </w:p>
        </w:tc>
        <w:tc>
          <w:tcPr>
            <w:tcW w:w="6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1,428</w:t>
            </w:r>
          </w:p>
        </w:tc>
        <w:tc>
          <w:tcPr>
            <w:tcW w:w="60" w:type="dxa"/>
            <w:vAlign w:val="bottom"/>
            <w:shd w:val="clear" w:color="auto" w:fill="CCEEFF"/>
          </w:tcPr>
          <w:p>
            <w:pPr>
              <w:spacing w:after="0"/>
              <w:rPr>
                <w:sz w:val="18"/>
                <w:szCs w:val="18"/>
                <w:color w:val="auto"/>
              </w:rPr>
            </w:pPr>
          </w:p>
        </w:tc>
      </w:tr>
      <w:tr>
        <w:trPr>
          <w:trHeight w:val="223"/>
        </w:trPr>
        <w:tc>
          <w:tcPr>
            <w:tcW w:w="6760" w:type="dxa"/>
            <w:vAlign w:val="bottom"/>
          </w:tcPr>
          <w:p>
            <w:pPr>
              <w:spacing w:after="0"/>
              <w:rPr>
                <w:sz w:val="20"/>
                <w:szCs w:val="20"/>
                <w:color w:val="auto"/>
              </w:rPr>
            </w:pPr>
            <w:r>
              <w:rPr>
                <w:rFonts w:ascii="Arial" w:cs="Arial" w:eastAsia="Arial" w:hAnsi="Arial"/>
                <w:sz w:val="18"/>
                <w:szCs w:val="18"/>
                <w:color w:val="auto"/>
              </w:rPr>
              <w:t>Total</w:t>
            </w:r>
          </w:p>
        </w:tc>
        <w:tc>
          <w:tcPr>
            <w:tcW w:w="20" w:type="dxa"/>
            <w:vAlign w:val="bottom"/>
            <w:tcBorders>
              <w:bottom w:val="single" w:sz="8" w:color="auto"/>
            </w:tcBorders>
          </w:tcPr>
          <w:p>
            <w:pPr>
              <w:spacing w:after="0"/>
              <w:rPr>
                <w:sz w:val="19"/>
                <w:szCs w:val="19"/>
                <w:color w:val="auto"/>
              </w:rPr>
            </w:pPr>
          </w:p>
        </w:tc>
        <w:tc>
          <w:tcPr>
            <w:tcW w:w="80" w:type="dxa"/>
            <w:vAlign w:val="bottom"/>
            <w:tcBorders>
              <w:bottom w:val="single" w:sz="8" w:color="auto"/>
            </w:tcBorders>
          </w:tcPr>
          <w:p>
            <w:pPr>
              <w:jc w:val="right"/>
              <w:spacing w:after="0"/>
              <w:rPr>
                <w:sz w:val="20"/>
                <w:szCs w:val="20"/>
                <w:color w:val="auto"/>
              </w:rPr>
            </w:pPr>
            <w:r>
              <w:rPr>
                <w:rFonts w:ascii="Arial" w:cs="Arial" w:eastAsia="Arial" w:hAnsi="Arial"/>
                <w:sz w:val="15"/>
                <w:szCs w:val="15"/>
                <w:u w:val="single" w:color="auto"/>
                <w:color w:val="auto"/>
                <w:w w:val="71"/>
              </w:rPr>
              <w:t>$</w:t>
            </w:r>
          </w:p>
        </w:tc>
        <w:tc>
          <w:tcPr>
            <w:tcW w:w="4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84"/>
              </w:rPr>
              <w:t>1,148</w:t>
            </w:r>
          </w:p>
        </w:tc>
        <w:tc>
          <w:tcPr>
            <w:tcW w:w="540" w:type="dxa"/>
            <w:vAlign w:val="bottom"/>
          </w:tcPr>
          <w:p>
            <w:pPr>
              <w:spacing w:after="0"/>
              <w:rPr>
                <w:sz w:val="19"/>
                <w:szCs w:val="19"/>
                <w:color w:val="auto"/>
              </w:rPr>
            </w:pPr>
          </w:p>
        </w:tc>
        <w:tc>
          <w:tcPr>
            <w:tcW w:w="160" w:type="dxa"/>
            <w:vAlign w:val="bottom"/>
            <w:tcBorders>
              <w:bottom w:val="single" w:sz="8" w:color="auto"/>
            </w:tcBorders>
          </w:tcPr>
          <w:p>
            <w:pPr>
              <w:jc w:val="right"/>
              <w:ind w:right="5"/>
              <w:spacing w:after="0"/>
              <w:rPr>
                <w:sz w:val="20"/>
                <w:szCs w:val="20"/>
                <w:color w:val="auto"/>
              </w:rPr>
            </w:pPr>
            <w:r>
              <w:rPr>
                <w:rFonts w:ascii="Arial" w:cs="Arial" w:eastAsia="Arial" w:hAnsi="Arial"/>
                <w:sz w:val="15"/>
                <w:szCs w:val="15"/>
                <w:color w:val="auto"/>
                <w:w w:val="71"/>
              </w:rPr>
              <w:t>$</w:t>
            </w:r>
          </w:p>
        </w:tc>
        <w:tc>
          <w:tcPr>
            <w:tcW w:w="6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2,292</w:t>
            </w:r>
          </w:p>
        </w:tc>
        <w:tc>
          <w:tcPr>
            <w:tcW w:w="60" w:type="dxa"/>
            <w:vAlign w:val="bottom"/>
          </w:tcPr>
          <w:p>
            <w:pPr>
              <w:spacing w:after="0"/>
              <w:rPr>
                <w:sz w:val="19"/>
                <w:szCs w:val="19"/>
                <w:color w:val="auto"/>
              </w:rPr>
            </w:pPr>
          </w:p>
        </w:tc>
      </w:tr>
      <w:tr>
        <w:trPr>
          <w:trHeight w:val="20"/>
        </w:trPr>
        <w:tc>
          <w:tcPr>
            <w:tcW w:w="67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r>
    </w:tbl>
    <w:p>
      <w:pPr>
        <w:spacing w:after="0" w:line="31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3. Line of Credit</w:t>
      </w:r>
    </w:p>
    <w:p>
      <w:pPr>
        <w:spacing w:after="0" w:line="121" w:lineRule="exact"/>
        <w:rPr>
          <w:sz w:val="20"/>
          <w:szCs w:val="20"/>
          <w:color w:val="auto"/>
        </w:rPr>
      </w:pPr>
    </w:p>
    <w:p>
      <w:pPr>
        <w:ind w:right="40" w:firstLine="456"/>
        <w:spacing w:after="0" w:line="255" w:lineRule="auto"/>
        <w:rPr>
          <w:sz w:val="20"/>
          <w:szCs w:val="20"/>
          <w:color w:val="auto"/>
        </w:rPr>
      </w:pPr>
      <w:r>
        <w:rPr>
          <w:rFonts w:ascii="Arial" w:cs="Arial" w:eastAsia="Arial" w:hAnsi="Arial"/>
          <w:sz w:val="18"/>
          <w:szCs w:val="18"/>
          <w:color w:val="auto"/>
        </w:rPr>
        <w:t>On December 19, 2017, the Company entered into a $10 million Line of Credit arrangement with Richard E. Uihlein, a director and shareholder who has an approximate 7% ownership interest in the Company on a fully-diluted basis at December 31, 2017. Borrowings may be made by the Company through December 31, 2018. Borrowings bear interest at the Applicable Federal Rate for short term loans published by the Internal Revenue Service (1.51% on December 19, 2017). All borrowings and interest are due on December 31, 2019 but may be prepaid without penalty. In connection with the Line of Credit agreement, the Company issued to Mr. Uihlein warrants to purchase 1 million shares of the Company’s common stock for $5 per share. Half of the warrants vested at closing of the Line of Credit and the other half vest ratably with borrowings under the agreement. There have been no borrowings under the Line of Credit through June 30, 2018.</w:t>
      </w:r>
    </w:p>
    <w:p>
      <w:pPr>
        <w:spacing w:after="0" w:line="189" w:lineRule="exact"/>
        <w:rPr>
          <w:sz w:val="20"/>
          <w:szCs w:val="20"/>
          <w:color w:val="auto"/>
        </w:rPr>
      </w:pPr>
    </w:p>
    <w:p>
      <w:pPr>
        <w:ind w:right="80" w:firstLine="456"/>
        <w:spacing w:after="0" w:line="264" w:lineRule="auto"/>
        <w:rPr>
          <w:sz w:val="20"/>
          <w:szCs w:val="20"/>
          <w:color w:val="auto"/>
        </w:rPr>
      </w:pPr>
      <w:r>
        <w:rPr>
          <w:rFonts w:ascii="Arial" w:cs="Arial" w:eastAsia="Arial" w:hAnsi="Arial"/>
          <w:sz w:val="18"/>
          <w:szCs w:val="18"/>
          <w:color w:val="auto"/>
        </w:rPr>
        <w:t>The fair value of the 500,000 warrants vested at closing was $696,000 at the date of issuance based on the following assumptions: an expected life of 7 years, volatility of 98%, risk free interest rate of 2.05% and zero dividends. The fair value of the vested warrants was recorded in other current assets and other assets (non-current) as a deferred financing cost and will be amortized</w:t>
      </w:r>
    </w:p>
    <w:p>
      <w:pPr>
        <w:sectPr>
          <w:pgSz w:w="11900" w:h="16838" w:orient="portrait"/>
          <w:cols w:equalWidth="0" w:num="1">
            <w:col w:w="11420"/>
          </w:cols>
          <w:pgMar w:left="240" w:top="459" w:right="239" w:bottom="1440" w:gutter="0" w:footer="0" w:header="0"/>
        </w:sectPr>
      </w:pPr>
    </w:p>
    <w:p>
      <w:pPr>
        <w:spacing w:after="0" w:line="114"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6</w:t>
      </w:r>
    </w:p>
    <w:p>
      <w:pPr>
        <w:sectPr>
          <w:pgSz w:w="11900" w:h="16838" w:orient="portrait"/>
          <w:cols w:equalWidth="0" w:num="1">
            <w:col w:w="11420"/>
          </w:cols>
          <w:pgMar w:left="240" w:top="459" w:right="239" w:bottom="1440" w:gutter="0" w:footer="0" w:header="0"/>
          <w:type w:val="continuous"/>
        </w:sectPr>
      </w:pPr>
    </w:p>
    <w:bookmarkStart w:id="6" w:name="page7"/>
    <w:bookmarkEnd w:id="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both"/>
        <w:ind w:right="20"/>
        <w:spacing w:after="0" w:line="264" w:lineRule="auto"/>
        <w:rPr>
          <w:sz w:val="20"/>
          <w:szCs w:val="20"/>
          <w:color w:val="auto"/>
        </w:rPr>
      </w:pPr>
      <w:r>
        <w:rPr>
          <w:rFonts w:ascii="Arial" w:cs="Arial" w:eastAsia="Arial" w:hAnsi="Arial"/>
          <w:sz w:val="18"/>
          <w:szCs w:val="18"/>
          <w:color w:val="auto"/>
        </w:rPr>
        <w:t>on a straight-line basis from December 19, 2017 through December 31, 2019. Amortization for the three and six months ended June 30, 2018 of $85,000 and $169,000, respectively, was recorded as interest expense. The fair value of warrants that vest in the future based on borrowings will be computed when those borrowings occur and amortized over the remaining period through December 31, 2019.</w:t>
      </w:r>
    </w:p>
    <w:p>
      <w:pPr>
        <w:spacing w:after="0" w:line="28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4. Stock-Based Compensation</w:t>
      </w:r>
    </w:p>
    <w:p>
      <w:pPr>
        <w:spacing w:after="0" w:line="121" w:lineRule="exact"/>
        <w:rPr>
          <w:sz w:val="20"/>
          <w:szCs w:val="20"/>
          <w:color w:val="auto"/>
        </w:rPr>
      </w:pPr>
    </w:p>
    <w:p>
      <w:pPr>
        <w:ind w:right="340" w:firstLine="456"/>
        <w:spacing w:after="0" w:line="277" w:lineRule="auto"/>
        <w:rPr>
          <w:sz w:val="20"/>
          <w:szCs w:val="20"/>
          <w:color w:val="auto"/>
        </w:rPr>
      </w:pPr>
      <w:r>
        <w:rPr>
          <w:rFonts w:ascii="Arial" w:cs="Arial" w:eastAsia="Arial" w:hAnsi="Arial"/>
          <w:sz w:val="18"/>
          <w:szCs w:val="18"/>
          <w:color w:val="auto"/>
        </w:rPr>
        <w:t>Following is the stock-based compensation expense related to common stock options, common stock, restricted common stock and common stock warrants:</w:t>
      </w:r>
    </w:p>
    <w:p>
      <w:pPr>
        <w:spacing w:after="0" w:line="177" w:lineRule="exact"/>
        <w:rPr>
          <w:sz w:val="20"/>
          <w:szCs w:val="20"/>
          <w:color w:val="auto"/>
        </w:rPr>
      </w:pPr>
    </w:p>
    <w:tbl>
      <w:tblPr>
        <w:tblLayout w:type="fixed"/>
        <w:tblInd w:w="460" w:type="dxa"/>
        <w:tblCellMar>
          <w:top w:w="0" w:type="dxa"/>
          <w:left w:w="0" w:type="dxa"/>
          <w:bottom w:w="0" w:type="dxa"/>
          <w:right w:w="0" w:type="dxa"/>
        </w:tblCellMar>
      </w:tblPr>
      <w:tr>
        <w:trPr>
          <w:trHeight w:val="161"/>
        </w:trPr>
        <w:tc>
          <w:tcPr>
            <w:tcW w:w="5280" w:type="dxa"/>
            <w:vAlign w:val="bottom"/>
          </w:tcPr>
          <w:p>
            <w:pPr>
              <w:spacing w:after="0"/>
              <w:rPr>
                <w:sz w:val="14"/>
                <w:szCs w:val="14"/>
                <w:color w:val="auto"/>
              </w:rPr>
            </w:pPr>
          </w:p>
        </w:tc>
        <w:tc>
          <w:tcPr>
            <w:tcW w:w="20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740" w:type="dxa"/>
            <w:vAlign w:val="bottom"/>
            <w:gridSpan w:val="5"/>
          </w:tcPr>
          <w:p>
            <w:pPr>
              <w:spacing w:after="0"/>
              <w:rPr>
                <w:sz w:val="20"/>
                <w:szCs w:val="20"/>
                <w:color w:val="auto"/>
              </w:rPr>
            </w:pPr>
            <w:r>
              <w:rPr>
                <w:rFonts w:ascii="Arial" w:cs="Arial" w:eastAsia="Arial" w:hAnsi="Arial"/>
                <w:sz w:val="14"/>
                <w:szCs w:val="14"/>
                <w:b w:val="1"/>
                <w:bCs w:val="1"/>
                <w:color w:val="auto"/>
              </w:rPr>
              <w:t>Three Months Ended</w:t>
            </w:r>
          </w:p>
        </w:tc>
        <w:tc>
          <w:tcPr>
            <w:tcW w:w="1400" w:type="dxa"/>
            <w:vAlign w:val="bottom"/>
            <w:gridSpan w:val="4"/>
          </w:tcPr>
          <w:p>
            <w:pPr>
              <w:jc w:val="right"/>
              <w:ind w:right="160"/>
              <w:spacing w:after="0"/>
              <w:rPr>
                <w:sz w:val="20"/>
                <w:szCs w:val="20"/>
                <w:color w:val="auto"/>
              </w:rPr>
            </w:pPr>
            <w:r>
              <w:rPr>
                <w:rFonts w:ascii="Arial" w:cs="Arial" w:eastAsia="Arial" w:hAnsi="Arial"/>
                <w:sz w:val="14"/>
                <w:szCs w:val="14"/>
                <w:b w:val="1"/>
                <w:bCs w:val="1"/>
                <w:color w:val="auto"/>
              </w:rPr>
              <w:t>Six Months Ended</w:t>
            </w:r>
          </w:p>
        </w:tc>
      </w:tr>
      <w:tr>
        <w:trPr>
          <w:trHeight w:val="171"/>
        </w:trPr>
        <w:tc>
          <w:tcPr>
            <w:tcW w:w="5280" w:type="dxa"/>
            <w:vAlign w:val="bottom"/>
          </w:tcPr>
          <w:p>
            <w:pPr>
              <w:spacing w:after="0"/>
              <w:rPr>
                <w:sz w:val="14"/>
                <w:szCs w:val="14"/>
                <w:color w:val="auto"/>
              </w:rPr>
            </w:pPr>
          </w:p>
        </w:tc>
        <w:tc>
          <w:tcPr>
            <w:tcW w:w="20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920" w:type="dxa"/>
            <w:vAlign w:val="bottom"/>
            <w:gridSpan w:val="2"/>
          </w:tcPr>
          <w:p>
            <w:pPr>
              <w:jc w:val="right"/>
              <w:spacing w:after="0"/>
              <w:rPr>
                <w:sz w:val="20"/>
                <w:szCs w:val="20"/>
                <w:color w:val="auto"/>
              </w:rPr>
            </w:pPr>
            <w:r>
              <w:rPr>
                <w:rFonts w:ascii="Arial" w:cs="Arial" w:eastAsia="Arial" w:hAnsi="Arial"/>
                <w:sz w:val="14"/>
                <w:szCs w:val="14"/>
                <w:b w:val="1"/>
                <w:bCs w:val="1"/>
                <w:color w:val="auto"/>
              </w:rPr>
              <w:t>June 30,</w:t>
            </w:r>
          </w:p>
        </w:tc>
        <w:tc>
          <w:tcPr>
            <w:tcW w:w="8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1400" w:type="dxa"/>
            <w:vAlign w:val="bottom"/>
            <w:gridSpan w:val="4"/>
          </w:tcPr>
          <w:p>
            <w:pPr>
              <w:jc w:val="right"/>
              <w:ind w:right="460"/>
              <w:spacing w:after="0"/>
              <w:rPr>
                <w:sz w:val="20"/>
                <w:szCs w:val="20"/>
                <w:color w:val="auto"/>
              </w:rPr>
            </w:pPr>
            <w:r>
              <w:rPr>
                <w:rFonts w:ascii="Arial" w:cs="Arial" w:eastAsia="Arial" w:hAnsi="Arial"/>
                <w:sz w:val="14"/>
                <w:szCs w:val="14"/>
                <w:b w:val="1"/>
                <w:bCs w:val="1"/>
                <w:color w:val="auto"/>
              </w:rPr>
              <w:t>June 30,</w:t>
            </w:r>
          </w:p>
        </w:tc>
      </w:tr>
      <w:tr>
        <w:trPr>
          <w:trHeight w:val="142"/>
        </w:trPr>
        <w:tc>
          <w:tcPr>
            <w:tcW w:w="5280" w:type="dxa"/>
            <w:vAlign w:val="bottom"/>
            <w:tcBorders>
              <w:bottom w:val="single" w:sz="8" w:color="CCEEFF"/>
            </w:tcBorders>
          </w:tcPr>
          <w:p>
            <w:pPr>
              <w:spacing w:after="0"/>
              <w:rPr>
                <w:sz w:val="12"/>
                <w:szCs w:val="12"/>
                <w:color w:val="auto"/>
              </w:rPr>
            </w:pPr>
          </w:p>
        </w:tc>
        <w:tc>
          <w:tcPr>
            <w:tcW w:w="2000" w:type="dxa"/>
            <w:vAlign w:val="bottom"/>
            <w:tcBorders>
              <w:bottom w:val="single" w:sz="8" w:color="CCEEFF"/>
            </w:tcBorders>
          </w:tcPr>
          <w:p>
            <w:pPr>
              <w:spacing w:after="0"/>
              <w:rPr>
                <w:sz w:val="12"/>
                <w:szCs w:val="12"/>
                <w:color w:val="auto"/>
              </w:rPr>
            </w:pPr>
          </w:p>
        </w:tc>
        <w:tc>
          <w:tcPr>
            <w:tcW w:w="80" w:type="dxa"/>
            <w:vAlign w:val="bottom"/>
            <w:tcBorders>
              <w:top w:val="single" w:sz="8" w:color="auto"/>
              <w:bottom w:val="single" w:sz="8" w:color="auto"/>
            </w:tcBorders>
          </w:tcPr>
          <w:p>
            <w:pPr>
              <w:spacing w:after="0"/>
              <w:rPr>
                <w:sz w:val="12"/>
                <w:szCs w:val="12"/>
                <w:color w:val="auto"/>
              </w:rPr>
            </w:pPr>
          </w:p>
        </w:tc>
        <w:tc>
          <w:tcPr>
            <w:tcW w:w="540" w:type="dxa"/>
            <w:vAlign w:val="bottom"/>
            <w:tcBorders>
              <w:top w:val="single" w:sz="8" w:color="auto"/>
              <w:bottom w:val="single" w:sz="8" w:color="auto"/>
            </w:tcBorders>
          </w:tcPr>
          <w:p>
            <w:pPr>
              <w:jc w:val="right"/>
              <w:ind w:right="79"/>
              <w:spacing w:after="0" w:line="142" w:lineRule="exact"/>
              <w:rPr>
                <w:sz w:val="20"/>
                <w:szCs w:val="20"/>
                <w:color w:val="auto"/>
              </w:rPr>
            </w:pPr>
            <w:r>
              <w:rPr>
                <w:rFonts w:ascii="Arial" w:cs="Arial" w:eastAsia="Arial" w:hAnsi="Arial"/>
                <w:sz w:val="14"/>
                <w:szCs w:val="14"/>
                <w:b w:val="1"/>
                <w:bCs w:val="1"/>
                <w:color w:val="auto"/>
              </w:rPr>
              <w:t>2018</w:t>
            </w:r>
          </w:p>
        </w:tc>
        <w:tc>
          <w:tcPr>
            <w:tcW w:w="380" w:type="dxa"/>
            <w:vAlign w:val="bottom"/>
            <w:tcBorders>
              <w:top w:val="single" w:sz="8" w:color="auto"/>
              <w:bottom w:val="single" w:sz="8" w:color="CCEEFF"/>
            </w:tcBorders>
          </w:tcPr>
          <w:p>
            <w:pPr>
              <w:spacing w:after="0"/>
              <w:rPr>
                <w:sz w:val="12"/>
                <w:szCs w:val="12"/>
                <w:color w:val="auto"/>
              </w:rPr>
            </w:pPr>
          </w:p>
        </w:tc>
        <w:tc>
          <w:tcPr>
            <w:tcW w:w="80" w:type="dxa"/>
            <w:vAlign w:val="bottom"/>
            <w:tcBorders>
              <w:top w:val="single" w:sz="8" w:color="auto"/>
              <w:bottom w:val="single" w:sz="8" w:color="auto"/>
            </w:tcBorders>
          </w:tcPr>
          <w:p>
            <w:pPr>
              <w:spacing w:after="0"/>
              <w:rPr>
                <w:sz w:val="12"/>
                <w:szCs w:val="12"/>
                <w:color w:val="auto"/>
              </w:rPr>
            </w:pPr>
          </w:p>
        </w:tc>
        <w:tc>
          <w:tcPr>
            <w:tcW w:w="400" w:type="dxa"/>
            <w:vAlign w:val="bottom"/>
            <w:tcBorders>
              <w:top w:val="single" w:sz="8" w:color="auto"/>
              <w:bottom w:val="single" w:sz="8" w:color="auto"/>
            </w:tcBorders>
          </w:tcPr>
          <w:p>
            <w:pPr>
              <w:jc w:val="right"/>
              <w:ind w:right="14"/>
              <w:spacing w:after="0" w:line="142" w:lineRule="exact"/>
              <w:rPr>
                <w:sz w:val="20"/>
                <w:szCs w:val="20"/>
                <w:color w:val="auto"/>
              </w:rPr>
            </w:pPr>
            <w:r>
              <w:rPr>
                <w:rFonts w:ascii="Arial" w:cs="Arial" w:eastAsia="Arial" w:hAnsi="Arial"/>
                <w:sz w:val="14"/>
                <w:szCs w:val="14"/>
                <w:b w:val="1"/>
                <w:bCs w:val="1"/>
                <w:color w:val="auto"/>
                <w:w w:val="89"/>
              </w:rPr>
              <w:t>2017</w:t>
            </w:r>
          </w:p>
        </w:tc>
        <w:tc>
          <w:tcPr>
            <w:tcW w:w="340" w:type="dxa"/>
            <w:vAlign w:val="bottom"/>
            <w:tcBorders>
              <w:bottom w:val="single" w:sz="8" w:color="CCEEFF"/>
            </w:tcBorders>
          </w:tcPr>
          <w:p>
            <w:pPr>
              <w:spacing w:after="0"/>
              <w:rPr>
                <w:sz w:val="12"/>
                <w:szCs w:val="12"/>
                <w:color w:val="auto"/>
              </w:rPr>
            </w:pPr>
          </w:p>
        </w:tc>
        <w:tc>
          <w:tcPr>
            <w:tcW w:w="560" w:type="dxa"/>
            <w:vAlign w:val="bottom"/>
            <w:tcBorders>
              <w:top w:val="single" w:sz="8" w:color="auto"/>
              <w:bottom w:val="single" w:sz="8" w:color="auto"/>
            </w:tcBorders>
          </w:tcPr>
          <w:p>
            <w:pPr>
              <w:jc w:val="right"/>
              <w:ind w:right="39"/>
              <w:spacing w:after="0" w:line="142" w:lineRule="exact"/>
              <w:rPr>
                <w:sz w:val="20"/>
                <w:szCs w:val="20"/>
                <w:color w:val="auto"/>
              </w:rPr>
            </w:pPr>
            <w:r>
              <w:rPr>
                <w:rFonts w:ascii="Arial" w:cs="Arial" w:eastAsia="Arial" w:hAnsi="Arial"/>
                <w:sz w:val="14"/>
                <w:szCs w:val="14"/>
                <w:b w:val="1"/>
                <w:bCs w:val="1"/>
                <w:color w:val="auto"/>
              </w:rPr>
              <w:t>2018</w:t>
            </w:r>
          </w:p>
        </w:tc>
        <w:tc>
          <w:tcPr>
            <w:tcW w:w="360" w:type="dxa"/>
            <w:vAlign w:val="bottom"/>
            <w:tcBorders>
              <w:top w:val="single" w:sz="8" w:color="auto"/>
              <w:bottom w:val="single" w:sz="8" w:color="CCEEFF"/>
            </w:tcBorders>
          </w:tcPr>
          <w:p>
            <w:pPr>
              <w:spacing w:after="0"/>
              <w:rPr>
                <w:sz w:val="12"/>
                <w:szCs w:val="12"/>
                <w:color w:val="auto"/>
              </w:rPr>
            </w:pPr>
          </w:p>
        </w:tc>
        <w:tc>
          <w:tcPr>
            <w:tcW w:w="420" w:type="dxa"/>
            <w:vAlign w:val="bottom"/>
            <w:tcBorders>
              <w:top w:val="single" w:sz="8" w:color="auto"/>
              <w:bottom w:val="single" w:sz="8" w:color="auto"/>
            </w:tcBorders>
          </w:tcPr>
          <w:p>
            <w:pPr>
              <w:jc w:val="right"/>
              <w:spacing w:after="0" w:line="142" w:lineRule="exact"/>
              <w:rPr>
                <w:sz w:val="20"/>
                <w:szCs w:val="20"/>
                <w:color w:val="auto"/>
              </w:rPr>
            </w:pPr>
            <w:r>
              <w:rPr>
                <w:rFonts w:ascii="Arial" w:cs="Arial" w:eastAsia="Arial" w:hAnsi="Arial"/>
                <w:sz w:val="14"/>
                <w:szCs w:val="14"/>
                <w:b w:val="1"/>
                <w:bCs w:val="1"/>
                <w:color w:val="auto"/>
              </w:rPr>
              <w:t>2017</w:t>
            </w:r>
          </w:p>
        </w:tc>
        <w:tc>
          <w:tcPr>
            <w:tcW w:w="60" w:type="dxa"/>
            <w:vAlign w:val="bottom"/>
            <w:tcBorders>
              <w:bottom w:val="single" w:sz="8" w:color="CCEEFF"/>
            </w:tcBorders>
          </w:tcPr>
          <w:p>
            <w:pPr>
              <w:spacing w:after="0"/>
              <w:rPr>
                <w:sz w:val="12"/>
                <w:szCs w:val="12"/>
                <w:color w:val="auto"/>
              </w:rPr>
            </w:pPr>
          </w:p>
        </w:tc>
      </w:tr>
      <w:tr>
        <w:trPr>
          <w:trHeight w:val="210"/>
        </w:trPr>
        <w:tc>
          <w:tcPr>
            <w:tcW w:w="5280" w:type="dxa"/>
            <w:vAlign w:val="bottom"/>
            <w:shd w:val="clear" w:color="auto" w:fill="CCEEFF"/>
          </w:tcPr>
          <w:p>
            <w:pPr>
              <w:spacing w:after="0"/>
              <w:rPr>
                <w:sz w:val="20"/>
                <w:szCs w:val="20"/>
                <w:color w:val="auto"/>
              </w:rPr>
            </w:pPr>
            <w:r>
              <w:rPr>
                <w:rFonts w:ascii="Arial" w:cs="Arial" w:eastAsia="Arial" w:hAnsi="Arial"/>
                <w:sz w:val="18"/>
                <w:szCs w:val="18"/>
                <w:color w:val="auto"/>
              </w:rPr>
              <w:t>Research and development</w:t>
            </w:r>
          </w:p>
        </w:tc>
        <w:tc>
          <w:tcPr>
            <w:tcW w:w="2000" w:type="dxa"/>
            <w:vAlign w:val="bottom"/>
            <w:shd w:val="clear" w:color="auto" w:fill="CCEEFF"/>
          </w:tcPr>
          <w:p>
            <w:pPr>
              <w:spacing w:after="0"/>
              <w:rPr>
                <w:sz w:val="18"/>
                <w:szCs w:val="18"/>
                <w:color w:val="auto"/>
              </w:rPr>
            </w:pPr>
          </w:p>
        </w:tc>
        <w:tc>
          <w:tcPr>
            <w:tcW w:w="8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5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627</w:t>
            </w:r>
          </w:p>
        </w:tc>
        <w:tc>
          <w:tcPr>
            <w:tcW w:w="380" w:type="dxa"/>
            <w:vAlign w:val="bottom"/>
            <w:shd w:val="clear" w:color="auto" w:fill="CCEEFF"/>
          </w:tcPr>
          <w:p>
            <w:pPr>
              <w:spacing w:after="0"/>
              <w:rPr>
                <w:sz w:val="18"/>
                <w:szCs w:val="18"/>
                <w:color w:val="auto"/>
              </w:rPr>
            </w:pPr>
          </w:p>
        </w:tc>
        <w:tc>
          <w:tcPr>
            <w:tcW w:w="8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4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132</w:t>
            </w:r>
          </w:p>
        </w:tc>
        <w:tc>
          <w:tcPr>
            <w:tcW w:w="340" w:type="dxa"/>
            <w:vAlign w:val="bottom"/>
            <w:shd w:val="clear" w:color="auto" w:fill="CCEEFF"/>
          </w:tcPr>
          <w:p>
            <w:pPr>
              <w:spacing w:after="0"/>
              <w:rPr>
                <w:sz w:val="18"/>
                <w:szCs w:val="18"/>
                <w:color w:val="auto"/>
              </w:rPr>
            </w:pPr>
          </w:p>
        </w:tc>
        <w:tc>
          <w:tcPr>
            <w:tcW w:w="5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9"/>
              </w:rPr>
              <w:t>$ 1,161</w:t>
            </w:r>
          </w:p>
        </w:tc>
        <w:tc>
          <w:tcPr>
            <w:tcW w:w="360" w:type="dxa"/>
            <w:vAlign w:val="bottom"/>
            <w:shd w:val="clear" w:color="auto" w:fill="CCEEFF"/>
          </w:tcPr>
          <w:p>
            <w:pPr>
              <w:spacing w:after="0"/>
              <w:rPr>
                <w:sz w:val="18"/>
                <w:szCs w:val="18"/>
                <w:color w:val="auto"/>
              </w:rPr>
            </w:pPr>
          </w:p>
        </w:tc>
        <w:tc>
          <w:tcPr>
            <w:tcW w:w="4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8"/>
              </w:rPr>
              <w:t>$ 301</w:t>
            </w:r>
          </w:p>
        </w:tc>
        <w:tc>
          <w:tcPr>
            <w:tcW w:w="60" w:type="dxa"/>
            <w:vAlign w:val="bottom"/>
            <w:shd w:val="clear" w:color="auto" w:fill="CCEEFF"/>
          </w:tcPr>
          <w:p>
            <w:pPr>
              <w:spacing w:after="0"/>
              <w:rPr>
                <w:sz w:val="18"/>
                <w:szCs w:val="18"/>
                <w:color w:val="auto"/>
              </w:rPr>
            </w:pPr>
          </w:p>
        </w:tc>
      </w:tr>
      <w:tr>
        <w:trPr>
          <w:trHeight w:val="216"/>
        </w:trPr>
        <w:tc>
          <w:tcPr>
            <w:tcW w:w="5280" w:type="dxa"/>
            <w:vAlign w:val="bottom"/>
          </w:tcPr>
          <w:p>
            <w:pPr>
              <w:spacing w:after="0"/>
              <w:rPr>
                <w:sz w:val="20"/>
                <w:szCs w:val="20"/>
                <w:color w:val="auto"/>
              </w:rPr>
            </w:pPr>
            <w:r>
              <w:rPr>
                <w:rFonts w:ascii="Arial" w:cs="Arial" w:eastAsia="Arial" w:hAnsi="Arial"/>
                <w:sz w:val="18"/>
                <w:szCs w:val="18"/>
                <w:color w:val="auto"/>
              </w:rPr>
              <w:t>General and administrative</w:t>
            </w:r>
          </w:p>
        </w:tc>
        <w:tc>
          <w:tcPr>
            <w:tcW w:w="20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920" w:type="dxa"/>
            <w:vAlign w:val="bottom"/>
            <w:gridSpan w:val="2"/>
          </w:tcPr>
          <w:p>
            <w:pPr>
              <w:jc w:val="right"/>
              <w:ind w:right="380"/>
              <w:spacing w:after="0"/>
              <w:rPr>
                <w:sz w:val="20"/>
                <w:szCs w:val="20"/>
                <w:color w:val="auto"/>
              </w:rPr>
            </w:pPr>
            <w:r>
              <w:rPr>
                <w:rFonts w:ascii="Arial" w:cs="Arial" w:eastAsia="Arial" w:hAnsi="Arial"/>
                <w:sz w:val="18"/>
                <w:szCs w:val="18"/>
                <w:color w:val="auto"/>
              </w:rPr>
              <w:t>816</w:t>
            </w:r>
          </w:p>
        </w:tc>
        <w:tc>
          <w:tcPr>
            <w:tcW w:w="80" w:type="dxa"/>
            <w:vAlign w:val="bottom"/>
          </w:tcPr>
          <w:p>
            <w:pPr>
              <w:spacing w:after="0"/>
              <w:rPr>
                <w:sz w:val="18"/>
                <w:szCs w:val="18"/>
                <w:color w:val="auto"/>
              </w:rPr>
            </w:pPr>
          </w:p>
        </w:tc>
        <w:tc>
          <w:tcPr>
            <w:tcW w:w="740" w:type="dxa"/>
            <w:vAlign w:val="bottom"/>
            <w:gridSpan w:val="2"/>
          </w:tcPr>
          <w:p>
            <w:pPr>
              <w:jc w:val="right"/>
              <w:ind w:right="340"/>
              <w:spacing w:after="0"/>
              <w:rPr>
                <w:sz w:val="20"/>
                <w:szCs w:val="20"/>
                <w:color w:val="auto"/>
              </w:rPr>
            </w:pPr>
            <w:r>
              <w:rPr>
                <w:rFonts w:ascii="Arial" w:cs="Arial" w:eastAsia="Arial" w:hAnsi="Arial"/>
                <w:sz w:val="18"/>
                <w:szCs w:val="18"/>
                <w:color w:val="auto"/>
              </w:rPr>
              <w:t>137</w:t>
            </w:r>
          </w:p>
        </w:tc>
        <w:tc>
          <w:tcPr>
            <w:tcW w:w="920" w:type="dxa"/>
            <w:vAlign w:val="bottom"/>
            <w:gridSpan w:val="2"/>
          </w:tcPr>
          <w:p>
            <w:pPr>
              <w:jc w:val="right"/>
              <w:ind w:right="360"/>
              <w:spacing w:after="0"/>
              <w:rPr>
                <w:sz w:val="20"/>
                <w:szCs w:val="20"/>
                <w:color w:val="auto"/>
              </w:rPr>
            </w:pPr>
            <w:r>
              <w:rPr>
                <w:rFonts w:ascii="Arial" w:cs="Arial" w:eastAsia="Arial" w:hAnsi="Arial"/>
                <w:sz w:val="18"/>
                <w:szCs w:val="18"/>
                <w:color w:val="auto"/>
              </w:rPr>
              <w:t>1,469</w:t>
            </w:r>
          </w:p>
        </w:tc>
        <w:tc>
          <w:tcPr>
            <w:tcW w:w="480" w:type="dxa"/>
            <w:vAlign w:val="bottom"/>
            <w:gridSpan w:val="2"/>
          </w:tcPr>
          <w:p>
            <w:pPr>
              <w:jc w:val="right"/>
              <w:ind w:right="60"/>
              <w:spacing w:after="0"/>
              <w:rPr>
                <w:sz w:val="20"/>
                <w:szCs w:val="20"/>
                <w:color w:val="auto"/>
              </w:rPr>
            </w:pPr>
            <w:r>
              <w:rPr>
                <w:rFonts w:ascii="Arial" w:cs="Arial" w:eastAsia="Arial" w:hAnsi="Arial"/>
                <w:sz w:val="18"/>
                <w:szCs w:val="18"/>
                <w:color w:val="auto"/>
              </w:rPr>
              <w:t>298</w:t>
            </w:r>
          </w:p>
        </w:tc>
      </w:tr>
      <w:tr>
        <w:trPr>
          <w:trHeight w:val="27"/>
        </w:trPr>
        <w:tc>
          <w:tcPr>
            <w:tcW w:w="5280" w:type="dxa"/>
            <w:vAlign w:val="bottom"/>
          </w:tcPr>
          <w:p>
            <w:pPr>
              <w:spacing w:after="0"/>
              <w:rPr>
                <w:sz w:val="2"/>
                <w:szCs w:val="2"/>
                <w:color w:val="auto"/>
              </w:rPr>
            </w:pPr>
          </w:p>
        </w:tc>
        <w:tc>
          <w:tcPr>
            <w:tcW w:w="200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540" w:type="dxa"/>
            <w:vAlign w:val="bottom"/>
            <w:shd w:val="clear" w:color="auto" w:fill="000000"/>
          </w:tcPr>
          <w:p>
            <w:pPr>
              <w:spacing w:after="0"/>
              <w:rPr>
                <w:sz w:val="2"/>
                <w:szCs w:val="2"/>
                <w:color w:val="auto"/>
              </w:rPr>
            </w:pPr>
          </w:p>
        </w:tc>
        <w:tc>
          <w:tcPr>
            <w:tcW w:w="38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400" w:type="dxa"/>
            <w:vAlign w:val="bottom"/>
            <w:shd w:val="clear" w:color="auto" w:fill="000000"/>
          </w:tcPr>
          <w:p>
            <w:pPr>
              <w:spacing w:after="0"/>
              <w:rPr>
                <w:sz w:val="2"/>
                <w:szCs w:val="2"/>
                <w:color w:val="auto"/>
              </w:rPr>
            </w:pPr>
          </w:p>
        </w:tc>
        <w:tc>
          <w:tcPr>
            <w:tcW w:w="340" w:type="dxa"/>
            <w:vAlign w:val="bottom"/>
          </w:tcPr>
          <w:p>
            <w:pPr>
              <w:spacing w:after="0"/>
              <w:rPr>
                <w:sz w:val="2"/>
                <w:szCs w:val="2"/>
                <w:color w:val="auto"/>
              </w:rPr>
            </w:pPr>
          </w:p>
        </w:tc>
        <w:tc>
          <w:tcPr>
            <w:tcW w:w="560" w:type="dxa"/>
            <w:vAlign w:val="bottom"/>
            <w:shd w:val="clear" w:color="auto" w:fill="000000"/>
          </w:tcPr>
          <w:p>
            <w:pPr>
              <w:spacing w:after="0"/>
              <w:rPr>
                <w:sz w:val="2"/>
                <w:szCs w:val="2"/>
                <w:color w:val="auto"/>
              </w:rPr>
            </w:pPr>
          </w:p>
        </w:tc>
        <w:tc>
          <w:tcPr>
            <w:tcW w:w="360" w:type="dxa"/>
            <w:vAlign w:val="bottom"/>
          </w:tcPr>
          <w:p>
            <w:pPr>
              <w:spacing w:after="0"/>
              <w:rPr>
                <w:sz w:val="2"/>
                <w:szCs w:val="2"/>
                <w:color w:val="auto"/>
              </w:rPr>
            </w:pPr>
          </w:p>
        </w:tc>
        <w:tc>
          <w:tcPr>
            <w:tcW w:w="420" w:type="dxa"/>
            <w:vAlign w:val="bottom"/>
            <w:shd w:val="clear" w:color="auto" w:fill="000000"/>
          </w:tcPr>
          <w:p>
            <w:pPr>
              <w:spacing w:after="0"/>
              <w:rPr>
                <w:sz w:val="2"/>
                <w:szCs w:val="2"/>
                <w:color w:val="auto"/>
              </w:rPr>
            </w:pPr>
          </w:p>
        </w:tc>
        <w:tc>
          <w:tcPr>
            <w:tcW w:w="60" w:type="dxa"/>
            <w:vAlign w:val="bottom"/>
          </w:tcPr>
          <w:p>
            <w:pPr>
              <w:spacing w:after="0"/>
              <w:rPr>
                <w:sz w:val="2"/>
                <w:szCs w:val="2"/>
                <w:color w:val="auto"/>
              </w:rPr>
            </w:pPr>
          </w:p>
        </w:tc>
      </w:tr>
      <w:tr>
        <w:trPr>
          <w:trHeight w:val="216"/>
        </w:trPr>
        <w:tc>
          <w:tcPr>
            <w:tcW w:w="5280" w:type="dxa"/>
            <w:vAlign w:val="bottom"/>
            <w:shd w:val="clear" w:color="auto" w:fill="CCEEFF"/>
          </w:tcPr>
          <w:p>
            <w:pPr>
              <w:ind w:left="360"/>
              <w:spacing w:after="0"/>
              <w:rPr>
                <w:sz w:val="20"/>
                <w:szCs w:val="20"/>
                <w:color w:val="auto"/>
              </w:rPr>
            </w:pPr>
            <w:r>
              <w:rPr>
                <w:rFonts w:ascii="Arial" w:cs="Arial" w:eastAsia="Arial" w:hAnsi="Arial"/>
                <w:sz w:val="18"/>
                <w:szCs w:val="18"/>
                <w:color w:val="auto"/>
              </w:rPr>
              <w:t>Total stock-based compensation expense</w:t>
            </w:r>
          </w:p>
        </w:tc>
        <w:tc>
          <w:tcPr>
            <w:tcW w:w="20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920" w:type="dxa"/>
            <w:vAlign w:val="bottom"/>
            <w:gridSpan w:val="2"/>
            <w:shd w:val="clear" w:color="auto" w:fill="CCEEFF"/>
          </w:tcPr>
          <w:p>
            <w:pPr>
              <w:jc w:val="right"/>
              <w:ind w:right="380"/>
              <w:spacing w:after="0"/>
              <w:rPr>
                <w:sz w:val="20"/>
                <w:szCs w:val="20"/>
                <w:color w:val="auto"/>
              </w:rPr>
            </w:pPr>
            <w:r>
              <w:rPr>
                <w:rFonts w:ascii="Arial" w:cs="Arial" w:eastAsia="Arial" w:hAnsi="Arial"/>
                <w:sz w:val="18"/>
                <w:szCs w:val="18"/>
                <w:color w:val="auto"/>
              </w:rPr>
              <w:t>1,443</w:t>
            </w:r>
          </w:p>
        </w:tc>
        <w:tc>
          <w:tcPr>
            <w:tcW w:w="8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740" w:type="dxa"/>
            <w:vAlign w:val="bottom"/>
            <w:gridSpan w:val="2"/>
            <w:shd w:val="clear" w:color="auto" w:fill="CCEEFF"/>
          </w:tcPr>
          <w:p>
            <w:pPr>
              <w:jc w:val="right"/>
              <w:ind w:right="340"/>
              <w:spacing w:after="0"/>
              <w:rPr>
                <w:sz w:val="20"/>
                <w:szCs w:val="20"/>
                <w:color w:val="auto"/>
              </w:rPr>
            </w:pPr>
            <w:r>
              <w:rPr>
                <w:rFonts w:ascii="Arial" w:cs="Arial" w:eastAsia="Arial" w:hAnsi="Arial"/>
                <w:sz w:val="18"/>
                <w:szCs w:val="18"/>
                <w:color w:val="auto"/>
              </w:rPr>
              <w:t>269</w:t>
            </w:r>
          </w:p>
        </w:tc>
        <w:tc>
          <w:tcPr>
            <w:tcW w:w="920" w:type="dxa"/>
            <w:vAlign w:val="bottom"/>
            <w:gridSpan w:val="2"/>
            <w:shd w:val="clear" w:color="auto" w:fill="CCEEFF"/>
          </w:tcPr>
          <w:p>
            <w:pPr>
              <w:jc w:val="right"/>
              <w:ind w:right="360"/>
              <w:spacing w:after="0"/>
              <w:rPr>
                <w:sz w:val="20"/>
                <w:szCs w:val="20"/>
                <w:color w:val="auto"/>
              </w:rPr>
            </w:pPr>
            <w:r>
              <w:rPr>
                <w:rFonts w:ascii="Arial" w:cs="Arial" w:eastAsia="Arial" w:hAnsi="Arial"/>
                <w:sz w:val="18"/>
                <w:szCs w:val="18"/>
                <w:color w:val="auto"/>
                <w:w w:val="89"/>
              </w:rPr>
              <w:t>$ 2,630</w:t>
            </w:r>
          </w:p>
        </w:tc>
        <w:tc>
          <w:tcPr>
            <w:tcW w:w="48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w w:val="88"/>
              </w:rPr>
              <w:t>$ 599</w:t>
            </w:r>
          </w:p>
        </w:tc>
      </w:tr>
      <w:tr>
        <w:trPr>
          <w:trHeight w:val="20"/>
        </w:trPr>
        <w:tc>
          <w:tcPr>
            <w:tcW w:w="5280" w:type="dxa"/>
            <w:vAlign w:val="bottom"/>
          </w:tcPr>
          <w:p>
            <w:pPr>
              <w:spacing w:after="0" w:line="20" w:lineRule="exact"/>
              <w:rPr>
                <w:sz w:val="1"/>
                <w:szCs w:val="1"/>
                <w:color w:val="auto"/>
              </w:rPr>
            </w:pPr>
          </w:p>
        </w:tc>
        <w:tc>
          <w:tcPr>
            <w:tcW w:w="200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400" w:type="dxa"/>
            <w:vAlign w:val="bottom"/>
            <w:tcBorders>
              <w:top w:val="single" w:sz="8" w:color="auto"/>
              <w:bottom w:val="single" w:sz="8" w:color="auto"/>
            </w:tcBorders>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560" w:type="dxa"/>
            <w:vAlign w:val="bottom"/>
            <w:tcBorders>
              <w:top w:val="single" w:sz="8" w:color="auto"/>
              <w:bottom w:val="single" w:sz="8" w:color="auto"/>
            </w:tcBorders>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42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r>
    </w:tbl>
    <w:p>
      <w:pPr>
        <w:spacing w:after="0" w:line="215" w:lineRule="exact"/>
        <w:rPr>
          <w:sz w:val="20"/>
          <w:szCs w:val="20"/>
          <w:color w:val="auto"/>
        </w:rPr>
      </w:pPr>
    </w:p>
    <w:p>
      <w:pPr>
        <w:ind w:right="120" w:firstLine="456"/>
        <w:spacing w:after="0" w:line="277" w:lineRule="auto"/>
        <w:rPr>
          <w:sz w:val="20"/>
          <w:szCs w:val="20"/>
          <w:color w:val="auto"/>
        </w:rPr>
      </w:pPr>
      <w:r>
        <w:rPr>
          <w:rFonts w:ascii="Arial" w:cs="Arial" w:eastAsia="Arial" w:hAnsi="Arial"/>
          <w:sz w:val="18"/>
          <w:szCs w:val="18"/>
          <w:color w:val="auto"/>
        </w:rPr>
        <w:t>The following table summarizes the stock option activity in the Company’s equity incentive plans, including non-plan grants to Company executives, from December 31, 2017 through June 30, 2018:</w:t>
      </w:r>
    </w:p>
    <w:p>
      <w:pPr>
        <w:spacing w:after="0" w:line="181" w:lineRule="exact"/>
        <w:rPr>
          <w:sz w:val="20"/>
          <w:szCs w:val="20"/>
          <w:color w:val="auto"/>
        </w:rPr>
      </w:pPr>
    </w:p>
    <w:tbl>
      <w:tblPr>
        <w:tblLayout w:type="fixed"/>
        <w:tblInd w:w="138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600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1440" w:type="dxa"/>
            <w:vAlign w:val="bottom"/>
            <w:gridSpan w:val="4"/>
          </w:tcPr>
          <w:p>
            <w:pPr>
              <w:jc w:val="right"/>
              <w:ind w:right="60"/>
              <w:spacing w:after="0"/>
              <w:rPr>
                <w:sz w:val="20"/>
                <w:szCs w:val="20"/>
                <w:color w:val="auto"/>
              </w:rPr>
            </w:pPr>
            <w:r>
              <w:rPr>
                <w:rFonts w:ascii="Arial" w:cs="Arial" w:eastAsia="Arial" w:hAnsi="Arial"/>
                <w:sz w:val="14"/>
                <w:szCs w:val="14"/>
                <w:color w:val="auto"/>
              </w:rPr>
              <w:t>Weighted Average</w:t>
            </w:r>
          </w:p>
        </w:tc>
      </w:tr>
      <w:tr>
        <w:trPr>
          <w:trHeight w:val="167"/>
        </w:trPr>
        <w:tc>
          <w:tcPr>
            <w:tcW w:w="20" w:type="dxa"/>
            <w:vAlign w:val="bottom"/>
          </w:tcPr>
          <w:p>
            <w:pPr>
              <w:spacing w:after="0"/>
              <w:rPr>
                <w:sz w:val="14"/>
                <w:szCs w:val="14"/>
                <w:color w:val="auto"/>
              </w:rPr>
            </w:pPr>
          </w:p>
        </w:tc>
        <w:tc>
          <w:tcPr>
            <w:tcW w:w="6000" w:type="dxa"/>
            <w:vAlign w:val="bottom"/>
          </w:tcPr>
          <w:p>
            <w:pPr>
              <w:spacing w:after="0"/>
              <w:rPr>
                <w:sz w:val="14"/>
                <w:szCs w:val="14"/>
                <w:color w:val="auto"/>
              </w:rPr>
            </w:pPr>
          </w:p>
        </w:tc>
        <w:tc>
          <w:tcPr>
            <w:tcW w:w="1220" w:type="dxa"/>
            <w:vAlign w:val="bottom"/>
            <w:gridSpan w:val="2"/>
          </w:tcPr>
          <w:p>
            <w:pPr>
              <w:jc w:val="right"/>
              <w:ind w:right="600"/>
              <w:spacing w:after="0"/>
              <w:rPr>
                <w:sz w:val="20"/>
                <w:szCs w:val="20"/>
                <w:color w:val="auto"/>
              </w:rPr>
            </w:pPr>
            <w:r>
              <w:rPr>
                <w:rFonts w:ascii="Arial" w:cs="Arial" w:eastAsia="Arial" w:hAnsi="Arial"/>
                <w:sz w:val="14"/>
                <w:szCs w:val="14"/>
                <w:color w:val="auto"/>
              </w:rPr>
              <w:t>Shares</w:t>
            </w:r>
          </w:p>
        </w:tc>
        <w:tc>
          <w:tcPr>
            <w:tcW w:w="3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20" w:type="dxa"/>
            <w:vAlign w:val="bottom"/>
            <w:gridSpan w:val="2"/>
          </w:tcPr>
          <w:p>
            <w:pPr>
              <w:ind w:left="20"/>
              <w:spacing w:after="0"/>
              <w:rPr>
                <w:sz w:val="20"/>
                <w:szCs w:val="20"/>
                <w:color w:val="auto"/>
              </w:rPr>
            </w:pPr>
            <w:r>
              <w:rPr>
                <w:rFonts w:ascii="Arial" w:cs="Arial" w:eastAsia="Arial" w:hAnsi="Arial"/>
                <w:sz w:val="14"/>
                <w:szCs w:val="14"/>
                <w:color w:val="auto"/>
              </w:rPr>
              <w:t>Exercise Price</w:t>
            </w:r>
          </w:p>
        </w:tc>
      </w:tr>
      <w:tr>
        <w:trPr>
          <w:trHeight w:val="210"/>
        </w:trPr>
        <w:tc>
          <w:tcPr>
            <w:tcW w:w="20" w:type="dxa"/>
            <w:vAlign w:val="bottom"/>
          </w:tcPr>
          <w:p>
            <w:pPr>
              <w:spacing w:after="0"/>
              <w:rPr>
                <w:sz w:val="18"/>
                <w:szCs w:val="18"/>
                <w:color w:val="auto"/>
              </w:rPr>
            </w:pPr>
          </w:p>
        </w:tc>
        <w:tc>
          <w:tcPr>
            <w:tcW w:w="600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8"/>
                <w:szCs w:val="18"/>
                <w:color w:val="auto"/>
              </w:rPr>
              <w:t>Outstanding, December 31, 2017</w:t>
            </w:r>
          </w:p>
        </w:tc>
        <w:tc>
          <w:tcPr>
            <w:tcW w:w="8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5,155,263</w:t>
            </w:r>
          </w:p>
        </w:tc>
        <w:tc>
          <w:tcPr>
            <w:tcW w:w="380" w:type="dxa"/>
            <w:vAlign w:val="bottom"/>
            <w:tcBorders>
              <w:top w:val="single" w:sz="8" w:color="CCEEFF"/>
            </w:tcBorders>
            <w:shd w:val="clear" w:color="auto" w:fill="CCEEFF"/>
          </w:tcPr>
          <w:p>
            <w:pPr>
              <w:spacing w:after="0"/>
              <w:rPr>
                <w:sz w:val="18"/>
                <w:szCs w:val="18"/>
                <w:color w:val="auto"/>
              </w:rPr>
            </w:pPr>
          </w:p>
        </w:tc>
        <w:tc>
          <w:tcPr>
            <w:tcW w:w="32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9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4.11</w:t>
            </w:r>
          </w:p>
        </w:tc>
        <w:tc>
          <w:tcPr>
            <w:tcW w:w="60" w:type="dxa"/>
            <w:vAlign w:val="bottom"/>
            <w:tcBorders>
              <w:top w:val="single" w:sz="8" w:color="CCEEFF"/>
            </w:tcBorders>
            <w:shd w:val="clear" w:color="auto" w:fill="CCEEFF"/>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6000" w:type="dxa"/>
            <w:vAlign w:val="bottom"/>
          </w:tcPr>
          <w:p>
            <w:pPr>
              <w:ind w:left="340"/>
              <w:spacing w:after="0"/>
              <w:rPr>
                <w:sz w:val="20"/>
                <w:szCs w:val="20"/>
                <w:color w:val="auto"/>
              </w:rPr>
            </w:pPr>
            <w:r>
              <w:rPr>
                <w:rFonts w:ascii="Arial" w:cs="Arial" w:eastAsia="Arial" w:hAnsi="Arial"/>
                <w:sz w:val="18"/>
                <w:szCs w:val="18"/>
                <w:color w:val="auto"/>
              </w:rPr>
              <w:t>Granted</w:t>
            </w:r>
          </w:p>
        </w:tc>
        <w:tc>
          <w:tcPr>
            <w:tcW w:w="840" w:type="dxa"/>
            <w:vAlign w:val="bottom"/>
          </w:tcPr>
          <w:p>
            <w:pPr>
              <w:jc w:val="right"/>
              <w:spacing w:after="0"/>
              <w:rPr>
                <w:sz w:val="20"/>
                <w:szCs w:val="20"/>
                <w:color w:val="auto"/>
              </w:rPr>
            </w:pPr>
            <w:r>
              <w:rPr>
                <w:rFonts w:ascii="Arial" w:cs="Arial" w:eastAsia="Arial" w:hAnsi="Arial"/>
                <w:sz w:val="18"/>
                <w:szCs w:val="18"/>
                <w:color w:val="auto"/>
              </w:rPr>
              <w:t>1,001,875</w:t>
            </w:r>
          </w:p>
        </w:tc>
        <w:tc>
          <w:tcPr>
            <w:tcW w:w="3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5.02</w:t>
            </w:r>
          </w:p>
        </w:tc>
        <w:tc>
          <w:tcPr>
            <w:tcW w:w="60" w:type="dxa"/>
            <w:vAlign w:val="bottom"/>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6000" w:type="dxa"/>
            <w:vAlign w:val="bottom"/>
            <w:shd w:val="clear" w:color="auto" w:fill="CCEEFF"/>
          </w:tcPr>
          <w:p>
            <w:pPr>
              <w:ind w:left="340"/>
              <w:spacing w:after="0"/>
              <w:rPr>
                <w:sz w:val="20"/>
                <w:szCs w:val="20"/>
                <w:color w:val="auto"/>
              </w:rPr>
            </w:pPr>
            <w:r>
              <w:rPr>
                <w:rFonts w:ascii="Arial" w:cs="Arial" w:eastAsia="Arial" w:hAnsi="Arial"/>
                <w:sz w:val="18"/>
                <w:szCs w:val="18"/>
                <w:color w:val="auto"/>
              </w:rPr>
              <w:t>Exercised</w:t>
            </w:r>
          </w:p>
        </w:tc>
        <w:tc>
          <w:tcPr>
            <w:tcW w:w="122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w w:val="95"/>
              </w:rPr>
              <w:t>(1,829,525)</w:t>
            </w:r>
          </w:p>
        </w:tc>
        <w:tc>
          <w:tcPr>
            <w:tcW w:w="3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1.79</w:t>
            </w:r>
          </w:p>
        </w:tc>
        <w:tc>
          <w:tcPr>
            <w:tcW w:w="60" w:type="dxa"/>
            <w:vAlign w:val="bottom"/>
            <w:shd w:val="clear" w:color="auto" w:fill="CCEEFF"/>
          </w:tcPr>
          <w:p>
            <w:pPr>
              <w:spacing w:after="0"/>
              <w:rPr>
                <w:sz w:val="18"/>
                <w:szCs w:val="18"/>
                <w:color w:val="auto"/>
              </w:rPr>
            </w:pPr>
          </w:p>
        </w:tc>
      </w:tr>
      <w:tr>
        <w:trPr>
          <w:trHeight w:val="223"/>
        </w:trPr>
        <w:tc>
          <w:tcPr>
            <w:tcW w:w="20" w:type="dxa"/>
            <w:vAlign w:val="bottom"/>
          </w:tcPr>
          <w:p>
            <w:pPr>
              <w:spacing w:after="0"/>
              <w:rPr>
                <w:sz w:val="19"/>
                <w:szCs w:val="19"/>
                <w:color w:val="auto"/>
              </w:rPr>
            </w:pPr>
          </w:p>
        </w:tc>
        <w:tc>
          <w:tcPr>
            <w:tcW w:w="6000" w:type="dxa"/>
            <w:vAlign w:val="bottom"/>
          </w:tcPr>
          <w:p>
            <w:pPr>
              <w:ind w:left="340"/>
              <w:spacing w:after="0"/>
              <w:rPr>
                <w:sz w:val="20"/>
                <w:szCs w:val="20"/>
                <w:color w:val="auto"/>
              </w:rPr>
            </w:pPr>
            <w:r>
              <w:rPr>
                <w:rFonts w:ascii="Arial" w:cs="Arial" w:eastAsia="Arial" w:hAnsi="Arial"/>
                <w:sz w:val="18"/>
                <w:szCs w:val="18"/>
                <w:color w:val="auto"/>
              </w:rPr>
              <w:t>Options forfeited/cancelled</w:t>
            </w:r>
          </w:p>
        </w:tc>
        <w:tc>
          <w:tcPr>
            <w:tcW w:w="1220" w:type="dxa"/>
            <w:vAlign w:val="bottom"/>
            <w:gridSpan w:val="2"/>
          </w:tcPr>
          <w:p>
            <w:pPr>
              <w:jc w:val="right"/>
              <w:ind w:right="320"/>
              <w:spacing w:after="0"/>
              <w:rPr>
                <w:sz w:val="20"/>
                <w:szCs w:val="20"/>
                <w:color w:val="auto"/>
              </w:rPr>
            </w:pPr>
            <w:r>
              <w:rPr>
                <w:rFonts w:ascii="Arial" w:cs="Arial" w:eastAsia="Arial" w:hAnsi="Arial"/>
                <w:sz w:val="18"/>
                <w:szCs w:val="18"/>
                <w:color w:val="auto"/>
              </w:rPr>
              <w:t>(33,334)</w:t>
            </w:r>
          </w:p>
        </w:tc>
        <w:tc>
          <w:tcPr>
            <w:tcW w:w="3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6.24</w:t>
            </w:r>
          </w:p>
        </w:tc>
        <w:tc>
          <w:tcPr>
            <w:tcW w:w="60" w:type="dxa"/>
            <w:vAlign w:val="bottom"/>
          </w:tcPr>
          <w:p>
            <w:pPr>
              <w:spacing w:after="0"/>
              <w:rPr>
                <w:sz w:val="19"/>
                <w:szCs w:val="19"/>
                <w:color w:val="auto"/>
              </w:rPr>
            </w:pPr>
          </w:p>
        </w:tc>
      </w:tr>
      <w:tr>
        <w:trPr>
          <w:trHeight w:val="216"/>
        </w:trPr>
        <w:tc>
          <w:tcPr>
            <w:tcW w:w="20" w:type="dxa"/>
            <w:vAlign w:val="bottom"/>
          </w:tcPr>
          <w:p>
            <w:pPr>
              <w:spacing w:after="0"/>
              <w:rPr>
                <w:sz w:val="18"/>
                <w:szCs w:val="18"/>
                <w:color w:val="auto"/>
              </w:rPr>
            </w:pPr>
          </w:p>
        </w:tc>
        <w:tc>
          <w:tcPr>
            <w:tcW w:w="6000" w:type="dxa"/>
            <w:vAlign w:val="bottom"/>
            <w:shd w:val="clear" w:color="auto" w:fill="CCEEFF"/>
          </w:tcPr>
          <w:p>
            <w:pPr>
              <w:spacing w:after="0"/>
              <w:rPr>
                <w:sz w:val="20"/>
                <w:szCs w:val="20"/>
                <w:color w:val="auto"/>
              </w:rPr>
            </w:pPr>
            <w:r>
              <w:rPr>
                <w:rFonts w:ascii="Arial" w:cs="Arial" w:eastAsia="Arial" w:hAnsi="Arial"/>
                <w:sz w:val="18"/>
                <w:szCs w:val="18"/>
                <w:color w:val="auto"/>
              </w:rPr>
              <w:t>Outstanding, June 30, 2018</w:t>
            </w:r>
          </w:p>
        </w:tc>
        <w:tc>
          <w:tcPr>
            <w:tcW w:w="8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4,294,279</w:t>
            </w:r>
          </w:p>
        </w:tc>
        <w:tc>
          <w:tcPr>
            <w:tcW w:w="380" w:type="dxa"/>
            <w:vAlign w:val="bottom"/>
            <w:shd w:val="clear" w:color="auto" w:fill="CCEEFF"/>
          </w:tcPr>
          <w:p>
            <w:pPr>
              <w:spacing w:after="0"/>
              <w:rPr>
                <w:sz w:val="18"/>
                <w:szCs w:val="18"/>
                <w:color w:val="auto"/>
              </w:rPr>
            </w:pPr>
          </w:p>
        </w:tc>
        <w:tc>
          <w:tcPr>
            <w:tcW w:w="4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5.30</w:t>
            </w:r>
          </w:p>
        </w:tc>
        <w:tc>
          <w:tcPr>
            <w:tcW w:w="60" w:type="dxa"/>
            <w:vAlign w:val="bottom"/>
            <w:shd w:val="clear" w:color="auto" w:fill="CCEEFF"/>
          </w:tcPr>
          <w:p>
            <w:pPr>
              <w:spacing w:after="0"/>
              <w:rPr>
                <w:sz w:val="18"/>
                <w:szCs w:val="18"/>
                <w:color w:val="auto"/>
              </w:rPr>
            </w:pPr>
          </w:p>
        </w:tc>
      </w:tr>
      <w:tr>
        <w:trPr>
          <w:trHeight w:val="20"/>
        </w:trPr>
        <w:tc>
          <w:tcPr>
            <w:tcW w:w="20" w:type="dxa"/>
            <w:vAlign w:val="bottom"/>
          </w:tcPr>
          <w:p>
            <w:pPr>
              <w:spacing w:after="0" w:line="20" w:lineRule="exact"/>
              <w:rPr>
                <w:sz w:val="1"/>
                <w:szCs w:val="1"/>
                <w:color w:val="auto"/>
              </w:rPr>
            </w:pPr>
          </w:p>
        </w:tc>
        <w:tc>
          <w:tcPr>
            <w:tcW w:w="6000" w:type="dxa"/>
            <w:vAlign w:val="bottom"/>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9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r>
    </w:tbl>
    <w:p>
      <w:pPr>
        <w:spacing w:after="0" w:line="215" w:lineRule="exact"/>
        <w:rPr>
          <w:sz w:val="20"/>
          <w:szCs w:val="20"/>
          <w:color w:val="auto"/>
        </w:rPr>
      </w:pPr>
    </w:p>
    <w:p>
      <w:pPr>
        <w:ind w:firstLine="456"/>
        <w:spacing w:after="0" w:line="271" w:lineRule="auto"/>
        <w:rPr>
          <w:sz w:val="20"/>
          <w:szCs w:val="20"/>
          <w:color w:val="auto"/>
        </w:rPr>
      </w:pPr>
      <w:r>
        <w:rPr>
          <w:rFonts w:ascii="Arial" w:cs="Arial" w:eastAsia="Arial" w:hAnsi="Arial"/>
          <w:sz w:val="17"/>
          <w:szCs w:val="17"/>
          <w:color w:val="auto"/>
        </w:rPr>
        <w:t>As of June 30, 2018, there was $1,819,000 of unrecognized compensation related to 1,140,318 unvested options, which is expected to be recognized over a weighted–average period of approximately 0.5 years. The weighted-average grant date fair value for options granted during the three months ended June 30, 2018 was $3.98. The Company granted 460,000 stock options In January 2018, of which 115,000 options vested upon grant with the remaining 345,000 options vesting over the remainder of 2018. Approximately $526,000 of non-cash, stock-based compensation expense was recorded during the three months ended March 31, 2018 related to the options granted in January 2018 that vested upon the grant date. Additionally, Company granted 506,875 stock options during May 2018, of which 115,000 options vested upon grant with the remaining 391,875 options vesting over the remainder of 2018. Approximately $433,000 of non-cash, stock-based compensation expense was recorded during the three months ended June 30, 2018 related to the options granted in May 2018 that vested upon the grant date.</w:t>
      </w:r>
    </w:p>
    <w:p>
      <w:pPr>
        <w:spacing w:after="0" w:line="179" w:lineRule="exact"/>
        <w:rPr>
          <w:sz w:val="20"/>
          <w:szCs w:val="20"/>
          <w:color w:val="auto"/>
        </w:rPr>
      </w:pPr>
    </w:p>
    <w:p>
      <w:pPr>
        <w:ind w:right="140" w:firstLine="456"/>
        <w:spacing w:after="0" w:line="277" w:lineRule="auto"/>
        <w:rPr>
          <w:sz w:val="20"/>
          <w:szCs w:val="20"/>
          <w:color w:val="auto"/>
        </w:rPr>
      </w:pPr>
      <w:r>
        <w:rPr>
          <w:rFonts w:ascii="Arial" w:cs="Arial" w:eastAsia="Arial" w:hAnsi="Arial"/>
          <w:sz w:val="18"/>
          <w:szCs w:val="18"/>
          <w:color w:val="auto"/>
        </w:rPr>
        <w:t>The fair value of all other options granted is determined using the Black-Scholes option-pricing model. The following weighted average assumptions were used:</w:t>
      </w:r>
    </w:p>
    <w:p>
      <w:pPr>
        <w:spacing w:after="0" w:line="181" w:lineRule="exact"/>
        <w:rPr>
          <w:sz w:val="20"/>
          <w:szCs w:val="20"/>
          <w:color w:val="auto"/>
        </w:rPr>
      </w:pPr>
    </w:p>
    <w:tbl>
      <w:tblPr>
        <w:tblLayout w:type="fixed"/>
        <w:tblInd w:w="1380" w:type="dxa"/>
        <w:tblCellMar>
          <w:top w:w="0" w:type="dxa"/>
          <w:left w:w="0" w:type="dxa"/>
          <w:bottom w:w="0" w:type="dxa"/>
          <w:right w:w="0" w:type="dxa"/>
        </w:tblCellMar>
      </w:tblPr>
      <w:tr>
        <w:trPr>
          <w:trHeight w:val="161"/>
        </w:trPr>
        <w:tc>
          <w:tcPr>
            <w:tcW w:w="3680" w:type="dxa"/>
            <w:vAlign w:val="bottom"/>
          </w:tcPr>
          <w:p>
            <w:pPr>
              <w:spacing w:after="0"/>
              <w:rPr>
                <w:sz w:val="14"/>
                <w:szCs w:val="14"/>
                <w:color w:val="auto"/>
              </w:rPr>
            </w:pPr>
          </w:p>
        </w:tc>
        <w:tc>
          <w:tcPr>
            <w:tcW w:w="2380" w:type="dxa"/>
            <w:vAlign w:val="bottom"/>
          </w:tcPr>
          <w:p>
            <w:pPr>
              <w:spacing w:after="0"/>
              <w:rPr>
                <w:sz w:val="14"/>
                <w:szCs w:val="14"/>
                <w:color w:val="auto"/>
              </w:rPr>
            </w:pPr>
          </w:p>
        </w:tc>
        <w:tc>
          <w:tcPr>
            <w:tcW w:w="1340" w:type="dxa"/>
            <w:vAlign w:val="bottom"/>
            <w:gridSpan w:val="2"/>
          </w:tcPr>
          <w:p>
            <w:pPr>
              <w:jc w:val="center"/>
              <w:ind w:right="500"/>
              <w:spacing w:after="0"/>
              <w:rPr>
                <w:sz w:val="20"/>
                <w:szCs w:val="20"/>
                <w:color w:val="auto"/>
              </w:rPr>
            </w:pPr>
            <w:r>
              <w:rPr>
                <w:rFonts w:ascii="Arial" w:cs="Arial" w:eastAsia="Arial" w:hAnsi="Arial"/>
                <w:sz w:val="14"/>
                <w:szCs w:val="14"/>
                <w:color w:val="auto"/>
              </w:rPr>
              <w:t>Six</w:t>
            </w:r>
          </w:p>
        </w:tc>
        <w:tc>
          <w:tcPr>
            <w:tcW w:w="380" w:type="dxa"/>
            <w:vAlign w:val="bottom"/>
          </w:tcPr>
          <w:p>
            <w:pPr>
              <w:spacing w:after="0"/>
              <w:rPr>
                <w:sz w:val="14"/>
                <w:szCs w:val="14"/>
                <w:color w:val="auto"/>
              </w:rPr>
            </w:pPr>
          </w:p>
        </w:tc>
        <w:tc>
          <w:tcPr>
            <w:tcW w:w="900" w:type="dxa"/>
            <w:vAlign w:val="bottom"/>
            <w:gridSpan w:val="2"/>
          </w:tcPr>
          <w:p>
            <w:pPr>
              <w:jc w:val="center"/>
              <w:ind w:right="80"/>
              <w:spacing w:after="0"/>
              <w:rPr>
                <w:sz w:val="20"/>
                <w:szCs w:val="20"/>
                <w:color w:val="auto"/>
              </w:rPr>
            </w:pPr>
            <w:r>
              <w:rPr>
                <w:rFonts w:ascii="Arial" w:cs="Arial" w:eastAsia="Arial" w:hAnsi="Arial"/>
                <w:sz w:val="14"/>
                <w:szCs w:val="14"/>
                <w:color w:val="auto"/>
                <w:w w:val="92"/>
              </w:rPr>
              <w:t>Six</w:t>
            </w:r>
          </w:p>
        </w:tc>
      </w:tr>
      <w:tr>
        <w:trPr>
          <w:trHeight w:val="149"/>
        </w:trPr>
        <w:tc>
          <w:tcPr>
            <w:tcW w:w="3680" w:type="dxa"/>
            <w:vAlign w:val="bottom"/>
          </w:tcPr>
          <w:p>
            <w:pPr>
              <w:spacing w:after="0"/>
              <w:rPr>
                <w:sz w:val="12"/>
                <w:szCs w:val="12"/>
                <w:color w:val="auto"/>
              </w:rPr>
            </w:pPr>
          </w:p>
        </w:tc>
        <w:tc>
          <w:tcPr>
            <w:tcW w:w="3720" w:type="dxa"/>
            <w:vAlign w:val="bottom"/>
            <w:gridSpan w:val="3"/>
          </w:tcPr>
          <w:p>
            <w:pPr>
              <w:jc w:val="center"/>
              <w:ind w:left="1794"/>
              <w:spacing w:after="0" w:line="149" w:lineRule="exact"/>
              <w:rPr>
                <w:sz w:val="20"/>
                <w:szCs w:val="20"/>
                <w:color w:val="auto"/>
              </w:rPr>
            </w:pPr>
            <w:r>
              <w:rPr>
                <w:rFonts w:ascii="Arial" w:cs="Arial" w:eastAsia="Arial" w:hAnsi="Arial"/>
                <w:sz w:val="14"/>
                <w:szCs w:val="14"/>
                <w:color w:val="auto"/>
                <w:w w:val="92"/>
              </w:rPr>
              <w:t>Months Ended</w:t>
            </w:r>
          </w:p>
        </w:tc>
        <w:tc>
          <w:tcPr>
            <w:tcW w:w="1280" w:type="dxa"/>
            <w:vAlign w:val="bottom"/>
            <w:gridSpan w:val="3"/>
          </w:tcPr>
          <w:p>
            <w:pPr>
              <w:jc w:val="center"/>
              <w:ind w:left="228"/>
              <w:spacing w:after="0" w:line="149" w:lineRule="exact"/>
              <w:rPr>
                <w:sz w:val="20"/>
                <w:szCs w:val="20"/>
                <w:color w:val="auto"/>
              </w:rPr>
            </w:pPr>
            <w:r>
              <w:rPr>
                <w:rFonts w:ascii="Arial" w:cs="Arial" w:eastAsia="Arial" w:hAnsi="Arial"/>
                <w:sz w:val="14"/>
                <w:szCs w:val="14"/>
                <w:color w:val="auto"/>
                <w:w w:val="95"/>
              </w:rPr>
              <w:t>Months Ended</w:t>
            </w:r>
          </w:p>
        </w:tc>
      </w:tr>
      <w:tr>
        <w:trPr>
          <w:trHeight w:val="167"/>
        </w:trPr>
        <w:tc>
          <w:tcPr>
            <w:tcW w:w="3680" w:type="dxa"/>
            <w:vAlign w:val="bottom"/>
            <w:tcBorders>
              <w:bottom w:val="single" w:sz="8" w:color="CCEEFF"/>
            </w:tcBorders>
          </w:tcPr>
          <w:p>
            <w:pPr>
              <w:spacing w:after="0"/>
              <w:rPr>
                <w:sz w:val="14"/>
                <w:szCs w:val="14"/>
                <w:color w:val="auto"/>
              </w:rPr>
            </w:pPr>
          </w:p>
        </w:tc>
        <w:tc>
          <w:tcPr>
            <w:tcW w:w="2380" w:type="dxa"/>
            <w:vAlign w:val="bottom"/>
            <w:tcBorders>
              <w:bottom w:val="single" w:sz="8" w:color="CCEEFF"/>
            </w:tcBorders>
          </w:tcPr>
          <w:p>
            <w:pPr>
              <w:spacing w:after="0"/>
              <w:rPr>
                <w:sz w:val="14"/>
                <w:szCs w:val="14"/>
                <w:color w:val="auto"/>
              </w:rPr>
            </w:pPr>
          </w:p>
        </w:tc>
        <w:tc>
          <w:tcPr>
            <w:tcW w:w="840" w:type="dxa"/>
            <w:vAlign w:val="bottom"/>
            <w:tcBorders>
              <w:bottom w:val="single" w:sz="8" w:color="auto"/>
            </w:tcBorders>
          </w:tcPr>
          <w:p>
            <w:pPr>
              <w:jc w:val="center"/>
              <w:spacing w:after="0"/>
              <w:rPr>
                <w:sz w:val="20"/>
                <w:szCs w:val="20"/>
                <w:color w:val="auto"/>
              </w:rPr>
            </w:pPr>
            <w:r>
              <w:rPr>
                <w:rFonts w:ascii="Arial" w:cs="Arial" w:eastAsia="Arial" w:hAnsi="Arial"/>
                <w:sz w:val="14"/>
                <w:szCs w:val="14"/>
                <w:color w:val="auto"/>
                <w:w w:val="90"/>
              </w:rPr>
              <w:t>June 30, 2018</w:t>
            </w:r>
          </w:p>
        </w:tc>
        <w:tc>
          <w:tcPr>
            <w:tcW w:w="500" w:type="dxa"/>
            <w:vAlign w:val="bottom"/>
            <w:tcBorders>
              <w:bottom w:val="single" w:sz="8" w:color="CCEEFF"/>
            </w:tcBorders>
          </w:tcPr>
          <w:p>
            <w:pPr>
              <w:spacing w:after="0"/>
              <w:rPr>
                <w:sz w:val="14"/>
                <w:szCs w:val="14"/>
                <w:color w:val="auto"/>
              </w:rPr>
            </w:pPr>
          </w:p>
        </w:tc>
        <w:tc>
          <w:tcPr>
            <w:tcW w:w="380" w:type="dxa"/>
            <w:vAlign w:val="bottom"/>
            <w:tcBorders>
              <w:bottom w:val="single" w:sz="8" w:color="CCEEFF"/>
            </w:tcBorders>
          </w:tcPr>
          <w:p>
            <w:pPr>
              <w:spacing w:after="0"/>
              <w:rPr>
                <w:sz w:val="14"/>
                <w:szCs w:val="14"/>
                <w:color w:val="auto"/>
              </w:rPr>
            </w:pPr>
          </w:p>
        </w:tc>
        <w:tc>
          <w:tcPr>
            <w:tcW w:w="840" w:type="dxa"/>
            <w:vAlign w:val="bottom"/>
            <w:tcBorders>
              <w:bottom w:val="single" w:sz="8" w:color="auto"/>
            </w:tcBorders>
          </w:tcPr>
          <w:p>
            <w:pPr>
              <w:jc w:val="center"/>
              <w:spacing w:after="0"/>
              <w:rPr>
                <w:sz w:val="20"/>
                <w:szCs w:val="20"/>
                <w:color w:val="auto"/>
              </w:rPr>
            </w:pPr>
            <w:r>
              <w:rPr>
                <w:rFonts w:ascii="Arial" w:cs="Arial" w:eastAsia="Arial" w:hAnsi="Arial"/>
                <w:sz w:val="14"/>
                <w:szCs w:val="14"/>
                <w:color w:val="auto"/>
                <w:w w:val="92"/>
              </w:rPr>
              <w:t>June 30, 2017</w:t>
            </w:r>
          </w:p>
        </w:tc>
        <w:tc>
          <w:tcPr>
            <w:tcW w:w="60" w:type="dxa"/>
            <w:vAlign w:val="bottom"/>
            <w:tcBorders>
              <w:bottom w:val="single" w:sz="8" w:color="CCEEFF"/>
            </w:tcBorders>
          </w:tcPr>
          <w:p>
            <w:pPr>
              <w:spacing w:after="0"/>
              <w:rPr>
                <w:sz w:val="14"/>
                <w:szCs w:val="14"/>
                <w:color w:val="auto"/>
              </w:rPr>
            </w:pPr>
          </w:p>
        </w:tc>
      </w:tr>
      <w:tr>
        <w:trPr>
          <w:trHeight w:val="210"/>
        </w:trPr>
        <w:tc>
          <w:tcPr>
            <w:tcW w:w="3680" w:type="dxa"/>
            <w:vAlign w:val="bottom"/>
            <w:shd w:val="clear" w:color="auto" w:fill="CCEEFF"/>
          </w:tcPr>
          <w:p>
            <w:pPr>
              <w:spacing w:after="0"/>
              <w:rPr>
                <w:sz w:val="20"/>
                <w:szCs w:val="20"/>
                <w:color w:val="auto"/>
              </w:rPr>
            </w:pPr>
            <w:r>
              <w:rPr>
                <w:rFonts w:ascii="Arial" w:cs="Arial" w:eastAsia="Arial" w:hAnsi="Arial"/>
                <w:sz w:val="18"/>
                <w:szCs w:val="18"/>
                <w:color w:val="auto"/>
              </w:rPr>
              <w:t>Risk-free interest rate</w:t>
            </w:r>
          </w:p>
        </w:tc>
        <w:tc>
          <w:tcPr>
            <w:tcW w:w="2380" w:type="dxa"/>
            <w:vAlign w:val="bottom"/>
            <w:shd w:val="clear" w:color="auto" w:fill="CCEEFF"/>
          </w:tcPr>
          <w:p>
            <w:pPr>
              <w:spacing w:after="0"/>
              <w:rPr>
                <w:sz w:val="18"/>
                <w:szCs w:val="18"/>
                <w:color w:val="auto"/>
              </w:rPr>
            </w:pPr>
          </w:p>
        </w:tc>
        <w:tc>
          <w:tcPr>
            <w:tcW w:w="1340" w:type="dxa"/>
            <w:vAlign w:val="bottom"/>
            <w:gridSpan w:val="2"/>
            <w:shd w:val="clear" w:color="auto" w:fill="CCEEFF"/>
          </w:tcPr>
          <w:p>
            <w:pPr>
              <w:jc w:val="right"/>
              <w:ind w:right="340"/>
              <w:spacing w:after="0"/>
              <w:rPr>
                <w:sz w:val="20"/>
                <w:szCs w:val="20"/>
                <w:color w:val="auto"/>
              </w:rPr>
            </w:pPr>
            <w:r>
              <w:rPr>
                <w:rFonts w:ascii="Arial" w:cs="Arial" w:eastAsia="Arial" w:hAnsi="Arial"/>
                <w:sz w:val="18"/>
                <w:szCs w:val="18"/>
                <w:color w:val="auto"/>
              </w:rPr>
              <w:t>2.47%</w:t>
            </w:r>
          </w:p>
        </w:tc>
        <w:tc>
          <w:tcPr>
            <w:tcW w:w="380" w:type="dxa"/>
            <w:vAlign w:val="bottom"/>
            <w:shd w:val="clear" w:color="auto" w:fill="CCEEFF"/>
          </w:tcPr>
          <w:p>
            <w:pPr>
              <w:spacing w:after="0"/>
              <w:rPr>
                <w:sz w:val="18"/>
                <w:szCs w:val="18"/>
                <w:color w:val="auto"/>
              </w:rPr>
            </w:pPr>
          </w:p>
        </w:tc>
        <w:tc>
          <w:tcPr>
            <w:tcW w:w="840" w:type="dxa"/>
            <w:vAlign w:val="bottom"/>
            <w:shd w:val="clear" w:color="auto" w:fill="CCEEFF"/>
          </w:tcPr>
          <w:p>
            <w:pPr>
              <w:ind w:left="560"/>
              <w:spacing w:after="0"/>
              <w:rPr>
                <w:sz w:val="20"/>
                <w:szCs w:val="20"/>
                <w:color w:val="auto"/>
              </w:rPr>
            </w:pPr>
            <w:r>
              <w:rPr>
                <w:rFonts w:ascii="Arial" w:cs="Arial" w:eastAsia="Arial" w:hAnsi="Arial"/>
                <w:sz w:val="18"/>
                <w:szCs w:val="18"/>
                <w:color w:val="auto"/>
              </w:rPr>
              <w:t>—</w:t>
            </w:r>
          </w:p>
        </w:tc>
        <w:tc>
          <w:tcPr>
            <w:tcW w:w="60" w:type="dxa"/>
            <w:vAlign w:val="bottom"/>
            <w:shd w:val="clear" w:color="auto" w:fill="CCEEFF"/>
          </w:tcPr>
          <w:p>
            <w:pPr>
              <w:spacing w:after="0"/>
              <w:rPr>
                <w:sz w:val="18"/>
                <w:szCs w:val="18"/>
                <w:color w:val="auto"/>
              </w:rPr>
            </w:pPr>
          </w:p>
        </w:tc>
      </w:tr>
      <w:tr>
        <w:trPr>
          <w:trHeight w:val="216"/>
        </w:trPr>
        <w:tc>
          <w:tcPr>
            <w:tcW w:w="3680" w:type="dxa"/>
            <w:vAlign w:val="bottom"/>
          </w:tcPr>
          <w:p>
            <w:pPr>
              <w:spacing w:after="0"/>
              <w:rPr>
                <w:sz w:val="20"/>
                <w:szCs w:val="20"/>
                <w:color w:val="auto"/>
              </w:rPr>
            </w:pPr>
            <w:r>
              <w:rPr>
                <w:rFonts w:ascii="Arial" w:cs="Arial" w:eastAsia="Arial" w:hAnsi="Arial"/>
                <w:sz w:val="18"/>
                <w:szCs w:val="18"/>
                <w:color w:val="auto"/>
              </w:rPr>
              <w:t>Expected life of the options</w:t>
            </w:r>
          </w:p>
        </w:tc>
        <w:tc>
          <w:tcPr>
            <w:tcW w:w="2380" w:type="dxa"/>
            <w:vAlign w:val="bottom"/>
          </w:tcPr>
          <w:p>
            <w:pPr>
              <w:spacing w:after="0"/>
              <w:rPr>
                <w:sz w:val="18"/>
                <w:szCs w:val="18"/>
                <w:color w:val="auto"/>
              </w:rPr>
            </w:pPr>
          </w:p>
        </w:tc>
        <w:tc>
          <w:tcPr>
            <w:tcW w:w="1340" w:type="dxa"/>
            <w:vAlign w:val="bottom"/>
            <w:gridSpan w:val="2"/>
          </w:tcPr>
          <w:p>
            <w:pPr>
              <w:jc w:val="right"/>
              <w:ind w:right="500"/>
              <w:spacing w:after="0"/>
              <w:rPr>
                <w:sz w:val="20"/>
                <w:szCs w:val="20"/>
                <w:color w:val="auto"/>
              </w:rPr>
            </w:pPr>
            <w:r>
              <w:rPr>
                <w:rFonts w:ascii="Arial" w:cs="Arial" w:eastAsia="Arial" w:hAnsi="Arial"/>
                <w:sz w:val="18"/>
                <w:szCs w:val="18"/>
                <w:color w:val="auto"/>
              </w:rPr>
              <w:t>5.7 years</w:t>
            </w:r>
          </w:p>
        </w:tc>
        <w:tc>
          <w:tcPr>
            <w:tcW w:w="380" w:type="dxa"/>
            <w:vAlign w:val="bottom"/>
          </w:tcPr>
          <w:p>
            <w:pPr>
              <w:spacing w:after="0"/>
              <w:rPr>
                <w:sz w:val="18"/>
                <w:szCs w:val="18"/>
                <w:color w:val="auto"/>
              </w:rPr>
            </w:pPr>
          </w:p>
        </w:tc>
        <w:tc>
          <w:tcPr>
            <w:tcW w:w="900" w:type="dxa"/>
            <w:vAlign w:val="bottom"/>
            <w:gridSpan w:val="2"/>
          </w:tcPr>
          <w:p>
            <w:pPr>
              <w:ind w:left="560"/>
              <w:spacing w:after="0"/>
              <w:rPr>
                <w:sz w:val="20"/>
                <w:szCs w:val="20"/>
                <w:color w:val="auto"/>
              </w:rPr>
            </w:pPr>
            <w:r>
              <w:rPr>
                <w:rFonts w:ascii="Arial" w:cs="Arial" w:eastAsia="Arial" w:hAnsi="Arial"/>
                <w:sz w:val="18"/>
                <w:szCs w:val="18"/>
                <w:color w:val="auto"/>
              </w:rPr>
              <w:t>—</w:t>
            </w:r>
          </w:p>
        </w:tc>
      </w:tr>
      <w:tr>
        <w:trPr>
          <w:trHeight w:val="216"/>
        </w:trPr>
        <w:tc>
          <w:tcPr>
            <w:tcW w:w="3680" w:type="dxa"/>
            <w:vAlign w:val="bottom"/>
            <w:shd w:val="clear" w:color="auto" w:fill="CCEEFF"/>
          </w:tcPr>
          <w:p>
            <w:pPr>
              <w:spacing w:after="0"/>
              <w:rPr>
                <w:sz w:val="20"/>
                <w:szCs w:val="20"/>
                <w:color w:val="auto"/>
              </w:rPr>
            </w:pPr>
            <w:r>
              <w:rPr>
                <w:rFonts w:ascii="Arial" w:cs="Arial" w:eastAsia="Arial" w:hAnsi="Arial"/>
                <w:sz w:val="18"/>
                <w:szCs w:val="18"/>
                <w:color w:val="auto"/>
              </w:rPr>
              <w:t>Expected volatility of the underlying stock</w:t>
            </w:r>
          </w:p>
        </w:tc>
        <w:tc>
          <w:tcPr>
            <w:tcW w:w="3720" w:type="dxa"/>
            <w:vAlign w:val="bottom"/>
            <w:gridSpan w:val="3"/>
            <w:shd w:val="clear" w:color="auto" w:fill="CCEEFF"/>
          </w:tcPr>
          <w:p>
            <w:pPr>
              <w:jc w:val="right"/>
              <w:ind w:right="340"/>
              <w:spacing w:after="0"/>
              <w:rPr>
                <w:sz w:val="20"/>
                <w:szCs w:val="20"/>
                <w:color w:val="auto"/>
              </w:rPr>
            </w:pPr>
            <w:r>
              <w:rPr>
                <w:rFonts w:ascii="Arial" w:cs="Arial" w:eastAsia="Arial" w:hAnsi="Arial"/>
                <w:sz w:val="18"/>
                <w:szCs w:val="18"/>
                <w:color w:val="auto"/>
              </w:rPr>
              <w:t>104%</w:t>
            </w:r>
          </w:p>
        </w:tc>
        <w:tc>
          <w:tcPr>
            <w:tcW w:w="380" w:type="dxa"/>
            <w:vAlign w:val="bottom"/>
            <w:shd w:val="clear" w:color="auto" w:fill="CCEEFF"/>
          </w:tcPr>
          <w:p>
            <w:pPr>
              <w:spacing w:after="0"/>
              <w:rPr>
                <w:sz w:val="18"/>
                <w:szCs w:val="18"/>
                <w:color w:val="auto"/>
              </w:rPr>
            </w:pPr>
          </w:p>
        </w:tc>
        <w:tc>
          <w:tcPr>
            <w:tcW w:w="900" w:type="dxa"/>
            <w:vAlign w:val="bottom"/>
            <w:gridSpan w:val="2"/>
            <w:shd w:val="clear" w:color="auto" w:fill="CCEEFF"/>
          </w:tcPr>
          <w:p>
            <w:pPr>
              <w:ind w:left="560"/>
              <w:spacing w:after="0"/>
              <w:rPr>
                <w:sz w:val="20"/>
                <w:szCs w:val="20"/>
                <w:color w:val="auto"/>
              </w:rPr>
            </w:pPr>
            <w:r>
              <w:rPr>
                <w:rFonts w:ascii="Arial" w:cs="Arial" w:eastAsia="Arial" w:hAnsi="Arial"/>
                <w:sz w:val="18"/>
                <w:szCs w:val="18"/>
                <w:color w:val="auto"/>
              </w:rPr>
              <w:t>—</w:t>
            </w:r>
          </w:p>
        </w:tc>
      </w:tr>
      <w:tr>
        <w:trPr>
          <w:trHeight w:val="230"/>
        </w:trPr>
        <w:tc>
          <w:tcPr>
            <w:tcW w:w="3680" w:type="dxa"/>
            <w:vAlign w:val="bottom"/>
          </w:tcPr>
          <w:p>
            <w:pPr>
              <w:spacing w:after="0"/>
              <w:rPr>
                <w:sz w:val="20"/>
                <w:szCs w:val="20"/>
                <w:color w:val="auto"/>
              </w:rPr>
            </w:pPr>
            <w:r>
              <w:rPr>
                <w:rFonts w:ascii="Arial" w:cs="Arial" w:eastAsia="Arial" w:hAnsi="Arial"/>
                <w:sz w:val="18"/>
                <w:szCs w:val="18"/>
                <w:color w:val="auto"/>
              </w:rPr>
              <w:t>Expected dividend rate</w:t>
            </w:r>
          </w:p>
        </w:tc>
        <w:tc>
          <w:tcPr>
            <w:tcW w:w="3720" w:type="dxa"/>
            <w:vAlign w:val="bottom"/>
            <w:gridSpan w:val="3"/>
          </w:tcPr>
          <w:p>
            <w:pPr>
              <w:jc w:val="right"/>
              <w:ind w:right="340"/>
              <w:spacing w:after="0"/>
              <w:rPr>
                <w:sz w:val="20"/>
                <w:szCs w:val="20"/>
                <w:color w:val="auto"/>
              </w:rPr>
            </w:pPr>
            <w:r>
              <w:rPr>
                <w:rFonts w:ascii="Arial" w:cs="Arial" w:eastAsia="Arial" w:hAnsi="Arial"/>
                <w:sz w:val="18"/>
                <w:szCs w:val="18"/>
                <w:color w:val="auto"/>
              </w:rPr>
              <w:t>0%</w:t>
            </w:r>
          </w:p>
        </w:tc>
        <w:tc>
          <w:tcPr>
            <w:tcW w:w="380" w:type="dxa"/>
            <w:vAlign w:val="bottom"/>
          </w:tcPr>
          <w:p>
            <w:pPr>
              <w:spacing w:after="0"/>
              <w:rPr>
                <w:sz w:val="20"/>
                <w:szCs w:val="20"/>
                <w:color w:val="auto"/>
              </w:rPr>
            </w:pPr>
          </w:p>
        </w:tc>
        <w:tc>
          <w:tcPr>
            <w:tcW w:w="900" w:type="dxa"/>
            <w:vAlign w:val="bottom"/>
            <w:gridSpan w:val="2"/>
          </w:tcPr>
          <w:p>
            <w:pPr>
              <w:ind w:left="560"/>
              <w:spacing w:after="0"/>
              <w:rPr>
                <w:sz w:val="20"/>
                <w:szCs w:val="20"/>
                <w:color w:val="auto"/>
              </w:rPr>
            </w:pPr>
            <w:r>
              <w:rPr>
                <w:rFonts w:ascii="Arial" w:cs="Arial" w:eastAsia="Arial" w:hAnsi="Arial"/>
                <w:sz w:val="18"/>
                <w:szCs w:val="18"/>
                <w:color w:val="auto"/>
              </w:rPr>
              <w:t>—</w:t>
            </w:r>
          </w:p>
        </w:tc>
      </w:tr>
      <w:tr>
        <w:trPr>
          <w:trHeight w:val="350"/>
        </w:trPr>
        <w:tc>
          <w:tcPr>
            <w:tcW w:w="3680" w:type="dxa"/>
            <w:vAlign w:val="bottom"/>
          </w:tcPr>
          <w:p>
            <w:pPr>
              <w:spacing w:after="0"/>
              <w:rPr>
                <w:sz w:val="24"/>
                <w:szCs w:val="24"/>
                <w:color w:val="auto"/>
              </w:rPr>
            </w:pPr>
          </w:p>
        </w:tc>
        <w:tc>
          <w:tcPr>
            <w:tcW w:w="2380" w:type="dxa"/>
            <w:vAlign w:val="bottom"/>
          </w:tcPr>
          <w:p>
            <w:pPr>
              <w:jc w:val="right"/>
              <w:ind w:right="1594"/>
              <w:spacing w:after="0"/>
              <w:rPr>
                <w:sz w:val="20"/>
                <w:szCs w:val="20"/>
                <w:color w:val="auto"/>
              </w:rPr>
            </w:pPr>
            <w:r>
              <w:rPr>
                <w:rFonts w:ascii="Arial" w:cs="Arial" w:eastAsia="Arial" w:hAnsi="Arial"/>
                <w:sz w:val="18"/>
                <w:szCs w:val="18"/>
                <w:color w:val="auto"/>
              </w:rPr>
              <w:t>7</w:t>
            </w:r>
          </w:p>
        </w:tc>
        <w:tc>
          <w:tcPr>
            <w:tcW w:w="84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60" w:type="dxa"/>
            <w:vAlign w:val="bottom"/>
          </w:tcPr>
          <w:p>
            <w:pPr>
              <w:spacing w:after="0"/>
              <w:rPr>
                <w:sz w:val="24"/>
                <w:szCs w:val="24"/>
                <w:color w:val="auto"/>
              </w:rPr>
            </w:pPr>
          </w:p>
        </w:tc>
      </w:tr>
    </w:tbl>
    <w:p>
      <w:pPr>
        <w:sectPr>
          <w:pgSz w:w="11900" w:h="16838" w:orient="portrait"/>
          <w:cols w:equalWidth="0" w:num="1">
            <w:col w:w="11340"/>
          </w:cols>
          <w:pgMar w:left="240" w:top="459" w:right="319" w:bottom="1440" w:gutter="0" w:footer="0" w:header="0"/>
        </w:sectPr>
      </w:pPr>
    </w:p>
    <w:bookmarkStart w:id="7" w:name="page8"/>
    <w:bookmarkEnd w:id="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5. Common Stock Warrants</w:t>
      </w:r>
    </w:p>
    <w:p>
      <w:pPr>
        <w:spacing w:after="0" w:line="121" w:lineRule="exact"/>
        <w:rPr>
          <w:sz w:val="20"/>
          <w:szCs w:val="20"/>
          <w:color w:val="auto"/>
        </w:rPr>
      </w:pPr>
    </w:p>
    <w:p>
      <w:pPr>
        <w:ind w:left="460"/>
        <w:spacing w:after="0"/>
        <w:rPr>
          <w:sz w:val="20"/>
          <w:szCs w:val="20"/>
          <w:color w:val="auto"/>
        </w:rPr>
      </w:pPr>
      <w:r>
        <w:rPr>
          <w:rFonts w:ascii="Arial" w:cs="Arial" w:eastAsia="Arial" w:hAnsi="Arial"/>
          <w:sz w:val="18"/>
          <w:szCs w:val="18"/>
          <w:color w:val="auto"/>
        </w:rPr>
        <w:t>The following table summarizes the common stock warrant activity from December 31, 2017 through June 30, 2018:</w:t>
      </w:r>
    </w:p>
    <w:p>
      <w:pPr>
        <w:spacing w:after="0" w:line="235" w:lineRule="exact"/>
        <w:rPr>
          <w:sz w:val="20"/>
          <w:szCs w:val="20"/>
          <w:color w:val="auto"/>
        </w:rPr>
      </w:pPr>
    </w:p>
    <w:tbl>
      <w:tblPr>
        <w:tblLayout w:type="fixed"/>
        <w:tblInd w:w="138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592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1480" w:type="dxa"/>
            <w:vAlign w:val="bottom"/>
            <w:gridSpan w:val="4"/>
          </w:tcPr>
          <w:p>
            <w:pPr>
              <w:jc w:val="right"/>
              <w:ind w:right="60"/>
              <w:spacing w:after="0"/>
              <w:rPr>
                <w:sz w:val="20"/>
                <w:szCs w:val="20"/>
                <w:color w:val="auto"/>
              </w:rPr>
            </w:pPr>
            <w:r>
              <w:rPr>
                <w:rFonts w:ascii="Arial" w:cs="Arial" w:eastAsia="Arial" w:hAnsi="Arial"/>
                <w:sz w:val="14"/>
                <w:szCs w:val="14"/>
                <w:color w:val="auto"/>
              </w:rPr>
              <w:t>Weighted Average</w:t>
            </w:r>
          </w:p>
        </w:tc>
      </w:tr>
      <w:tr>
        <w:trPr>
          <w:trHeight w:val="167"/>
        </w:trPr>
        <w:tc>
          <w:tcPr>
            <w:tcW w:w="20" w:type="dxa"/>
            <w:vAlign w:val="bottom"/>
          </w:tcPr>
          <w:p>
            <w:pPr>
              <w:spacing w:after="0"/>
              <w:rPr>
                <w:sz w:val="14"/>
                <w:szCs w:val="14"/>
                <w:color w:val="auto"/>
              </w:rPr>
            </w:pPr>
          </w:p>
        </w:tc>
        <w:tc>
          <w:tcPr>
            <w:tcW w:w="5920" w:type="dxa"/>
            <w:vAlign w:val="bottom"/>
          </w:tcPr>
          <w:p>
            <w:pPr>
              <w:spacing w:after="0"/>
              <w:rPr>
                <w:sz w:val="14"/>
                <w:szCs w:val="14"/>
                <w:color w:val="auto"/>
              </w:rPr>
            </w:pPr>
          </w:p>
        </w:tc>
        <w:tc>
          <w:tcPr>
            <w:tcW w:w="1260" w:type="dxa"/>
            <w:vAlign w:val="bottom"/>
            <w:gridSpan w:val="2"/>
          </w:tcPr>
          <w:p>
            <w:pPr>
              <w:jc w:val="right"/>
              <w:ind w:right="640"/>
              <w:spacing w:after="0"/>
              <w:rPr>
                <w:sz w:val="20"/>
                <w:szCs w:val="20"/>
                <w:color w:val="auto"/>
              </w:rPr>
            </w:pPr>
            <w:r>
              <w:rPr>
                <w:rFonts w:ascii="Arial" w:cs="Arial" w:eastAsia="Arial" w:hAnsi="Arial"/>
                <w:sz w:val="14"/>
                <w:szCs w:val="14"/>
                <w:color w:val="auto"/>
              </w:rPr>
              <w:t>Shares</w:t>
            </w:r>
          </w:p>
        </w:tc>
        <w:tc>
          <w:tcPr>
            <w:tcW w:w="3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20" w:type="dxa"/>
            <w:vAlign w:val="bottom"/>
            <w:gridSpan w:val="2"/>
          </w:tcPr>
          <w:p>
            <w:pPr>
              <w:ind w:left="20"/>
              <w:spacing w:after="0"/>
              <w:rPr>
                <w:sz w:val="20"/>
                <w:szCs w:val="20"/>
                <w:color w:val="auto"/>
              </w:rPr>
            </w:pPr>
            <w:r>
              <w:rPr>
                <w:rFonts w:ascii="Arial" w:cs="Arial" w:eastAsia="Arial" w:hAnsi="Arial"/>
                <w:sz w:val="14"/>
                <w:szCs w:val="14"/>
                <w:color w:val="auto"/>
              </w:rPr>
              <w:t>Exercise Price</w:t>
            </w:r>
          </w:p>
        </w:tc>
      </w:tr>
      <w:tr>
        <w:trPr>
          <w:trHeight w:val="210"/>
        </w:trPr>
        <w:tc>
          <w:tcPr>
            <w:tcW w:w="20" w:type="dxa"/>
            <w:vAlign w:val="bottom"/>
          </w:tcPr>
          <w:p>
            <w:pPr>
              <w:spacing w:after="0"/>
              <w:rPr>
                <w:sz w:val="18"/>
                <w:szCs w:val="18"/>
                <w:color w:val="auto"/>
              </w:rPr>
            </w:pPr>
          </w:p>
        </w:tc>
        <w:tc>
          <w:tcPr>
            <w:tcW w:w="592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8"/>
                <w:szCs w:val="18"/>
                <w:color w:val="auto"/>
              </w:rPr>
              <w:t>Outstanding, December 31, 2017</w:t>
            </w:r>
          </w:p>
        </w:tc>
        <w:tc>
          <w:tcPr>
            <w:tcW w:w="8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3"/>
              </w:rPr>
              <w:t>13,229,778</w:t>
            </w:r>
          </w:p>
        </w:tc>
        <w:tc>
          <w:tcPr>
            <w:tcW w:w="400" w:type="dxa"/>
            <w:vAlign w:val="bottom"/>
            <w:tcBorders>
              <w:top w:val="single" w:sz="8" w:color="CCEEFF"/>
            </w:tcBorders>
            <w:shd w:val="clear" w:color="auto" w:fill="CCEEFF"/>
          </w:tcPr>
          <w:p>
            <w:pPr>
              <w:spacing w:after="0"/>
              <w:rPr>
                <w:sz w:val="18"/>
                <w:szCs w:val="18"/>
                <w:color w:val="auto"/>
              </w:rPr>
            </w:pPr>
          </w:p>
        </w:tc>
        <w:tc>
          <w:tcPr>
            <w:tcW w:w="36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9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3.35</w:t>
            </w:r>
          </w:p>
        </w:tc>
        <w:tc>
          <w:tcPr>
            <w:tcW w:w="60" w:type="dxa"/>
            <w:vAlign w:val="bottom"/>
            <w:tcBorders>
              <w:top w:val="single" w:sz="8" w:color="CCEEFF"/>
            </w:tcBorders>
            <w:shd w:val="clear" w:color="auto" w:fill="CCEEFF"/>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5920" w:type="dxa"/>
            <w:vAlign w:val="bottom"/>
          </w:tcPr>
          <w:p>
            <w:pPr>
              <w:ind w:left="340"/>
              <w:spacing w:after="0"/>
              <w:rPr>
                <w:sz w:val="20"/>
                <w:szCs w:val="20"/>
                <w:color w:val="auto"/>
              </w:rPr>
            </w:pPr>
            <w:r>
              <w:rPr>
                <w:rFonts w:ascii="Arial" w:cs="Arial" w:eastAsia="Arial" w:hAnsi="Arial"/>
                <w:sz w:val="18"/>
                <w:szCs w:val="18"/>
                <w:color w:val="auto"/>
              </w:rPr>
              <w:t>Granted</w:t>
            </w:r>
          </w:p>
        </w:tc>
        <w:tc>
          <w:tcPr>
            <w:tcW w:w="860" w:type="dxa"/>
            <w:vAlign w:val="bottom"/>
          </w:tcPr>
          <w:p>
            <w:pPr>
              <w:jc w:val="right"/>
              <w:spacing w:after="0"/>
              <w:rPr>
                <w:sz w:val="20"/>
                <w:szCs w:val="20"/>
                <w:color w:val="auto"/>
              </w:rPr>
            </w:pPr>
            <w:r>
              <w:rPr>
                <w:rFonts w:ascii="Arial" w:cs="Arial" w:eastAsia="Arial" w:hAnsi="Arial"/>
                <w:sz w:val="18"/>
                <w:szCs w:val="18"/>
                <w:color w:val="auto"/>
              </w:rPr>
              <w:t>267</w:t>
            </w:r>
          </w:p>
        </w:tc>
        <w:tc>
          <w:tcPr>
            <w:tcW w:w="40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5.15</w:t>
            </w:r>
          </w:p>
        </w:tc>
        <w:tc>
          <w:tcPr>
            <w:tcW w:w="60" w:type="dxa"/>
            <w:vAlign w:val="bottom"/>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5920" w:type="dxa"/>
            <w:vAlign w:val="bottom"/>
            <w:shd w:val="clear" w:color="auto" w:fill="CCEEFF"/>
          </w:tcPr>
          <w:p>
            <w:pPr>
              <w:ind w:left="340"/>
              <w:spacing w:after="0"/>
              <w:rPr>
                <w:sz w:val="20"/>
                <w:szCs w:val="20"/>
                <w:color w:val="auto"/>
              </w:rPr>
            </w:pPr>
            <w:r>
              <w:rPr>
                <w:rFonts w:ascii="Arial" w:cs="Arial" w:eastAsia="Arial" w:hAnsi="Arial"/>
                <w:sz w:val="18"/>
                <w:szCs w:val="18"/>
                <w:color w:val="auto"/>
              </w:rPr>
              <w:t>Exercised</w:t>
            </w:r>
          </w:p>
        </w:tc>
        <w:tc>
          <w:tcPr>
            <w:tcW w:w="1260" w:type="dxa"/>
            <w:vAlign w:val="bottom"/>
            <w:gridSpan w:val="2"/>
            <w:shd w:val="clear" w:color="auto" w:fill="CCEEFF"/>
          </w:tcPr>
          <w:p>
            <w:pPr>
              <w:jc w:val="right"/>
              <w:ind w:right="340"/>
              <w:spacing w:after="0"/>
              <w:rPr>
                <w:sz w:val="20"/>
                <w:szCs w:val="20"/>
                <w:color w:val="auto"/>
              </w:rPr>
            </w:pPr>
            <w:r>
              <w:rPr>
                <w:rFonts w:ascii="Arial" w:cs="Arial" w:eastAsia="Arial" w:hAnsi="Arial"/>
                <w:sz w:val="18"/>
                <w:szCs w:val="18"/>
                <w:color w:val="auto"/>
                <w:w w:val="97"/>
              </w:rPr>
              <w:t>(2,414,709)</w:t>
            </w:r>
          </w:p>
        </w:tc>
        <w:tc>
          <w:tcPr>
            <w:tcW w:w="3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2.50</w:t>
            </w:r>
          </w:p>
        </w:tc>
        <w:tc>
          <w:tcPr>
            <w:tcW w:w="60" w:type="dxa"/>
            <w:vAlign w:val="bottom"/>
            <w:shd w:val="clear" w:color="auto" w:fill="CCEEFF"/>
          </w:tcPr>
          <w:p>
            <w:pPr>
              <w:spacing w:after="0"/>
              <w:rPr>
                <w:sz w:val="18"/>
                <w:szCs w:val="18"/>
                <w:color w:val="auto"/>
              </w:rPr>
            </w:pPr>
          </w:p>
        </w:tc>
      </w:tr>
      <w:tr>
        <w:trPr>
          <w:trHeight w:val="223"/>
        </w:trPr>
        <w:tc>
          <w:tcPr>
            <w:tcW w:w="20" w:type="dxa"/>
            <w:vAlign w:val="bottom"/>
          </w:tcPr>
          <w:p>
            <w:pPr>
              <w:spacing w:after="0"/>
              <w:rPr>
                <w:sz w:val="19"/>
                <w:szCs w:val="19"/>
                <w:color w:val="auto"/>
              </w:rPr>
            </w:pPr>
          </w:p>
        </w:tc>
        <w:tc>
          <w:tcPr>
            <w:tcW w:w="5920" w:type="dxa"/>
            <w:vAlign w:val="bottom"/>
          </w:tcPr>
          <w:p>
            <w:pPr>
              <w:ind w:left="340"/>
              <w:spacing w:after="0"/>
              <w:rPr>
                <w:sz w:val="20"/>
                <w:szCs w:val="20"/>
                <w:color w:val="auto"/>
              </w:rPr>
            </w:pPr>
            <w:r>
              <w:rPr>
                <w:rFonts w:ascii="Arial" w:cs="Arial" w:eastAsia="Arial" w:hAnsi="Arial"/>
                <w:sz w:val="18"/>
                <w:szCs w:val="18"/>
                <w:color w:val="auto"/>
              </w:rPr>
              <w:t>Forfeited/cancelled</w:t>
            </w:r>
          </w:p>
        </w:tc>
        <w:tc>
          <w:tcPr>
            <w:tcW w:w="1260" w:type="dxa"/>
            <w:vAlign w:val="bottom"/>
            <w:gridSpan w:val="2"/>
          </w:tcPr>
          <w:p>
            <w:pPr>
              <w:jc w:val="right"/>
              <w:ind w:right="500"/>
              <w:spacing w:after="0"/>
              <w:rPr>
                <w:sz w:val="20"/>
                <w:szCs w:val="20"/>
                <w:color w:val="auto"/>
              </w:rPr>
            </w:pPr>
            <w:r>
              <w:rPr>
                <w:rFonts w:ascii="Arial" w:cs="Arial" w:eastAsia="Arial" w:hAnsi="Arial"/>
                <w:sz w:val="18"/>
                <w:szCs w:val="18"/>
                <w:color w:val="auto"/>
              </w:rPr>
              <w:t>—</w:t>
            </w:r>
          </w:p>
        </w:tc>
        <w:tc>
          <w:tcPr>
            <w:tcW w:w="3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020" w:type="dxa"/>
            <w:vAlign w:val="bottom"/>
            <w:gridSpan w:val="2"/>
          </w:tcPr>
          <w:p>
            <w:pPr>
              <w:ind w:left="680"/>
              <w:spacing w:after="0"/>
              <w:rPr>
                <w:sz w:val="20"/>
                <w:szCs w:val="20"/>
                <w:color w:val="auto"/>
              </w:rPr>
            </w:pPr>
            <w:r>
              <w:rPr>
                <w:rFonts w:ascii="Arial" w:cs="Arial" w:eastAsia="Arial" w:hAnsi="Arial"/>
                <w:sz w:val="18"/>
                <w:szCs w:val="18"/>
                <w:color w:val="auto"/>
              </w:rPr>
              <w:t>—</w:t>
            </w:r>
          </w:p>
        </w:tc>
      </w:tr>
      <w:tr>
        <w:trPr>
          <w:trHeight w:val="216"/>
        </w:trPr>
        <w:tc>
          <w:tcPr>
            <w:tcW w:w="20" w:type="dxa"/>
            <w:vAlign w:val="bottom"/>
          </w:tcPr>
          <w:p>
            <w:pPr>
              <w:spacing w:after="0"/>
              <w:rPr>
                <w:sz w:val="18"/>
                <w:szCs w:val="18"/>
                <w:color w:val="auto"/>
              </w:rPr>
            </w:pPr>
          </w:p>
        </w:tc>
        <w:tc>
          <w:tcPr>
            <w:tcW w:w="5920" w:type="dxa"/>
            <w:vAlign w:val="bottom"/>
            <w:shd w:val="clear" w:color="auto" w:fill="CCEEFF"/>
          </w:tcPr>
          <w:p>
            <w:pPr>
              <w:spacing w:after="0"/>
              <w:rPr>
                <w:sz w:val="20"/>
                <w:szCs w:val="20"/>
                <w:color w:val="auto"/>
              </w:rPr>
            </w:pPr>
            <w:r>
              <w:rPr>
                <w:rFonts w:ascii="Arial" w:cs="Arial" w:eastAsia="Arial" w:hAnsi="Arial"/>
                <w:sz w:val="18"/>
                <w:szCs w:val="18"/>
                <w:color w:val="auto"/>
              </w:rPr>
              <w:t>Outstanding, June 30, 2018</w:t>
            </w:r>
          </w:p>
        </w:tc>
        <w:tc>
          <w:tcPr>
            <w:tcW w:w="8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3"/>
              </w:rPr>
              <w:t>10,815,336</w:t>
            </w:r>
          </w:p>
        </w:tc>
        <w:tc>
          <w:tcPr>
            <w:tcW w:w="400" w:type="dxa"/>
            <w:vAlign w:val="bottom"/>
            <w:shd w:val="clear" w:color="auto" w:fill="CCEEFF"/>
          </w:tcPr>
          <w:p>
            <w:pPr>
              <w:spacing w:after="0"/>
              <w:rPr>
                <w:sz w:val="18"/>
                <w:szCs w:val="18"/>
                <w:color w:val="auto"/>
              </w:rPr>
            </w:pPr>
          </w:p>
        </w:tc>
        <w:tc>
          <w:tcPr>
            <w:tcW w:w="4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3.53</w:t>
            </w:r>
          </w:p>
        </w:tc>
        <w:tc>
          <w:tcPr>
            <w:tcW w:w="60" w:type="dxa"/>
            <w:vAlign w:val="bottom"/>
            <w:shd w:val="clear" w:color="auto" w:fill="CCEEFF"/>
          </w:tcPr>
          <w:p>
            <w:pPr>
              <w:spacing w:after="0"/>
              <w:rPr>
                <w:sz w:val="18"/>
                <w:szCs w:val="18"/>
                <w:color w:val="auto"/>
              </w:rPr>
            </w:pPr>
          </w:p>
        </w:tc>
      </w:tr>
      <w:tr>
        <w:trPr>
          <w:trHeight w:val="20"/>
        </w:trPr>
        <w:tc>
          <w:tcPr>
            <w:tcW w:w="20" w:type="dxa"/>
            <w:vAlign w:val="bottom"/>
          </w:tcPr>
          <w:p>
            <w:pPr>
              <w:spacing w:after="0" w:line="20" w:lineRule="exact"/>
              <w:rPr>
                <w:sz w:val="1"/>
                <w:szCs w:val="1"/>
                <w:color w:val="auto"/>
              </w:rPr>
            </w:pPr>
          </w:p>
        </w:tc>
        <w:tc>
          <w:tcPr>
            <w:tcW w:w="5920" w:type="dxa"/>
            <w:vAlign w:val="bottom"/>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9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r>
    </w:tbl>
    <w:p>
      <w:pPr>
        <w:spacing w:after="0" w:line="31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6. Fair Value of Financial Instruments</w:t>
      </w:r>
    </w:p>
    <w:p>
      <w:pPr>
        <w:spacing w:after="0" w:line="121" w:lineRule="exact"/>
        <w:rPr>
          <w:sz w:val="20"/>
          <w:szCs w:val="20"/>
          <w:color w:val="auto"/>
        </w:rPr>
      </w:pPr>
    </w:p>
    <w:p>
      <w:pPr>
        <w:ind w:firstLine="456"/>
        <w:spacing w:after="0" w:line="255" w:lineRule="auto"/>
        <w:rPr>
          <w:sz w:val="20"/>
          <w:szCs w:val="20"/>
          <w:color w:val="auto"/>
        </w:rPr>
      </w:pPr>
      <w:r>
        <w:rPr>
          <w:rFonts w:ascii="Arial" w:cs="Arial" w:eastAsia="Arial" w:hAnsi="Arial"/>
          <w:sz w:val="18"/>
          <w:szCs w:val="18"/>
          <w:color w:val="auto"/>
        </w:rPr>
        <w:t>At times, the Company has certain financial assets and liabilities recorded at fair value. Fair values determined by Level 1 inputs utilize observable data such as quoted prices in active markets. Fair values determined by Level 2 inputs utilize data points other than quoted prices in active markets that are observable either directly or indirectly. Fair values determined by Level 3 inputs utilize unobservable data points in which there is little or no market data, which require the reporting entity to develop its own assumptions. The carrying amounts reflected in the consolidated balance sheets for cash equivalents, accounts payable and accrued expenses approximate their carrying value due to their short-term nature. There were no level 2 or level 3 assets or liabilities at June 30, 2018 or December 31, 2017.</w:t>
      </w:r>
    </w:p>
    <w:p>
      <w:pPr>
        <w:spacing w:after="0" w:line="29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7. Loss Per Share</w:t>
      </w:r>
    </w:p>
    <w:p>
      <w:pPr>
        <w:spacing w:after="0" w:line="121" w:lineRule="exact"/>
        <w:rPr>
          <w:sz w:val="20"/>
          <w:szCs w:val="20"/>
          <w:color w:val="auto"/>
        </w:rPr>
      </w:pPr>
    </w:p>
    <w:p>
      <w:pPr>
        <w:ind w:right="60" w:firstLine="456"/>
        <w:spacing w:after="0" w:line="297" w:lineRule="auto"/>
        <w:rPr>
          <w:sz w:val="20"/>
          <w:szCs w:val="20"/>
          <w:color w:val="auto"/>
        </w:rPr>
      </w:pPr>
      <w:r>
        <w:rPr>
          <w:rFonts w:ascii="Arial" w:cs="Arial" w:eastAsia="Arial" w:hAnsi="Arial"/>
          <w:sz w:val="16"/>
          <w:szCs w:val="16"/>
          <w:color w:val="auto"/>
        </w:rPr>
        <w:t>Basic net loss per common share is computed by dividing the net loss available to common stockholders by the weighted average number of common shares outstanding during the period. Diluted net loss per common share is computed by dividing the net loss available to common stockholders by the weighted average number of common shares and other potential common shares then outstanding. Potential common shares consist of common shares issuable upon the assumed exercise of in-the-money stock options and warrants and potential common shares related to the conversion of the preferred stock. The computation of diluted net loss per share does not assume the issuance of common shares that have an anti-dilutive effect on net loss per share.</w:t>
      </w:r>
    </w:p>
    <w:p>
      <w:pPr>
        <w:spacing w:after="0" w:line="158" w:lineRule="exact"/>
        <w:rPr>
          <w:sz w:val="20"/>
          <w:szCs w:val="20"/>
          <w:color w:val="auto"/>
        </w:rPr>
      </w:pPr>
    </w:p>
    <w:p>
      <w:pPr>
        <w:ind w:firstLine="456"/>
        <w:spacing w:after="0" w:line="277" w:lineRule="auto"/>
        <w:rPr>
          <w:sz w:val="20"/>
          <w:szCs w:val="20"/>
          <w:color w:val="auto"/>
        </w:rPr>
      </w:pPr>
      <w:r>
        <w:rPr>
          <w:rFonts w:ascii="Arial" w:cs="Arial" w:eastAsia="Arial" w:hAnsi="Arial"/>
          <w:sz w:val="18"/>
          <w:szCs w:val="18"/>
          <w:color w:val="auto"/>
        </w:rPr>
        <w:t>Dilutive shares which could exist pursuant to the exercise of outstanding stock instruments and which were not included in the calculation because their affect would have been anti-dilutive are as follows:</w:t>
      </w:r>
    </w:p>
    <w:p>
      <w:pPr>
        <w:spacing w:after="0" w:line="181" w:lineRule="exact"/>
        <w:rPr>
          <w:sz w:val="20"/>
          <w:szCs w:val="20"/>
          <w:color w:val="auto"/>
        </w:rPr>
      </w:pPr>
    </w:p>
    <w:tbl>
      <w:tblPr>
        <w:tblLayout w:type="fixed"/>
        <w:tblInd w:w="1380" w:type="dxa"/>
        <w:tblCellMar>
          <w:top w:w="0" w:type="dxa"/>
          <w:left w:w="0" w:type="dxa"/>
          <w:bottom w:w="0" w:type="dxa"/>
          <w:right w:w="0" w:type="dxa"/>
        </w:tblCellMar>
      </w:tblPr>
      <w:tr>
        <w:trPr>
          <w:trHeight w:val="161"/>
        </w:trPr>
        <w:tc>
          <w:tcPr>
            <w:tcW w:w="6580" w:type="dxa"/>
            <w:vAlign w:val="bottom"/>
          </w:tcPr>
          <w:p>
            <w:pPr>
              <w:spacing w:after="0"/>
              <w:rPr>
                <w:sz w:val="14"/>
                <w:szCs w:val="14"/>
                <w:color w:val="auto"/>
              </w:rPr>
            </w:pPr>
          </w:p>
        </w:tc>
        <w:tc>
          <w:tcPr>
            <w:tcW w:w="860" w:type="dxa"/>
            <w:vAlign w:val="bottom"/>
          </w:tcPr>
          <w:p>
            <w:pPr>
              <w:jc w:val="right"/>
              <w:spacing w:after="0"/>
              <w:rPr>
                <w:sz w:val="20"/>
                <w:szCs w:val="20"/>
                <w:color w:val="auto"/>
              </w:rPr>
            </w:pPr>
            <w:r>
              <w:rPr>
                <w:rFonts w:ascii="Arial" w:cs="Arial" w:eastAsia="Arial" w:hAnsi="Arial"/>
                <w:sz w:val="14"/>
                <w:szCs w:val="14"/>
                <w:color w:val="auto"/>
                <w:w w:val="90"/>
              </w:rPr>
              <w:t>June 30, 2018</w:t>
            </w:r>
          </w:p>
        </w:tc>
        <w:tc>
          <w:tcPr>
            <w:tcW w:w="320" w:type="dxa"/>
            <w:vAlign w:val="bottom"/>
          </w:tcPr>
          <w:p>
            <w:pPr>
              <w:spacing w:after="0"/>
              <w:rPr>
                <w:sz w:val="14"/>
                <w:szCs w:val="14"/>
                <w:color w:val="auto"/>
              </w:rPr>
            </w:pPr>
          </w:p>
        </w:tc>
        <w:tc>
          <w:tcPr>
            <w:tcW w:w="920" w:type="dxa"/>
            <w:vAlign w:val="bottom"/>
            <w:gridSpan w:val="2"/>
          </w:tcPr>
          <w:p>
            <w:pPr>
              <w:jc w:val="center"/>
              <w:ind w:right="80"/>
              <w:spacing w:after="0"/>
              <w:rPr>
                <w:sz w:val="20"/>
                <w:szCs w:val="20"/>
                <w:color w:val="auto"/>
              </w:rPr>
            </w:pPr>
            <w:r>
              <w:rPr>
                <w:rFonts w:ascii="Arial" w:cs="Arial" w:eastAsia="Arial" w:hAnsi="Arial"/>
                <w:sz w:val="14"/>
                <w:szCs w:val="14"/>
                <w:color w:val="auto"/>
                <w:w w:val="90"/>
              </w:rPr>
              <w:t>June 30, 2017</w:t>
            </w:r>
          </w:p>
        </w:tc>
      </w:tr>
      <w:tr>
        <w:trPr>
          <w:trHeight w:val="167"/>
        </w:trPr>
        <w:tc>
          <w:tcPr>
            <w:tcW w:w="6580" w:type="dxa"/>
            <w:vAlign w:val="bottom"/>
          </w:tcPr>
          <w:p>
            <w:pPr>
              <w:spacing w:after="0"/>
              <w:rPr>
                <w:sz w:val="14"/>
                <w:szCs w:val="14"/>
                <w:color w:val="auto"/>
              </w:rPr>
            </w:pPr>
          </w:p>
        </w:tc>
        <w:tc>
          <w:tcPr>
            <w:tcW w:w="860" w:type="dxa"/>
            <w:vAlign w:val="bottom"/>
          </w:tcPr>
          <w:p>
            <w:pPr>
              <w:jc w:val="right"/>
              <w:ind w:right="116"/>
              <w:spacing w:after="0"/>
              <w:rPr>
                <w:sz w:val="20"/>
                <w:szCs w:val="20"/>
                <w:color w:val="auto"/>
              </w:rPr>
            </w:pPr>
            <w:r>
              <w:rPr>
                <w:rFonts w:ascii="Arial" w:cs="Arial" w:eastAsia="Arial" w:hAnsi="Arial"/>
                <w:sz w:val="14"/>
                <w:szCs w:val="14"/>
                <w:color w:val="auto"/>
              </w:rPr>
              <w:t>(shares)</w:t>
            </w:r>
          </w:p>
        </w:tc>
        <w:tc>
          <w:tcPr>
            <w:tcW w:w="320" w:type="dxa"/>
            <w:vAlign w:val="bottom"/>
          </w:tcPr>
          <w:p>
            <w:pPr>
              <w:spacing w:after="0"/>
              <w:rPr>
                <w:sz w:val="14"/>
                <w:szCs w:val="14"/>
                <w:color w:val="auto"/>
              </w:rPr>
            </w:pPr>
          </w:p>
        </w:tc>
        <w:tc>
          <w:tcPr>
            <w:tcW w:w="920" w:type="dxa"/>
            <w:vAlign w:val="bottom"/>
            <w:gridSpan w:val="2"/>
          </w:tcPr>
          <w:p>
            <w:pPr>
              <w:jc w:val="center"/>
              <w:ind w:right="60"/>
              <w:spacing w:after="0"/>
              <w:rPr>
                <w:sz w:val="20"/>
                <w:szCs w:val="20"/>
                <w:color w:val="auto"/>
              </w:rPr>
            </w:pPr>
            <w:r>
              <w:rPr>
                <w:rFonts w:ascii="Arial" w:cs="Arial" w:eastAsia="Arial" w:hAnsi="Arial"/>
                <w:sz w:val="14"/>
                <w:szCs w:val="14"/>
                <w:color w:val="auto"/>
                <w:w w:val="89"/>
              </w:rPr>
              <w:t>(shares)</w:t>
            </w:r>
          </w:p>
        </w:tc>
      </w:tr>
      <w:tr>
        <w:trPr>
          <w:trHeight w:val="210"/>
        </w:trPr>
        <w:tc>
          <w:tcPr>
            <w:tcW w:w="658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8"/>
                <w:szCs w:val="18"/>
                <w:color w:val="auto"/>
              </w:rPr>
              <w:t>Warrants to purchase shares of common stock</w:t>
            </w:r>
          </w:p>
        </w:tc>
        <w:tc>
          <w:tcPr>
            <w:tcW w:w="8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3"/>
              </w:rPr>
              <w:t>10,815,336</w:t>
            </w:r>
          </w:p>
        </w:tc>
        <w:tc>
          <w:tcPr>
            <w:tcW w:w="320" w:type="dxa"/>
            <w:vAlign w:val="bottom"/>
            <w:tcBorders>
              <w:top w:val="single" w:sz="8" w:color="CCEEFF"/>
            </w:tcBorders>
            <w:shd w:val="clear" w:color="auto" w:fill="CCEEFF"/>
          </w:tcPr>
          <w:p>
            <w:pPr>
              <w:spacing w:after="0"/>
              <w:rPr>
                <w:sz w:val="18"/>
                <w:szCs w:val="18"/>
                <w:color w:val="auto"/>
              </w:rPr>
            </w:pPr>
          </w:p>
        </w:tc>
        <w:tc>
          <w:tcPr>
            <w:tcW w:w="8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3"/>
              </w:rPr>
              <w:t>12,249,189</w:t>
            </w:r>
          </w:p>
        </w:tc>
        <w:tc>
          <w:tcPr>
            <w:tcW w:w="60" w:type="dxa"/>
            <w:vAlign w:val="bottom"/>
            <w:tcBorders>
              <w:top w:val="single" w:sz="8" w:color="CCEEFF"/>
            </w:tcBorders>
            <w:shd w:val="clear" w:color="auto" w:fill="CCEEFF"/>
          </w:tcPr>
          <w:p>
            <w:pPr>
              <w:spacing w:after="0"/>
              <w:rPr>
                <w:sz w:val="18"/>
                <w:szCs w:val="18"/>
                <w:color w:val="auto"/>
              </w:rPr>
            </w:pPr>
          </w:p>
        </w:tc>
      </w:tr>
      <w:tr>
        <w:trPr>
          <w:trHeight w:val="216"/>
        </w:trPr>
        <w:tc>
          <w:tcPr>
            <w:tcW w:w="6580" w:type="dxa"/>
            <w:vAlign w:val="bottom"/>
          </w:tcPr>
          <w:p>
            <w:pPr>
              <w:spacing w:after="0"/>
              <w:rPr>
                <w:sz w:val="20"/>
                <w:szCs w:val="20"/>
                <w:color w:val="auto"/>
              </w:rPr>
            </w:pPr>
            <w:r>
              <w:rPr>
                <w:rFonts w:ascii="Arial" w:cs="Arial" w:eastAsia="Arial" w:hAnsi="Arial"/>
                <w:sz w:val="18"/>
                <w:szCs w:val="18"/>
                <w:color w:val="auto"/>
              </w:rPr>
              <w:t>Options to purchase shares of common stock</w:t>
            </w:r>
          </w:p>
        </w:tc>
        <w:tc>
          <w:tcPr>
            <w:tcW w:w="860" w:type="dxa"/>
            <w:vAlign w:val="bottom"/>
          </w:tcPr>
          <w:p>
            <w:pPr>
              <w:jc w:val="right"/>
              <w:spacing w:after="0"/>
              <w:rPr>
                <w:sz w:val="20"/>
                <w:szCs w:val="20"/>
                <w:color w:val="auto"/>
              </w:rPr>
            </w:pPr>
            <w:r>
              <w:rPr>
                <w:rFonts w:ascii="Arial" w:cs="Arial" w:eastAsia="Arial" w:hAnsi="Arial"/>
                <w:sz w:val="18"/>
                <w:szCs w:val="18"/>
                <w:color w:val="auto"/>
              </w:rPr>
              <w:t>4,294,279</w:t>
            </w:r>
          </w:p>
        </w:tc>
        <w:tc>
          <w:tcPr>
            <w:tcW w:w="1180" w:type="dxa"/>
            <w:vAlign w:val="bottom"/>
            <w:gridSpan w:val="2"/>
          </w:tcPr>
          <w:p>
            <w:pPr>
              <w:jc w:val="right"/>
              <w:spacing w:after="0"/>
              <w:rPr>
                <w:sz w:val="20"/>
                <w:szCs w:val="20"/>
                <w:color w:val="auto"/>
              </w:rPr>
            </w:pPr>
            <w:r>
              <w:rPr>
                <w:rFonts w:ascii="Arial" w:cs="Arial" w:eastAsia="Arial" w:hAnsi="Arial"/>
                <w:sz w:val="18"/>
                <w:szCs w:val="18"/>
                <w:color w:val="auto"/>
              </w:rPr>
              <w:t>4,656,888</w:t>
            </w:r>
          </w:p>
        </w:tc>
        <w:tc>
          <w:tcPr>
            <w:tcW w:w="60" w:type="dxa"/>
            <w:vAlign w:val="bottom"/>
          </w:tcPr>
          <w:p>
            <w:pPr>
              <w:spacing w:after="0"/>
              <w:rPr>
                <w:sz w:val="18"/>
                <w:szCs w:val="18"/>
                <w:color w:val="auto"/>
              </w:rPr>
            </w:pPr>
          </w:p>
        </w:tc>
      </w:tr>
      <w:tr>
        <w:trPr>
          <w:trHeight w:val="216"/>
        </w:trPr>
        <w:tc>
          <w:tcPr>
            <w:tcW w:w="6580" w:type="dxa"/>
            <w:vAlign w:val="bottom"/>
            <w:shd w:val="clear" w:color="auto" w:fill="CCEEFF"/>
          </w:tcPr>
          <w:p>
            <w:pPr>
              <w:spacing w:after="0"/>
              <w:rPr>
                <w:sz w:val="20"/>
                <w:szCs w:val="20"/>
                <w:color w:val="auto"/>
              </w:rPr>
            </w:pPr>
            <w:r>
              <w:rPr>
                <w:rFonts w:ascii="Arial" w:cs="Arial" w:eastAsia="Arial" w:hAnsi="Arial"/>
                <w:sz w:val="18"/>
                <w:szCs w:val="18"/>
                <w:color w:val="auto"/>
              </w:rPr>
              <w:t>Shares of common stock issuable upon conversion of preferred stock</w:t>
            </w:r>
          </w:p>
        </w:tc>
        <w:tc>
          <w:tcPr>
            <w:tcW w:w="8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4,308,115</w:t>
            </w:r>
          </w:p>
        </w:tc>
        <w:tc>
          <w:tcPr>
            <w:tcW w:w="11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4,312,282</w:t>
            </w:r>
          </w:p>
        </w:tc>
        <w:tc>
          <w:tcPr>
            <w:tcW w:w="60" w:type="dxa"/>
            <w:vAlign w:val="bottom"/>
            <w:shd w:val="clear" w:color="auto" w:fill="CCEEFF"/>
          </w:tcPr>
          <w:p>
            <w:pPr>
              <w:spacing w:after="0"/>
              <w:rPr>
                <w:sz w:val="18"/>
                <w:szCs w:val="18"/>
                <w:color w:val="auto"/>
              </w:rPr>
            </w:pPr>
          </w:p>
        </w:tc>
      </w:tr>
      <w:tr>
        <w:trPr>
          <w:trHeight w:val="223"/>
        </w:trPr>
        <w:tc>
          <w:tcPr>
            <w:tcW w:w="6580" w:type="dxa"/>
            <w:vAlign w:val="bottom"/>
          </w:tcPr>
          <w:p>
            <w:pPr>
              <w:spacing w:after="0"/>
              <w:rPr>
                <w:sz w:val="19"/>
                <w:szCs w:val="19"/>
                <w:color w:val="auto"/>
              </w:rPr>
            </w:pPr>
          </w:p>
        </w:tc>
        <w:tc>
          <w:tcPr>
            <w:tcW w:w="8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3"/>
              </w:rPr>
              <w:t>19,417,730</w:t>
            </w:r>
          </w:p>
        </w:tc>
        <w:tc>
          <w:tcPr>
            <w:tcW w:w="320" w:type="dxa"/>
            <w:vAlign w:val="bottom"/>
          </w:tcPr>
          <w:p>
            <w:pPr>
              <w:spacing w:after="0"/>
              <w:rPr>
                <w:sz w:val="19"/>
                <w:szCs w:val="19"/>
                <w:color w:val="auto"/>
              </w:rPr>
            </w:pPr>
          </w:p>
        </w:tc>
        <w:tc>
          <w:tcPr>
            <w:tcW w:w="8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3"/>
              </w:rPr>
              <w:t>21,218,359</w:t>
            </w:r>
          </w:p>
        </w:tc>
        <w:tc>
          <w:tcPr>
            <w:tcW w:w="60" w:type="dxa"/>
            <w:vAlign w:val="bottom"/>
          </w:tcPr>
          <w:p>
            <w:pPr>
              <w:spacing w:after="0"/>
              <w:rPr>
                <w:sz w:val="19"/>
                <w:szCs w:val="19"/>
                <w:color w:val="auto"/>
              </w:rPr>
            </w:pPr>
          </w:p>
        </w:tc>
      </w:tr>
      <w:tr>
        <w:trPr>
          <w:trHeight w:val="20"/>
        </w:trPr>
        <w:tc>
          <w:tcPr>
            <w:tcW w:w="6580" w:type="dxa"/>
            <w:vAlign w:val="bottom"/>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r>
    </w:tbl>
    <w:p>
      <w:pPr>
        <w:spacing w:after="0" w:line="31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8. Common Stock</w:t>
      </w:r>
    </w:p>
    <w:p>
      <w:pPr>
        <w:spacing w:after="0" w:line="121"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2014 At Market Issuance of Common Stock</w:t>
      </w:r>
    </w:p>
    <w:p>
      <w:pPr>
        <w:spacing w:after="0" w:line="117" w:lineRule="exact"/>
        <w:rPr>
          <w:sz w:val="20"/>
          <w:szCs w:val="20"/>
          <w:color w:val="auto"/>
        </w:rPr>
      </w:pPr>
    </w:p>
    <w:p>
      <w:pPr>
        <w:ind w:right="60" w:firstLine="456"/>
        <w:spacing w:after="0" w:line="255" w:lineRule="auto"/>
        <w:rPr>
          <w:sz w:val="20"/>
          <w:szCs w:val="20"/>
          <w:color w:val="auto"/>
        </w:rPr>
      </w:pPr>
      <w:r>
        <w:rPr>
          <w:rFonts w:ascii="Arial" w:cs="Arial" w:eastAsia="Arial" w:hAnsi="Arial"/>
          <w:sz w:val="18"/>
          <w:szCs w:val="18"/>
          <w:color w:val="auto"/>
        </w:rPr>
        <w:t>On March 30, 2014, the Company entered into an At Market Issuance Sales Agreement (the “2014 At Market Agreement”) with a sales agent under which the Company may issue and sell shares of its common stock having an aggregate offering price of up to $30.0 million from time to time through the sales agent. Sales of the Company’s common stock through the sales agent, if any, will be made by any method that is deemed an “at the market” offering as defined by the U.S. Securities and Exchange Commission. The Company will pay to the sales agent a commission rate equal to 3.0% of the gross proceeds from the sale of any shares of common stock sold through the sales agent under the 2014 At Market Agreement. During the three months ended March 31, 2017, the Company issued 1,496,797 shares of common stock for net proceeds of approximately $1,945,000 under the 2014 At Market Agreement. The 2014 At Market Agreement expired in March 2017.</w:t>
      </w:r>
    </w:p>
    <w:p>
      <w:pPr>
        <w:spacing w:after="0" w:line="122"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8</w:t>
      </w:r>
    </w:p>
    <w:p>
      <w:pPr>
        <w:sectPr>
          <w:pgSz w:w="11900" w:h="16838" w:orient="portrait"/>
          <w:cols w:equalWidth="0" w:num="1">
            <w:col w:w="11400"/>
          </w:cols>
          <w:pgMar w:left="240" w:top="459" w:right="259" w:bottom="1440" w:gutter="0" w:footer="0" w:header="0"/>
        </w:sectPr>
      </w:pPr>
    </w:p>
    <w:bookmarkStart w:id="8" w:name="page9"/>
    <w:bookmarkEnd w:id="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2017 At Market Issuance of Common Stock</w:t>
      </w:r>
    </w:p>
    <w:p>
      <w:pPr>
        <w:spacing w:after="0" w:line="117" w:lineRule="exact"/>
        <w:rPr>
          <w:sz w:val="20"/>
          <w:szCs w:val="20"/>
          <w:color w:val="auto"/>
        </w:rPr>
      </w:pPr>
    </w:p>
    <w:p>
      <w:pPr>
        <w:ind w:right="140" w:firstLine="456"/>
        <w:spacing w:after="0" w:line="293" w:lineRule="auto"/>
        <w:rPr>
          <w:sz w:val="20"/>
          <w:szCs w:val="20"/>
          <w:color w:val="auto"/>
        </w:rPr>
      </w:pPr>
      <w:r>
        <w:rPr>
          <w:rFonts w:ascii="Arial" w:cs="Arial" w:eastAsia="Arial" w:hAnsi="Arial"/>
          <w:sz w:val="16"/>
          <w:szCs w:val="16"/>
          <w:color w:val="auto"/>
        </w:rPr>
        <w:t>On May 19, 2017, the Company entered into an At Market Issuance Sales Agreement (the “2017 At Market Agreement”) with a sales agent under which the Company may issue and sell shares of its common stock having an aggregate offering price of up to $30.0 million from time to time through the sales agent. Sales of the Company’s common stock through the sales agent, if any, will be made by any method that is deemed an “at the market” offering as defined by the U.S. Securities and Exchange Commission. The Company will pay to the sales agent a commission rate equal to 3.0% of the gross proceeds from the sale of any shares of common stock sold through the sales agent under the 2017 At Market Agreement. During June 2018, the Company issued 618,614 shares of common stock for net proceeds of approximately $5,241,000 under the 2017 At Market Agreement.</w:t>
      </w:r>
    </w:p>
    <w:p>
      <w:pPr>
        <w:spacing w:after="0" w:line="273"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2017 Private Placement</w:t>
      </w:r>
    </w:p>
    <w:p>
      <w:pPr>
        <w:spacing w:after="0" w:line="117" w:lineRule="exact"/>
        <w:rPr>
          <w:sz w:val="20"/>
          <w:szCs w:val="20"/>
          <w:color w:val="auto"/>
        </w:rPr>
      </w:pPr>
    </w:p>
    <w:p>
      <w:pPr>
        <w:ind w:left="460"/>
        <w:spacing w:after="0"/>
        <w:rPr>
          <w:sz w:val="20"/>
          <w:szCs w:val="20"/>
          <w:color w:val="auto"/>
        </w:rPr>
      </w:pPr>
      <w:r>
        <w:rPr>
          <w:rFonts w:ascii="Arial" w:cs="Arial" w:eastAsia="Arial" w:hAnsi="Arial"/>
          <w:sz w:val="16"/>
          <w:szCs w:val="16"/>
          <w:color w:val="auto"/>
        </w:rPr>
        <w:t>On February 28, 2017, the Company closed a transaction with five individual investors through a private placement of common stock and warrants. In</w:t>
      </w:r>
    </w:p>
    <w:p>
      <w:pPr>
        <w:spacing w:after="0" w:line="46" w:lineRule="exact"/>
        <w:rPr>
          <w:sz w:val="20"/>
          <w:szCs w:val="20"/>
          <w:color w:val="auto"/>
        </w:rPr>
      </w:pPr>
    </w:p>
    <w:p>
      <w:pPr>
        <w:spacing w:after="0"/>
        <w:rPr>
          <w:sz w:val="20"/>
          <w:szCs w:val="20"/>
          <w:color w:val="auto"/>
        </w:rPr>
      </w:pPr>
      <w:r>
        <w:rPr>
          <w:rFonts w:ascii="Arial" w:cs="Arial" w:eastAsia="Arial" w:hAnsi="Arial"/>
          <w:sz w:val="16"/>
          <w:szCs w:val="16"/>
          <w:color w:val="auto"/>
        </w:rPr>
        <w:t>total, the Company issued 102,368 shares of common stock for proceeds of $200,000. The Company also issued, to the five investors, warrants to purchase</w:t>
      </w:r>
    </w:p>
    <w:p>
      <w:pPr>
        <w:spacing w:after="0" w:line="32" w:lineRule="exact"/>
        <w:rPr>
          <w:sz w:val="20"/>
          <w:szCs w:val="20"/>
          <w:color w:val="auto"/>
        </w:rPr>
      </w:pPr>
    </w:p>
    <w:p>
      <w:pPr>
        <w:spacing w:after="0"/>
        <w:rPr>
          <w:sz w:val="20"/>
          <w:szCs w:val="20"/>
          <w:color w:val="auto"/>
        </w:rPr>
      </w:pPr>
      <w:r>
        <w:rPr>
          <w:rFonts w:ascii="Arial" w:cs="Arial" w:eastAsia="Arial" w:hAnsi="Arial"/>
          <w:sz w:val="17"/>
          <w:szCs w:val="17"/>
          <w:color w:val="auto"/>
        </w:rPr>
        <w:t>76,776 shares of common stock at $5.00 per share. The warrants have an expiration date of February 28, 2024. The exercise price of each warrant is</w:t>
      </w:r>
    </w:p>
    <w:p>
      <w:pPr>
        <w:spacing w:after="0" w:line="21" w:lineRule="exact"/>
        <w:rPr>
          <w:sz w:val="20"/>
          <w:szCs w:val="20"/>
          <w:color w:val="auto"/>
        </w:rPr>
      </w:pPr>
    </w:p>
    <w:p>
      <w:pPr>
        <w:spacing w:after="0"/>
        <w:rPr>
          <w:sz w:val="20"/>
          <w:szCs w:val="20"/>
          <w:color w:val="auto"/>
        </w:rPr>
      </w:pPr>
      <w:r>
        <w:rPr>
          <w:rFonts w:ascii="Arial" w:cs="Arial" w:eastAsia="Arial" w:hAnsi="Arial"/>
          <w:sz w:val="17"/>
          <w:szCs w:val="17"/>
          <w:color w:val="auto"/>
        </w:rPr>
        <w:t>adjustable in the event of a stock split or stock combination, capital reorganization, merger or similar event. The warrants were valued at approximately</w:t>
      </w:r>
    </w:p>
    <w:p>
      <w:pPr>
        <w:spacing w:after="0" w:line="21" w:lineRule="exact"/>
        <w:rPr>
          <w:sz w:val="20"/>
          <w:szCs w:val="20"/>
          <w:color w:val="auto"/>
        </w:rPr>
      </w:pPr>
    </w:p>
    <w:p>
      <w:pPr>
        <w:spacing w:after="0"/>
        <w:rPr>
          <w:sz w:val="20"/>
          <w:szCs w:val="20"/>
          <w:color w:val="auto"/>
        </w:rPr>
      </w:pPr>
      <w:r>
        <w:rPr>
          <w:rFonts w:ascii="Arial" w:cs="Arial" w:eastAsia="Arial" w:hAnsi="Arial"/>
          <w:sz w:val="16"/>
          <w:szCs w:val="16"/>
          <w:color w:val="auto"/>
        </w:rPr>
        <w:t>$101,000 as of the date of issuance, using the closing price of $1.86, a life of 7 years, a volatility of 97% and a risk-free interest rate of 1.92%. Based upon the</w:t>
      </w:r>
    </w:p>
    <w:p>
      <w:pPr>
        <w:spacing w:after="0" w:line="32" w:lineRule="exact"/>
        <w:rPr>
          <w:sz w:val="20"/>
          <w:szCs w:val="20"/>
          <w:color w:val="auto"/>
        </w:rPr>
      </w:pPr>
    </w:p>
    <w:p>
      <w:pPr>
        <w:spacing w:after="0"/>
        <w:rPr>
          <w:sz w:val="20"/>
          <w:szCs w:val="20"/>
          <w:color w:val="auto"/>
        </w:rPr>
      </w:pPr>
      <w:r>
        <w:rPr>
          <w:rFonts w:ascii="Arial" w:cs="Arial" w:eastAsia="Arial" w:hAnsi="Arial"/>
          <w:sz w:val="17"/>
          <w:szCs w:val="17"/>
          <w:color w:val="auto"/>
        </w:rPr>
        <w:t>Company’s analysis of the criteria contained in ASC Topic 815-40, “Derivatives and Hedging — Contracts in Entity’s Own Equity” the Company has</w:t>
      </w:r>
    </w:p>
    <w:p>
      <w:pPr>
        <w:spacing w:after="0" w:line="21" w:lineRule="exact"/>
        <w:rPr>
          <w:sz w:val="20"/>
          <w:szCs w:val="20"/>
          <w:color w:val="auto"/>
        </w:rPr>
      </w:pPr>
    </w:p>
    <w:p>
      <w:pPr>
        <w:spacing w:after="0"/>
        <w:rPr>
          <w:sz w:val="20"/>
          <w:szCs w:val="20"/>
          <w:color w:val="auto"/>
        </w:rPr>
      </w:pPr>
      <w:r>
        <w:rPr>
          <w:rFonts w:ascii="Arial" w:cs="Arial" w:eastAsia="Arial" w:hAnsi="Arial"/>
          <w:sz w:val="16"/>
          <w:szCs w:val="16"/>
          <w:color w:val="auto"/>
        </w:rPr>
        <w:t>determined that warrants issued in connection with this financing transaction were not derivative liabilities and therefore, were recorded as additional paid-in</w:t>
      </w:r>
    </w:p>
    <w:p>
      <w:pPr>
        <w:spacing w:after="0" w:line="32" w:lineRule="exact"/>
        <w:rPr>
          <w:sz w:val="20"/>
          <w:szCs w:val="20"/>
          <w:color w:val="auto"/>
        </w:rPr>
      </w:pPr>
    </w:p>
    <w:p>
      <w:pPr>
        <w:spacing w:after="0"/>
        <w:rPr>
          <w:sz w:val="20"/>
          <w:szCs w:val="20"/>
          <w:color w:val="auto"/>
        </w:rPr>
      </w:pPr>
      <w:r>
        <w:rPr>
          <w:rFonts w:ascii="Arial" w:cs="Arial" w:eastAsia="Arial" w:hAnsi="Arial"/>
          <w:sz w:val="18"/>
          <w:szCs w:val="18"/>
          <w:color w:val="auto"/>
        </w:rPr>
        <w:t>capital.</w:t>
      </w:r>
    </w:p>
    <w:p>
      <w:pPr>
        <w:spacing w:after="0" w:line="319"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Other</w:t>
      </w:r>
    </w:p>
    <w:p>
      <w:pPr>
        <w:spacing w:after="0" w:line="117" w:lineRule="exact"/>
        <w:rPr>
          <w:sz w:val="20"/>
          <w:szCs w:val="20"/>
          <w:color w:val="auto"/>
        </w:rPr>
      </w:pPr>
    </w:p>
    <w:p>
      <w:pPr>
        <w:ind w:right="380" w:firstLine="456"/>
        <w:spacing w:after="0" w:line="312" w:lineRule="auto"/>
        <w:rPr>
          <w:sz w:val="20"/>
          <w:szCs w:val="20"/>
          <w:color w:val="auto"/>
        </w:rPr>
      </w:pPr>
      <w:r>
        <w:rPr>
          <w:rFonts w:ascii="Arial" w:cs="Arial" w:eastAsia="Arial" w:hAnsi="Arial"/>
          <w:sz w:val="16"/>
          <w:szCs w:val="16"/>
          <w:color w:val="auto"/>
        </w:rPr>
        <w:t>In 2018, the Company entered an agreement with a vendor whereby the Company will issue common stock to vendor in lieu of paying in cash in amount up to $100,000 for the year. For the six months ended June 30, 2018, the Company has issued 2,655 shares of common stock and 267 warrants to purchase shares of common stock pursuant to this agreement and the value of such shares has been recorded as research and development expense.</w:t>
      </w:r>
    </w:p>
    <w:p>
      <w:pPr>
        <w:spacing w:after="0" w:line="147" w:lineRule="exact"/>
        <w:rPr>
          <w:sz w:val="20"/>
          <w:szCs w:val="20"/>
          <w:color w:val="auto"/>
        </w:rPr>
      </w:pPr>
    </w:p>
    <w:p>
      <w:pPr>
        <w:ind w:right="280" w:firstLine="456"/>
        <w:spacing w:after="0" w:line="277" w:lineRule="auto"/>
        <w:rPr>
          <w:sz w:val="20"/>
          <w:szCs w:val="20"/>
          <w:color w:val="auto"/>
        </w:rPr>
      </w:pPr>
      <w:r>
        <w:rPr>
          <w:rFonts w:ascii="Arial" w:cs="Arial" w:eastAsia="Arial" w:hAnsi="Arial"/>
          <w:sz w:val="18"/>
          <w:szCs w:val="18"/>
          <w:color w:val="auto"/>
        </w:rPr>
        <w:t>For the six months ended June 30, 2018, the Company has issued a total of 106,082 shares of common stock for dividends on Series A, Series B and Series C Preferred Stock.</w:t>
      </w:r>
    </w:p>
    <w:p>
      <w:pPr>
        <w:spacing w:after="0" w:line="27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9. Commitments and Contingencies</w:t>
      </w:r>
    </w:p>
    <w:p>
      <w:pPr>
        <w:spacing w:after="0" w:line="121" w:lineRule="exact"/>
        <w:rPr>
          <w:sz w:val="20"/>
          <w:szCs w:val="20"/>
          <w:color w:val="auto"/>
        </w:rPr>
      </w:pPr>
    </w:p>
    <w:p>
      <w:pPr>
        <w:ind w:right="520" w:firstLine="456"/>
        <w:spacing w:after="0" w:line="277" w:lineRule="auto"/>
        <w:rPr>
          <w:sz w:val="20"/>
          <w:szCs w:val="20"/>
          <w:color w:val="auto"/>
        </w:rPr>
      </w:pPr>
      <w:r>
        <w:rPr>
          <w:rFonts w:ascii="Arial" w:cs="Arial" w:eastAsia="Arial" w:hAnsi="Arial"/>
          <w:sz w:val="18"/>
          <w:szCs w:val="18"/>
          <w:color w:val="auto"/>
        </w:rPr>
        <w:t>The Company records accruals for such contingencies to the extent that the Company concludes that their occurrence is probable, and the related damages are estimable. There are no other significant pending legal proceedings.</w:t>
      </w:r>
    </w:p>
    <w:p>
      <w:pPr>
        <w:spacing w:after="0" w:line="27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10. Galectin Sciences LLC</w:t>
      </w:r>
    </w:p>
    <w:p>
      <w:pPr>
        <w:spacing w:after="0" w:line="121" w:lineRule="exact"/>
        <w:rPr>
          <w:sz w:val="20"/>
          <w:szCs w:val="20"/>
          <w:color w:val="auto"/>
        </w:rPr>
      </w:pPr>
    </w:p>
    <w:p>
      <w:pPr>
        <w:ind w:right="40" w:firstLine="456"/>
        <w:spacing w:after="0" w:line="268" w:lineRule="auto"/>
        <w:rPr>
          <w:sz w:val="20"/>
          <w:szCs w:val="20"/>
          <w:color w:val="auto"/>
        </w:rPr>
      </w:pPr>
      <w:r>
        <w:rPr>
          <w:rFonts w:ascii="Arial" w:cs="Arial" w:eastAsia="Arial" w:hAnsi="Arial"/>
          <w:sz w:val="17"/>
          <w:szCs w:val="17"/>
          <w:color w:val="auto"/>
        </w:rPr>
        <w:t>In January 2014, we created Galectin Sciences, LLC (the “LLC” or “Investee”), a collaborative joint venture co-owned by SBH Sciences, Inc. (“SBH”), to research and develop small organic molecule inhibitors of galectin-3 for oral administration. The LLC was initially capitalized with a $400,000 cash investment to fund future research and development activities, which was provided by the Company, and specific in-process research and development (“IPR&amp;D”) contributed by SBH. The estimated fair value of the IPR&amp;D contributed by SBH, on the date of contribution, was $400,000. Initially, the Company and SBH each had a 50% equity ownership interest in the LLC, with neither party having control over the LLC. Accordingly, from inception through the fourth quarter of 2014, the Company accounted for its investment in the LLC using the equity method of accounting. Under the equity method of accounting, the Company’s investment was initially recorded at cost with subsequent adjustments to the carrying value to recognize additional investments in or distributions from the Investee, as well as the Company’s share of the Investee’s earnings, losses and/or changes in capital. The estimated fair value of the IPR&amp;D contributed to the LLC was immediately expensed upon contribution as there was no alternative future use available at the point of contribution. The operating agreement provides that if either party does not desire to contribute its equal share of funding required after the initial capitalization, then the other party, providing all of the funding, will have its ownership share increased in proportion to the total amount contributed from inception. In the fourth quarter of 2014, after the LLC had expended the $400,000 in cash, SBH decided not to contribute its share of the funding required. Since then, the Company has contributed a total of $1,723,000, including $60,000 for the three months ended June 30, 2018, for expenses of the LLC. Since the end of 2014, SBH has contributed $123,000 for expenses in the LLC. As of June 30, 2018, the Company’s ownership percentage in the LLC was 80.2%. The Company accounts for the interest in the LLC as a consolidated, less than wholly owned subsidiary. Because the LLC’s equity is immaterial, the value of the non-controlling interest is also deemed to be immaterial.</w:t>
      </w:r>
    </w:p>
    <w:p>
      <w:pPr>
        <w:spacing w:after="0" w:line="11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9</w:t>
      </w:r>
    </w:p>
    <w:p>
      <w:pPr>
        <w:sectPr>
          <w:pgSz w:w="11900" w:h="16838" w:orient="portrait"/>
          <w:cols w:equalWidth="0" w:num="1">
            <w:col w:w="11420"/>
          </w:cols>
          <w:pgMar w:left="240" w:top="459" w:right="239" w:bottom="1440" w:gutter="0" w:footer="0" w:header="0"/>
        </w:sectPr>
      </w:pPr>
    </w:p>
    <w:bookmarkStart w:id="9" w:name="page10"/>
    <w:bookmarkEnd w:id="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2. Management’s Discussion and Analysis of Financial Condition and Results of Operations</w:t>
      </w:r>
    </w:p>
    <w:p>
      <w:pPr>
        <w:spacing w:after="0" w:line="121" w:lineRule="exact"/>
        <w:rPr>
          <w:sz w:val="20"/>
          <w:szCs w:val="20"/>
          <w:color w:val="auto"/>
        </w:rPr>
      </w:pPr>
    </w:p>
    <w:p>
      <w:pPr>
        <w:ind w:right="40" w:firstLine="456"/>
        <w:spacing w:after="0" w:line="286" w:lineRule="auto"/>
        <w:rPr>
          <w:sz w:val="20"/>
          <w:szCs w:val="20"/>
          <w:color w:val="auto"/>
        </w:rPr>
      </w:pPr>
      <w:r>
        <w:rPr>
          <w:rFonts w:ascii="Arial" w:cs="Arial" w:eastAsia="Arial" w:hAnsi="Arial"/>
          <w:sz w:val="16"/>
          <w:szCs w:val="16"/>
          <w:color w:val="auto"/>
        </w:rPr>
        <w:t>In addition to historical information, the following Management’s Discussion and Analysis of Financial Condition and Results of Operations contains forward-looking statements as defined under Section 21E of the Securities Exchange Act of 1934, as amended, and is subject to the safe harbor created therein for forward-looking statements. Such statements include, but are not limited to, statements concerning our anticipated operating results, research and development, clinical trials, regulatory proceedings, and financial resources, and can be identified by use of words such as, for example, “anticipate,” “estimate,” “expect,” “project,” “intend,” “plan,” “believe” and “would,” “should,” “could” or “may.” All statements, other than statements of historical facts, included herein that address activities, events, or developments that the Company expects or anticipates will or may occur in the future, are forward-looking statements, including statements regarding: plans and expectations regarding clinical trials; plans and expectations regarding regulatory approvals; our strategy and expectations for clinical development and commercialization of our products; potential strategic partnerships; expectations regarding the effectiveness of our products; plans for research and development and related costs; statements about accounting assumptions and estimates; expectations regarding liquidity and the sufficiency of cash to fund currently planned operations through at least June 30, 2019; our commitments and contingencies; and our market risk exposure. Forward-looking statements are based on current expectations, estimates and projections about the industry and markets in which Galectin Therapeutics operates, and management’s beliefs and assumptions. These statements are not guarantees of future performance and involve certain known and unknown risks and uncertainties that could cause actual results to differ materially from those expressed or implied by such statements. Such risks and uncertainties are related to and include, without limitation,</w:t>
      </w:r>
    </w:p>
    <w:p>
      <w:pPr>
        <w:spacing w:after="0" w:line="77" w:lineRule="exact"/>
        <w:rPr>
          <w:sz w:val="20"/>
          <w:szCs w:val="20"/>
          <w:color w:val="auto"/>
        </w:rPr>
      </w:pPr>
    </w:p>
    <w:p>
      <w:pPr>
        <w:ind w:left="900" w:hanging="325"/>
        <w:spacing w:after="0"/>
        <w:tabs>
          <w:tab w:leader="none" w:pos="900" w:val="left"/>
        </w:tabs>
        <w:numPr>
          <w:ilvl w:val="0"/>
          <w:numId w:val="3"/>
        </w:numPr>
        <w:rPr>
          <w:rFonts w:ascii="Arial" w:cs="Arial" w:eastAsia="Arial" w:hAnsi="Arial"/>
          <w:sz w:val="18"/>
          <w:szCs w:val="18"/>
          <w:color w:val="auto"/>
        </w:rPr>
      </w:pPr>
      <w:r>
        <w:rPr>
          <w:rFonts w:ascii="Arial" w:cs="Arial" w:eastAsia="Arial" w:hAnsi="Arial"/>
          <w:sz w:val="18"/>
          <w:szCs w:val="18"/>
          <w:color w:val="auto"/>
        </w:rPr>
        <w:t>our early stage of development,</w:t>
      </w:r>
    </w:p>
    <w:p>
      <w:pPr>
        <w:spacing w:after="0" w:line="130" w:lineRule="exact"/>
        <w:rPr>
          <w:rFonts w:ascii="Arial" w:cs="Arial" w:eastAsia="Arial" w:hAnsi="Arial"/>
          <w:sz w:val="18"/>
          <w:szCs w:val="18"/>
          <w:color w:val="auto"/>
        </w:rPr>
      </w:pPr>
    </w:p>
    <w:p>
      <w:pPr>
        <w:ind w:left="900" w:hanging="325"/>
        <w:spacing w:after="0"/>
        <w:tabs>
          <w:tab w:leader="none" w:pos="900" w:val="left"/>
        </w:tabs>
        <w:numPr>
          <w:ilvl w:val="0"/>
          <w:numId w:val="3"/>
        </w:numPr>
        <w:rPr>
          <w:rFonts w:ascii="Arial" w:cs="Arial" w:eastAsia="Arial" w:hAnsi="Arial"/>
          <w:sz w:val="18"/>
          <w:szCs w:val="18"/>
          <w:color w:val="auto"/>
        </w:rPr>
      </w:pPr>
      <w:r>
        <w:rPr>
          <w:rFonts w:ascii="Arial" w:cs="Arial" w:eastAsia="Arial" w:hAnsi="Arial"/>
          <w:sz w:val="18"/>
          <w:szCs w:val="18"/>
          <w:color w:val="auto"/>
        </w:rPr>
        <w:t>we have incurred significant operating losses since our inception and cannot assure you that we will generate revenue or profit,</w:t>
      </w:r>
    </w:p>
    <w:p>
      <w:pPr>
        <w:spacing w:after="0" w:line="130" w:lineRule="exact"/>
        <w:rPr>
          <w:rFonts w:ascii="Arial" w:cs="Arial" w:eastAsia="Arial" w:hAnsi="Arial"/>
          <w:sz w:val="18"/>
          <w:szCs w:val="18"/>
          <w:color w:val="auto"/>
        </w:rPr>
      </w:pPr>
    </w:p>
    <w:p>
      <w:pPr>
        <w:ind w:left="900" w:hanging="325"/>
        <w:spacing w:after="0"/>
        <w:tabs>
          <w:tab w:leader="none" w:pos="900" w:val="left"/>
        </w:tabs>
        <w:numPr>
          <w:ilvl w:val="0"/>
          <w:numId w:val="3"/>
        </w:numPr>
        <w:rPr>
          <w:rFonts w:ascii="Arial" w:cs="Arial" w:eastAsia="Arial" w:hAnsi="Arial"/>
          <w:sz w:val="18"/>
          <w:szCs w:val="18"/>
          <w:color w:val="auto"/>
        </w:rPr>
      </w:pPr>
      <w:r>
        <w:rPr>
          <w:rFonts w:ascii="Arial" w:cs="Arial" w:eastAsia="Arial" w:hAnsi="Arial"/>
          <w:sz w:val="18"/>
          <w:szCs w:val="18"/>
          <w:color w:val="auto"/>
        </w:rPr>
        <w:t>our dependence on additional outside capital,</w:t>
      </w:r>
    </w:p>
    <w:p>
      <w:pPr>
        <w:spacing w:after="0" w:line="130" w:lineRule="exact"/>
        <w:rPr>
          <w:rFonts w:ascii="Arial" w:cs="Arial" w:eastAsia="Arial" w:hAnsi="Arial"/>
          <w:sz w:val="18"/>
          <w:szCs w:val="18"/>
          <w:color w:val="auto"/>
        </w:rPr>
      </w:pPr>
    </w:p>
    <w:p>
      <w:pPr>
        <w:ind w:left="900" w:right="300" w:hanging="325"/>
        <w:spacing w:after="0" w:line="277" w:lineRule="auto"/>
        <w:tabs>
          <w:tab w:leader="none" w:pos="900" w:val="left"/>
        </w:tabs>
        <w:numPr>
          <w:ilvl w:val="0"/>
          <w:numId w:val="3"/>
        </w:numPr>
        <w:rPr>
          <w:rFonts w:ascii="Arial" w:cs="Arial" w:eastAsia="Arial" w:hAnsi="Arial"/>
          <w:sz w:val="18"/>
          <w:szCs w:val="18"/>
          <w:color w:val="auto"/>
        </w:rPr>
      </w:pPr>
      <w:r>
        <w:rPr>
          <w:rFonts w:ascii="Arial" w:cs="Arial" w:eastAsia="Arial" w:hAnsi="Arial"/>
          <w:sz w:val="18"/>
          <w:szCs w:val="18"/>
          <w:color w:val="auto"/>
        </w:rPr>
        <w:t>we may be unable to enter into strategic partnerships for the development, commercialization, manufacturing and distribution of our proposed product candidates,</w:t>
      </w:r>
    </w:p>
    <w:p>
      <w:pPr>
        <w:spacing w:after="0" w:line="75" w:lineRule="exact"/>
        <w:rPr>
          <w:rFonts w:ascii="Arial" w:cs="Arial" w:eastAsia="Arial" w:hAnsi="Arial"/>
          <w:sz w:val="18"/>
          <w:szCs w:val="18"/>
          <w:color w:val="auto"/>
        </w:rPr>
      </w:pPr>
    </w:p>
    <w:p>
      <w:pPr>
        <w:ind w:left="900" w:hanging="325"/>
        <w:spacing w:after="0"/>
        <w:tabs>
          <w:tab w:leader="none" w:pos="900" w:val="left"/>
        </w:tabs>
        <w:numPr>
          <w:ilvl w:val="0"/>
          <w:numId w:val="3"/>
        </w:numPr>
        <w:rPr>
          <w:rFonts w:ascii="Arial" w:cs="Arial" w:eastAsia="Arial" w:hAnsi="Arial"/>
          <w:sz w:val="18"/>
          <w:szCs w:val="18"/>
          <w:color w:val="auto"/>
        </w:rPr>
      </w:pPr>
      <w:r>
        <w:rPr>
          <w:rFonts w:ascii="Arial" w:cs="Arial" w:eastAsia="Arial" w:hAnsi="Arial"/>
          <w:sz w:val="18"/>
          <w:szCs w:val="18"/>
          <w:color w:val="auto"/>
        </w:rPr>
        <w:t>uncertainties related to any litigation,</w:t>
      </w:r>
    </w:p>
    <w:p>
      <w:pPr>
        <w:spacing w:after="0" w:line="130" w:lineRule="exact"/>
        <w:rPr>
          <w:rFonts w:ascii="Arial" w:cs="Arial" w:eastAsia="Arial" w:hAnsi="Arial"/>
          <w:sz w:val="18"/>
          <w:szCs w:val="18"/>
          <w:color w:val="auto"/>
        </w:rPr>
      </w:pPr>
    </w:p>
    <w:p>
      <w:pPr>
        <w:ind w:left="900" w:hanging="325"/>
        <w:spacing w:after="0"/>
        <w:tabs>
          <w:tab w:leader="none" w:pos="900" w:val="left"/>
        </w:tabs>
        <w:numPr>
          <w:ilvl w:val="0"/>
          <w:numId w:val="3"/>
        </w:numPr>
        <w:rPr>
          <w:rFonts w:ascii="Arial" w:cs="Arial" w:eastAsia="Arial" w:hAnsi="Arial"/>
          <w:sz w:val="18"/>
          <w:szCs w:val="18"/>
          <w:color w:val="auto"/>
        </w:rPr>
      </w:pPr>
      <w:r>
        <w:rPr>
          <w:rFonts w:ascii="Arial" w:cs="Arial" w:eastAsia="Arial" w:hAnsi="Arial"/>
          <w:sz w:val="18"/>
          <w:szCs w:val="18"/>
          <w:color w:val="auto"/>
        </w:rPr>
        <w:t>uncertainties related to our technology and clinical trials, including expected dates of availability of clinical data,</w:t>
      </w:r>
    </w:p>
    <w:p>
      <w:pPr>
        <w:spacing w:after="0" w:line="130" w:lineRule="exact"/>
        <w:rPr>
          <w:rFonts w:ascii="Arial" w:cs="Arial" w:eastAsia="Arial" w:hAnsi="Arial"/>
          <w:sz w:val="18"/>
          <w:szCs w:val="18"/>
          <w:color w:val="auto"/>
        </w:rPr>
      </w:pPr>
    </w:p>
    <w:p>
      <w:pPr>
        <w:ind w:left="900" w:hanging="325"/>
        <w:spacing w:after="0"/>
        <w:tabs>
          <w:tab w:leader="none" w:pos="900" w:val="left"/>
        </w:tabs>
        <w:numPr>
          <w:ilvl w:val="0"/>
          <w:numId w:val="3"/>
        </w:numPr>
        <w:rPr>
          <w:rFonts w:ascii="Arial" w:cs="Arial" w:eastAsia="Arial" w:hAnsi="Arial"/>
          <w:sz w:val="18"/>
          <w:szCs w:val="18"/>
          <w:color w:val="auto"/>
        </w:rPr>
      </w:pPr>
      <w:r>
        <w:rPr>
          <w:rFonts w:ascii="Arial" w:cs="Arial" w:eastAsia="Arial" w:hAnsi="Arial"/>
          <w:sz w:val="18"/>
          <w:szCs w:val="18"/>
          <w:color w:val="auto"/>
        </w:rPr>
        <w:t>we may be unable to demonstrate the efficacy and safety of our developmental product candidates in human trials,</w:t>
      </w:r>
    </w:p>
    <w:p>
      <w:pPr>
        <w:spacing w:after="0" w:line="130" w:lineRule="exact"/>
        <w:rPr>
          <w:rFonts w:ascii="Arial" w:cs="Arial" w:eastAsia="Arial" w:hAnsi="Arial"/>
          <w:sz w:val="18"/>
          <w:szCs w:val="18"/>
          <w:color w:val="auto"/>
        </w:rPr>
      </w:pPr>
    </w:p>
    <w:p>
      <w:pPr>
        <w:ind w:left="900" w:hanging="325"/>
        <w:spacing w:after="0"/>
        <w:tabs>
          <w:tab w:leader="none" w:pos="900" w:val="left"/>
        </w:tabs>
        <w:numPr>
          <w:ilvl w:val="0"/>
          <w:numId w:val="3"/>
        </w:numPr>
        <w:rPr>
          <w:rFonts w:ascii="Arial" w:cs="Arial" w:eastAsia="Arial" w:hAnsi="Arial"/>
          <w:sz w:val="18"/>
          <w:szCs w:val="18"/>
          <w:color w:val="auto"/>
        </w:rPr>
      </w:pPr>
      <w:r>
        <w:rPr>
          <w:rFonts w:ascii="Arial" w:cs="Arial" w:eastAsia="Arial" w:hAnsi="Arial"/>
          <w:sz w:val="18"/>
          <w:szCs w:val="18"/>
          <w:color w:val="auto"/>
        </w:rPr>
        <w:t>we may be unable to improve upon, protect and/or enforce our intellectual property,</w:t>
      </w:r>
    </w:p>
    <w:p>
      <w:pPr>
        <w:spacing w:after="0" w:line="130" w:lineRule="exact"/>
        <w:rPr>
          <w:rFonts w:ascii="Arial" w:cs="Arial" w:eastAsia="Arial" w:hAnsi="Arial"/>
          <w:sz w:val="18"/>
          <w:szCs w:val="18"/>
          <w:color w:val="auto"/>
        </w:rPr>
      </w:pPr>
    </w:p>
    <w:p>
      <w:pPr>
        <w:ind w:left="900" w:right="160" w:hanging="325"/>
        <w:spacing w:after="0" w:line="308" w:lineRule="auto"/>
        <w:tabs>
          <w:tab w:leader="none" w:pos="900" w:val="left"/>
        </w:tabs>
        <w:numPr>
          <w:ilvl w:val="0"/>
          <w:numId w:val="3"/>
        </w:numPr>
        <w:rPr>
          <w:rFonts w:ascii="Arial" w:cs="Arial" w:eastAsia="Arial" w:hAnsi="Arial"/>
          <w:sz w:val="17"/>
          <w:szCs w:val="17"/>
          <w:color w:val="auto"/>
        </w:rPr>
      </w:pPr>
      <w:r>
        <w:rPr>
          <w:rFonts w:ascii="Arial" w:cs="Arial" w:eastAsia="Arial" w:hAnsi="Arial"/>
          <w:sz w:val="17"/>
          <w:szCs w:val="17"/>
          <w:color w:val="auto"/>
        </w:rPr>
        <w:t>we are subject to extensive and costly regulation by the U.S. Food and Drug Administration (FDA) and by foreign regulatory authorities, which must approve our product candidates in development and could restrict the sales and marketing and pricing of such products,</w:t>
      </w:r>
    </w:p>
    <w:p>
      <w:pPr>
        <w:spacing w:after="0" w:line="51" w:lineRule="exact"/>
        <w:rPr>
          <w:rFonts w:ascii="Arial" w:cs="Arial" w:eastAsia="Arial" w:hAnsi="Arial"/>
          <w:sz w:val="17"/>
          <w:szCs w:val="17"/>
          <w:color w:val="auto"/>
        </w:rPr>
      </w:pPr>
    </w:p>
    <w:p>
      <w:pPr>
        <w:ind w:left="900" w:hanging="325"/>
        <w:spacing w:after="0"/>
        <w:tabs>
          <w:tab w:leader="none" w:pos="900" w:val="left"/>
        </w:tabs>
        <w:numPr>
          <w:ilvl w:val="0"/>
          <w:numId w:val="3"/>
        </w:numPr>
        <w:rPr>
          <w:rFonts w:ascii="Arial" w:cs="Arial" w:eastAsia="Arial" w:hAnsi="Arial"/>
          <w:sz w:val="18"/>
          <w:szCs w:val="18"/>
          <w:color w:val="auto"/>
        </w:rPr>
      </w:pPr>
      <w:r>
        <w:rPr>
          <w:rFonts w:ascii="Arial" w:cs="Arial" w:eastAsia="Arial" w:hAnsi="Arial"/>
          <w:sz w:val="18"/>
          <w:szCs w:val="18"/>
          <w:color w:val="auto"/>
        </w:rPr>
        <w:t>competition and stock price volatility in the biotechnology industry,</w:t>
      </w:r>
    </w:p>
    <w:p>
      <w:pPr>
        <w:spacing w:after="0" w:line="130" w:lineRule="exact"/>
        <w:rPr>
          <w:rFonts w:ascii="Arial" w:cs="Arial" w:eastAsia="Arial" w:hAnsi="Arial"/>
          <w:sz w:val="18"/>
          <w:szCs w:val="18"/>
          <w:color w:val="auto"/>
        </w:rPr>
      </w:pPr>
    </w:p>
    <w:p>
      <w:pPr>
        <w:ind w:left="900" w:right="220" w:hanging="325"/>
        <w:spacing w:after="0" w:line="277" w:lineRule="auto"/>
        <w:tabs>
          <w:tab w:leader="none" w:pos="900" w:val="left"/>
        </w:tabs>
        <w:numPr>
          <w:ilvl w:val="0"/>
          <w:numId w:val="3"/>
        </w:numPr>
        <w:rPr>
          <w:rFonts w:ascii="Arial" w:cs="Arial" w:eastAsia="Arial" w:hAnsi="Arial"/>
          <w:sz w:val="18"/>
          <w:szCs w:val="18"/>
          <w:color w:val="auto"/>
        </w:rPr>
      </w:pPr>
      <w:r>
        <w:rPr>
          <w:rFonts w:ascii="Arial" w:cs="Arial" w:eastAsia="Arial" w:hAnsi="Arial"/>
          <w:sz w:val="18"/>
          <w:szCs w:val="18"/>
          <w:color w:val="auto"/>
        </w:rPr>
        <w:t>limited trading volume for our stock, concentration of ownership of our stock, and other risks detailed herein and from time to time in our SEC reports, and</w:t>
      </w:r>
    </w:p>
    <w:p>
      <w:pPr>
        <w:spacing w:after="0" w:line="170" w:lineRule="exact"/>
        <w:rPr>
          <w:sz w:val="20"/>
          <w:szCs w:val="20"/>
          <w:color w:val="auto"/>
        </w:rPr>
      </w:pPr>
    </w:p>
    <w:p>
      <w:pPr>
        <w:ind w:right="680" w:firstLine="456"/>
        <w:spacing w:after="0" w:line="277" w:lineRule="auto"/>
        <w:rPr>
          <w:sz w:val="20"/>
          <w:szCs w:val="20"/>
          <w:color w:val="auto"/>
        </w:rPr>
      </w:pPr>
      <w:r>
        <w:rPr>
          <w:rFonts w:ascii="Arial" w:cs="Arial" w:eastAsia="Arial" w:hAnsi="Arial"/>
          <w:sz w:val="18"/>
          <w:szCs w:val="18"/>
          <w:color w:val="auto"/>
        </w:rPr>
        <w:t>The following discussion should be read in conjunction with the accompanying consolidated financial statements and notes thereto of Galectin Therapeutics appearing elsewhere herein.</w:t>
      </w:r>
    </w:p>
    <w:p>
      <w:pPr>
        <w:spacing w:after="0" w:line="166" w:lineRule="exact"/>
        <w:rPr>
          <w:sz w:val="20"/>
          <w:szCs w:val="20"/>
          <w:color w:val="auto"/>
        </w:rPr>
      </w:pPr>
    </w:p>
    <w:p>
      <w:pPr>
        <w:ind w:left="460"/>
        <w:spacing w:after="0"/>
        <w:rPr>
          <w:sz w:val="20"/>
          <w:szCs w:val="20"/>
          <w:color w:val="auto"/>
        </w:rPr>
      </w:pPr>
      <w:r>
        <w:rPr>
          <w:rFonts w:ascii="Arial" w:cs="Arial" w:eastAsia="Arial" w:hAnsi="Arial"/>
          <w:sz w:val="18"/>
          <w:szCs w:val="18"/>
          <w:b w:val="1"/>
          <w:bCs w:val="1"/>
          <w:color w:val="auto"/>
        </w:rPr>
        <w:t>Overview</w:t>
      </w:r>
    </w:p>
    <w:p>
      <w:pPr>
        <w:spacing w:after="0" w:line="229" w:lineRule="exact"/>
        <w:rPr>
          <w:sz w:val="20"/>
          <w:szCs w:val="20"/>
          <w:color w:val="auto"/>
        </w:rPr>
      </w:pPr>
    </w:p>
    <w:p>
      <w:pPr>
        <w:ind w:firstLine="456"/>
        <w:spacing w:after="0" w:line="270" w:lineRule="auto"/>
        <w:rPr>
          <w:sz w:val="20"/>
          <w:szCs w:val="20"/>
          <w:color w:val="auto"/>
        </w:rPr>
      </w:pPr>
      <w:r>
        <w:rPr>
          <w:rFonts w:ascii="Arial" w:cs="Arial" w:eastAsia="Arial" w:hAnsi="Arial"/>
          <w:sz w:val="17"/>
          <w:szCs w:val="17"/>
          <w:color w:val="auto"/>
        </w:rPr>
        <w:t>We are a clinical stage biopharmaceutical company engaged in drug research and development to create new therapies for fibrotic disease, severe skin disease, and cancer. Our drug candidates are based on our method of targeting galectin proteins, which are key mediators of biologic and pathologic functions. We use naturally occurring, readily-available plant products as starting material in manufacturing processes to create proprietary complex carbohydrates with specific molecular weights and other pharmaceutical properties. These complex carbohydrate molecules are appropriately formulated into acceptable pharmaceutical formulations. Using these unique carbohydrate-based candidate compounds that largely bind and inhibit galectin proteins, particularly galectin-3, we are undertaking the focused pursuit of therapies for indications where galectins have a demonstrated role in the pathogenesis of a given disease. We focus on diseases with serious, life-threatening consequences to patients and those where current treatment options are limited. Our strategy is to establish and implement clinical development programs that add value to our business in the shortest period of time possible and to seek strategic partners when a program becomes advanced and requires significant additional resources.</w:t>
      </w:r>
    </w:p>
    <w:p>
      <w:pPr>
        <w:spacing w:after="0" w:line="182" w:lineRule="exact"/>
        <w:rPr>
          <w:sz w:val="20"/>
          <w:szCs w:val="20"/>
          <w:color w:val="auto"/>
        </w:rPr>
      </w:pPr>
    </w:p>
    <w:p>
      <w:pPr>
        <w:ind w:right="180" w:firstLine="456"/>
        <w:spacing w:after="0" w:line="259" w:lineRule="auto"/>
        <w:rPr>
          <w:sz w:val="20"/>
          <w:szCs w:val="20"/>
          <w:color w:val="auto"/>
        </w:rPr>
      </w:pPr>
      <w:r>
        <w:rPr>
          <w:rFonts w:ascii="Arial" w:cs="Arial" w:eastAsia="Arial" w:hAnsi="Arial"/>
          <w:sz w:val="18"/>
          <w:szCs w:val="18"/>
          <w:color w:val="auto"/>
        </w:rPr>
        <w:t>Our lead galectin-3 inhibitor is GR-MD-02, which has been demonstrated in preclinical models to reverse liver fibrosis and cirrhosis. GR-MD-02 has the potential to treat many diseases due to galectin-3’s involvement in multiple key biological pathways such as immune cell function and immunity, cell differentiation, cell growth, and apoptosis (cell death). Galectin Therapeutics Inc. is using this inhibitor to treat advanced liver fibrosis and liver cirrhosis in NASH (non-alcoholic steatohepatitis) patients. We have</w:t>
      </w:r>
    </w:p>
    <w:p>
      <w:pPr>
        <w:spacing w:after="0" w:line="11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10</w:t>
      </w:r>
    </w:p>
    <w:p>
      <w:pPr>
        <w:sectPr>
          <w:pgSz w:w="11900" w:h="16838" w:orient="portrait"/>
          <w:cols w:equalWidth="0" w:num="1">
            <w:col w:w="11420"/>
          </w:cols>
          <w:pgMar w:left="240" w:top="459" w:right="239" w:bottom="1440" w:gutter="0" w:footer="0" w:header="0"/>
        </w:sectPr>
      </w:pPr>
    </w:p>
    <w:bookmarkStart w:id="10" w:name="page11"/>
    <w:bookmarkEnd w:id="10"/>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spacing w:after="0" w:line="255" w:lineRule="auto"/>
        <w:rPr>
          <w:sz w:val="20"/>
          <w:szCs w:val="20"/>
          <w:color w:val="auto"/>
        </w:rPr>
      </w:pPr>
      <w:r>
        <w:rPr>
          <w:rFonts w:ascii="Arial" w:cs="Arial" w:eastAsia="Arial" w:hAnsi="Arial"/>
          <w:sz w:val="18"/>
          <w:szCs w:val="18"/>
          <w:color w:val="auto"/>
        </w:rPr>
        <w:t>completed two Phase 1 clinical studies, a Phase 2 clinical study in NASH patients with advanced fibrosis (NASH-FX) and a second Phase 2B clinical trial in NASH patients with well compensated cirrhosis. We announced, in December 2017 top line results from our Phase 2b study in NASH patients with cirrhosis (NASH-CX). NASH cirrhosis is a progressive disease, currently not treatable and ultimately may result in liver failure that has poor prognosis and no effective, approved medical therapies other than liver transplant. Galectin-3 expression is highly increased in the liver of patients with liver fibrosis and liver cirrhosis. We believe that our galectin-3 inhibitor, by reducing galectin-3 at the cellular level, ultimately showing a strong anti-fibrotic potential may provide a novel treatment for various forms of liver fibrosis.</w:t>
      </w:r>
    </w:p>
    <w:p>
      <w:pPr>
        <w:spacing w:after="0" w:line="193" w:lineRule="exact"/>
        <w:rPr>
          <w:sz w:val="20"/>
          <w:szCs w:val="20"/>
          <w:color w:val="auto"/>
        </w:rPr>
      </w:pPr>
    </w:p>
    <w:p>
      <w:pPr>
        <w:ind w:right="180" w:firstLine="456"/>
        <w:spacing w:after="0" w:line="269" w:lineRule="auto"/>
        <w:rPr>
          <w:sz w:val="20"/>
          <w:szCs w:val="20"/>
          <w:color w:val="auto"/>
        </w:rPr>
      </w:pPr>
      <w:r>
        <w:rPr>
          <w:rFonts w:ascii="Arial" w:cs="Arial" w:eastAsia="Arial" w:hAnsi="Arial"/>
          <w:sz w:val="17"/>
          <w:szCs w:val="17"/>
          <w:color w:val="auto"/>
        </w:rPr>
        <w:t>We endeavor to leverage our scientific and product development expertise as well as established relationships with outside sources to achieve cost-effective and efficient drug development. These outside sources, amongst others, provide us with expertise in preclinical models, pharmaceutical development, toxicology, clinical trial operations, pharmaceutical manufacturing, sophisticated physical and chemical characterization, and commercial development. We also have established several collaborative scientific discovery programs with leading experts in carbohydrate chemistry and characterization. These discovery programs are generally aimed at the targeted development of new carbohydrate molecules that bind galectin proteins and offer alternative options to larger market segments in our primary disease indications. We also have established through Galectin Sciences LLC, a discovery program aimed at the targeted development of small molecules (generally, non-carbohydrate) that bind galectin proteins and may afford options for alternative means of drug delivery (e.g., oral) and as a result expand the potential uses of our galectin-3 inhibitor compounds. We are also pursuing a development pathway to clinical enhancement and commercialization for our lead compounds in immuno-oncology for cancer therapy and severe skin disease including moderate to severe plaque psoriasis and severe atopic dermatitis. However, our clinical development efforts are focused on both liver fibrosis and fatty liver disease as represented by a Phase 2 clinical trial in NASH-cirrhosis which reported top line data in December 2017. All of our proposed products are presently in development, including pre-clinical and clinical trials.</w:t>
      </w:r>
    </w:p>
    <w:p>
      <w:pPr>
        <w:spacing w:after="0" w:line="28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Our Drug Development Programs</w:t>
      </w:r>
    </w:p>
    <w:p>
      <w:pPr>
        <w:spacing w:after="0" w:line="121" w:lineRule="exact"/>
        <w:rPr>
          <w:sz w:val="20"/>
          <w:szCs w:val="20"/>
          <w:color w:val="auto"/>
        </w:rPr>
      </w:pPr>
    </w:p>
    <w:p>
      <w:pPr>
        <w:ind w:right="20" w:firstLine="456"/>
        <w:spacing w:after="0" w:line="291" w:lineRule="auto"/>
        <w:rPr>
          <w:sz w:val="20"/>
          <w:szCs w:val="20"/>
          <w:color w:val="auto"/>
        </w:rPr>
      </w:pPr>
      <w:r>
        <w:rPr>
          <w:rFonts w:ascii="Arial" w:cs="Arial" w:eastAsia="Arial" w:hAnsi="Arial"/>
          <w:sz w:val="16"/>
          <w:szCs w:val="16"/>
          <w:color w:val="auto"/>
        </w:rPr>
        <w:t>Galectins are a class of proteins that are made by many cells in the body, but predominantly in cells of the immune system. As a group, these proteins are able to bind to sugar molecules that are part of other proteins, glycoproteins, in and on the cells of our body. Galectin proteins act as a kind of molecular glue, bringing together molecules that have sugars on them. Galectin proteins, in particular galectin-3, are known to be markedly increased in a number of important diseases including inflammatory diseases, scarring of organs (e.g. liver, lung, kidney, and heart) and cancers of many kinds. The increase in galectin protein promotes the disease and is detrimental to the patient. Published data substantiating the importance of galectin-3 in the fibrotic process arises from gene knockout experiments in animal studies. Mice genetically altered to eliminate the galectin-3 gene, and thus unable to produce galectin-3, are incapable of developing liver fibrosis in response to toxic insult to the liver and in fatty liver disease as well as development of fibrosis in other tissues.</w:t>
      </w:r>
    </w:p>
    <w:p>
      <w:pPr>
        <w:spacing w:after="0" w:line="167" w:lineRule="exact"/>
        <w:rPr>
          <w:sz w:val="20"/>
          <w:szCs w:val="20"/>
          <w:color w:val="auto"/>
        </w:rPr>
      </w:pPr>
    </w:p>
    <w:p>
      <w:pPr>
        <w:ind w:right="20" w:firstLine="456"/>
        <w:spacing w:after="0" w:line="254" w:lineRule="auto"/>
        <w:rPr>
          <w:sz w:val="20"/>
          <w:szCs w:val="20"/>
          <w:color w:val="auto"/>
        </w:rPr>
      </w:pPr>
      <w:r>
        <w:rPr>
          <w:rFonts w:ascii="Arial" w:cs="Arial" w:eastAsia="Arial" w:hAnsi="Arial"/>
          <w:sz w:val="18"/>
          <w:szCs w:val="18"/>
          <w:color w:val="auto"/>
        </w:rPr>
        <w:t>We have one new proprietary chemical entity (NCE) in development, GR-MD-02, which has shown promise in preclinical and early clinical studies in treatment of fibrosis, severe skin disease, and in cancer therapy. Currently we are focusing on development of GR-MD-02 intended to be used in the treatment of liver fibrosis associated with fatty liver disease (NASH) and more specifically in NASH cirrhosis. We have also leveraged our relationships with well-known investigators to demonstrate clinical effects of GR-MD-02 in treating moderate to severe plaque psoriasis, severe atopic dermatitis, and in cancer therapy in combination with immune-system modifying agent(s). GR-MD-02 is a proprietary, patented compound derived from natural, readily available, plant-based starting materials, which, following chemical processing, exhibits the properties of binding to and inhibiting galectin-3 proteins. A second NCE, GM-CT-01 is a proprietary, patented compound that is made from a completely different starting source plant material and also binds and inhibits galectin proteins.</w:t>
      </w:r>
    </w:p>
    <w:p>
      <w:pPr>
        <w:spacing w:after="0" w:line="12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11</w:t>
      </w:r>
    </w:p>
    <w:p>
      <w:pPr>
        <w:sectPr>
          <w:pgSz w:w="11900" w:h="16838" w:orient="portrait"/>
          <w:cols w:equalWidth="0" w:num="1">
            <w:col w:w="11420"/>
          </w:cols>
          <w:pgMar w:left="240" w:top="459" w:right="239" w:bottom="1440" w:gutter="0" w:footer="0" w:header="0"/>
        </w:sectPr>
      </w:pPr>
    </w:p>
    <w:bookmarkStart w:id="11" w:name="page12"/>
    <w:bookmarkEnd w:id="11"/>
    <w:p>
      <w:pPr>
        <w:spacing w:after="0"/>
        <w:rPr>
          <w:rFonts w:ascii="Arial" w:cs="Arial" w:eastAsia="Arial" w:hAnsi="Arial"/>
          <w:sz w:val="18"/>
          <w:szCs w:val="18"/>
          <w:b w:val="1"/>
          <w:bCs w:val="1"/>
          <w:u w:val="single" w:color="auto"/>
          <w:color w:val="0000EE"/>
        </w:rPr>
      </w:pP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right"/>
        <w:spacing w:after="0"/>
        <w:rPr>
          <w:sz w:val="20"/>
          <w:szCs w:val="20"/>
          <w:color w:val="auto"/>
        </w:rPr>
      </w:pPr>
      <w:r>
        <w:rPr>
          <w:rFonts w:ascii="Arial" w:cs="Arial" w:eastAsia="Arial" w:hAnsi="Arial"/>
          <w:sz w:val="18"/>
          <w:szCs w:val="18"/>
          <w:color w:val="auto"/>
        </w:rPr>
        <w:t>Our product pipeline is shown below:</w:t>
      </w:r>
    </w:p>
    <w:p>
      <w:pPr>
        <w:spacing w:after="0" w:line="244"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Indication</w:t>
      </w:r>
    </w:p>
    <w:p>
      <w:pPr>
        <w:spacing w:after="0" w:line="1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Fibrosis</w:t>
      </w:r>
    </w:p>
    <w:p>
      <w:pPr>
        <w:spacing w:after="0" w:line="7" w:lineRule="exact"/>
        <w:rPr>
          <w:sz w:val="20"/>
          <w:szCs w:val="20"/>
          <w:color w:val="auto"/>
        </w:rPr>
      </w:pPr>
    </w:p>
    <w:p>
      <w:pPr>
        <w:spacing w:after="0"/>
        <w:rPr>
          <w:sz w:val="20"/>
          <w:szCs w:val="20"/>
          <w:color w:val="auto"/>
        </w:rPr>
      </w:pPr>
      <w:r>
        <w:rPr>
          <w:rFonts w:ascii="Arial" w:cs="Arial" w:eastAsia="Arial" w:hAnsi="Arial"/>
          <w:sz w:val="18"/>
          <w:szCs w:val="18"/>
          <w:color w:val="auto"/>
        </w:rPr>
        <w:t>NASH with Advanced Fibrosis:</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NASH-CX trial and</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NASH-FX trial</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0"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Indication</w:t>
      </w:r>
    </w:p>
    <w:p>
      <w:pPr>
        <w:spacing w:after="0" w:line="12" w:lineRule="exact"/>
        <w:rPr>
          <w:sz w:val="20"/>
          <w:szCs w:val="20"/>
          <w:color w:val="auto"/>
        </w:rPr>
      </w:pPr>
    </w:p>
    <w:p>
      <w:pPr>
        <w:spacing w:after="0"/>
        <w:rPr>
          <w:sz w:val="20"/>
          <w:szCs w:val="20"/>
          <w:color w:val="auto"/>
        </w:rPr>
      </w:pPr>
      <w:r>
        <w:rPr>
          <w:rFonts w:ascii="Arial" w:cs="Arial" w:eastAsia="Arial" w:hAnsi="Arial"/>
          <w:sz w:val="18"/>
          <w:szCs w:val="18"/>
          <w:color w:val="auto"/>
        </w:rPr>
        <w:t>Lung Fibrosis</w:t>
      </w:r>
    </w:p>
    <w:p>
      <w:pPr>
        <w:spacing w:after="0" w:line="7" w:lineRule="exact"/>
        <w:rPr>
          <w:sz w:val="20"/>
          <w:szCs w:val="20"/>
          <w:color w:val="auto"/>
        </w:rPr>
      </w:pPr>
    </w:p>
    <w:p>
      <w:pPr>
        <w:spacing w:after="0"/>
        <w:rPr>
          <w:sz w:val="20"/>
          <w:szCs w:val="20"/>
          <w:color w:val="auto"/>
        </w:rPr>
      </w:pPr>
      <w:r>
        <w:rPr>
          <w:rFonts w:ascii="Arial" w:cs="Arial" w:eastAsia="Arial" w:hAnsi="Arial"/>
          <w:sz w:val="18"/>
          <w:szCs w:val="18"/>
          <w:color w:val="auto"/>
        </w:rPr>
        <w:t>Kidney Fibrosis</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Cardiac and Vascular Fibrosis</w:t>
      </w:r>
    </w:p>
    <w:p>
      <w:pPr>
        <w:spacing w:after="0" w:line="20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Cancer Immunotherapy</w:t>
      </w:r>
    </w:p>
    <w:p>
      <w:pPr>
        <w:spacing w:after="0" w:line="27" w:lineRule="exact"/>
        <w:rPr>
          <w:sz w:val="20"/>
          <w:szCs w:val="20"/>
          <w:color w:val="auto"/>
        </w:rPr>
      </w:pPr>
    </w:p>
    <w:p>
      <w:pPr>
        <w:ind w:right="320"/>
        <w:spacing w:after="0" w:line="261" w:lineRule="auto"/>
        <w:rPr>
          <w:sz w:val="20"/>
          <w:szCs w:val="20"/>
          <w:color w:val="auto"/>
        </w:rPr>
      </w:pPr>
      <w:r>
        <w:rPr>
          <w:rFonts w:ascii="Arial" w:cs="Arial" w:eastAsia="Arial" w:hAnsi="Arial"/>
          <w:sz w:val="18"/>
          <w:szCs w:val="18"/>
          <w:color w:val="auto"/>
        </w:rPr>
        <w:t>Melanoma, Head, Neck Squamous Cell Carcinoma (HNSCC)</w:t>
      </w:r>
    </w:p>
    <w:p>
      <w:pPr>
        <w:spacing w:after="0" w:line="39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Psoriasis</w:t>
      </w:r>
    </w:p>
    <w:p>
      <w:pPr>
        <w:spacing w:after="0" w:line="27" w:lineRule="exact"/>
        <w:rPr>
          <w:sz w:val="20"/>
          <w:szCs w:val="20"/>
          <w:color w:val="auto"/>
        </w:rPr>
      </w:pPr>
    </w:p>
    <w:p>
      <w:pPr>
        <w:ind w:right="540"/>
        <w:spacing w:after="0" w:line="290" w:lineRule="auto"/>
        <w:rPr>
          <w:sz w:val="20"/>
          <w:szCs w:val="20"/>
          <w:color w:val="auto"/>
        </w:rPr>
      </w:pPr>
      <w:r>
        <w:rPr>
          <w:rFonts w:ascii="Arial" w:cs="Arial" w:eastAsia="Arial" w:hAnsi="Arial"/>
          <w:sz w:val="17"/>
          <w:szCs w:val="17"/>
          <w:color w:val="auto"/>
        </w:rPr>
        <w:t>Moderate to Severe Plaque Psoriasis Severe Atopic Dermatitis</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7" w:lineRule="exact"/>
        <w:rPr>
          <w:sz w:val="20"/>
          <w:szCs w:val="20"/>
          <w:color w:val="auto"/>
        </w:rPr>
      </w:pPr>
    </w:p>
    <w:p>
      <w:pPr>
        <w:ind w:left="520"/>
        <w:spacing w:after="0"/>
        <w:rPr>
          <w:sz w:val="20"/>
          <w:szCs w:val="20"/>
          <w:color w:val="auto"/>
        </w:rPr>
      </w:pPr>
      <w:r>
        <w:rPr>
          <w:rFonts w:ascii="Arial" w:cs="Arial" w:eastAsia="Arial" w:hAnsi="Arial"/>
          <w:sz w:val="13"/>
          <w:szCs w:val="13"/>
          <w:b w:val="1"/>
          <w:bCs w:val="1"/>
          <w:color w:val="auto"/>
        </w:rPr>
        <w:t>Drug</w:t>
      </w:r>
    </w:p>
    <w:p>
      <w:pPr>
        <w:spacing w:after="0" w:line="224" w:lineRule="exact"/>
        <w:rPr>
          <w:sz w:val="20"/>
          <w:szCs w:val="20"/>
          <w:color w:val="auto"/>
        </w:rPr>
      </w:pPr>
    </w:p>
    <w:p>
      <w:pPr>
        <w:spacing w:after="0"/>
        <w:rPr>
          <w:sz w:val="20"/>
          <w:szCs w:val="20"/>
          <w:color w:val="auto"/>
        </w:rPr>
      </w:pPr>
      <w:r>
        <w:rPr>
          <w:rFonts w:ascii="Arial" w:cs="Arial" w:eastAsia="Arial" w:hAnsi="Arial"/>
          <w:sz w:val="17"/>
          <w:szCs w:val="17"/>
          <w:color w:val="auto"/>
        </w:rPr>
        <w:t>GR-MD-02</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8" w:lineRule="exact"/>
        <w:rPr>
          <w:sz w:val="20"/>
          <w:szCs w:val="20"/>
          <w:color w:val="auto"/>
        </w:rPr>
      </w:pPr>
    </w:p>
    <w:p>
      <w:pPr>
        <w:ind w:left="520"/>
        <w:spacing w:after="0"/>
        <w:rPr>
          <w:sz w:val="20"/>
          <w:szCs w:val="20"/>
          <w:color w:val="auto"/>
        </w:rPr>
      </w:pPr>
      <w:r>
        <w:rPr>
          <w:rFonts w:ascii="Arial" w:cs="Arial" w:eastAsia="Arial" w:hAnsi="Arial"/>
          <w:sz w:val="13"/>
          <w:szCs w:val="13"/>
          <w:b w:val="1"/>
          <w:bCs w:val="1"/>
          <w:color w:val="auto"/>
        </w:rPr>
        <w:t>Drug</w:t>
      </w:r>
    </w:p>
    <w:p>
      <w:pPr>
        <w:spacing w:after="0" w:line="23" w:lineRule="exact"/>
        <w:rPr>
          <w:sz w:val="20"/>
          <w:szCs w:val="20"/>
          <w:color w:val="auto"/>
        </w:rPr>
      </w:pPr>
    </w:p>
    <w:p>
      <w:pPr>
        <w:spacing w:after="0"/>
        <w:rPr>
          <w:sz w:val="20"/>
          <w:szCs w:val="20"/>
          <w:color w:val="auto"/>
        </w:rPr>
      </w:pPr>
      <w:r>
        <w:rPr>
          <w:rFonts w:ascii="Arial" w:cs="Arial" w:eastAsia="Arial" w:hAnsi="Arial"/>
          <w:sz w:val="17"/>
          <w:szCs w:val="17"/>
          <w:color w:val="auto"/>
        </w:rPr>
        <w:t>GR-MD-02</w:t>
      </w:r>
    </w:p>
    <w:p>
      <w:pPr>
        <w:spacing w:after="0" w:line="19" w:lineRule="exact"/>
        <w:rPr>
          <w:sz w:val="20"/>
          <w:szCs w:val="20"/>
          <w:color w:val="auto"/>
        </w:rPr>
      </w:pPr>
    </w:p>
    <w:p>
      <w:pPr>
        <w:spacing w:after="0"/>
        <w:rPr>
          <w:sz w:val="20"/>
          <w:szCs w:val="20"/>
          <w:color w:val="auto"/>
        </w:rPr>
      </w:pPr>
      <w:r>
        <w:rPr>
          <w:rFonts w:ascii="Arial" w:cs="Arial" w:eastAsia="Arial" w:hAnsi="Arial"/>
          <w:sz w:val="17"/>
          <w:szCs w:val="17"/>
          <w:color w:val="auto"/>
        </w:rPr>
        <w:t>GR-MD-02</w:t>
      </w:r>
    </w:p>
    <w:p>
      <w:pPr>
        <w:spacing w:after="0" w:line="21" w:lineRule="exact"/>
        <w:rPr>
          <w:sz w:val="20"/>
          <w:szCs w:val="20"/>
          <w:color w:val="auto"/>
        </w:rPr>
      </w:pPr>
    </w:p>
    <w:p>
      <w:pPr>
        <w:spacing w:after="0"/>
        <w:rPr>
          <w:sz w:val="20"/>
          <w:szCs w:val="20"/>
          <w:color w:val="auto"/>
        </w:rPr>
      </w:pPr>
      <w:r>
        <w:rPr>
          <w:rFonts w:ascii="Arial" w:cs="Arial" w:eastAsia="Arial" w:hAnsi="Arial"/>
          <w:sz w:val="17"/>
          <w:szCs w:val="17"/>
          <w:color w:val="auto"/>
        </w:rPr>
        <w:t>GR-MD-02</w:t>
      </w:r>
    </w:p>
    <w:p>
      <w:pPr>
        <w:spacing w:after="0" w:line="21" w:lineRule="exact"/>
        <w:rPr>
          <w:sz w:val="20"/>
          <w:szCs w:val="20"/>
          <w:color w:val="auto"/>
        </w:rPr>
      </w:pPr>
    </w:p>
    <w:p>
      <w:pPr>
        <w:spacing w:after="0"/>
        <w:rPr>
          <w:sz w:val="20"/>
          <w:szCs w:val="20"/>
          <w:color w:val="auto"/>
        </w:rPr>
      </w:pPr>
      <w:r>
        <w:rPr>
          <w:rFonts w:ascii="Arial" w:cs="Arial" w:eastAsia="Arial" w:hAnsi="Arial"/>
          <w:sz w:val="17"/>
          <w:szCs w:val="17"/>
          <w:color w:val="auto"/>
        </w:rPr>
        <w:t>GM-CT-01</w:t>
      </w:r>
    </w:p>
    <w:p>
      <w:pPr>
        <w:spacing w:after="0" w:line="222" w:lineRule="exact"/>
        <w:rPr>
          <w:sz w:val="20"/>
          <w:szCs w:val="20"/>
          <w:color w:val="auto"/>
        </w:rPr>
      </w:pPr>
    </w:p>
    <w:p>
      <w:pPr>
        <w:spacing w:after="0"/>
        <w:rPr>
          <w:sz w:val="20"/>
          <w:szCs w:val="20"/>
          <w:color w:val="auto"/>
        </w:rPr>
      </w:pPr>
      <w:r>
        <w:rPr>
          <w:rFonts w:ascii="Arial" w:cs="Arial" w:eastAsia="Arial" w:hAnsi="Arial"/>
          <w:sz w:val="17"/>
          <w:szCs w:val="17"/>
          <w:color w:val="auto"/>
        </w:rPr>
        <w:t>GR-MD-02</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5" w:lineRule="exact"/>
        <w:rPr>
          <w:sz w:val="20"/>
          <w:szCs w:val="20"/>
          <w:color w:val="auto"/>
        </w:rPr>
      </w:pPr>
    </w:p>
    <w:p>
      <w:pPr>
        <w:spacing w:after="0"/>
        <w:rPr>
          <w:sz w:val="20"/>
          <w:szCs w:val="20"/>
          <w:color w:val="auto"/>
        </w:rPr>
      </w:pPr>
      <w:r>
        <w:rPr>
          <w:rFonts w:ascii="Arial" w:cs="Arial" w:eastAsia="Arial" w:hAnsi="Arial"/>
          <w:sz w:val="17"/>
          <w:szCs w:val="17"/>
          <w:color w:val="auto"/>
        </w:rPr>
        <w:t>GR-MD-02</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7" w:lineRule="exact"/>
        <w:rPr>
          <w:sz w:val="20"/>
          <w:szCs w:val="20"/>
          <w:color w:val="auto"/>
        </w:rPr>
      </w:pPr>
    </w:p>
    <w:p>
      <w:pPr>
        <w:ind w:left="3060"/>
        <w:spacing w:after="0"/>
        <w:rPr>
          <w:sz w:val="20"/>
          <w:szCs w:val="20"/>
          <w:color w:val="auto"/>
        </w:rPr>
      </w:pPr>
      <w:r>
        <w:rPr>
          <w:rFonts w:ascii="Arial" w:cs="Arial" w:eastAsia="Arial" w:hAnsi="Arial"/>
          <w:sz w:val="14"/>
          <w:szCs w:val="14"/>
          <w:b w:val="1"/>
          <w:bCs w:val="1"/>
          <w:color w:val="auto"/>
        </w:rPr>
        <w:t>Status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-3131185</wp:posOffset>
            </wp:positionH>
            <wp:positionV relativeFrom="paragraph">
              <wp:posOffset>-918845</wp:posOffset>
            </wp:positionV>
            <wp:extent cx="7289165" cy="3873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p>
    <w:p>
      <w:pPr>
        <w:spacing w:after="0" w:line="192" w:lineRule="exact"/>
        <w:rPr>
          <w:sz w:val="20"/>
          <w:szCs w:val="20"/>
          <w:color w:val="auto"/>
        </w:rPr>
      </w:pPr>
    </w:p>
    <w:p>
      <w:pPr>
        <w:ind w:right="80"/>
        <w:spacing w:after="0" w:line="256" w:lineRule="auto"/>
        <w:rPr>
          <w:sz w:val="20"/>
          <w:szCs w:val="20"/>
          <w:color w:val="auto"/>
        </w:rPr>
      </w:pPr>
      <w:r>
        <w:rPr>
          <w:rFonts w:ascii="Arial" w:cs="Arial" w:eastAsia="Arial" w:hAnsi="Arial"/>
          <w:sz w:val="18"/>
          <w:szCs w:val="18"/>
          <w:color w:val="auto"/>
        </w:rPr>
        <w:t>IND submitted January 2013. Results from the Phase 1 clinical trial were reported in 2014, with final results reported in January 2015. End of Phase 1 meeting held with FDA in 2014. Two Phase 2 clinical trials were designed.</w:t>
      </w:r>
    </w:p>
    <w:p>
      <w:pPr>
        <w:ind w:right="260"/>
        <w:spacing w:after="0" w:line="250" w:lineRule="auto"/>
        <w:rPr>
          <w:sz w:val="20"/>
          <w:szCs w:val="20"/>
          <w:color w:val="auto"/>
        </w:rPr>
      </w:pPr>
      <w:r>
        <w:rPr>
          <w:rFonts w:ascii="Arial" w:cs="Arial" w:eastAsia="Arial" w:hAnsi="Arial"/>
          <w:sz w:val="18"/>
          <w:szCs w:val="18"/>
          <w:color w:val="auto"/>
        </w:rPr>
        <w:t>The NASH FX trial was designed for patients with advanced fibrosis but not cirrhosis. The NASH FX trial top line data was reported in September 2016</w:t>
      </w:r>
    </w:p>
    <w:p>
      <w:pPr>
        <w:spacing w:after="0" w:line="1" w:lineRule="exact"/>
        <w:rPr>
          <w:sz w:val="20"/>
          <w:szCs w:val="20"/>
          <w:color w:val="auto"/>
        </w:rPr>
      </w:pPr>
    </w:p>
    <w:p>
      <w:pPr>
        <w:jc w:val="both"/>
        <w:ind w:right="440"/>
        <w:spacing w:after="0" w:line="250" w:lineRule="auto"/>
        <w:rPr>
          <w:sz w:val="20"/>
          <w:szCs w:val="20"/>
          <w:color w:val="auto"/>
        </w:rPr>
      </w:pPr>
      <w:r>
        <w:rPr>
          <w:rFonts w:ascii="Arial" w:cs="Arial" w:eastAsia="Arial" w:hAnsi="Arial"/>
          <w:sz w:val="18"/>
          <w:szCs w:val="18"/>
          <w:color w:val="auto"/>
        </w:rPr>
        <w:t>The NASH CX trial was designed for patients with well compensated cirrhosis. The NASH CX trial top line data was reported in December 2017 and additional results derived from the study were presented subsequently.</w:t>
      </w:r>
    </w:p>
    <w:p>
      <w:pPr>
        <w:spacing w:after="0" w:line="1" w:lineRule="exact"/>
        <w:rPr>
          <w:sz w:val="20"/>
          <w:szCs w:val="20"/>
          <w:color w:val="auto"/>
        </w:rPr>
      </w:pPr>
    </w:p>
    <w:p>
      <w:pPr>
        <w:ind w:left="3060"/>
        <w:spacing w:after="0"/>
        <w:rPr>
          <w:sz w:val="20"/>
          <w:szCs w:val="20"/>
          <w:color w:val="auto"/>
        </w:rPr>
      </w:pPr>
      <w:r>
        <w:rPr>
          <w:rFonts w:ascii="Arial" w:cs="Arial" w:eastAsia="Arial" w:hAnsi="Arial"/>
          <w:sz w:val="14"/>
          <w:szCs w:val="14"/>
          <w:b w:val="1"/>
          <w:bCs w:val="1"/>
          <w:color w:val="auto"/>
        </w:rPr>
        <w:t>Status</w:t>
      </w:r>
    </w:p>
    <w:p>
      <w:pPr>
        <w:spacing w:after="0" w:line="3" w:lineRule="exact"/>
        <w:rPr>
          <w:sz w:val="20"/>
          <w:szCs w:val="20"/>
          <w:color w:val="auto"/>
        </w:rPr>
      </w:pPr>
    </w:p>
    <w:p>
      <w:pPr>
        <w:spacing w:after="0"/>
        <w:rPr>
          <w:sz w:val="20"/>
          <w:szCs w:val="20"/>
          <w:color w:val="auto"/>
        </w:rPr>
      </w:pPr>
      <w:r>
        <w:rPr>
          <w:rFonts w:ascii="Arial" w:cs="Arial" w:eastAsia="Arial" w:hAnsi="Arial"/>
          <w:sz w:val="18"/>
          <w:szCs w:val="18"/>
          <w:color w:val="auto"/>
        </w:rPr>
        <w:t>In pre-clinical development</w:t>
      </w:r>
    </w:p>
    <w:p>
      <w:pPr>
        <w:spacing w:after="0" w:line="7" w:lineRule="exact"/>
        <w:rPr>
          <w:sz w:val="20"/>
          <w:szCs w:val="20"/>
          <w:color w:val="auto"/>
        </w:rPr>
      </w:pPr>
    </w:p>
    <w:p>
      <w:pPr>
        <w:spacing w:after="0"/>
        <w:rPr>
          <w:sz w:val="20"/>
          <w:szCs w:val="20"/>
          <w:color w:val="auto"/>
        </w:rPr>
      </w:pPr>
      <w:r>
        <w:rPr>
          <w:rFonts w:ascii="Arial" w:cs="Arial" w:eastAsia="Arial" w:hAnsi="Arial"/>
          <w:sz w:val="18"/>
          <w:szCs w:val="18"/>
          <w:color w:val="auto"/>
        </w:rPr>
        <w:t>In pre-clinical development</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In pre-clinical development</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Not in active development</w:t>
      </w:r>
    </w:p>
    <w:p>
      <w:pPr>
        <w:spacing w:after="0" w:line="211" w:lineRule="exact"/>
        <w:rPr>
          <w:sz w:val="20"/>
          <w:szCs w:val="20"/>
          <w:color w:val="auto"/>
        </w:rPr>
      </w:pPr>
    </w:p>
    <w:p>
      <w:pPr>
        <w:ind w:right="400"/>
        <w:spacing w:after="0" w:line="259" w:lineRule="auto"/>
        <w:rPr>
          <w:sz w:val="20"/>
          <w:szCs w:val="20"/>
          <w:color w:val="auto"/>
        </w:rPr>
      </w:pPr>
      <w:r>
        <w:rPr>
          <w:rFonts w:ascii="Arial" w:cs="Arial" w:eastAsia="Arial" w:hAnsi="Arial"/>
          <w:sz w:val="18"/>
          <w:szCs w:val="18"/>
          <w:color w:val="auto"/>
        </w:rPr>
        <w:t>Investigator IND submitted in December 2013. Phase 1B study in process. A second Phase 1B study began in Q-1 2016. Investigator IND for that study submitted in September 2015. Early data was reported in February 2017 and studies with the 3</w:t>
      </w:r>
      <w:r>
        <w:rPr>
          <w:rFonts w:ascii="Arial" w:cs="Arial" w:eastAsia="Arial" w:hAnsi="Arial"/>
          <w:sz w:val="15"/>
          <w:szCs w:val="15"/>
          <w:color w:val="auto"/>
        </w:rPr>
        <w:t>rd</w:t>
      </w:r>
      <w:r>
        <w:rPr>
          <w:rFonts w:ascii="Arial" w:cs="Arial" w:eastAsia="Arial" w:hAnsi="Arial"/>
          <w:sz w:val="18"/>
          <w:szCs w:val="18"/>
          <w:color w:val="auto"/>
        </w:rPr>
        <w:t xml:space="preserve"> cohort are ongoing.</w:t>
      </w:r>
    </w:p>
    <w:p>
      <w:pPr>
        <w:spacing w:after="0" w:line="187" w:lineRule="exact"/>
        <w:rPr>
          <w:sz w:val="20"/>
          <w:szCs w:val="20"/>
          <w:color w:val="auto"/>
        </w:rPr>
      </w:pPr>
    </w:p>
    <w:p>
      <w:pPr>
        <w:ind w:right="220"/>
        <w:spacing w:after="0" w:line="276" w:lineRule="auto"/>
        <w:rPr>
          <w:sz w:val="20"/>
          <w:szCs w:val="20"/>
          <w:color w:val="auto"/>
        </w:rPr>
      </w:pPr>
      <w:r>
        <w:rPr>
          <w:rFonts w:ascii="Arial" w:cs="Arial" w:eastAsia="Arial" w:hAnsi="Arial"/>
          <w:sz w:val="17"/>
          <w:szCs w:val="17"/>
          <w:color w:val="auto"/>
        </w:rPr>
        <w:t>IND submitted March 2015. A phase 2a trial in moderate to severe plaque psoriasis patients began in January 2016. Interim data on the first four patients were positive and were reported in May 2016. Further positive data was reported in September 2016. Investigator initiated IND submitted for treatment of three patients with severe atopic dermatitis, with positive preliminary data presented in February 2017.</w:t>
      </w:r>
    </w:p>
    <w:p>
      <w:pPr>
        <w:spacing w:after="0" w:line="173" w:lineRule="exact"/>
        <w:rPr>
          <w:sz w:val="20"/>
          <w:szCs w:val="20"/>
          <w:color w:val="auto"/>
        </w:rPr>
      </w:pPr>
    </w:p>
    <w:p>
      <w:pPr>
        <w:sectPr>
          <w:pgSz w:w="11900" w:h="16838" w:orient="portrait"/>
          <w:cols w:equalWidth="0" w:num="3">
            <w:col w:w="3180" w:space="160"/>
            <w:col w:w="860" w:space="720"/>
            <w:col w:w="6500"/>
          </w:cols>
          <w:pgMar w:left="240" w:top="459" w:right="239" w:bottom="1440" w:gutter="0" w:footer="0" w:header="0"/>
        </w:sectPr>
      </w:pPr>
    </w:p>
    <w:p>
      <w:pPr>
        <w:ind w:firstLine="456"/>
        <w:spacing w:after="0" w:line="287" w:lineRule="auto"/>
        <w:rPr>
          <w:sz w:val="20"/>
          <w:szCs w:val="20"/>
          <w:color w:val="auto"/>
        </w:rPr>
      </w:pPr>
      <w:r>
        <w:rPr>
          <w:rFonts w:ascii="Arial" w:cs="Arial" w:eastAsia="Arial" w:hAnsi="Arial"/>
          <w:sz w:val="16"/>
          <w:szCs w:val="16"/>
          <w:i w:val="1"/>
          <w:iCs w:val="1"/>
          <w:color w:val="auto"/>
        </w:rPr>
        <w:t xml:space="preserve">Fibrosis. </w:t>
      </w:r>
      <w:r>
        <w:rPr>
          <w:rFonts w:ascii="Arial" w:cs="Arial" w:eastAsia="Arial" w:hAnsi="Arial"/>
          <w:sz w:val="16"/>
          <w:szCs w:val="16"/>
          <w:color w:val="auto"/>
        </w:rPr>
        <w:t>GR-MD-02 is our lead product candidate for treatment of fibrotic disease. Our preclinical data show that GR-MD-02 has a significant</w:t>
      </w:r>
      <w:r>
        <w:rPr>
          <w:rFonts w:ascii="Arial" w:cs="Arial" w:eastAsia="Arial" w:hAnsi="Arial"/>
          <w:sz w:val="16"/>
          <w:szCs w:val="16"/>
          <w:i w:val="1"/>
          <w:iCs w:val="1"/>
          <w:color w:val="auto"/>
        </w:rPr>
        <w:t xml:space="preserve"> </w:t>
      </w:r>
      <w:r>
        <w:rPr>
          <w:rFonts w:ascii="Arial" w:cs="Arial" w:eastAsia="Arial" w:hAnsi="Arial"/>
          <w:sz w:val="16"/>
          <w:szCs w:val="16"/>
          <w:color w:val="auto"/>
        </w:rPr>
        <w:t>therapeutic effect on liver fibrosis as shown in several relevant animal models. In addition, in NASH animal models, GR-MD-02 has been shown to reduce liver fat, inflammation, and ballooning degeneration or death of liver cells. Therefore, we chose GR-MD-02 as the lead candidate in a development program targeted initially at fibrotic liver disease associated with non-alcoholic steatohepatitis (NASH, or fatty liver disease). In January 2013, an Investigational New Drug (“IND”) was submitted to the U.S. Food and Drug Administration (“FDA”) with the goal of initiating a Phase 1 study in patients with NASH and advanced liver fibrosis to evaluate the human safety of GR-MD-02 and pharmacodynamics biomarkers of disease. On March 1, 2013, the FDA indicated we could proceed with a US Phase 1 clinical trial for GR-MD-02 with a development program aimed at obtaining support for a proposed indication of GR-MD-02 for treatment of NASH with advanced fibrosis. The Phase 1 trial was completed and demonstrated that GR-MD-02 up to 8 mg/kg, i.v. was safe and well tolerated. The human pharmacokinetic data defined a drug dose for use in the planned Phase 2 trials based on extrapolation from efficacy data in NASH animal models of liver fibrosis and/or cirrhosis. Additionally, there was evidence of a pharmacodynamic effect of GR-MD-02 at the 8 mg/kg dose with a decrease in alpha 2 macroglobulin, a serum marker of fibrotic activity, and a reduction in liver stiffness as determined by FibroScan</w:t>
      </w:r>
      <w:r>
        <w:rPr>
          <w:rFonts w:ascii="Arial" w:cs="Arial" w:eastAsia="Arial" w:hAnsi="Arial"/>
          <w:sz w:val="13"/>
          <w:szCs w:val="13"/>
          <w:color w:val="auto"/>
        </w:rPr>
        <w:t>®</w:t>
      </w:r>
      <w:r>
        <w:rPr>
          <w:rFonts w:ascii="Arial" w:cs="Arial" w:eastAsia="Arial" w:hAnsi="Arial"/>
          <w:sz w:val="16"/>
          <w:szCs w:val="16"/>
          <w:color w:val="auto"/>
        </w:rPr>
        <w:t>. An “End of Phase 1 Meeting” was held with FDA which, amongst other items, provided guidance on the primary endpoint for the Phase 2 clinical trial, the NASH-CX trial.</w:t>
      </w:r>
    </w:p>
    <w:p>
      <w:pPr>
        <w:spacing w:after="0" w:line="169" w:lineRule="exact"/>
        <w:rPr>
          <w:sz w:val="20"/>
          <w:szCs w:val="20"/>
          <w:color w:val="auto"/>
        </w:rPr>
      </w:pPr>
    </w:p>
    <w:p>
      <w:pPr>
        <w:ind w:firstLine="456"/>
        <w:spacing w:after="0" w:line="255" w:lineRule="auto"/>
        <w:rPr>
          <w:sz w:val="20"/>
          <w:szCs w:val="20"/>
          <w:color w:val="auto"/>
        </w:rPr>
      </w:pPr>
      <w:r>
        <w:rPr>
          <w:rFonts w:ascii="Arial" w:cs="Arial" w:eastAsia="Arial" w:hAnsi="Arial"/>
          <w:sz w:val="18"/>
          <w:szCs w:val="18"/>
          <w:color w:val="auto"/>
        </w:rPr>
        <w:t>Additionally, an open label drug-drug interaction study was completed in healthy volunteers during the second quarter of 2015 with GR-MD-02, and it showed that with 8 mg/kg dose of GR-MD-02 and 2 mg/kg dose of midazolam there was no drug-drug interaction and no serious adverse events or drug-related adverse events were observed. This study was required by the FDA, and the primary objective was to determine if single or multiple intravenous (IV) doses of GR-MD-02 affect the pharmacokinetics (PK) of midazolam. The secondary objective was to assess the safety and tolerability of GR-MD-02 when administered concomitantly with midazolam. The lack of a drug interaction in this study enabled the Company to expand the number of patients eligible for its Phase 2 clinical trial. In addition, should GR-MD-02 be approved for marketing, the success of this study supports a broader patient population for the drug label.</w:t>
      </w:r>
    </w:p>
    <w:p>
      <w:pPr>
        <w:spacing w:after="0" w:line="189" w:lineRule="exact"/>
        <w:rPr>
          <w:sz w:val="20"/>
          <w:szCs w:val="20"/>
          <w:color w:val="auto"/>
        </w:rPr>
      </w:pPr>
    </w:p>
    <w:p>
      <w:pPr>
        <w:ind w:right="20" w:firstLine="456"/>
        <w:spacing w:after="0" w:line="276" w:lineRule="auto"/>
        <w:rPr>
          <w:sz w:val="20"/>
          <w:szCs w:val="20"/>
          <w:color w:val="auto"/>
        </w:rPr>
      </w:pPr>
      <w:r>
        <w:rPr>
          <w:rFonts w:ascii="Arial" w:cs="Arial" w:eastAsia="Arial" w:hAnsi="Arial"/>
          <w:sz w:val="17"/>
          <w:szCs w:val="17"/>
          <w:color w:val="auto"/>
        </w:rPr>
        <w:t>Our Phase 2 program in fibrotic disease consists of two separate human clinical trials. The primary clinical trial is the Phase 2b NASH-CX study for one year for patients with NASH with well compensated cirrhosis, which began enrolling in June, 2015. This study is the primary focus of our program and is a randomized, placebo-controlled, double-blind, parallel-group Phase 2b trial to evaluate the safety and efficacy of GR-MD-02 for treatment of liver fibrosis and resultant portal hypertension in NASH patients with well compensated cirrhosis. A smaller, exploratory NASH-FX trial was conducted to explore potential use of various non-invasive imaging techniques in NASH patients with advanced fibrosis but not cirrhosis.</w:t>
      </w:r>
    </w:p>
    <w:p>
      <w:pPr>
        <w:spacing w:after="0" w:line="10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12</w:t>
      </w:r>
    </w:p>
    <w:p>
      <w:pPr>
        <w:sectPr>
          <w:pgSz w:w="11900" w:h="16838" w:orient="portrait"/>
          <w:cols w:equalWidth="0" w:num="1">
            <w:col w:w="11420"/>
          </w:cols>
          <w:pgMar w:left="240" w:top="459" w:right="239" w:bottom="1440" w:gutter="0" w:footer="0" w:header="0"/>
          <w:type w:val="continuous"/>
        </w:sectPr>
      </w:pPr>
    </w:p>
    <w:bookmarkStart w:id="12" w:name="page13"/>
    <w:bookmarkEnd w:id="1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ind w:firstLine="456"/>
        <w:spacing w:after="0" w:line="268" w:lineRule="auto"/>
        <w:rPr>
          <w:sz w:val="20"/>
          <w:szCs w:val="20"/>
          <w:color w:val="auto"/>
        </w:rPr>
      </w:pPr>
      <w:r>
        <w:rPr>
          <w:rFonts w:ascii="Arial" w:cs="Arial" w:eastAsia="Arial" w:hAnsi="Arial"/>
          <w:sz w:val="17"/>
          <w:szCs w:val="17"/>
          <w:b w:val="1"/>
          <w:bCs w:val="1"/>
          <w:color w:val="auto"/>
        </w:rPr>
        <w:t xml:space="preserve">NASH-FX Trial: </w:t>
      </w:r>
      <w:r>
        <w:rPr>
          <w:rFonts w:ascii="Arial" w:cs="Arial" w:eastAsia="Arial" w:hAnsi="Arial"/>
          <w:sz w:val="17"/>
          <w:szCs w:val="17"/>
          <w:color w:val="auto"/>
        </w:rPr>
        <w:t>The NASH-FX trial, a Phase 2a pilot trial NASH-FX for patients with NASH advanced fibrosis that explored use of three</w:t>
      </w:r>
      <w:r>
        <w:rPr>
          <w:rFonts w:ascii="Arial" w:cs="Arial" w:eastAsia="Arial" w:hAnsi="Arial"/>
          <w:sz w:val="17"/>
          <w:szCs w:val="17"/>
          <w:b w:val="1"/>
          <w:bCs w:val="1"/>
          <w:color w:val="auto"/>
        </w:rPr>
        <w:t xml:space="preserve"> </w:t>
      </w:r>
      <w:r>
        <w:rPr>
          <w:rFonts w:ascii="Arial" w:cs="Arial" w:eastAsia="Arial" w:hAnsi="Arial"/>
          <w:sz w:val="17"/>
          <w:szCs w:val="17"/>
          <w:color w:val="auto"/>
        </w:rPr>
        <w:t>non-invasive imaging technologies, is now complete. It was a short, single site, four-month trial in 30 NASH patients with advanced fibrosis, but not cirrhosis, randomized 1:1 to either 9 bi-weekly doses of 8 mg/kg of GR-MD-02 or placebo. The trial did not meet its primary biomarker endpoint as measured using multi-parametric magnetic resonance imaging (LiverMultiScan</w:t>
      </w:r>
      <w:r>
        <w:rPr>
          <w:rFonts w:ascii="Arial" w:cs="Arial" w:eastAsia="Arial" w:hAnsi="Arial"/>
          <w:sz w:val="14"/>
          <w:szCs w:val="14"/>
          <w:color w:val="auto"/>
        </w:rPr>
        <w:t>(R)</w:t>
      </w:r>
      <w:r>
        <w:rPr>
          <w:rFonts w:ascii="Arial" w:cs="Arial" w:eastAsia="Arial" w:hAnsi="Arial"/>
          <w:sz w:val="17"/>
          <w:szCs w:val="17"/>
          <w:color w:val="auto"/>
        </w:rPr>
        <w:t>, Perspectum Diagnostics). The trial also did not meet secondary endpoints that measure liver stiffness as a surrogate for fibrosis using, magnetic resonance-elastography and FibroScan</w:t>
      </w:r>
      <w:r>
        <w:rPr>
          <w:rFonts w:ascii="Arial" w:cs="Arial" w:eastAsia="Arial" w:hAnsi="Arial"/>
          <w:sz w:val="14"/>
          <w:szCs w:val="14"/>
          <w:color w:val="auto"/>
        </w:rPr>
        <w:t>®</w:t>
      </w:r>
      <w:r>
        <w:rPr>
          <w:rFonts w:ascii="Arial" w:cs="Arial" w:eastAsia="Arial" w:hAnsi="Arial"/>
          <w:sz w:val="17"/>
          <w:szCs w:val="17"/>
          <w:color w:val="auto"/>
        </w:rPr>
        <w:t xml:space="preserve"> score. We, and many experts in the field, now believe that a four-month treatment period may not be sufficient to show efficacy results in established liver fibrosis. This small study was not powered for the secondary endpoints and thus, not surprisingly did not meet the secondary endpoints. In the trial, GR-MD-02 was found to be safe and well tolerated among the patient population with no serious adverse events. Although there was no apparent improvement in the three non-invasive tests for assessment of liver fibrosis in the four-month NASH-FX trial, the principal investigator of the NASH-FX trial has stated that the inhibition of galectin-3 with GR-MD-02 remains promising for the treatment of NASH fibrosis. Of note is that GR-MD-02 has demonstrated an improved clinical effect in moderate-to-severe psoriasis, suggesting the compound has activity in humans in an immune-mediated inflammatory human disease that can occur in association with NASH. We believe our drug candidate provides a promising new approach for the therapy of fibrotic diseases, and liver fibrosis in particular. Fibrosis is the formation of excess connective tissue (collagen and other proteins plus cellular elements such as myofibroblasts) in response to damage, inflammation or repair. When the fibrotic tissue becomes confluent, it obliterates the cellular architecture, leading to scarring and dysfunction of the underlying organ. Given galectin-3’s broad biological functionality, it has been demonstrated to be involved in cancer, inflammation and fibrosis, heart disease, and renal disease. We have further demonstrated the broad applicability of the actions of our galectin-3 inhibitor’s biological effect in ameliorating fibrosis involving lung, kidney, blood vessels, and cardiac tissues in a wide variety of animal models.</w:t>
      </w:r>
    </w:p>
    <w:p>
      <w:pPr>
        <w:spacing w:after="0" w:line="179" w:lineRule="exact"/>
        <w:rPr>
          <w:sz w:val="20"/>
          <w:szCs w:val="20"/>
          <w:color w:val="auto"/>
        </w:rPr>
      </w:pPr>
    </w:p>
    <w:p>
      <w:pPr>
        <w:ind w:right="20" w:firstLine="456"/>
        <w:spacing w:after="0" w:line="271" w:lineRule="auto"/>
        <w:rPr>
          <w:sz w:val="20"/>
          <w:szCs w:val="20"/>
          <w:color w:val="auto"/>
        </w:rPr>
      </w:pPr>
      <w:r>
        <w:rPr>
          <w:rFonts w:ascii="Arial" w:cs="Arial" w:eastAsia="Arial" w:hAnsi="Arial"/>
          <w:sz w:val="17"/>
          <w:szCs w:val="17"/>
          <w:b w:val="1"/>
          <w:bCs w:val="1"/>
          <w:color w:val="auto"/>
        </w:rPr>
        <w:t xml:space="preserve">NASH-CX Trial: </w:t>
      </w:r>
      <w:r>
        <w:rPr>
          <w:rFonts w:ascii="Arial" w:cs="Arial" w:eastAsia="Arial" w:hAnsi="Arial"/>
          <w:sz w:val="17"/>
          <w:szCs w:val="17"/>
          <w:color w:val="auto"/>
        </w:rPr>
        <w:t>The NASH-CX trial was a larger well-designed multi-center clinical trial which explored use of GR-MD-02 for the treatment of liver</w:t>
      </w:r>
      <w:r>
        <w:rPr>
          <w:rFonts w:ascii="Arial" w:cs="Arial" w:eastAsia="Arial" w:hAnsi="Arial"/>
          <w:sz w:val="17"/>
          <w:szCs w:val="17"/>
          <w:b w:val="1"/>
          <w:bCs w:val="1"/>
          <w:color w:val="auto"/>
        </w:rPr>
        <w:t xml:space="preserve"> </w:t>
      </w:r>
      <w:r>
        <w:rPr>
          <w:rFonts w:ascii="Arial" w:cs="Arial" w:eastAsia="Arial" w:hAnsi="Arial"/>
          <w:sz w:val="17"/>
          <w:szCs w:val="17"/>
          <w:color w:val="auto"/>
        </w:rPr>
        <w:t>fibrosis and resultant portal hypertension in patients with well-compensated NASH cirrhosis. Enrollment in this trial was completed in September, 2016, and a total of 162 patients at 36 sites in the United States were randomized to receive either 2 mg/kg of GR-MD-02, 8 mg/kg of GR-MD-02 or placebo, with approximately 54 patients in each group. The primary endpoint is a reduction in change in hepatic venous pressure gradient (HVPG). Patients received an infusion every other week for one year, total of 26 infusions, and were evaluated to determine the change in HVPG as compared with placebo. HVPG was also correlated with secondary endpoints of fibrosis on liver biopsy as well as with measurement of liver stiffness (FibroScan</w:t>
      </w:r>
      <w:r>
        <w:rPr>
          <w:rFonts w:ascii="Arial" w:cs="Arial" w:eastAsia="Arial" w:hAnsi="Arial"/>
          <w:sz w:val="14"/>
          <w:szCs w:val="14"/>
          <w:color w:val="auto"/>
        </w:rPr>
        <w:t>(R)</w:t>
      </w:r>
      <w:r>
        <w:rPr>
          <w:rFonts w:ascii="Arial" w:cs="Arial" w:eastAsia="Arial" w:hAnsi="Arial"/>
          <w:sz w:val="17"/>
          <w:szCs w:val="17"/>
          <w:color w:val="auto"/>
        </w:rPr>
        <w:t>) and assessment of liver metabolism (</w:t>
      </w:r>
      <w:r>
        <w:rPr>
          <w:rFonts w:ascii="Arial" w:cs="Arial" w:eastAsia="Arial" w:hAnsi="Arial"/>
          <w:sz w:val="14"/>
          <w:szCs w:val="14"/>
          <w:color w:val="auto"/>
        </w:rPr>
        <w:t>13</w:t>
      </w:r>
      <w:r>
        <w:rPr>
          <w:rFonts w:ascii="Arial" w:cs="Arial" w:eastAsia="Arial" w:hAnsi="Arial"/>
          <w:sz w:val="17"/>
          <w:szCs w:val="17"/>
          <w:color w:val="auto"/>
        </w:rPr>
        <w:t>C-methacetin breath test, Exalenz), which are non-invasive measures of the liver that may be used in future studies. Top line data readout was reported in December 2017 demonstrating positive efficacy data and safety and clinically meaningful results in the NASH patients with well compensated cirrhosis without esophageal varices (stage 1 cirrhosis).</w:t>
      </w:r>
    </w:p>
    <w:p>
      <w:pPr>
        <w:spacing w:after="0" w:line="178" w:lineRule="exact"/>
        <w:rPr>
          <w:sz w:val="20"/>
          <w:szCs w:val="20"/>
          <w:color w:val="auto"/>
        </w:rPr>
      </w:pPr>
    </w:p>
    <w:p>
      <w:pPr>
        <w:jc w:val="both"/>
        <w:ind w:right="140" w:firstLine="456"/>
        <w:spacing w:after="0" w:line="264" w:lineRule="auto"/>
        <w:rPr>
          <w:sz w:val="20"/>
          <w:szCs w:val="20"/>
          <w:color w:val="auto"/>
        </w:rPr>
      </w:pPr>
      <w:r>
        <w:rPr>
          <w:rFonts w:ascii="Arial" w:cs="Arial" w:eastAsia="Arial" w:hAnsi="Arial"/>
          <w:sz w:val="18"/>
          <w:szCs w:val="18"/>
          <w:color w:val="auto"/>
        </w:rPr>
        <w:t>In the total patient population, the primary endpoint HVPG showed a trend toward benefit with GR-MD-02 treatment, but the difference from placebo was not statistically significant. The mean change in HVPG of placebo from baseline to week 54 was 0.3 mm Hg. The mean change in HVPG from baseline was -0.37 and -0.42 for the 2 mg/kg dose and 8 mg/kg dose of GR-MD-02, respectively.</w:t>
      </w:r>
    </w:p>
    <w:p>
      <w:pPr>
        <w:spacing w:after="0" w:line="181" w:lineRule="exact"/>
        <w:rPr>
          <w:sz w:val="20"/>
          <w:szCs w:val="20"/>
          <w:color w:val="auto"/>
        </w:rPr>
      </w:pPr>
    </w:p>
    <w:p>
      <w:pPr>
        <w:ind w:firstLine="456"/>
        <w:spacing w:after="0" w:line="271" w:lineRule="auto"/>
        <w:rPr>
          <w:sz w:val="20"/>
          <w:szCs w:val="20"/>
          <w:color w:val="auto"/>
        </w:rPr>
      </w:pPr>
      <w:r>
        <w:rPr>
          <w:rFonts w:ascii="Arial" w:cs="Arial" w:eastAsia="Arial" w:hAnsi="Arial"/>
          <w:sz w:val="17"/>
          <w:szCs w:val="17"/>
          <w:color w:val="auto"/>
        </w:rPr>
        <w:t>Further analysis showed that the drug effect was significantly dependent on dose “varices” in the total group of patients (p&lt;0.02). In those NASH cirrhosis patients without varices at baseline (about 50% of the total population), there was a statistically significant effect of the 2 mg/kg dose of GR-MD-02 on the absolute change in HVPG (-1.08 mm Hg, p&lt;0.01). The effect of the 8 mg/kg dose of GR-MD-02 on absolute or percent change in HVPG from baseline to week 54 was not significant. The population of patients without varices at baseline were further subdivided into those with mild portal hypertension (HVPG greater or equal to 6 mm Hg and less than 10 mm Hg). In patients with mild portal hypertension (MPH), both doses of GR-MD-02 demonstrated a statistically significant effect on change in HVPG. The mean change in HVPG in the MPH group were +1.8 mm Hg for placebo and -0.3 and -0.4 mm Hg in the 2 mg/kg and 8 mg/kg dose groups, respectively. In patients with clinically significant portal hypertension (HVPG greater than 10 Mm Hg) with no varices at baseline, there was a statistically significant effect of 2 mg/kg of GR-MD-02 on the change in HVPG.</w:t>
      </w:r>
    </w:p>
    <w:p>
      <w:pPr>
        <w:spacing w:after="0" w:line="179" w:lineRule="exact"/>
        <w:rPr>
          <w:sz w:val="20"/>
          <w:szCs w:val="20"/>
          <w:color w:val="auto"/>
        </w:rPr>
      </w:pPr>
    </w:p>
    <w:p>
      <w:pPr>
        <w:ind w:right="160" w:firstLine="456"/>
        <w:spacing w:after="0" w:line="259" w:lineRule="auto"/>
        <w:rPr>
          <w:sz w:val="20"/>
          <w:szCs w:val="20"/>
          <w:color w:val="auto"/>
        </w:rPr>
      </w:pPr>
      <w:r>
        <w:rPr>
          <w:rFonts w:ascii="Arial" w:cs="Arial" w:eastAsia="Arial" w:hAnsi="Arial"/>
          <w:sz w:val="18"/>
          <w:szCs w:val="18"/>
          <w:color w:val="auto"/>
        </w:rPr>
        <w:t>A responder analysis was performed on those patients without varices at baseline. Analysis was performed looking at two groups: those with an equal to or greater than 2 mm Hg decrease in HVPG from baseline or those with an equal to or greater than 2 mm Hg and greater than or equal to 20% decrease in HVPG from baseline. In both cases, the change observed in the GR-MD-02 2 mg/kg group was statistically significant (p&lt;0.01) while that of the 8 mg/kg group was not.</w:t>
      </w:r>
    </w:p>
    <w:p>
      <w:pPr>
        <w:spacing w:after="0" w:line="187" w:lineRule="exact"/>
        <w:rPr>
          <w:sz w:val="20"/>
          <w:szCs w:val="20"/>
          <w:color w:val="auto"/>
        </w:rPr>
      </w:pPr>
    </w:p>
    <w:p>
      <w:pPr>
        <w:ind w:right="60" w:firstLine="456"/>
        <w:spacing w:after="0" w:line="259" w:lineRule="auto"/>
        <w:rPr>
          <w:sz w:val="20"/>
          <w:szCs w:val="20"/>
          <w:color w:val="auto"/>
        </w:rPr>
      </w:pPr>
      <w:r>
        <w:rPr>
          <w:rFonts w:ascii="Arial" w:cs="Arial" w:eastAsia="Arial" w:hAnsi="Arial"/>
          <w:sz w:val="18"/>
          <w:szCs w:val="18"/>
          <w:color w:val="auto"/>
        </w:rPr>
        <w:t xml:space="preserve">Additional </w:t>
      </w:r>
      <w:r>
        <w:rPr>
          <w:rFonts w:ascii="Arial" w:cs="Arial" w:eastAsia="Arial" w:hAnsi="Arial"/>
          <w:sz w:val="18"/>
          <w:szCs w:val="18"/>
          <w:i w:val="1"/>
          <w:iCs w:val="1"/>
          <w:color w:val="auto"/>
        </w:rPr>
        <w:t>ad hoc</w:t>
      </w:r>
      <w:r>
        <w:rPr>
          <w:rFonts w:ascii="Arial" w:cs="Arial" w:eastAsia="Arial" w:hAnsi="Arial"/>
          <w:sz w:val="18"/>
          <w:szCs w:val="18"/>
          <w:color w:val="auto"/>
        </w:rPr>
        <w:t xml:space="preserve"> analysis examining the PK-PD correlation between human data and the mouse NASH model showed that the apparent lack of a dose response in the 8 mg/kg dose group (GR8) may be due to fact that a large number of patients in the GR8 group had very high levels of GR-MD-02. When the GR8 group patients were divided into groups with serum drug levels greater than 12,000 ug*hr/mL and those below 12,000 ug*hr/mL, there was a statistically significant difference in the change in HVPG in the GR8</w:t>
      </w:r>
    </w:p>
    <w:p>
      <w:pPr>
        <w:spacing w:after="0" w:line="11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13</w:t>
      </w:r>
    </w:p>
    <w:p>
      <w:pPr>
        <w:sectPr>
          <w:pgSz w:w="11900" w:h="16838" w:orient="portrait"/>
          <w:cols w:equalWidth="0" w:num="1">
            <w:col w:w="11420"/>
          </w:cols>
          <w:pgMar w:left="240" w:top="459" w:right="239" w:bottom="1440" w:gutter="0" w:footer="0" w:header="0"/>
        </w:sectPr>
      </w:pPr>
    </w:p>
    <w:bookmarkStart w:id="13" w:name="page14"/>
    <w:bookmarkEnd w:id="1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right="100"/>
        <w:spacing w:after="0" w:line="264" w:lineRule="auto"/>
        <w:rPr>
          <w:sz w:val="20"/>
          <w:szCs w:val="20"/>
          <w:color w:val="auto"/>
        </w:rPr>
      </w:pPr>
      <w:r>
        <w:rPr>
          <w:rFonts w:ascii="Arial" w:cs="Arial" w:eastAsia="Arial" w:hAnsi="Arial"/>
          <w:sz w:val="18"/>
          <w:szCs w:val="18"/>
          <w:color w:val="auto"/>
        </w:rPr>
        <w:t>group with lower serum levels of GR-MD-02 of approximately -8%. Thus, the apparent less pronounced effects of GR8 may be explained, at least in part, by the variable pharmacokinetics observed in the patients which received GR8. This mirrors the effects seen in the NASH mouse model experiments in which the anti-inflammatory effects of GR-MD-02 were significantly reduced at doses between 60 mg/kg and 120 mg/kg.</w:t>
      </w:r>
    </w:p>
    <w:p>
      <w:pPr>
        <w:spacing w:after="0" w:line="181" w:lineRule="exact"/>
        <w:rPr>
          <w:sz w:val="20"/>
          <w:szCs w:val="20"/>
          <w:color w:val="auto"/>
        </w:rPr>
      </w:pPr>
    </w:p>
    <w:p>
      <w:pPr>
        <w:ind w:right="520" w:firstLine="456"/>
        <w:spacing w:after="0" w:line="308" w:lineRule="auto"/>
        <w:rPr>
          <w:sz w:val="20"/>
          <w:szCs w:val="20"/>
          <w:color w:val="auto"/>
        </w:rPr>
      </w:pPr>
      <w:r>
        <w:rPr>
          <w:rFonts w:ascii="Arial" w:cs="Arial" w:eastAsia="Arial" w:hAnsi="Arial"/>
          <w:sz w:val="17"/>
          <w:szCs w:val="17"/>
          <w:color w:val="auto"/>
        </w:rPr>
        <w:t>In terms of cirrhosis complications over the 54-week treatment period, in patients without varices there were statistically significantly fewer new varices that developed in the treatment groups vs placebo. We believe this may represent a useful measure of clinical outcome.</w:t>
      </w:r>
    </w:p>
    <w:p>
      <w:pPr>
        <w:spacing w:after="0" w:line="147" w:lineRule="exact"/>
        <w:rPr>
          <w:sz w:val="20"/>
          <w:szCs w:val="20"/>
          <w:color w:val="auto"/>
        </w:rPr>
      </w:pPr>
    </w:p>
    <w:p>
      <w:pPr>
        <w:ind w:right="40" w:firstLine="456"/>
        <w:spacing w:after="0" w:line="287" w:lineRule="auto"/>
        <w:rPr>
          <w:sz w:val="20"/>
          <w:szCs w:val="20"/>
          <w:color w:val="auto"/>
        </w:rPr>
      </w:pPr>
      <w:r>
        <w:rPr>
          <w:rFonts w:ascii="Arial" w:cs="Arial" w:eastAsia="Arial" w:hAnsi="Arial"/>
          <w:sz w:val="16"/>
          <w:szCs w:val="16"/>
          <w:color w:val="auto"/>
        </w:rPr>
        <w:t>The major conclusions, to date from the NASH-CX trial results are that: i) GR-MD-02 had a statistically significant and clinically meaningful effect in improving HVPG vs placebo in patients with NASH cirrhosis who did not have esophageal varices at baseline; this effect was seen regardless of the patient’s baseline portal hypertension. Furthermore, we believe that patients with esophageal varices may have masked benefits in the total patient population; ii) there was an important drug effect of GR-MD-02 in the total patient population on liver biopsy with a statistically significant improvement in hepatocyte ballooning (ie cell death); (iii) there was a statistically significant reduction (p=0.02) in the development of new esophageal varices in drug-treated patients compared to placebo; we believe that this is a clinically relevant endpoint related to patient outcomes; (iv) while there was a drug effect in both the 2 mg/kg and 8 mg/kg dosage groups on liver biopsy and in the mild portal hypertension group, there was a consistently greater and statistically significant effect of the 2 mg/kg dose of GR-MD-02; (v) the apparent lack of a dose response in the GR8 group may be explained by variable pharmacokinetics in the high dose group, and this suggests use of an additional and intermediate dose between 2 and 8 mg/Kg in subsequent trials; (vi) GR-MD-02 appears to be safe and well tolerated in this one year clinical trial; and (vii) we believe this is the first large, randomized clinical trial of any drug to demonstrate a clinically meaningful improvement in portal hypertension or liver biopsy in patients with compensated NASH cirrhosis without esophageal varices.</w:t>
      </w:r>
    </w:p>
    <w:p>
      <w:pPr>
        <w:spacing w:after="0" w:line="173" w:lineRule="exact"/>
        <w:rPr>
          <w:sz w:val="20"/>
          <w:szCs w:val="20"/>
          <w:color w:val="auto"/>
        </w:rPr>
      </w:pPr>
    </w:p>
    <w:p>
      <w:pPr>
        <w:ind w:right="120" w:firstLine="456"/>
        <w:spacing w:after="0" w:line="277" w:lineRule="auto"/>
        <w:rPr>
          <w:sz w:val="20"/>
          <w:szCs w:val="20"/>
          <w:color w:val="auto"/>
        </w:rPr>
      </w:pPr>
      <w:r>
        <w:rPr>
          <w:rFonts w:ascii="Arial" w:cs="Arial" w:eastAsia="Arial" w:hAnsi="Arial"/>
          <w:sz w:val="18"/>
          <w:szCs w:val="18"/>
          <w:color w:val="auto"/>
        </w:rPr>
        <w:t>The Company met with FDA on May 08, 2018. Following which it announced that it is proceeding with plans for a Phase 3 clinical trial program with its galectin-3 inhibitor GR-MD-02 in NASH cirrhosis, incorporating advice and guidance obtained in the meeting with the FDA.</w:t>
      </w:r>
    </w:p>
    <w:p>
      <w:pPr>
        <w:spacing w:after="0" w:line="170" w:lineRule="exact"/>
        <w:rPr>
          <w:sz w:val="20"/>
          <w:szCs w:val="20"/>
          <w:color w:val="auto"/>
        </w:rPr>
      </w:pPr>
    </w:p>
    <w:p>
      <w:pPr>
        <w:ind w:right="260" w:firstLine="456"/>
        <w:spacing w:after="0" w:line="259" w:lineRule="auto"/>
        <w:rPr>
          <w:sz w:val="20"/>
          <w:szCs w:val="20"/>
          <w:color w:val="auto"/>
        </w:rPr>
      </w:pPr>
      <w:r>
        <w:rPr>
          <w:rFonts w:ascii="Arial" w:cs="Arial" w:eastAsia="Arial" w:hAnsi="Arial"/>
          <w:sz w:val="18"/>
          <w:szCs w:val="18"/>
          <w:color w:val="auto"/>
        </w:rPr>
        <w:t>The target population of the Phase 3 clinical trial will be patients with NASH cirrhosis without esophageal varices. The primary endpoint will be chosen from two endpoints that the FDA agreed may be acceptable: The change in hepatic venous pressure gradient (HVPG), which is a measure of liver blood pressure, or the progression to esophageal varices. Both primary endpoints may be considered surrogate endpoints for clinical outcomes in the target population with NASH cirrhosis.</w:t>
      </w:r>
    </w:p>
    <w:p>
      <w:pPr>
        <w:spacing w:after="0" w:line="187" w:lineRule="exact"/>
        <w:rPr>
          <w:sz w:val="20"/>
          <w:szCs w:val="20"/>
          <w:color w:val="auto"/>
        </w:rPr>
      </w:pPr>
    </w:p>
    <w:p>
      <w:pPr>
        <w:ind w:right="100" w:firstLine="456"/>
        <w:spacing w:after="0" w:line="291" w:lineRule="auto"/>
        <w:rPr>
          <w:sz w:val="20"/>
          <w:szCs w:val="20"/>
          <w:color w:val="auto"/>
        </w:rPr>
      </w:pPr>
      <w:r>
        <w:rPr>
          <w:rFonts w:ascii="Arial" w:cs="Arial" w:eastAsia="Arial" w:hAnsi="Arial"/>
          <w:sz w:val="16"/>
          <w:szCs w:val="16"/>
          <w:color w:val="auto"/>
        </w:rPr>
        <w:t>The basis for advancing to Phase 3 is the positive effects of GR-MD-02 on HVPG and the possible prevention or postponement of development of esophageal varices observed in the post-hoc analysis of the Phase 2 NASH-CX trial, which we believe is the first large, randomized clinical trial of any drug to demonstrate a clinically meaningful improvement in these patients. The potential choice between two primary endpoints for Phase 3 trials provides enhanced flexibility in designing the strongest trial to replicate the efficacy demonstrated in the Phase 2 NASH-CX trial. However, there can be no assurance that a larger trial will replicate the results of the NASH-CX trial. The choice of which primary endpoint to use is a complex and important decision for the design of the Phase 3 trial and may require additional input from external advisors and the FDA. Additionally, the clinical trial design discussed with the FDA provides for interim analysis which may provide confirmation of Phase 2 results and enhanced confidence for the ultimate results of the Phase 3 trial.</w:t>
      </w:r>
    </w:p>
    <w:p>
      <w:pPr>
        <w:spacing w:after="0" w:line="167" w:lineRule="exact"/>
        <w:rPr>
          <w:sz w:val="20"/>
          <w:szCs w:val="20"/>
          <w:color w:val="auto"/>
        </w:rPr>
      </w:pPr>
    </w:p>
    <w:p>
      <w:pPr>
        <w:ind w:right="60" w:firstLine="456"/>
        <w:spacing w:after="0" w:line="255" w:lineRule="auto"/>
        <w:rPr>
          <w:sz w:val="20"/>
          <w:szCs w:val="20"/>
          <w:color w:val="auto"/>
        </w:rPr>
      </w:pPr>
      <w:r>
        <w:rPr>
          <w:rFonts w:ascii="Arial" w:cs="Arial" w:eastAsia="Arial" w:hAnsi="Arial"/>
          <w:sz w:val="18"/>
          <w:szCs w:val="18"/>
          <w:color w:val="auto"/>
        </w:rPr>
        <w:t>As disclosed in May 2018, the FDA has not granted breakthrough designation at this time based on the Agency’s current assessment that additional confirmatory data are needed to identify the level of change in HVPG that is reasonably likely to predict clinical outcomes. Although we disagree with FDA’s decision not to grant Breakthrough Therapy designation, we understand their position because while the NASH-CX trial missed on the primary endpoint in the total population, the additional analysis of NASH-CX trial is, to our knowledge, the first randomized clinical trial of any drug to demonstrate a clinically meaningful improvement in HVPG in NASH cirrhosis patients. While Breakthrough Designation was not granted at this time, the program continues to benefit from Fast Track designation which provides many of the same advantages as Breakthrough Therapy designation, including potential for accelerated approval and priority review.</w:t>
      </w:r>
    </w:p>
    <w:p>
      <w:pPr>
        <w:spacing w:after="0" w:line="189" w:lineRule="exact"/>
        <w:rPr>
          <w:sz w:val="20"/>
          <w:szCs w:val="20"/>
          <w:color w:val="auto"/>
        </w:rPr>
      </w:pPr>
    </w:p>
    <w:p>
      <w:pPr>
        <w:ind w:firstLine="456"/>
        <w:spacing w:after="0" w:line="288" w:lineRule="auto"/>
        <w:rPr>
          <w:sz w:val="20"/>
          <w:szCs w:val="20"/>
          <w:color w:val="auto"/>
        </w:rPr>
      </w:pPr>
      <w:r>
        <w:rPr>
          <w:rFonts w:ascii="Arial" w:cs="Arial" w:eastAsia="Arial" w:hAnsi="Arial"/>
          <w:sz w:val="16"/>
          <w:szCs w:val="16"/>
          <w:color w:val="auto"/>
        </w:rPr>
        <w:t>Details of the Phase 3 clinical trial design, including projected timings and costs, will be announced once the planning phase has been completed. These planning activities, include amongst other items and activities, completion of a detailed final clinical trial protocol that the company believes meets regulatory expectations, and estimates for pricing and timing are derived from a Request for Proposal process involving Clinical Research Organizations. Various other activities, amongst others include, manufacturing of clinical supplies in support of a Phase 3 program and certain antecedent advanced reproductive toxicology studies as defined by FDA in accordance with guidelines of the International Committee on Harmonization, assessing the need for foreign regulatory filings to permit inclusion of additional clinical sites into the Phase 3 trial program to accelerate enrollment of patients and meet ICH expectations on minimum patient exposure requirements. The focus and goal of the therapeutic program is to stop the progression of and reverse the fibrosis in the liver and, thereby improve liver function and prevent the development of complications of fibrosis/cirrhosis and liver-related mortality in patients. The results of the NASH-CX trial suggest that, subject to confirmation in additional or later stage clinical trials, this goal is achievable in a significant portion of the NASH cirrhosis patient population i.e. those NASH cirrhosis patients without esophageal varices.</w:t>
      </w:r>
    </w:p>
    <w:p>
      <w:pPr>
        <w:spacing w:after="0" w:line="102"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14</w:t>
      </w:r>
    </w:p>
    <w:p>
      <w:pPr>
        <w:sectPr>
          <w:pgSz w:w="11900" w:h="16838" w:orient="portrait"/>
          <w:cols w:equalWidth="0" w:num="1">
            <w:col w:w="11420"/>
          </w:cols>
          <w:pgMar w:left="240" w:top="459" w:right="239" w:bottom="1440" w:gutter="0" w:footer="0" w:header="0"/>
        </w:sectPr>
      </w:pPr>
    </w:p>
    <w:bookmarkStart w:id="14" w:name="page15"/>
    <w:bookmarkEnd w:id="1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firstLine="456"/>
        <w:spacing w:after="0" w:line="287" w:lineRule="auto"/>
        <w:rPr>
          <w:sz w:val="20"/>
          <w:szCs w:val="20"/>
          <w:color w:val="auto"/>
        </w:rPr>
      </w:pPr>
      <w:r>
        <w:rPr>
          <w:rFonts w:ascii="Arial" w:cs="Arial" w:eastAsia="Arial" w:hAnsi="Arial"/>
          <w:sz w:val="16"/>
          <w:szCs w:val="16"/>
          <w:i w:val="1"/>
          <w:iCs w:val="1"/>
          <w:color w:val="auto"/>
        </w:rPr>
        <w:t xml:space="preserve">Cancer Immunotherapy. </w:t>
      </w:r>
      <w:r>
        <w:rPr>
          <w:rFonts w:ascii="Arial" w:cs="Arial" w:eastAsia="Arial" w:hAnsi="Arial"/>
          <w:sz w:val="16"/>
          <w:szCs w:val="16"/>
          <w:color w:val="auto"/>
        </w:rPr>
        <w:t>We believe there is potential for galectin inhibition to play a key role in the burgeoning area of cancer immunotherapy. For</w:t>
      </w:r>
      <w:r>
        <w:rPr>
          <w:rFonts w:ascii="Arial" w:cs="Arial" w:eastAsia="Arial" w:hAnsi="Arial"/>
          <w:sz w:val="16"/>
          <w:szCs w:val="16"/>
          <w:i w:val="1"/>
          <w:iCs w:val="1"/>
          <w:color w:val="auto"/>
        </w:rPr>
        <w:t xml:space="preserve"> </w:t>
      </w:r>
      <w:r>
        <w:rPr>
          <w:rFonts w:ascii="Arial" w:cs="Arial" w:eastAsia="Arial" w:hAnsi="Arial"/>
          <w:sz w:val="16"/>
          <w:szCs w:val="16"/>
          <w:color w:val="auto"/>
        </w:rPr>
        <w:t>example, there have been several recent approvals of drugs that enhance a patient’s immune system to fight cancer. It is our goal to use a galectin inhibitor to enhance the immune system function to fight cancer in a way that complements other approaches to this type of therapy. This hypothesis is supported by the fact that galectin-3 is expressed at high levels in multiple types of tumors, adds to the malignant nature of the tumors, and protects the tumors from immune system attack. Our drug candidates provide a promising new therapeutic approach to enhance the activity of the immune system against cancer cells. Preclinical studies have indicated that GR-MD-02 enhances the immune response to cancer cells, increased tumor shrinkage and enhanced survival in immune competent mice with prostate, breast, melanoma and sarcoma cancers when combined with one of the immune checkpoint inhibitors, anti-CTLA-4 or anti-PD-1, and with the immune cell activator anti-OX40. These preclinical data led to the filing of two Investigator-sponsored INDs and the initiation of studies of GR-MD-02 in combination with Yervoy</w:t>
      </w:r>
      <w:r>
        <w:rPr>
          <w:rFonts w:ascii="Arial" w:cs="Arial" w:eastAsia="Arial" w:hAnsi="Arial"/>
          <w:sz w:val="13"/>
          <w:szCs w:val="13"/>
          <w:color w:val="auto"/>
        </w:rPr>
        <w:t>®</w:t>
      </w:r>
      <w:r>
        <w:rPr>
          <w:rFonts w:ascii="Arial" w:cs="Arial" w:eastAsia="Arial" w:hAnsi="Arial"/>
          <w:sz w:val="16"/>
          <w:szCs w:val="16"/>
          <w:color w:val="auto"/>
        </w:rPr>
        <w:t xml:space="preserve"> (ipilimumab) and KEYTRUDA (pembrolizumab) in Phase 1B studies of patients with metastatic melanoma. The KEYTRUDA trial has also been expanded to include patients with non-small cell lung cancer and head and neck squamous cell carcinoma. These studies are being conducted under the sponsorship of Providence Portland Medical Center’s Earle A. Chiles Research Institute (EACRI).</w:t>
      </w:r>
    </w:p>
    <w:p>
      <w:pPr>
        <w:spacing w:after="0" w:line="173" w:lineRule="exact"/>
        <w:rPr>
          <w:sz w:val="20"/>
          <w:szCs w:val="20"/>
          <w:color w:val="auto"/>
        </w:rPr>
      </w:pPr>
    </w:p>
    <w:p>
      <w:pPr>
        <w:ind w:right="100" w:firstLine="456"/>
        <w:spacing w:after="0" w:line="288" w:lineRule="auto"/>
        <w:rPr>
          <w:sz w:val="20"/>
          <w:szCs w:val="20"/>
          <w:color w:val="auto"/>
        </w:rPr>
      </w:pPr>
      <w:r>
        <w:rPr>
          <w:rFonts w:ascii="Arial" w:cs="Arial" w:eastAsia="Arial" w:hAnsi="Arial"/>
          <w:sz w:val="16"/>
          <w:szCs w:val="16"/>
          <w:color w:val="auto"/>
        </w:rPr>
        <w:t>Data on this combination immunotherapy program was presented on February 7, 2017 at the 9th GTCBio Immunotherapeutics &amp; Immunomonitoring Conference in San Diego, CA by Dr. William L. Redmond, Providence Cancer Center. Preclinical results in mouse models of multiple types of cancers showed important anti-tumor and increased survival effects of combining GR-MD-02 with different types of immune modulators, providing a case for progressing studies into human patients with cancer. Seven patients were treated in the GR-MD-02 in combination with Yervoy trial, with no safety concerns in these low dose cohorts. Due to changes in the standard of care for metastatic melanoma (i.e., approval of anti-PD-1), recruitment has been slowed significantly in this trial. Promising results were reported in the Phase 1b trial combining GR-MD-02 with pembrolizumab (KEYTRUDA). Cohort 1 was completed (n=6, 5 with melanoma, one head and neck) with one partial response and one mixed response in 5 melanoma patients. There was a rapid and marked tumor response after 3 doses of combined GR-MD-02 and pembrolizumab in the one partial response patient who had failed high-dose IL-2 and oncolytic virus + ipilimumab. The study is ongoing and progression to further development will be based on response rate as compared to historical response rates to pembrolizumab alone. Results from third cohort of patients is expected in Summer, 2018.</w:t>
      </w:r>
    </w:p>
    <w:p>
      <w:pPr>
        <w:spacing w:after="0" w:line="169" w:lineRule="exact"/>
        <w:rPr>
          <w:sz w:val="20"/>
          <w:szCs w:val="20"/>
          <w:color w:val="auto"/>
        </w:rPr>
      </w:pPr>
    </w:p>
    <w:p>
      <w:pPr>
        <w:ind w:right="20" w:firstLine="456"/>
        <w:spacing w:after="0" w:line="259" w:lineRule="auto"/>
        <w:rPr>
          <w:sz w:val="20"/>
          <w:szCs w:val="20"/>
          <w:color w:val="auto"/>
        </w:rPr>
      </w:pPr>
      <w:r>
        <w:rPr>
          <w:rFonts w:ascii="Arial" w:cs="Arial" w:eastAsia="Arial" w:hAnsi="Arial"/>
          <w:sz w:val="18"/>
          <w:szCs w:val="18"/>
          <w:i w:val="1"/>
          <w:iCs w:val="1"/>
          <w:color w:val="auto"/>
        </w:rPr>
        <w:t xml:space="preserve">Severe skin diseases. </w:t>
      </w:r>
      <w:r>
        <w:rPr>
          <w:rFonts w:ascii="Arial" w:cs="Arial" w:eastAsia="Arial" w:hAnsi="Arial"/>
          <w:sz w:val="18"/>
          <w:szCs w:val="18"/>
          <w:color w:val="auto"/>
        </w:rPr>
        <w:t>During our Phase 1 NASH fibrosis trial with GR-MD-02, a clinical effect on plaque psoriasis was observed in a NASH patient</w:t>
      </w:r>
      <w:r>
        <w:rPr>
          <w:rFonts w:ascii="Arial" w:cs="Arial" w:eastAsia="Arial" w:hAnsi="Arial"/>
          <w:sz w:val="18"/>
          <w:szCs w:val="18"/>
          <w:i w:val="1"/>
          <w:iCs w:val="1"/>
          <w:color w:val="auto"/>
        </w:rPr>
        <w:t xml:space="preserve"> </w:t>
      </w:r>
      <w:r>
        <w:rPr>
          <w:rFonts w:ascii="Arial" w:cs="Arial" w:eastAsia="Arial" w:hAnsi="Arial"/>
          <w:sz w:val="18"/>
          <w:szCs w:val="18"/>
          <w:color w:val="auto"/>
        </w:rPr>
        <w:t>who also had this disease. This patient had marked improvement in her psoriasis, with improvement beginning after the third infusion. She reported that her psoriasis was “completely gone” and her skin was “normal” after the fourth infusion. Her skin remained normal for 17 months after the final infusion of study drug. The patient is convinced that the improvement in her psoriasis is related to the study drug.</w:t>
      </w:r>
    </w:p>
    <w:p>
      <w:pPr>
        <w:spacing w:after="0" w:line="187" w:lineRule="exact"/>
        <w:rPr>
          <w:sz w:val="20"/>
          <w:szCs w:val="20"/>
          <w:color w:val="auto"/>
        </w:rPr>
      </w:pPr>
    </w:p>
    <w:p>
      <w:pPr>
        <w:ind w:right="20" w:firstLine="456"/>
        <w:spacing w:after="0" w:line="284" w:lineRule="auto"/>
        <w:rPr>
          <w:sz w:val="20"/>
          <w:szCs w:val="20"/>
          <w:color w:val="auto"/>
        </w:rPr>
      </w:pPr>
      <w:r>
        <w:rPr>
          <w:rFonts w:ascii="Arial" w:cs="Arial" w:eastAsia="Arial" w:hAnsi="Arial"/>
          <w:sz w:val="16"/>
          <w:szCs w:val="16"/>
          <w:color w:val="auto"/>
        </w:rPr>
        <w:t>This serendipitous finding, combined with galectin-3 protein being markedly upregulated in the capillary epithelia (small blood vessels) of the psoriatic dermis (plaque lesions), led to a phase 2a trial in patients with moderate to severe plaque psoriasis. GR-MD-02 inhibition of galectin-3 may attenuate capillary changes in the psoriatic dermis and inflammatory recruitment, perhaps explaining the improvements observed in the NASH fibrosis trial patient. In this open-label, unblinded trial (no placebo, all patients knowingly receive active drug), 5 patients with moderate to severe plaque psoriasis were administered GR-MD-02 every two weeks for 24 weeks. In May 2016, we reported positive results on the first four patients after 12 weeks of therapy. Based on these results, we modified the trial to include 24 weeks of therapy. In August 2016, we reported on four patients after 24 weeks of therapy and one patient after</w:t>
      </w:r>
    </w:p>
    <w:p>
      <w:pPr>
        <w:spacing w:after="0" w:line="5" w:lineRule="exact"/>
        <w:rPr>
          <w:sz w:val="20"/>
          <w:szCs w:val="20"/>
          <w:color w:val="auto"/>
        </w:rPr>
      </w:pPr>
    </w:p>
    <w:p>
      <w:pPr>
        <w:ind w:right="40"/>
        <w:spacing w:after="0" w:line="253" w:lineRule="auto"/>
        <w:rPr>
          <w:sz w:val="20"/>
          <w:szCs w:val="20"/>
          <w:color w:val="auto"/>
        </w:rPr>
      </w:pPr>
      <w:r>
        <w:rPr>
          <w:rFonts w:ascii="Arial" w:cs="Arial" w:eastAsia="Arial" w:hAnsi="Arial"/>
          <w:sz w:val="18"/>
          <w:szCs w:val="18"/>
          <w:color w:val="auto"/>
        </w:rPr>
        <w:t>12 weeks of therapy. The four patients who received 24 weeks of therapy experienced an average of 48% improvement in their plaque psoriasis. At this time, the average response in all five patients remains at 50% with one patient having an 82% improvement. However, there are existing drugs on the market in this disease that produce 75% and higher improvements in 60-90% of patients. While we are encouraged that this study has demonstrated clinically meaningful results in a human disease with GR-MD-02, the next steps would entail a controlled, does-ranging clinical trial which we do not expect to conduct absent a strategic partnership.</w:t>
      </w:r>
    </w:p>
    <w:p>
      <w:pPr>
        <w:spacing w:after="0" w:line="191" w:lineRule="exact"/>
        <w:rPr>
          <w:sz w:val="20"/>
          <w:szCs w:val="20"/>
          <w:color w:val="auto"/>
        </w:rPr>
      </w:pPr>
    </w:p>
    <w:p>
      <w:pPr>
        <w:ind w:right="20" w:firstLine="456"/>
        <w:spacing w:after="0" w:line="279" w:lineRule="auto"/>
        <w:rPr>
          <w:sz w:val="20"/>
          <w:szCs w:val="20"/>
          <w:color w:val="auto"/>
        </w:rPr>
      </w:pPr>
      <w:r>
        <w:rPr>
          <w:rFonts w:ascii="Arial" w:cs="Arial" w:eastAsia="Arial" w:hAnsi="Arial"/>
          <w:sz w:val="17"/>
          <w:szCs w:val="17"/>
          <w:color w:val="auto"/>
        </w:rPr>
        <w:t>We believe the mechanism of action for GR-MD-02 is based upon interaction with, and inhibition of, galectin proteins, particularly galectin-3, which are expressed at high levels in certain pathological states including inflammation, fibrosis and cancer. While GR-MD-02 is capable of binding to multiple galectin proteins, we believe that it has the greatest affinity for galectin-3, the most prominent galectin implicated in pathological processes. Blocking galectin in cancer and liver fibrosis has specific salutary effects on the disease process, as discussed below.</w:t>
      </w:r>
    </w:p>
    <w:p>
      <w:pPr>
        <w:spacing w:after="0" w:line="10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15</w:t>
      </w:r>
    </w:p>
    <w:p>
      <w:pPr>
        <w:sectPr>
          <w:pgSz w:w="11900" w:h="16838" w:orient="portrait"/>
          <w:cols w:equalWidth="0" w:num="1">
            <w:col w:w="11420"/>
          </w:cols>
          <w:pgMar w:left="240" w:top="459" w:right="239" w:bottom="1440" w:gutter="0" w:footer="0" w:header="0"/>
        </w:sectPr>
      </w:pPr>
    </w:p>
    <w:bookmarkStart w:id="15" w:name="page16"/>
    <w:bookmarkEnd w:id="1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Results of Operations</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Three and Six Months Ended June 30, 2018 Compared to Three and Six Months Ended June 30, 2017</w:t>
      </w:r>
    </w:p>
    <w:p>
      <w:pPr>
        <w:spacing w:after="0" w:line="121"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Research and Development Expense.</w:t>
      </w:r>
    </w:p>
    <w:p>
      <w:pPr>
        <w:spacing w:after="0" w:line="248" w:lineRule="exact"/>
        <w:rPr>
          <w:sz w:val="20"/>
          <w:szCs w:val="20"/>
          <w:color w:val="auto"/>
        </w:rPr>
      </w:pPr>
    </w:p>
    <w:tbl>
      <w:tblPr>
        <w:tblLayout w:type="fixed"/>
        <w:tblInd w:w="0" w:type="dxa"/>
        <w:tblCellMar>
          <w:top w:w="0" w:type="dxa"/>
          <w:left w:w="0" w:type="dxa"/>
          <w:bottom w:w="0" w:type="dxa"/>
          <w:right w:w="0" w:type="dxa"/>
        </w:tblCellMar>
      </w:tblPr>
      <w:tr>
        <w:trPr>
          <w:trHeight w:val="167"/>
        </w:trPr>
        <w:tc>
          <w:tcPr>
            <w:tcW w:w="4820" w:type="dxa"/>
            <w:vAlign w:val="bottom"/>
          </w:tcPr>
          <w:p>
            <w:pPr>
              <w:spacing w:after="0"/>
              <w:rPr>
                <w:sz w:val="14"/>
                <w:szCs w:val="14"/>
                <w:color w:val="auto"/>
              </w:rPr>
            </w:pPr>
          </w:p>
        </w:tc>
        <w:tc>
          <w:tcPr>
            <w:tcW w:w="1520" w:type="dxa"/>
            <w:vAlign w:val="bottom"/>
            <w:gridSpan w:val="3"/>
          </w:tcPr>
          <w:p>
            <w:pPr>
              <w:jc w:val="center"/>
              <w:ind w:right="220"/>
              <w:spacing w:after="0"/>
              <w:rPr>
                <w:sz w:val="20"/>
                <w:szCs w:val="20"/>
                <w:color w:val="auto"/>
              </w:rPr>
            </w:pPr>
            <w:r>
              <w:rPr>
                <w:rFonts w:ascii="Arial" w:cs="Arial" w:eastAsia="Arial" w:hAnsi="Arial"/>
                <w:sz w:val="14"/>
                <w:szCs w:val="14"/>
                <w:color w:val="auto"/>
                <w:w w:val="93"/>
              </w:rPr>
              <w:t>Three Months Ended</w:t>
            </w:r>
          </w:p>
        </w:tc>
        <w:tc>
          <w:tcPr>
            <w:tcW w:w="1360" w:type="dxa"/>
            <w:vAlign w:val="bottom"/>
            <w:gridSpan w:val="3"/>
          </w:tcPr>
          <w:p>
            <w:pPr>
              <w:jc w:val="center"/>
              <w:ind w:right="120"/>
              <w:spacing w:after="0"/>
              <w:rPr>
                <w:sz w:val="20"/>
                <w:szCs w:val="20"/>
                <w:color w:val="auto"/>
              </w:rPr>
            </w:pPr>
            <w:r>
              <w:rPr>
                <w:rFonts w:ascii="Arial" w:cs="Arial" w:eastAsia="Arial" w:hAnsi="Arial"/>
                <w:sz w:val="14"/>
                <w:szCs w:val="14"/>
                <w:color w:val="auto"/>
                <w:w w:val="95"/>
              </w:rPr>
              <w:t>Six Months Ended</w:t>
            </w:r>
          </w:p>
        </w:tc>
        <w:tc>
          <w:tcPr>
            <w:tcW w:w="12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1880" w:type="dxa"/>
            <w:vAlign w:val="bottom"/>
            <w:gridSpan w:val="3"/>
          </w:tcPr>
          <w:p>
            <w:pPr>
              <w:jc w:val="right"/>
              <w:ind w:right="102"/>
              <w:spacing w:after="0"/>
              <w:rPr>
                <w:sz w:val="20"/>
                <w:szCs w:val="20"/>
                <w:color w:val="auto"/>
              </w:rPr>
            </w:pPr>
            <w:r>
              <w:rPr>
                <w:rFonts w:ascii="Arial" w:cs="Arial" w:eastAsia="Arial" w:hAnsi="Arial"/>
                <w:sz w:val="14"/>
                <w:szCs w:val="14"/>
                <w:color w:val="auto"/>
                <w:w w:val="99"/>
              </w:rPr>
              <w:t>2018 as Compared to 2017</w:t>
            </w:r>
          </w:p>
        </w:tc>
        <w:tc>
          <w:tcPr>
            <w:tcW w:w="720" w:type="dxa"/>
            <w:vAlign w:val="bottom"/>
          </w:tcPr>
          <w:p>
            <w:pPr>
              <w:spacing w:after="0"/>
              <w:rPr>
                <w:sz w:val="14"/>
                <w:szCs w:val="14"/>
                <w:color w:val="auto"/>
              </w:rPr>
            </w:pPr>
          </w:p>
        </w:tc>
        <w:tc>
          <w:tcPr>
            <w:tcW w:w="260" w:type="dxa"/>
            <w:vAlign w:val="bottom"/>
          </w:tcPr>
          <w:p>
            <w:pPr>
              <w:spacing w:after="0"/>
              <w:rPr>
                <w:sz w:val="14"/>
                <w:szCs w:val="14"/>
                <w:color w:val="auto"/>
              </w:rPr>
            </w:pPr>
          </w:p>
        </w:tc>
      </w:tr>
      <w:tr>
        <w:trPr>
          <w:trHeight w:val="142"/>
        </w:trPr>
        <w:tc>
          <w:tcPr>
            <w:tcW w:w="4820" w:type="dxa"/>
            <w:vAlign w:val="bottom"/>
          </w:tcPr>
          <w:p>
            <w:pPr>
              <w:spacing w:after="0"/>
              <w:rPr>
                <w:sz w:val="12"/>
                <w:szCs w:val="12"/>
                <w:color w:val="auto"/>
              </w:rPr>
            </w:pPr>
          </w:p>
        </w:tc>
        <w:tc>
          <w:tcPr>
            <w:tcW w:w="1300" w:type="dxa"/>
            <w:vAlign w:val="bottom"/>
            <w:tcBorders>
              <w:top w:val="single" w:sz="8" w:color="auto"/>
            </w:tcBorders>
            <w:gridSpan w:val="2"/>
          </w:tcPr>
          <w:p>
            <w:pPr>
              <w:jc w:val="center"/>
              <w:spacing w:after="0" w:line="142" w:lineRule="exact"/>
              <w:rPr>
                <w:sz w:val="20"/>
                <w:szCs w:val="20"/>
                <w:color w:val="auto"/>
              </w:rPr>
            </w:pPr>
            <w:r>
              <w:rPr>
                <w:rFonts w:ascii="Arial" w:cs="Arial" w:eastAsia="Arial" w:hAnsi="Arial"/>
                <w:sz w:val="14"/>
                <w:szCs w:val="14"/>
                <w:color w:val="auto"/>
                <w:w w:val="89"/>
              </w:rPr>
              <w:t>June 30,</w:t>
            </w:r>
          </w:p>
        </w:tc>
        <w:tc>
          <w:tcPr>
            <w:tcW w:w="220" w:type="dxa"/>
            <w:vAlign w:val="bottom"/>
          </w:tcPr>
          <w:p>
            <w:pPr>
              <w:spacing w:after="0"/>
              <w:rPr>
                <w:sz w:val="12"/>
                <w:szCs w:val="12"/>
                <w:color w:val="auto"/>
              </w:rPr>
            </w:pPr>
          </w:p>
        </w:tc>
        <w:tc>
          <w:tcPr>
            <w:tcW w:w="1240" w:type="dxa"/>
            <w:vAlign w:val="bottom"/>
            <w:tcBorders>
              <w:top w:val="single" w:sz="8" w:color="auto"/>
            </w:tcBorders>
            <w:gridSpan w:val="2"/>
          </w:tcPr>
          <w:p>
            <w:pPr>
              <w:jc w:val="center"/>
              <w:spacing w:after="0" w:line="142" w:lineRule="exact"/>
              <w:rPr>
                <w:sz w:val="20"/>
                <w:szCs w:val="20"/>
                <w:color w:val="auto"/>
              </w:rPr>
            </w:pPr>
            <w:r>
              <w:rPr>
                <w:rFonts w:ascii="Arial" w:cs="Arial" w:eastAsia="Arial" w:hAnsi="Arial"/>
                <w:sz w:val="14"/>
                <w:szCs w:val="14"/>
                <w:color w:val="auto"/>
                <w:w w:val="89"/>
              </w:rPr>
              <w:t>June 30,</w:t>
            </w:r>
          </w:p>
        </w:tc>
        <w:tc>
          <w:tcPr>
            <w:tcW w:w="1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880" w:type="dxa"/>
            <w:vAlign w:val="bottom"/>
            <w:tcBorders>
              <w:top w:val="single" w:sz="8" w:color="auto"/>
            </w:tcBorders>
            <w:gridSpan w:val="3"/>
          </w:tcPr>
          <w:p>
            <w:pPr>
              <w:ind w:left="320"/>
              <w:spacing w:after="0" w:line="142" w:lineRule="exact"/>
              <w:rPr>
                <w:sz w:val="20"/>
                <w:szCs w:val="20"/>
                <w:color w:val="auto"/>
              </w:rPr>
            </w:pPr>
            <w:r>
              <w:rPr>
                <w:rFonts w:ascii="Arial" w:cs="Arial" w:eastAsia="Arial" w:hAnsi="Arial"/>
                <w:sz w:val="14"/>
                <w:szCs w:val="14"/>
                <w:color w:val="auto"/>
              </w:rPr>
              <w:t>Three Months</w:t>
            </w:r>
          </w:p>
        </w:tc>
        <w:tc>
          <w:tcPr>
            <w:tcW w:w="1460" w:type="dxa"/>
            <w:vAlign w:val="bottom"/>
            <w:tcBorders>
              <w:top w:val="single" w:sz="8" w:color="auto"/>
            </w:tcBorders>
            <w:gridSpan w:val="2"/>
          </w:tcPr>
          <w:p>
            <w:pPr>
              <w:ind w:left="400"/>
              <w:spacing w:after="0" w:line="142" w:lineRule="exact"/>
              <w:rPr>
                <w:sz w:val="20"/>
                <w:szCs w:val="20"/>
                <w:color w:val="auto"/>
              </w:rPr>
            </w:pPr>
            <w:r>
              <w:rPr>
                <w:rFonts w:ascii="Arial" w:cs="Arial" w:eastAsia="Arial" w:hAnsi="Arial"/>
                <w:sz w:val="14"/>
                <w:szCs w:val="14"/>
                <w:color w:val="auto"/>
              </w:rPr>
              <w:t>Six Months</w:t>
            </w:r>
          </w:p>
        </w:tc>
        <w:tc>
          <w:tcPr>
            <w:tcW w:w="260" w:type="dxa"/>
            <w:vAlign w:val="bottom"/>
          </w:tcPr>
          <w:p>
            <w:pPr>
              <w:spacing w:after="0"/>
              <w:rPr>
                <w:sz w:val="12"/>
                <w:szCs w:val="12"/>
                <w:color w:val="auto"/>
              </w:rPr>
            </w:pPr>
          </w:p>
        </w:tc>
      </w:tr>
      <w:tr>
        <w:trPr>
          <w:trHeight w:val="142"/>
        </w:trPr>
        <w:tc>
          <w:tcPr>
            <w:tcW w:w="4820" w:type="dxa"/>
            <w:vAlign w:val="bottom"/>
          </w:tcPr>
          <w:p>
            <w:pPr>
              <w:spacing w:after="0"/>
              <w:rPr>
                <w:sz w:val="12"/>
                <w:szCs w:val="12"/>
                <w:color w:val="auto"/>
              </w:rPr>
            </w:pPr>
          </w:p>
        </w:tc>
        <w:tc>
          <w:tcPr>
            <w:tcW w:w="620" w:type="dxa"/>
            <w:vAlign w:val="bottom"/>
            <w:tcBorders>
              <w:top w:val="single" w:sz="8" w:color="auto"/>
              <w:bottom w:val="single" w:sz="8" w:color="auto"/>
            </w:tcBorders>
          </w:tcPr>
          <w:p>
            <w:pPr>
              <w:jc w:val="right"/>
              <w:ind w:right="144"/>
              <w:spacing w:after="0" w:line="142" w:lineRule="exact"/>
              <w:rPr>
                <w:sz w:val="20"/>
                <w:szCs w:val="20"/>
                <w:color w:val="auto"/>
              </w:rPr>
            </w:pPr>
            <w:r>
              <w:rPr>
                <w:rFonts w:ascii="Arial" w:cs="Arial" w:eastAsia="Arial" w:hAnsi="Arial"/>
                <w:sz w:val="14"/>
                <w:szCs w:val="14"/>
                <w:color w:val="auto"/>
              </w:rPr>
              <w:t>2018</w:t>
            </w:r>
          </w:p>
        </w:tc>
        <w:tc>
          <w:tcPr>
            <w:tcW w:w="680" w:type="dxa"/>
            <w:vAlign w:val="bottom"/>
            <w:tcBorders>
              <w:top w:val="single" w:sz="8" w:color="auto"/>
              <w:bottom w:val="single" w:sz="8" w:color="auto"/>
            </w:tcBorders>
          </w:tcPr>
          <w:p>
            <w:pPr>
              <w:jc w:val="right"/>
              <w:ind w:right="59"/>
              <w:spacing w:after="0" w:line="142" w:lineRule="exact"/>
              <w:rPr>
                <w:sz w:val="20"/>
                <w:szCs w:val="20"/>
                <w:color w:val="auto"/>
              </w:rPr>
            </w:pPr>
            <w:r>
              <w:rPr>
                <w:rFonts w:ascii="Arial" w:cs="Arial" w:eastAsia="Arial" w:hAnsi="Arial"/>
                <w:sz w:val="14"/>
                <w:szCs w:val="14"/>
                <w:color w:val="auto"/>
              </w:rPr>
              <w:t>2017</w:t>
            </w:r>
          </w:p>
        </w:tc>
        <w:tc>
          <w:tcPr>
            <w:tcW w:w="220" w:type="dxa"/>
            <w:vAlign w:val="bottom"/>
            <w:tcBorders>
              <w:bottom w:val="single" w:sz="8" w:color="auto"/>
            </w:tcBorders>
          </w:tcPr>
          <w:p>
            <w:pPr>
              <w:spacing w:after="0"/>
              <w:rPr>
                <w:sz w:val="12"/>
                <w:szCs w:val="12"/>
                <w:color w:val="auto"/>
              </w:rPr>
            </w:pPr>
          </w:p>
        </w:tc>
        <w:tc>
          <w:tcPr>
            <w:tcW w:w="620" w:type="dxa"/>
            <w:vAlign w:val="bottom"/>
            <w:tcBorders>
              <w:top w:val="single" w:sz="8" w:color="auto"/>
              <w:bottom w:val="single" w:sz="8" w:color="auto"/>
            </w:tcBorders>
          </w:tcPr>
          <w:p>
            <w:pPr>
              <w:jc w:val="right"/>
              <w:ind w:right="144"/>
              <w:spacing w:after="0" w:line="142" w:lineRule="exact"/>
              <w:rPr>
                <w:sz w:val="20"/>
                <w:szCs w:val="20"/>
                <w:color w:val="auto"/>
              </w:rPr>
            </w:pPr>
            <w:r>
              <w:rPr>
                <w:rFonts w:ascii="Arial" w:cs="Arial" w:eastAsia="Arial" w:hAnsi="Arial"/>
                <w:sz w:val="14"/>
                <w:szCs w:val="14"/>
                <w:color w:val="auto"/>
              </w:rPr>
              <w:t>2018</w:t>
            </w:r>
          </w:p>
        </w:tc>
        <w:tc>
          <w:tcPr>
            <w:tcW w:w="620" w:type="dxa"/>
            <w:vAlign w:val="bottom"/>
            <w:tcBorders>
              <w:top w:val="single" w:sz="8" w:color="auto"/>
              <w:bottom w:val="single" w:sz="8" w:color="auto"/>
            </w:tcBorders>
          </w:tcPr>
          <w:p>
            <w:pPr>
              <w:jc w:val="right"/>
              <w:ind w:right="42"/>
              <w:spacing w:after="0" w:line="142" w:lineRule="exact"/>
              <w:rPr>
                <w:sz w:val="20"/>
                <w:szCs w:val="20"/>
                <w:color w:val="auto"/>
              </w:rPr>
            </w:pPr>
            <w:r>
              <w:rPr>
                <w:rFonts w:ascii="Arial" w:cs="Arial" w:eastAsia="Arial" w:hAnsi="Arial"/>
                <w:sz w:val="14"/>
                <w:szCs w:val="14"/>
                <w:color w:val="auto"/>
              </w:rPr>
              <w:t>2017</w:t>
            </w:r>
          </w:p>
        </w:tc>
        <w:tc>
          <w:tcPr>
            <w:tcW w:w="120" w:type="dxa"/>
            <w:vAlign w:val="bottom"/>
            <w:tcBorders>
              <w:bottom w:val="single" w:sz="8" w:color="auto"/>
            </w:tcBorders>
          </w:tcPr>
          <w:p>
            <w:pPr>
              <w:spacing w:after="0"/>
              <w:rPr>
                <w:sz w:val="12"/>
                <w:szCs w:val="12"/>
                <w:color w:val="auto"/>
              </w:rPr>
            </w:pPr>
          </w:p>
        </w:tc>
        <w:tc>
          <w:tcPr>
            <w:tcW w:w="120" w:type="dxa"/>
            <w:vAlign w:val="bottom"/>
            <w:tcBorders>
              <w:bottom w:val="single" w:sz="8" w:color="auto"/>
            </w:tcBorders>
          </w:tcPr>
          <w:p>
            <w:pPr>
              <w:spacing w:after="0"/>
              <w:rPr>
                <w:sz w:val="12"/>
                <w:szCs w:val="12"/>
                <w:color w:val="auto"/>
              </w:rPr>
            </w:pPr>
          </w:p>
        </w:tc>
        <w:tc>
          <w:tcPr>
            <w:tcW w:w="740" w:type="dxa"/>
            <w:vAlign w:val="bottom"/>
            <w:tcBorders>
              <w:top w:val="single" w:sz="8" w:color="auto"/>
              <w:bottom w:val="single" w:sz="8" w:color="auto"/>
            </w:tcBorders>
          </w:tcPr>
          <w:p>
            <w:pPr>
              <w:spacing w:after="0" w:line="142" w:lineRule="exact"/>
              <w:rPr>
                <w:sz w:val="20"/>
                <w:szCs w:val="20"/>
                <w:color w:val="auto"/>
              </w:rPr>
            </w:pPr>
            <w:r>
              <w:rPr>
                <w:rFonts w:ascii="Arial" w:cs="Arial" w:eastAsia="Arial" w:hAnsi="Arial"/>
                <w:sz w:val="14"/>
                <w:szCs w:val="14"/>
                <w:color w:val="auto"/>
              </w:rPr>
              <w:t>$ Change</w:t>
            </w:r>
          </w:p>
        </w:tc>
        <w:tc>
          <w:tcPr>
            <w:tcW w:w="720" w:type="dxa"/>
            <w:vAlign w:val="bottom"/>
            <w:tcBorders>
              <w:top w:val="single" w:sz="8" w:color="auto"/>
              <w:bottom w:val="single" w:sz="8" w:color="auto"/>
            </w:tcBorders>
          </w:tcPr>
          <w:p>
            <w:pPr>
              <w:jc w:val="right"/>
              <w:spacing w:after="0" w:line="142" w:lineRule="exact"/>
              <w:rPr>
                <w:sz w:val="20"/>
                <w:szCs w:val="20"/>
                <w:color w:val="auto"/>
              </w:rPr>
            </w:pPr>
            <w:r>
              <w:rPr>
                <w:rFonts w:ascii="Arial" w:cs="Arial" w:eastAsia="Arial" w:hAnsi="Arial"/>
                <w:sz w:val="14"/>
                <w:szCs w:val="14"/>
                <w:color w:val="auto"/>
              </w:rPr>
              <w:t>% Change</w:t>
            </w:r>
          </w:p>
        </w:tc>
        <w:tc>
          <w:tcPr>
            <w:tcW w:w="420" w:type="dxa"/>
            <w:vAlign w:val="bottom"/>
            <w:tcBorders>
              <w:bottom w:val="single" w:sz="8" w:color="auto"/>
            </w:tcBorders>
          </w:tcPr>
          <w:p>
            <w:pPr>
              <w:spacing w:after="0"/>
              <w:rPr>
                <w:sz w:val="12"/>
                <w:szCs w:val="12"/>
                <w:color w:val="auto"/>
              </w:rPr>
            </w:pPr>
          </w:p>
        </w:tc>
        <w:tc>
          <w:tcPr>
            <w:tcW w:w="740" w:type="dxa"/>
            <w:vAlign w:val="bottom"/>
            <w:tcBorders>
              <w:top w:val="single" w:sz="8" w:color="auto"/>
              <w:bottom w:val="single" w:sz="8" w:color="auto"/>
            </w:tcBorders>
          </w:tcPr>
          <w:p>
            <w:pPr>
              <w:jc w:val="right"/>
              <w:ind w:right="102"/>
              <w:spacing w:after="0" w:line="142" w:lineRule="exact"/>
              <w:rPr>
                <w:sz w:val="20"/>
                <w:szCs w:val="20"/>
                <w:color w:val="auto"/>
              </w:rPr>
            </w:pPr>
            <w:r>
              <w:rPr>
                <w:rFonts w:ascii="Arial" w:cs="Arial" w:eastAsia="Arial" w:hAnsi="Arial"/>
                <w:sz w:val="14"/>
                <w:szCs w:val="14"/>
                <w:color w:val="auto"/>
                <w:w w:val="88"/>
              </w:rPr>
              <w:t>$ Change</w:t>
            </w:r>
          </w:p>
        </w:tc>
        <w:tc>
          <w:tcPr>
            <w:tcW w:w="720" w:type="dxa"/>
            <w:vAlign w:val="bottom"/>
            <w:tcBorders>
              <w:top w:val="single" w:sz="8" w:color="auto"/>
              <w:bottom w:val="single" w:sz="8" w:color="auto"/>
            </w:tcBorders>
          </w:tcPr>
          <w:p>
            <w:pPr>
              <w:ind w:left="120"/>
              <w:spacing w:after="0" w:line="142" w:lineRule="exact"/>
              <w:rPr>
                <w:sz w:val="20"/>
                <w:szCs w:val="20"/>
                <w:color w:val="auto"/>
              </w:rPr>
            </w:pPr>
            <w:r>
              <w:rPr>
                <w:rFonts w:ascii="Arial" w:cs="Arial" w:eastAsia="Arial" w:hAnsi="Arial"/>
                <w:sz w:val="14"/>
                <w:szCs w:val="14"/>
                <w:color w:val="auto"/>
                <w:w w:val="88"/>
              </w:rPr>
              <w:t>% Change</w:t>
            </w:r>
          </w:p>
        </w:tc>
        <w:tc>
          <w:tcPr>
            <w:tcW w:w="260" w:type="dxa"/>
            <w:vAlign w:val="bottom"/>
          </w:tcPr>
          <w:p>
            <w:pPr>
              <w:spacing w:after="0"/>
              <w:rPr>
                <w:sz w:val="12"/>
                <w:szCs w:val="12"/>
                <w:color w:val="auto"/>
              </w:rPr>
            </w:pPr>
          </w:p>
        </w:tc>
      </w:tr>
      <w:tr>
        <w:trPr>
          <w:trHeight w:val="142"/>
        </w:trPr>
        <w:tc>
          <w:tcPr>
            <w:tcW w:w="482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2740" w:type="dxa"/>
            <w:vAlign w:val="bottom"/>
            <w:gridSpan w:val="6"/>
          </w:tcPr>
          <w:p>
            <w:pPr>
              <w:jc w:val="right"/>
              <w:ind w:right="1000"/>
              <w:spacing w:after="0" w:line="142" w:lineRule="exact"/>
              <w:rPr>
                <w:sz w:val="20"/>
                <w:szCs w:val="20"/>
                <w:color w:val="auto"/>
              </w:rPr>
            </w:pPr>
            <w:r>
              <w:rPr>
                <w:rFonts w:ascii="Arial" w:cs="Arial" w:eastAsia="Arial" w:hAnsi="Arial"/>
                <w:sz w:val="14"/>
                <w:szCs w:val="14"/>
                <w:color w:val="auto"/>
              </w:rPr>
              <w:t>(In thousands, except %)</w:t>
            </w:r>
          </w:p>
        </w:tc>
        <w:tc>
          <w:tcPr>
            <w:tcW w:w="74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260" w:type="dxa"/>
            <w:vAlign w:val="bottom"/>
          </w:tcPr>
          <w:p>
            <w:pPr>
              <w:spacing w:after="0"/>
              <w:rPr>
                <w:sz w:val="12"/>
                <w:szCs w:val="12"/>
                <w:color w:val="auto"/>
              </w:rPr>
            </w:pPr>
          </w:p>
        </w:tc>
      </w:tr>
      <w:tr>
        <w:trPr>
          <w:trHeight w:val="216"/>
        </w:trPr>
        <w:tc>
          <w:tcPr>
            <w:tcW w:w="4820" w:type="dxa"/>
            <w:vAlign w:val="bottom"/>
            <w:shd w:val="clear" w:color="auto" w:fill="CCEEFF"/>
          </w:tcPr>
          <w:p>
            <w:pPr>
              <w:spacing w:after="0"/>
              <w:rPr>
                <w:sz w:val="20"/>
                <w:szCs w:val="20"/>
                <w:color w:val="auto"/>
              </w:rPr>
            </w:pPr>
            <w:r>
              <w:rPr>
                <w:rFonts w:ascii="Arial" w:cs="Arial" w:eastAsia="Arial" w:hAnsi="Arial"/>
                <w:sz w:val="18"/>
                <w:szCs w:val="18"/>
                <w:color w:val="auto"/>
              </w:rPr>
              <w:t>Research and development</w:t>
            </w:r>
          </w:p>
        </w:tc>
        <w:tc>
          <w:tcPr>
            <w:tcW w:w="620" w:type="dxa"/>
            <w:vAlign w:val="bottom"/>
            <w:shd w:val="clear" w:color="auto" w:fill="CCEEFF"/>
          </w:tcPr>
          <w:p>
            <w:pPr>
              <w:jc w:val="right"/>
              <w:ind w:right="44"/>
              <w:spacing w:after="0"/>
              <w:rPr>
                <w:sz w:val="20"/>
                <w:szCs w:val="20"/>
                <w:color w:val="auto"/>
              </w:rPr>
            </w:pPr>
            <w:r>
              <w:rPr>
                <w:rFonts w:ascii="Arial" w:cs="Arial" w:eastAsia="Arial" w:hAnsi="Arial"/>
                <w:sz w:val="18"/>
                <w:szCs w:val="18"/>
                <w:color w:val="auto"/>
                <w:w w:val="87"/>
              </w:rPr>
              <w:t>$1,476</w:t>
            </w:r>
          </w:p>
        </w:tc>
        <w:tc>
          <w:tcPr>
            <w:tcW w:w="6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$ 3,444</w:t>
            </w:r>
          </w:p>
        </w:tc>
        <w:tc>
          <w:tcPr>
            <w:tcW w:w="220" w:type="dxa"/>
            <w:vAlign w:val="bottom"/>
            <w:shd w:val="clear" w:color="auto" w:fill="CCEEFF"/>
          </w:tcPr>
          <w:p>
            <w:pPr>
              <w:spacing w:after="0"/>
              <w:rPr>
                <w:sz w:val="18"/>
                <w:szCs w:val="18"/>
                <w:color w:val="auto"/>
              </w:rPr>
            </w:pPr>
          </w:p>
        </w:tc>
        <w:tc>
          <w:tcPr>
            <w:tcW w:w="620" w:type="dxa"/>
            <w:vAlign w:val="bottom"/>
            <w:shd w:val="clear" w:color="auto" w:fill="CCEEFF"/>
          </w:tcPr>
          <w:p>
            <w:pPr>
              <w:jc w:val="right"/>
              <w:ind w:right="44"/>
              <w:spacing w:after="0"/>
              <w:rPr>
                <w:sz w:val="20"/>
                <w:szCs w:val="20"/>
                <w:color w:val="auto"/>
              </w:rPr>
            </w:pPr>
            <w:r>
              <w:rPr>
                <w:rFonts w:ascii="Arial" w:cs="Arial" w:eastAsia="Arial" w:hAnsi="Arial"/>
                <w:sz w:val="18"/>
                <w:szCs w:val="18"/>
                <w:color w:val="auto"/>
                <w:w w:val="87"/>
              </w:rPr>
              <w:t>$3,774</w:t>
            </w:r>
          </w:p>
        </w:tc>
        <w:tc>
          <w:tcPr>
            <w:tcW w:w="74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$7,216</w:t>
            </w:r>
          </w:p>
        </w:tc>
        <w:tc>
          <w:tcPr>
            <w:tcW w:w="860" w:type="dxa"/>
            <w:vAlign w:val="bottom"/>
            <w:gridSpan w:val="2"/>
            <w:shd w:val="clear" w:color="auto" w:fill="CCEEFF"/>
          </w:tcPr>
          <w:p>
            <w:pPr>
              <w:ind w:left="120"/>
              <w:spacing w:after="0"/>
              <w:rPr>
                <w:sz w:val="20"/>
                <w:szCs w:val="20"/>
                <w:color w:val="auto"/>
              </w:rPr>
            </w:pPr>
            <w:r>
              <w:rPr>
                <w:rFonts w:ascii="Arial" w:cs="Arial" w:eastAsia="Arial" w:hAnsi="Arial"/>
                <w:sz w:val="18"/>
                <w:szCs w:val="18"/>
                <w:color w:val="auto"/>
              </w:rPr>
              <w:t>$(1,968)</w:t>
            </w:r>
          </w:p>
        </w:tc>
        <w:tc>
          <w:tcPr>
            <w:tcW w:w="114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(57%)</w:t>
            </w:r>
          </w:p>
        </w:tc>
        <w:tc>
          <w:tcPr>
            <w:tcW w:w="740" w:type="dxa"/>
            <w:vAlign w:val="bottom"/>
            <w:shd w:val="clear" w:color="auto" w:fill="CCEEFF"/>
          </w:tcPr>
          <w:p>
            <w:pPr>
              <w:jc w:val="right"/>
              <w:ind w:right="22"/>
              <w:spacing w:after="0"/>
              <w:rPr>
                <w:sz w:val="20"/>
                <w:szCs w:val="20"/>
                <w:color w:val="auto"/>
              </w:rPr>
            </w:pPr>
            <w:r>
              <w:rPr>
                <w:rFonts w:ascii="Arial" w:cs="Arial" w:eastAsia="Arial" w:hAnsi="Arial"/>
                <w:sz w:val="18"/>
                <w:szCs w:val="18"/>
                <w:color w:val="auto"/>
                <w:w w:val="92"/>
              </w:rPr>
              <w:t>$(3,442)</w:t>
            </w:r>
          </w:p>
        </w:tc>
        <w:tc>
          <w:tcPr>
            <w:tcW w:w="98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(48%)</w:t>
            </w:r>
          </w:p>
        </w:tc>
      </w:tr>
    </w:tbl>
    <w:p>
      <w:pPr>
        <w:spacing w:after="0" w:line="202" w:lineRule="exact"/>
        <w:rPr>
          <w:sz w:val="20"/>
          <w:szCs w:val="20"/>
          <w:color w:val="auto"/>
        </w:rPr>
      </w:pPr>
    </w:p>
    <w:p>
      <w:pPr>
        <w:ind w:right="100" w:firstLine="456"/>
        <w:spacing w:after="0" w:line="271" w:lineRule="auto"/>
        <w:rPr>
          <w:sz w:val="20"/>
          <w:szCs w:val="20"/>
          <w:color w:val="auto"/>
        </w:rPr>
      </w:pPr>
      <w:r>
        <w:rPr>
          <w:rFonts w:ascii="Arial" w:cs="Arial" w:eastAsia="Arial" w:hAnsi="Arial"/>
          <w:sz w:val="17"/>
          <w:szCs w:val="17"/>
          <w:color w:val="auto"/>
        </w:rPr>
        <w:t>We generally categorize research and development expenses as either direct external expenses, comprised of amounts paid to third party vendors for services, or all other research and development expenses, comprised of employee payroll and general overhead allocable to research and development. We consider a clinical program to have begun upon acceptance by the FDA, or similar agency outside of the United States, to commence a clinical trial in humans, at which time we begin tracking expenditures by the product candidate. Clinical program expenses comprise payments to vendors related to preparation for, and conduct of, all phases of the clinical trial, including costs for drug manufacture, patient dosing and monitoring, data collection and management, oversight of the trials and reports of results. Pre-clinical expenses comprise all research and development amounts incurred before human trials begin, including payments to vendors for services related to product experiments and discovery, toxicology, pharmacology, metabolism and efficacy studies, as well as manufacturing process development for a drug candidate.</w:t>
      </w:r>
    </w:p>
    <w:p>
      <w:pPr>
        <w:spacing w:after="0" w:line="179" w:lineRule="exact"/>
        <w:rPr>
          <w:sz w:val="20"/>
          <w:szCs w:val="20"/>
          <w:color w:val="auto"/>
        </w:rPr>
      </w:pPr>
    </w:p>
    <w:p>
      <w:pPr>
        <w:ind w:left="460"/>
        <w:spacing w:after="0"/>
        <w:rPr>
          <w:sz w:val="20"/>
          <w:szCs w:val="20"/>
          <w:color w:val="auto"/>
        </w:rPr>
      </w:pPr>
      <w:r>
        <w:rPr>
          <w:rFonts w:ascii="Arial" w:cs="Arial" w:eastAsia="Arial" w:hAnsi="Arial"/>
          <w:sz w:val="18"/>
          <w:szCs w:val="18"/>
          <w:color w:val="auto"/>
        </w:rPr>
        <w:t>Our research and development expenses were as follows:</w:t>
      </w:r>
    </w:p>
    <w:p>
      <w:pPr>
        <w:spacing w:after="0" w:line="235" w:lineRule="exact"/>
        <w:rPr>
          <w:sz w:val="20"/>
          <w:szCs w:val="20"/>
          <w:color w:val="auto"/>
        </w:rPr>
      </w:pPr>
    </w:p>
    <w:tbl>
      <w:tblPr>
        <w:tblLayout w:type="fixed"/>
        <w:tblInd w:w="460" w:type="dxa"/>
        <w:tblCellMar>
          <w:top w:w="0" w:type="dxa"/>
          <w:left w:w="0" w:type="dxa"/>
          <w:bottom w:w="0" w:type="dxa"/>
          <w:right w:w="0" w:type="dxa"/>
        </w:tblCellMar>
      </w:tblPr>
      <w:tr>
        <w:trPr>
          <w:trHeight w:val="161"/>
        </w:trPr>
        <w:tc>
          <w:tcPr>
            <w:tcW w:w="5300" w:type="dxa"/>
            <w:vAlign w:val="bottom"/>
          </w:tcPr>
          <w:p>
            <w:pPr>
              <w:spacing w:after="0"/>
              <w:rPr>
                <w:sz w:val="14"/>
                <w:szCs w:val="14"/>
                <w:color w:val="auto"/>
              </w:rPr>
            </w:pPr>
          </w:p>
        </w:tc>
        <w:tc>
          <w:tcPr>
            <w:tcW w:w="20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500" w:type="dxa"/>
            <w:vAlign w:val="bottom"/>
            <w:gridSpan w:val="4"/>
          </w:tcPr>
          <w:p>
            <w:pPr>
              <w:jc w:val="right"/>
              <w:ind w:right="280"/>
              <w:spacing w:after="0"/>
              <w:rPr>
                <w:sz w:val="20"/>
                <w:szCs w:val="20"/>
                <w:color w:val="auto"/>
              </w:rPr>
            </w:pPr>
            <w:r>
              <w:rPr>
                <w:rFonts w:ascii="Arial" w:cs="Arial" w:eastAsia="Arial" w:hAnsi="Arial"/>
                <w:sz w:val="14"/>
                <w:szCs w:val="14"/>
                <w:color w:val="auto"/>
                <w:w w:val="91"/>
              </w:rPr>
              <w:t>Three Months Ended</w:t>
            </w:r>
          </w:p>
        </w:tc>
        <w:tc>
          <w:tcPr>
            <w:tcW w:w="180" w:type="dxa"/>
            <w:vAlign w:val="bottom"/>
          </w:tcPr>
          <w:p>
            <w:pPr>
              <w:spacing w:after="0"/>
              <w:rPr>
                <w:sz w:val="14"/>
                <w:szCs w:val="14"/>
                <w:color w:val="auto"/>
              </w:rPr>
            </w:pPr>
          </w:p>
        </w:tc>
        <w:tc>
          <w:tcPr>
            <w:tcW w:w="1400" w:type="dxa"/>
            <w:vAlign w:val="bottom"/>
            <w:gridSpan w:val="5"/>
          </w:tcPr>
          <w:p>
            <w:pPr>
              <w:jc w:val="right"/>
              <w:ind w:right="200"/>
              <w:spacing w:after="0"/>
              <w:rPr>
                <w:sz w:val="20"/>
                <w:szCs w:val="20"/>
                <w:color w:val="auto"/>
              </w:rPr>
            </w:pPr>
            <w:r>
              <w:rPr>
                <w:rFonts w:ascii="Arial" w:cs="Arial" w:eastAsia="Arial" w:hAnsi="Arial"/>
                <w:sz w:val="14"/>
                <w:szCs w:val="14"/>
                <w:color w:val="auto"/>
              </w:rPr>
              <w:t>Six Months Ended</w:t>
            </w:r>
          </w:p>
        </w:tc>
      </w:tr>
      <w:tr>
        <w:trPr>
          <w:trHeight w:val="167"/>
        </w:trPr>
        <w:tc>
          <w:tcPr>
            <w:tcW w:w="5300" w:type="dxa"/>
            <w:vAlign w:val="bottom"/>
          </w:tcPr>
          <w:p>
            <w:pPr>
              <w:spacing w:after="0"/>
              <w:rPr>
                <w:sz w:val="14"/>
                <w:szCs w:val="14"/>
                <w:color w:val="auto"/>
              </w:rPr>
            </w:pPr>
          </w:p>
        </w:tc>
        <w:tc>
          <w:tcPr>
            <w:tcW w:w="20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500" w:type="dxa"/>
            <w:vAlign w:val="bottom"/>
            <w:gridSpan w:val="4"/>
          </w:tcPr>
          <w:p>
            <w:pPr>
              <w:jc w:val="right"/>
              <w:ind w:right="640"/>
              <w:spacing w:after="0"/>
              <w:rPr>
                <w:sz w:val="20"/>
                <w:szCs w:val="20"/>
                <w:color w:val="auto"/>
              </w:rPr>
            </w:pPr>
            <w:r>
              <w:rPr>
                <w:rFonts w:ascii="Arial" w:cs="Arial" w:eastAsia="Arial" w:hAnsi="Arial"/>
                <w:sz w:val="14"/>
                <w:szCs w:val="14"/>
                <w:color w:val="auto"/>
              </w:rPr>
              <w:t>June 30,</w:t>
            </w:r>
          </w:p>
        </w:tc>
        <w:tc>
          <w:tcPr>
            <w:tcW w:w="180" w:type="dxa"/>
            <w:vAlign w:val="bottom"/>
          </w:tcPr>
          <w:p>
            <w:pPr>
              <w:spacing w:after="0"/>
              <w:rPr>
                <w:sz w:val="14"/>
                <w:szCs w:val="14"/>
                <w:color w:val="auto"/>
              </w:rPr>
            </w:pPr>
          </w:p>
        </w:tc>
        <w:tc>
          <w:tcPr>
            <w:tcW w:w="1400" w:type="dxa"/>
            <w:vAlign w:val="bottom"/>
            <w:gridSpan w:val="5"/>
          </w:tcPr>
          <w:p>
            <w:pPr>
              <w:jc w:val="right"/>
              <w:ind w:right="480"/>
              <w:spacing w:after="0"/>
              <w:rPr>
                <w:sz w:val="20"/>
                <w:szCs w:val="20"/>
                <w:color w:val="auto"/>
              </w:rPr>
            </w:pPr>
            <w:r>
              <w:rPr>
                <w:rFonts w:ascii="Arial" w:cs="Arial" w:eastAsia="Arial" w:hAnsi="Arial"/>
                <w:sz w:val="14"/>
                <w:szCs w:val="14"/>
                <w:color w:val="auto"/>
              </w:rPr>
              <w:t>June 30,</w:t>
            </w:r>
          </w:p>
        </w:tc>
      </w:tr>
      <w:tr>
        <w:trPr>
          <w:trHeight w:val="142"/>
        </w:trPr>
        <w:tc>
          <w:tcPr>
            <w:tcW w:w="5300" w:type="dxa"/>
            <w:vAlign w:val="bottom"/>
          </w:tcPr>
          <w:p>
            <w:pPr>
              <w:spacing w:after="0"/>
              <w:rPr>
                <w:sz w:val="12"/>
                <w:szCs w:val="12"/>
                <w:color w:val="auto"/>
              </w:rPr>
            </w:pPr>
          </w:p>
        </w:tc>
        <w:tc>
          <w:tcPr>
            <w:tcW w:w="2020" w:type="dxa"/>
            <w:vAlign w:val="bottom"/>
          </w:tcPr>
          <w:p>
            <w:pPr>
              <w:spacing w:after="0"/>
              <w:rPr>
                <w:sz w:val="12"/>
                <w:szCs w:val="12"/>
                <w:color w:val="auto"/>
              </w:rPr>
            </w:pPr>
          </w:p>
        </w:tc>
        <w:tc>
          <w:tcPr>
            <w:tcW w:w="100" w:type="dxa"/>
            <w:vAlign w:val="bottom"/>
            <w:tcBorders>
              <w:top w:val="single" w:sz="8" w:color="auto"/>
              <w:bottom w:val="single" w:sz="8" w:color="auto"/>
            </w:tcBorders>
          </w:tcPr>
          <w:p>
            <w:pPr>
              <w:spacing w:after="0"/>
              <w:rPr>
                <w:sz w:val="12"/>
                <w:szCs w:val="12"/>
                <w:color w:val="auto"/>
              </w:rPr>
            </w:pPr>
          </w:p>
        </w:tc>
        <w:tc>
          <w:tcPr>
            <w:tcW w:w="420" w:type="dxa"/>
            <w:vAlign w:val="bottom"/>
            <w:tcBorders>
              <w:top w:val="single" w:sz="8" w:color="auto"/>
              <w:bottom w:val="single" w:sz="8" w:color="auto"/>
            </w:tcBorders>
          </w:tcPr>
          <w:p>
            <w:pPr>
              <w:jc w:val="right"/>
              <w:ind w:right="38"/>
              <w:spacing w:after="0" w:line="142" w:lineRule="exact"/>
              <w:rPr>
                <w:sz w:val="20"/>
                <w:szCs w:val="20"/>
                <w:color w:val="auto"/>
              </w:rPr>
            </w:pPr>
            <w:r>
              <w:rPr>
                <w:rFonts w:ascii="Arial" w:cs="Arial" w:eastAsia="Arial" w:hAnsi="Arial"/>
                <w:sz w:val="14"/>
                <w:szCs w:val="14"/>
                <w:color w:val="auto"/>
                <w:w w:val="89"/>
              </w:rPr>
              <w:t>2018</w:t>
            </w:r>
          </w:p>
        </w:tc>
        <w:tc>
          <w:tcPr>
            <w:tcW w:w="360" w:type="dxa"/>
            <w:vAlign w:val="bottom"/>
            <w:tcBorders>
              <w:top w:val="single" w:sz="8" w:color="auto"/>
              <w:bottom w:val="single" w:sz="8" w:color="auto"/>
            </w:tcBorders>
          </w:tcPr>
          <w:p>
            <w:pPr>
              <w:spacing w:after="0"/>
              <w:rPr>
                <w:sz w:val="12"/>
                <w:szCs w:val="12"/>
                <w:color w:val="auto"/>
              </w:rPr>
            </w:pPr>
          </w:p>
        </w:tc>
        <w:tc>
          <w:tcPr>
            <w:tcW w:w="540" w:type="dxa"/>
            <w:vAlign w:val="bottom"/>
            <w:tcBorders>
              <w:top w:val="single" w:sz="8" w:color="auto"/>
              <w:bottom w:val="single" w:sz="8" w:color="auto"/>
            </w:tcBorders>
          </w:tcPr>
          <w:p>
            <w:pPr>
              <w:jc w:val="right"/>
              <w:ind w:right="36"/>
              <w:spacing w:after="0" w:line="142" w:lineRule="exact"/>
              <w:rPr>
                <w:sz w:val="20"/>
                <w:szCs w:val="20"/>
                <w:color w:val="auto"/>
              </w:rPr>
            </w:pPr>
            <w:r>
              <w:rPr>
                <w:rFonts w:ascii="Arial" w:cs="Arial" w:eastAsia="Arial" w:hAnsi="Arial"/>
                <w:sz w:val="14"/>
                <w:szCs w:val="14"/>
                <w:color w:val="auto"/>
              </w:rPr>
              <w:t>2017</w:t>
            </w:r>
          </w:p>
        </w:tc>
        <w:tc>
          <w:tcPr>
            <w:tcW w:w="180" w:type="dxa"/>
            <w:vAlign w:val="bottom"/>
            <w:tcBorders>
              <w:bottom w:val="single" w:sz="8" w:color="auto"/>
            </w:tcBorders>
          </w:tcPr>
          <w:p>
            <w:pPr>
              <w:spacing w:after="0"/>
              <w:rPr>
                <w:sz w:val="12"/>
                <w:szCs w:val="12"/>
                <w:color w:val="auto"/>
              </w:rPr>
            </w:pPr>
          </w:p>
        </w:tc>
        <w:tc>
          <w:tcPr>
            <w:tcW w:w="180" w:type="dxa"/>
            <w:vAlign w:val="bottom"/>
            <w:tcBorders>
              <w:bottom w:val="single" w:sz="8" w:color="auto"/>
            </w:tcBorders>
          </w:tcPr>
          <w:p>
            <w:pPr>
              <w:spacing w:after="0"/>
              <w:rPr>
                <w:sz w:val="12"/>
                <w:szCs w:val="12"/>
                <w:color w:val="auto"/>
              </w:rPr>
            </w:pPr>
          </w:p>
        </w:tc>
        <w:tc>
          <w:tcPr>
            <w:tcW w:w="500" w:type="dxa"/>
            <w:vAlign w:val="bottom"/>
            <w:tcBorders>
              <w:top w:val="single" w:sz="8" w:color="auto"/>
              <w:bottom w:val="single" w:sz="8" w:color="auto"/>
            </w:tcBorders>
          </w:tcPr>
          <w:p>
            <w:pPr>
              <w:jc w:val="right"/>
              <w:ind w:right="28"/>
              <w:spacing w:after="0" w:line="142" w:lineRule="exact"/>
              <w:rPr>
                <w:sz w:val="20"/>
                <w:szCs w:val="20"/>
                <w:color w:val="auto"/>
              </w:rPr>
            </w:pPr>
            <w:r>
              <w:rPr>
                <w:rFonts w:ascii="Arial" w:cs="Arial" w:eastAsia="Arial" w:hAnsi="Arial"/>
                <w:sz w:val="14"/>
                <w:szCs w:val="14"/>
                <w:color w:val="auto"/>
              </w:rPr>
              <w:t>2018</w:t>
            </w:r>
          </w:p>
        </w:tc>
        <w:tc>
          <w:tcPr>
            <w:tcW w:w="180" w:type="dxa"/>
            <w:vAlign w:val="bottom"/>
            <w:tcBorders>
              <w:top w:val="single" w:sz="8" w:color="auto"/>
              <w:bottom w:val="single" w:sz="8" w:color="auto"/>
            </w:tcBorders>
          </w:tcPr>
          <w:p>
            <w:pPr>
              <w:spacing w:after="0"/>
              <w:rPr>
                <w:sz w:val="12"/>
                <w:szCs w:val="12"/>
                <w:color w:val="auto"/>
              </w:rPr>
            </w:pPr>
          </w:p>
        </w:tc>
        <w:tc>
          <w:tcPr>
            <w:tcW w:w="660" w:type="dxa"/>
            <w:vAlign w:val="bottom"/>
            <w:tcBorders>
              <w:top w:val="single" w:sz="8" w:color="auto"/>
              <w:bottom w:val="single" w:sz="8" w:color="auto"/>
            </w:tcBorders>
            <w:gridSpan w:val="2"/>
          </w:tcPr>
          <w:p>
            <w:pPr>
              <w:jc w:val="right"/>
              <w:ind w:right="100"/>
              <w:spacing w:after="0" w:line="142" w:lineRule="exact"/>
              <w:rPr>
                <w:sz w:val="20"/>
                <w:szCs w:val="20"/>
                <w:color w:val="auto"/>
              </w:rPr>
            </w:pPr>
            <w:r>
              <w:rPr>
                <w:rFonts w:ascii="Arial" w:cs="Arial" w:eastAsia="Arial" w:hAnsi="Arial"/>
                <w:sz w:val="14"/>
                <w:szCs w:val="14"/>
                <w:color w:val="auto"/>
              </w:rPr>
              <w:t>2017</w:t>
            </w:r>
          </w:p>
        </w:tc>
        <w:tc>
          <w:tcPr>
            <w:tcW w:w="60" w:type="dxa"/>
            <w:vAlign w:val="bottom"/>
          </w:tcPr>
          <w:p>
            <w:pPr>
              <w:spacing w:after="0"/>
              <w:rPr>
                <w:sz w:val="12"/>
                <w:szCs w:val="12"/>
                <w:color w:val="auto"/>
              </w:rPr>
            </w:pPr>
          </w:p>
        </w:tc>
      </w:tr>
      <w:tr>
        <w:trPr>
          <w:trHeight w:val="142"/>
        </w:trPr>
        <w:tc>
          <w:tcPr>
            <w:tcW w:w="5300" w:type="dxa"/>
            <w:vAlign w:val="bottom"/>
          </w:tcPr>
          <w:p>
            <w:pPr>
              <w:spacing w:after="0"/>
              <w:rPr>
                <w:sz w:val="12"/>
                <w:szCs w:val="12"/>
                <w:color w:val="auto"/>
              </w:rPr>
            </w:pPr>
          </w:p>
        </w:tc>
        <w:tc>
          <w:tcPr>
            <w:tcW w:w="20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42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1580" w:type="dxa"/>
            <w:vAlign w:val="bottom"/>
            <w:gridSpan w:val="5"/>
          </w:tcPr>
          <w:p>
            <w:pPr>
              <w:ind w:left="280"/>
              <w:spacing w:after="0" w:line="142" w:lineRule="exact"/>
              <w:rPr>
                <w:sz w:val="20"/>
                <w:szCs w:val="20"/>
                <w:color w:val="auto"/>
              </w:rPr>
            </w:pPr>
            <w:r>
              <w:rPr>
                <w:rFonts w:ascii="Arial" w:cs="Arial" w:eastAsia="Arial" w:hAnsi="Arial"/>
                <w:sz w:val="14"/>
                <w:szCs w:val="14"/>
                <w:color w:val="auto"/>
              </w:rPr>
              <w:t>(in thousands)</w:t>
            </w:r>
          </w:p>
        </w:tc>
        <w:tc>
          <w:tcPr>
            <w:tcW w:w="16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60" w:type="dxa"/>
            <w:vAlign w:val="bottom"/>
          </w:tcPr>
          <w:p>
            <w:pPr>
              <w:spacing w:after="0"/>
              <w:rPr>
                <w:sz w:val="12"/>
                <w:szCs w:val="12"/>
                <w:color w:val="auto"/>
              </w:rPr>
            </w:pPr>
          </w:p>
        </w:tc>
      </w:tr>
      <w:tr>
        <w:trPr>
          <w:trHeight w:val="216"/>
        </w:trPr>
        <w:tc>
          <w:tcPr>
            <w:tcW w:w="5300" w:type="dxa"/>
            <w:vAlign w:val="bottom"/>
            <w:shd w:val="clear" w:color="auto" w:fill="CCEEFF"/>
          </w:tcPr>
          <w:p>
            <w:pPr>
              <w:spacing w:after="0"/>
              <w:rPr>
                <w:sz w:val="20"/>
                <w:szCs w:val="20"/>
                <w:color w:val="auto"/>
              </w:rPr>
            </w:pPr>
            <w:r>
              <w:rPr>
                <w:rFonts w:ascii="Arial" w:cs="Arial" w:eastAsia="Arial" w:hAnsi="Arial"/>
                <w:sz w:val="18"/>
                <w:szCs w:val="18"/>
                <w:color w:val="auto"/>
              </w:rPr>
              <w:t>Direct external expenses:</w:t>
            </w:r>
          </w:p>
        </w:tc>
        <w:tc>
          <w:tcPr>
            <w:tcW w:w="20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r>
      <w:tr>
        <w:trPr>
          <w:trHeight w:val="216"/>
        </w:trPr>
        <w:tc>
          <w:tcPr>
            <w:tcW w:w="5300" w:type="dxa"/>
            <w:vAlign w:val="bottom"/>
          </w:tcPr>
          <w:p>
            <w:pPr>
              <w:ind w:left="360"/>
              <w:spacing w:after="0"/>
              <w:rPr>
                <w:sz w:val="20"/>
                <w:szCs w:val="20"/>
                <w:color w:val="auto"/>
              </w:rPr>
            </w:pPr>
            <w:r>
              <w:rPr>
                <w:rFonts w:ascii="Arial" w:cs="Arial" w:eastAsia="Arial" w:hAnsi="Arial"/>
                <w:sz w:val="18"/>
                <w:szCs w:val="18"/>
                <w:color w:val="auto"/>
              </w:rPr>
              <w:t>Clinical programs</w:t>
            </w:r>
          </w:p>
        </w:tc>
        <w:tc>
          <w:tcPr>
            <w:tcW w:w="212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780" w:type="dxa"/>
            <w:vAlign w:val="bottom"/>
            <w:gridSpan w:val="2"/>
          </w:tcPr>
          <w:p>
            <w:pPr>
              <w:jc w:val="right"/>
              <w:ind w:right="360"/>
              <w:spacing w:after="0"/>
              <w:rPr>
                <w:sz w:val="20"/>
                <w:szCs w:val="20"/>
                <w:color w:val="auto"/>
              </w:rPr>
            </w:pPr>
            <w:r>
              <w:rPr>
                <w:rFonts w:ascii="Arial" w:cs="Arial" w:eastAsia="Arial" w:hAnsi="Arial"/>
                <w:sz w:val="18"/>
                <w:szCs w:val="18"/>
                <w:color w:val="auto"/>
              </w:rPr>
              <w:t>331</w:t>
            </w:r>
          </w:p>
        </w:tc>
        <w:tc>
          <w:tcPr>
            <w:tcW w:w="720" w:type="dxa"/>
            <w:vAlign w:val="bottom"/>
            <w:gridSpan w:val="2"/>
          </w:tcPr>
          <w:p>
            <w:pPr>
              <w:jc w:val="right"/>
              <w:ind w:right="180"/>
              <w:spacing w:after="0"/>
              <w:rPr>
                <w:sz w:val="20"/>
                <w:szCs w:val="20"/>
                <w:color w:val="auto"/>
              </w:rPr>
            </w:pPr>
            <w:r>
              <w:rPr>
                <w:rFonts w:ascii="Arial" w:cs="Arial" w:eastAsia="Arial" w:hAnsi="Arial"/>
                <w:sz w:val="18"/>
                <w:szCs w:val="18"/>
                <w:color w:val="auto"/>
                <w:w w:val="86"/>
              </w:rPr>
              <w:t>$ 2,865</w:t>
            </w:r>
          </w:p>
        </w:tc>
        <w:tc>
          <w:tcPr>
            <w:tcW w:w="860" w:type="dxa"/>
            <w:vAlign w:val="bottom"/>
            <w:gridSpan w:val="3"/>
          </w:tcPr>
          <w:p>
            <w:pPr>
              <w:jc w:val="right"/>
              <w:ind w:right="180"/>
              <w:spacing w:after="0"/>
              <w:rPr>
                <w:sz w:val="20"/>
                <w:szCs w:val="20"/>
                <w:color w:val="auto"/>
              </w:rPr>
            </w:pPr>
            <w:r>
              <w:rPr>
                <w:rFonts w:ascii="Arial" w:cs="Arial" w:eastAsia="Arial" w:hAnsi="Arial"/>
                <w:sz w:val="18"/>
                <w:szCs w:val="18"/>
                <w:color w:val="auto"/>
              </w:rPr>
              <w:t>$1,617</w:t>
            </w:r>
          </w:p>
        </w:tc>
        <w:tc>
          <w:tcPr>
            <w:tcW w:w="720" w:type="dxa"/>
            <w:vAlign w:val="bottom"/>
            <w:gridSpan w:val="3"/>
          </w:tcPr>
          <w:p>
            <w:pPr>
              <w:jc w:val="right"/>
              <w:ind w:right="60"/>
              <w:spacing w:after="0"/>
              <w:rPr>
                <w:sz w:val="20"/>
                <w:szCs w:val="20"/>
                <w:color w:val="auto"/>
              </w:rPr>
            </w:pPr>
            <w:r>
              <w:rPr>
                <w:rFonts w:ascii="Arial" w:cs="Arial" w:eastAsia="Arial" w:hAnsi="Arial"/>
                <w:sz w:val="18"/>
                <w:szCs w:val="18"/>
                <w:color w:val="auto"/>
              </w:rPr>
              <w:t>$6,027</w:t>
            </w:r>
          </w:p>
        </w:tc>
      </w:tr>
      <w:tr>
        <w:trPr>
          <w:trHeight w:val="216"/>
        </w:trPr>
        <w:tc>
          <w:tcPr>
            <w:tcW w:w="5300" w:type="dxa"/>
            <w:vAlign w:val="bottom"/>
            <w:shd w:val="clear" w:color="auto" w:fill="CCEEFF"/>
          </w:tcPr>
          <w:p>
            <w:pPr>
              <w:ind w:left="360"/>
              <w:spacing w:after="0"/>
              <w:rPr>
                <w:sz w:val="20"/>
                <w:szCs w:val="20"/>
                <w:color w:val="auto"/>
              </w:rPr>
            </w:pPr>
            <w:r>
              <w:rPr>
                <w:rFonts w:ascii="Arial" w:cs="Arial" w:eastAsia="Arial" w:hAnsi="Arial"/>
                <w:sz w:val="18"/>
                <w:szCs w:val="18"/>
                <w:color w:val="auto"/>
              </w:rPr>
              <w:t>Pre-clinical activities</w:t>
            </w:r>
          </w:p>
        </w:tc>
        <w:tc>
          <w:tcPr>
            <w:tcW w:w="20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50</w:t>
            </w:r>
          </w:p>
        </w:tc>
        <w:tc>
          <w:tcPr>
            <w:tcW w:w="360" w:type="dxa"/>
            <w:vAlign w:val="bottom"/>
            <w:shd w:val="clear" w:color="auto" w:fill="CCEEFF"/>
          </w:tcPr>
          <w:p>
            <w:pPr>
              <w:spacing w:after="0"/>
              <w:rPr>
                <w:sz w:val="18"/>
                <w:szCs w:val="18"/>
                <w:color w:val="auto"/>
              </w:rPr>
            </w:pPr>
          </w:p>
        </w:tc>
        <w:tc>
          <w:tcPr>
            <w:tcW w:w="72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35</w:t>
            </w:r>
          </w:p>
        </w:tc>
        <w:tc>
          <w:tcPr>
            <w:tcW w:w="860" w:type="dxa"/>
            <w:vAlign w:val="bottom"/>
            <w:gridSpan w:val="3"/>
            <w:shd w:val="clear" w:color="auto" w:fill="CCEEFF"/>
          </w:tcPr>
          <w:p>
            <w:pPr>
              <w:jc w:val="right"/>
              <w:ind w:right="180"/>
              <w:spacing w:after="0"/>
              <w:rPr>
                <w:sz w:val="20"/>
                <w:szCs w:val="20"/>
                <w:color w:val="auto"/>
              </w:rPr>
            </w:pPr>
            <w:r>
              <w:rPr>
                <w:rFonts w:ascii="Arial" w:cs="Arial" w:eastAsia="Arial" w:hAnsi="Arial"/>
                <w:sz w:val="18"/>
                <w:szCs w:val="18"/>
                <w:color w:val="auto"/>
              </w:rPr>
              <w:t>116</w:t>
            </w:r>
          </w:p>
        </w:tc>
        <w:tc>
          <w:tcPr>
            <w:tcW w:w="720" w:type="dxa"/>
            <w:vAlign w:val="bottom"/>
            <w:gridSpan w:val="3"/>
            <w:shd w:val="clear" w:color="auto" w:fill="CCEEFF"/>
          </w:tcPr>
          <w:p>
            <w:pPr>
              <w:jc w:val="right"/>
              <w:ind w:right="60"/>
              <w:spacing w:after="0"/>
              <w:rPr>
                <w:sz w:val="20"/>
                <w:szCs w:val="20"/>
                <w:color w:val="auto"/>
              </w:rPr>
            </w:pPr>
            <w:r>
              <w:rPr>
                <w:rFonts w:ascii="Arial" w:cs="Arial" w:eastAsia="Arial" w:hAnsi="Arial"/>
                <w:sz w:val="18"/>
                <w:szCs w:val="18"/>
                <w:color w:val="auto"/>
              </w:rPr>
              <w:t>66</w:t>
            </w:r>
          </w:p>
        </w:tc>
      </w:tr>
      <w:tr>
        <w:trPr>
          <w:trHeight w:val="216"/>
        </w:trPr>
        <w:tc>
          <w:tcPr>
            <w:tcW w:w="5300" w:type="dxa"/>
            <w:vAlign w:val="bottom"/>
          </w:tcPr>
          <w:p>
            <w:pPr>
              <w:spacing w:after="0"/>
              <w:rPr>
                <w:sz w:val="20"/>
                <w:szCs w:val="20"/>
                <w:color w:val="auto"/>
              </w:rPr>
            </w:pPr>
            <w:r>
              <w:rPr>
                <w:rFonts w:ascii="Arial" w:cs="Arial" w:eastAsia="Arial" w:hAnsi="Arial"/>
                <w:sz w:val="18"/>
                <w:szCs w:val="18"/>
                <w:color w:val="auto"/>
              </w:rPr>
              <w:t>All other research and development expenses</w:t>
            </w:r>
          </w:p>
        </w:tc>
        <w:tc>
          <w:tcPr>
            <w:tcW w:w="20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80" w:type="dxa"/>
            <w:vAlign w:val="bottom"/>
            <w:gridSpan w:val="2"/>
          </w:tcPr>
          <w:p>
            <w:pPr>
              <w:jc w:val="right"/>
              <w:ind w:right="360"/>
              <w:spacing w:after="0"/>
              <w:rPr>
                <w:sz w:val="20"/>
                <w:szCs w:val="20"/>
                <w:color w:val="auto"/>
              </w:rPr>
            </w:pPr>
            <w:r>
              <w:rPr>
                <w:rFonts w:ascii="Arial" w:cs="Arial" w:eastAsia="Arial" w:hAnsi="Arial"/>
                <w:sz w:val="18"/>
                <w:szCs w:val="18"/>
                <w:color w:val="auto"/>
                <w:w w:val="88"/>
              </w:rPr>
              <w:t>1,095</w:t>
            </w:r>
          </w:p>
        </w:tc>
        <w:tc>
          <w:tcPr>
            <w:tcW w:w="720" w:type="dxa"/>
            <w:vAlign w:val="bottom"/>
            <w:gridSpan w:val="2"/>
          </w:tcPr>
          <w:p>
            <w:pPr>
              <w:jc w:val="right"/>
              <w:ind w:right="180"/>
              <w:spacing w:after="0"/>
              <w:rPr>
                <w:sz w:val="20"/>
                <w:szCs w:val="20"/>
                <w:color w:val="auto"/>
              </w:rPr>
            </w:pPr>
            <w:r>
              <w:rPr>
                <w:rFonts w:ascii="Arial" w:cs="Arial" w:eastAsia="Arial" w:hAnsi="Arial"/>
                <w:sz w:val="18"/>
                <w:szCs w:val="18"/>
                <w:color w:val="auto"/>
              </w:rPr>
              <w:t>544</w:t>
            </w:r>
          </w:p>
        </w:tc>
        <w:tc>
          <w:tcPr>
            <w:tcW w:w="860" w:type="dxa"/>
            <w:vAlign w:val="bottom"/>
            <w:gridSpan w:val="3"/>
          </w:tcPr>
          <w:p>
            <w:pPr>
              <w:jc w:val="right"/>
              <w:ind w:right="180"/>
              <w:spacing w:after="0"/>
              <w:rPr>
                <w:sz w:val="20"/>
                <w:szCs w:val="20"/>
                <w:color w:val="auto"/>
              </w:rPr>
            </w:pPr>
            <w:r>
              <w:rPr>
                <w:rFonts w:ascii="Arial" w:cs="Arial" w:eastAsia="Arial" w:hAnsi="Arial"/>
                <w:sz w:val="18"/>
                <w:szCs w:val="18"/>
                <w:color w:val="auto"/>
              </w:rPr>
              <w:t>2,041</w:t>
            </w:r>
          </w:p>
        </w:tc>
        <w:tc>
          <w:tcPr>
            <w:tcW w:w="720" w:type="dxa"/>
            <w:vAlign w:val="bottom"/>
            <w:gridSpan w:val="3"/>
          </w:tcPr>
          <w:p>
            <w:pPr>
              <w:jc w:val="right"/>
              <w:ind w:right="60"/>
              <w:spacing w:after="0"/>
              <w:rPr>
                <w:sz w:val="20"/>
                <w:szCs w:val="20"/>
                <w:color w:val="auto"/>
              </w:rPr>
            </w:pPr>
            <w:r>
              <w:rPr>
                <w:rFonts w:ascii="Arial" w:cs="Arial" w:eastAsia="Arial" w:hAnsi="Arial"/>
                <w:sz w:val="18"/>
                <w:szCs w:val="18"/>
                <w:color w:val="auto"/>
              </w:rPr>
              <w:t>1,123</w:t>
            </w:r>
          </w:p>
        </w:tc>
      </w:tr>
      <w:tr>
        <w:trPr>
          <w:trHeight w:val="27"/>
        </w:trPr>
        <w:tc>
          <w:tcPr>
            <w:tcW w:w="5300" w:type="dxa"/>
            <w:vAlign w:val="bottom"/>
          </w:tcPr>
          <w:p>
            <w:pPr>
              <w:spacing w:after="0"/>
              <w:rPr>
                <w:sz w:val="2"/>
                <w:szCs w:val="2"/>
                <w:color w:val="auto"/>
              </w:rPr>
            </w:pPr>
          </w:p>
        </w:tc>
        <w:tc>
          <w:tcPr>
            <w:tcW w:w="202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420" w:type="dxa"/>
            <w:vAlign w:val="bottom"/>
            <w:shd w:val="clear" w:color="auto" w:fill="000000"/>
          </w:tcPr>
          <w:p>
            <w:pPr>
              <w:spacing w:after="0"/>
              <w:rPr>
                <w:sz w:val="2"/>
                <w:szCs w:val="2"/>
                <w:color w:val="auto"/>
              </w:rPr>
            </w:pPr>
          </w:p>
        </w:tc>
        <w:tc>
          <w:tcPr>
            <w:tcW w:w="360" w:type="dxa"/>
            <w:vAlign w:val="bottom"/>
          </w:tcPr>
          <w:p>
            <w:pPr>
              <w:spacing w:after="0"/>
              <w:rPr>
                <w:sz w:val="2"/>
                <w:szCs w:val="2"/>
                <w:color w:val="auto"/>
              </w:rPr>
            </w:pPr>
          </w:p>
        </w:tc>
        <w:tc>
          <w:tcPr>
            <w:tcW w:w="540" w:type="dxa"/>
            <w:vAlign w:val="bottom"/>
            <w:shd w:val="clear" w:color="auto" w:fill="000000"/>
          </w:tcPr>
          <w:p>
            <w:pPr>
              <w:spacing w:after="0"/>
              <w:rPr>
                <w:sz w:val="2"/>
                <w:szCs w:val="2"/>
                <w:color w:val="auto"/>
              </w:rPr>
            </w:pPr>
          </w:p>
        </w:tc>
        <w:tc>
          <w:tcPr>
            <w:tcW w:w="180" w:type="dxa"/>
            <w:vAlign w:val="bottom"/>
          </w:tcPr>
          <w:p>
            <w:pPr>
              <w:spacing w:after="0"/>
              <w:rPr>
                <w:sz w:val="2"/>
                <w:szCs w:val="2"/>
                <w:color w:val="auto"/>
              </w:rPr>
            </w:pPr>
          </w:p>
        </w:tc>
        <w:tc>
          <w:tcPr>
            <w:tcW w:w="180" w:type="dxa"/>
            <w:vAlign w:val="bottom"/>
          </w:tcPr>
          <w:p>
            <w:pPr>
              <w:spacing w:after="0"/>
              <w:rPr>
                <w:sz w:val="2"/>
                <w:szCs w:val="2"/>
                <w:color w:val="auto"/>
              </w:rPr>
            </w:pPr>
          </w:p>
        </w:tc>
        <w:tc>
          <w:tcPr>
            <w:tcW w:w="500" w:type="dxa"/>
            <w:vAlign w:val="bottom"/>
            <w:shd w:val="clear" w:color="auto" w:fill="000000"/>
          </w:tcPr>
          <w:p>
            <w:pPr>
              <w:spacing w:after="0"/>
              <w:rPr>
                <w:sz w:val="2"/>
                <w:szCs w:val="2"/>
                <w:color w:val="auto"/>
              </w:rPr>
            </w:pPr>
          </w:p>
        </w:tc>
        <w:tc>
          <w:tcPr>
            <w:tcW w:w="180" w:type="dxa"/>
            <w:vAlign w:val="bottom"/>
          </w:tcPr>
          <w:p>
            <w:pPr>
              <w:spacing w:after="0"/>
              <w:rPr>
                <w:sz w:val="2"/>
                <w:szCs w:val="2"/>
                <w:color w:val="auto"/>
              </w:rPr>
            </w:pPr>
          </w:p>
        </w:tc>
        <w:tc>
          <w:tcPr>
            <w:tcW w:w="160" w:type="dxa"/>
            <w:vAlign w:val="bottom"/>
          </w:tcPr>
          <w:p>
            <w:pPr>
              <w:spacing w:after="0"/>
              <w:rPr>
                <w:sz w:val="2"/>
                <w:szCs w:val="2"/>
                <w:color w:val="auto"/>
              </w:rPr>
            </w:pPr>
          </w:p>
        </w:tc>
        <w:tc>
          <w:tcPr>
            <w:tcW w:w="500" w:type="dxa"/>
            <w:vAlign w:val="bottom"/>
            <w:shd w:val="clear" w:color="auto" w:fill="000000"/>
          </w:tcPr>
          <w:p>
            <w:pPr>
              <w:spacing w:after="0"/>
              <w:rPr>
                <w:sz w:val="2"/>
                <w:szCs w:val="2"/>
                <w:color w:val="auto"/>
              </w:rPr>
            </w:pPr>
          </w:p>
        </w:tc>
        <w:tc>
          <w:tcPr>
            <w:tcW w:w="60" w:type="dxa"/>
            <w:vAlign w:val="bottom"/>
          </w:tcPr>
          <w:p>
            <w:pPr>
              <w:spacing w:after="0"/>
              <w:rPr>
                <w:sz w:val="2"/>
                <w:szCs w:val="2"/>
                <w:color w:val="auto"/>
              </w:rPr>
            </w:pPr>
          </w:p>
        </w:tc>
      </w:tr>
      <w:tr>
        <w:trPr>
          <w:trHeight w:val="216"/>
        </w:trPr>
        <w:tc>
          <w:tcPr>
            <w:tcW w:w="5300" w:type="dxa"/>
            <w:vAlign w:val="bottom"/>
            <w:shd w:val="clear" w:color="auto" w:fill="CCEEFF"/>
          </w:tcPr>
          <w:p>
            <w:pPr>
              <w:spacing w:after="0"/>
              <w:rPr>
                <w:sz w:val="18"/>
                <w:szCs w:val="18"/>
                <w:color w:val="auto"/>
              </w:rPr>
            </w:pPr>
          </w:p>
        </w:tc>
        <w:tc>
          <w:tcPr>
            <w:tcW w:w="2020" w:type="dxa"/>
            <w:vAlign w:val="bottom"/>
            <w:shd w:val="clear" w:color="auto" w:fill="CCEEFF"/>
          </w:tcPr>
          <w:p>
            <w:pPr>
              <w:spacing w:after="0"/>
              <w:rPr>
                <w:sz w:val="18"/>
                <w:szCs w:val="18"/>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u w:val="single" w:color="auto"/>
                <w:color w:val="auto"/>
                <w:w w:val="79"/>
              </w:rPr>
              <w:t>$</w:t>
            </w:r>
          </w:p>
        </w:tc>
        <w:tc>
          <w:tcPr>
            <w:tcW w:w="780" w:type="dxa"/>
            <w:vAlign w:val="bottom"/>
            <w:gridSpan w:val="2"/>
            <w:shd w:val="clear" w:color="auto" w:fill="CCEEFF"/>
          </w:tcPr>
          <w:p>
            <w:pPr>
              <w:jc w:val="right"/>
              <w:ind w:right="360"/>
              <w:spacing w:after="0"/>
              <w:rPr>
                <w:sz w:val="20"/>
                <w:szCs w:val="20"/>
                <w:color w:val="auto"/>
              </w:rPr>
            </w:pPr>
            <w:r>
              <w:rPr>
                <w:rFonts w:ascii="Arial" w:cs="Arial" w:eastAsia="Arial" w:hAnsi="Arial"/>
                <w:sz w:val="18"/>
                <w:szCs w:val="18"/>
                <w:color w:val="auto"/>
                <w:w w:val="88"/>
              </w:rPr>
              <w:t>1,476</w:t>
            </w:r>
          </w:p>
        </w:tc>
        <w:tc>
          <w:tcPr>
            <w:tcW w:w="72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w w:val="86"/>
              </w:rPr>
              <w:t>$ 3,444</w:t>
            </w:r>
          </w:p>
        </w:tc>
        <w:tc>
          <w:tcPr>
            <w:tcW w:w="860" w:type="dxa"/>
            <w:vAlign w:val="bottom"/>
            <w:gridSpan w:val="3"/>
            <w:shd w:val="clear" w:color="auto" w:fill="CCEEFF"/>
          </w:tcPr>
          <w:p>
            <w:pPr>
              <w:jc w:val="right"/>
              <w:ind w:right="180"/>
              <w:spacing w:after="0"/>
              <w:rPr>
                <w:sz w:val="20"/>
                <w:szCs w:val="20"/>
                <w:color w:val="auto"/>
              </w:rPr>
            </w:pPr>
            <w:r>
              <w:rPr>
                <w:rFonts w:ascii="Arial" w:cs="Arial" w:eastAsia="Arial" w:hAnsi="Arial"/>
                <w:sz w:val="18"/>
                <w:szCs w:val="18"/>
                <w:u w:val="single" w:color="auto"/>
                <w:color w:val="auto"/>
              </w:rPr>
              <w:t>$</w:t>
            </w:r>
            <w:r>
              <w:rPr>
                <w:rFonts w:ascii="Arial" w:cs="Arial" w:eastAsia="Arial" w:hAnsi="Arial"/>
                <w:sz w:val="18"/>
                <w:szCs w:val="18"/>
                <w:color w:val="auto"/>
              </w:rPr>
              <w:t>3,774</w:t>
            </w:r>
          </w:p>
        </w:tc>
        <w:tc>
          <w:tcPr>
            <w:tcW w:w="720" w:type="dxa"/>
            <w:vAlign w:val="bottom"/>
            <w:gridSpan w:val="3"/>
            <w:shd w:val="clear" w:color="auto" w:fill="CCEEFF"/>
          </w:tcPr>
          <w:p>
            <w:pPr>
              <w:jc w:val="right"/>
              <w:ind w:right="60"/>
              <w:spacing w:after="0"/>
              <w:rPr>
                <w:sz w:val="20"/>
                <w:szCs w:val="20"/>
                <w:color w:val="auto"/>
              </w:rPr>
            </w:pPr>
            <w:r>
              <w:rPr>
                <w:rFonts w:ascii="Arial" w:cs="Arial" w:eastAsia="Arial" w:hAnsi="Arial"/>
                <w:sz w:val="18"/>
                <w:szCs w:val="18"/>
                <w:u w:val="single" w:color="auto"/>
                <w:color w:val="auto"/>
              </w:rPr>
              <w:t>$</w:t>
            </w:r>
            <w:r>
              <w:rPr>
                <w:rFonts w:ascii="Arial" w:cs="Arial" w:eastAsia="Arial" w:hAnsi="Arial"/>
                <w:sz w:val="18"/>
                <w:szCs w:val="18"/>
                <w:color w:val="auto"/>
              </w:rPr>
              <w:t>7,216</w:t>
            </w:r>
          </w:p>
        </w:tc>
      </w:tr>
      <w:tr>
        <w:trPr>
          <w:trHeight w:val="20"/>
        </w:trPr>
        <w:tc>
          <w:tcPr>
            <w:tcW w:w="5300" w:type="dxa"/>
            <w:vAlign w:val="bottom"/>
          </w:tcPr>
          <w:p>
            <w:pPr>
              <w:spacing w:after="0" w:line="20" w:lineRule="exact"/>
              <w:rPr>
                <w:sz w:val="1"/>
                <w:szCs w:val="1"/>
                <w:color w:val="auto"/>
              </w:rPr>
            </w:pPr>
          </w:p>
        </w:tc>
        <w:tc>
          <w:tcPr>
            <w:tcW w:w="202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420" w:type="dxa"/>
            <w:vAlign w:val="bottom"/>
            <w:tcBorders>
              <w:top w:val="single" w:sz="8" w:color="auto"/>
              <w:bottom w:val="single" w:sz="8" w:color="auto"/>
            </w:tcBorders>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r>
    </w:tbl>
    <w:p>
      <w:pPr>
        <w:spacing w:after="0" w:line="215" w:lineRule="exact"/>
        <w:rPr>
          <w:sz w:val="20"/>
          <w:szCs w:val="20"/>
          <w:color w:val="auto"/>
        </w:rPr>
      </w:pPr>
    </w:p>
    <w:p>
      <w:pPr>
        <w:ind w:right="300" w:firstLine="456"/>
        <w:spacing w:after="0" w:line="264" w:lineRule="auto"/>
        <w:rPr>
          <w:sz w:val="20"/>
          <w:szCs w:val="20"/>
          <w:color w:val="auto"/>
        </w:rPr>
      </w:pPr>
      <w:r>
        <w:rPr>
          <w:rFonts w:ascii="Arial" w:cs="Arial" w:eastAsia="Arial" w:hAnsi="Arial"/>
          <w:sz w:val="18"/>
          <w:szCs w:val="18"/>
          <w:color w:val="auto"/>
        </w:rPr>
        <w:t>Clinical programs expenses decreased primarily due to costs related to our Phase 2 clinical trials winding down late in 2017. Other research and development expense increased primarily due to increases in non-cash stock-based compensation expense of approximately $495,000 and $863,000 in the three and six months ended June 30, 2018 compared to the same periods in 2017.</w:t>
      </w:r>
    </w:p>
    <w:p>
      <w:pPr>
        <w:spacing w:after="0" w:line="181" w:lineRule="exact"/>
        <w:rPr>
          <w:sz w:val="20"/>
          <w:szCs w:val="20"/>
          <w:color w:val="auto"/>
        </w:rPr>
      </w:pPr>
    </w:p>
    <w:p>
      <w:pPr>
        <w:jc w:val="both"/>
        <w:ind w:right="140" w:firstLine="456"/>
        <w:spacing w:after="0" w:line="286" w:lineRule="auto"/>
        <w:rPr>
          <w:sz w:val="20"/>
          <w:szCs w:val="20"/>
          <w:color w:val="auto"/>
        </w:rPr>
      </w:pPr>
      <w:r>
        <w:rPr>
          <w:rFonts w:ascii="Arial" w:cs="Arial" w:eastAsia="Arial" w:hAnsi="Arial"/>
          <w:sz w:val="16"/>
          <w:szCs w:val="16"/>
          <w:color w:val="auto"/>
        </w:rPr>
        <w:t>Both the time required and costs we may incur in order to commercialize a drug candidate that would result in material net cash inflow are subject to numerous variables, and therefore we are unable at this stage of our development to forecast useful estimates. Variables that make estimates difficult include the number of clinical trials we may undertake, the number of patients needed to participate in the clinical trial, patient recruitment uncertainties, trial results as to the safety and efficacy of our product, and uncertainties as to the regulatory agency response to our trial data prior to receipt of marketing approval.</w:t>
      </w:r>
    </w:p>
    <w:p>
      <w:pPr>
        <w:spacing w:after="0" w:line="2" w:lineRule="exact"/>
        <w:rPr>
          <w:sz w:val="20"/>
          <w:szCs w:val="20"/>
          <w:color w:val="auto"/>
        </w:rPr>
      </w:pPr>
    </w:p>
    <w:p>
      <w:pPr>
        <w:spacing w:after="0" w:line="295" w:lineRule="auto"/>
        <w:rPr>
          <w:sz w:val="20"/>
          <w:szCs w:val="20"/>
          <w:color w:val="auto"/>
        </w:rPr>
      </w:pPr>
      <w:r>
        <w:rPr>
          <w:rFonts w:ascii="Arial" w:cs="Arial" w:eastAsia="Arial" w:hAnsi="Arial"/>
          <w:sz w:val="16"/>
          <w:szCs w:val="16"/>
          <w:color w:val="auto"/>
        </w:rPr>
        <w:t>Moreover, the FDA or other regulatory agencies may suspend clinical trials if we or an agency believes patients in the trial are subject to unacceptable risks or find deficiencies in the conduct of the clinical trial. Delays or rejections may also occur if governmental regulation or policy changes during our clinical trials or in the course of review of our clinical data. Due to these uncertainties, accurate and meaningful estimates of the ultimate cost to bring a product to market, the timing of costs and completion of our program and the period during which material net cash inflows will commence are unavailable at this time.</w:t>
      </w:r>
    </w:p>
    <w:p>
      <w:pPr>
        <w:spacing w:after="0" w:line="270"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General and Administrative Expense.</w:t>
      </w:r>
    </w:p>
    <w:p>
      <w:pPr>
        <w:spacing w:after="0" w:line="248" w:lineRule="exact"/>
        <w:rPr>
          <w:sz w:val="20"/>
          <w:szCs w:val="20"/>
          <w:color w:val="auto"/>
        </w:rPr>
      </w:pPr>
    </w:p>
    <w:tbl>
      <w:tblPr>
        <w:tblLayout w:type="fixed"/>
        <w:tblInd w:w="0" w:type="dxa"/>
        <w:tblCellMar>
          <w:top w:w="0" w:type="dxa"/>
          <w:left w:w="0" w:type="dxa"/>
          <w:bottom w:w="0" w:type="dxa"/>
          <w:right w:w="0" w:type="dxa"/>
        </w:tblCellMar>
      </w:tblPr>
      <w:tr>
        <w:trPr>
          <w:trHeight w:val="167"/>
        </w:trPr>
        <w:tc>
          <w:tcPr>
            <w:tcW w:w="3460" w:type="dxa"/>
            <w:vAlign w:val="bottom"/>
          </w:tcPr>
          <w:p>
            <w:pPr>
              <w:spacing w:after="0"/>
              <w:rPr>
                <w:sz w:val="14"/>
                <w:szCs w:val="14"/>
                <w:color w:val="auto"/>
              </w:rPr>
            </w:pPr>
          </w:p>
        </w:tc>
        <w:tc>
          <w:tcPr>
            <w:tcW w:w="1500" w:type="dxa"/>
            <w:vAlign w:val="bottom"/>
          </w:tcPr>
          <w:p>
            <w:pPr>
              <w:spacing w:after="0"/>
              <w:rPr>
                <w:sz w:val="14"/>
                <w:szCs w:val="14"/>
                <w:color w:val="auto"/>
              </w:rPr>
            </w:pPr>
          </w:p>
        </w:tc>
        <w:tc>
          <w:tcPr>
            <w:tcW w:w="1380" w:type="dxa"/>
            <w:vAlign w:val="bottom"/>
            <w:gridSpan w:val="3"/>
            <w:vMerge w:val="restart"/>
          </w:tcPr>
          <w:p>
            <w:pPr>
              <w:jc w:val="center"/>
              <w:ind w:right="120"/>
              <w:spacing w:after="0"/>
              <w:rPr>
                <w:sz w:val="20"/>
                <w:szCs w:val="20"/>
                <w:color w:val="auto"/>
              </w:rPr>
            </w:pPr>
            <w:r>
              <w:rPr>
                <w:rFonts w:ascii="Arial" w:cs="Arial" w:eastAsia="Arial" w:hAnsi="Arial"/>
                <w:sz w:val="14"/>
                <w:szCs w:val="14"/>
                <w:color w:val="auto"/>
                <w:w w:val="94"/>
              </w:rPr>
              <w:t>Three Months</w:t>
            </w:r>
          </w:p>
        </w:tc>
        <w:tc>
          <w:tcPr>
            <w:tcW w:w="140" w:type="dxa"/>
            <w:vAlign w:val="bottom"/>
          </w:tcPr>
          <w:p>
            <w:pPr>
              <w:spacing w:after="0"/>
              <w:rPr>
                <w:sz w:val="14"/>
                <w:szCs w:val="14"/>
                <w:color w:val="auto"/>
              </w:rPr>
            </w:pPr>
          </w:p>
        </w:tc>
        <w:tc>
          <w:tcPr>
            <w:tcW w:w="1260" w:type="dxa"/>
            <w:vAlign w:val="bottom"/>
            <w:gridSpan w:val="2"/>
            <w:vMerge w:val="restart"/>
          </w:tcPr>
          <w:p>
            <w:pPr>
              <w:jc w:val="center"/>
              <w:spacing w:after="0"/>
              <w:rPr>
                <w:sz w:val="20"/>
                <w:szCs w:val="20"/>
                <w:color w:val="auto"/>
              </w:rPr>
            </w:pPr>
            <w:r>
              <w:rPr>
                <w:rFonts w:ascii="Arial" w:cs="Arial" w:eastAsia="Arial" w:hAnsi="Arial"/>
                <w:sz w:val="14"/>
                <w:szCs w:val="14"/>
                <w:color w:val="auto"/>
                <w:w w:val="95"/>
              </w:rPr>
              <w:t>Six Months</w:t>
            </w:r>
          </w:p>
        </w:tc>
        <w:tc>
          <w:tcPr>
            <w:tcW w:w="240" w:type="dxa"/>
            <w:vAlign w:val="bottom"/>
          </w:tcPr>
          <w:p>
            <w:pPr>
              <w:spacing w:after="0"/>
              <w:rPr>
                <w:sz w:val="14"/>
                <w:szCs w:val="14"/>
                <w:color w:val="auto"/>
              </w:rPr>
            </w:pPr>
          </w:p>
        </w:tc>
        <w:tc>
          <w:tcPr>
            <w:tcW w:w="820" w:type="dxa"/>
            <w:vAlign w:val="bottom"/>
            <w:tcBorders>
              <w:bottom w:val="single" w:sz="8" w:color="auto"/>
            </w:tcBorders>
          </w:tcPr>
          <w:p>
            <w:pPr>
              <w:spacing w:after="0"/>
              <w:rPr>
                <w:sz w:val="14"/>
                <w:szCs w:val="14"/>
                <w:color w:val="auto"/>
              </w:rPr>
            </w:pPr>
          </w:p>
        </w:tc>
        <w:tc>
          <w:tcPr>
            <w:tcW w:w="1700" w:type="dxa"/>
            <w:vAlign w:val="bottom"/>
            <w:tcBorders>
              <w:bottom w:val="single" w:sz="8" w:color="auto"/>
            </w:tcBorders>
            <w:gridSpan w:val="3"/>
          </w:tcPr>
          <w:p>
            <w:pPr>
              <w:ind w:left="20"/>
              <w:spacing w:after="0"/>
              <w:rPr>
                <w:sz w:val="20"/>
                <w:szCs w:val="20"/>
                <w:color w:val="auto"/>
              </w:rPr>
            </w:pPr>
            <w:r>
              <w:rPr>
                <w:rFonts w:ascii="Arial" w:cs="Arial" w:eastAsia="Arial" w:hAnsi="Arial"/>
                <w:sz w:val="14"/>
                <w:szCs w:val="14"/>
                <w:color w:val="auto"/>
                <w:w w:val="97"/>
              </w:rPr>
              <w:t>2018 as Compared to 2017</w:t>
            </w:r>
          </w:p>
        </w:tc>
        <w:tc>
          <w:tcPr>
            <w:tcW w:w="720" w:type="dxa"/>
            <w:vAlign w:val="bottom"/>
            <w:tcBorders>
              <w:bottom w:val="single" w:sz="8" w:color="auto"/>
            </w:tcBorders>
          </w:tcPr>
          <w:p>
            <w:pPr>
              <w:spacing w:after="0"/>
              <w:rPr>
                <w:sz w:val="14"/>
                <w:szCs w:val="14"/>
                <w:color w:val="auto"/>
              </w:rPr>
            </w:pPr>
          </w:p>
        </w:tc>
        <w:tc>
          <w:tcPr>
            <w:tcW w:w="2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10"/>
        </w:trPr>
        <w:tc>
          <w:tcPr>
            <w:tcW w:w="3460" w:type="dxa"/>
            <w:vAlign w:val="bottom"/>
          </w:tcPr>
          <w:p>
            <w:pPr>
              <w:spacing w:after="0"/>
              <w:rPr>
                <w:sz w:val="9"/>
                <w:szCs w:val="9"/>
                <w:color w:val="auto"/>
              </w:rPr>
            </w:pPr>
          </w:p>
        </w:tc>
        <w:tc>
          <w:tcPr>
            <w:tcW w:w="1500" w:type="dxa"/>
            <w:vAlign w:val="bottom"/>
          </w:tcPr>
          <w:p>
            <w:pPr>
              <w:spacing w:after="0"/>
              <w:rPr>
                <w:sz w:val="9"/>
                <w:szCs w:val="9"/>
                <w:color w:val="auto"/>
              </w:rPr>
            </w:pPr>
          </w:p>
        </w:tc>
        <w:tc>
          <w:tcPr>
            <w:tcW w:w="1380" w:type="dxa"/>
            <w:vAlign w:val="bottom"/>
            <w:gridSpan w:val="3"/>
            <w:vMerge w:val="continue"/>
          </w:tcPr>
          <w:p>
            <w:pPr>
              <w:spacing w:after="0"/>
              <w:rPr>
                <w:sz w:val="9"/>
                <w:szCs w:val="9"/>
                <w:color w:val="auto"/>
              </w:rPr>
            </w:pPr>
          </w:p>
        </w:tc>
        <w:tc>
          <w:tcPr>
            <w:tcW w:w="140" w:type="dxa"/>
            <w:vAlign w:val="bottom"/>
          </w:tcPr>
          <w:p>
            <w:pPr>
              <w:spacing w:after="0"/>
              <w:rPr>
                <w:sz w:val="9"/>
                <w:szCs w:val="9"/>
                <w:color w:val="auto"/>
              </w:rPr>
            </w:pPr>
          </w:p>
        </w:tc>
        <w:tc>
          <w:tcPr>
            <w:tcW w:w="1260" w:type="dxa"/>
            <w:vAlign w:val="bottom"/>
            <w:gridSpan w:val="2"/>
            <w:vMerge w:val="continue"/>
          </w:tcPr>
          <w:p>
            <w:pPr>
              <w:spacing w:after="0"/>
              <w:rPr>
                <w:sz w:val="9"/>
                <w:szCs w:val="9"/>
                <w:color w:val="auto"/>
              </w:rPr>
            </w:pPr>
          </w:p>
        </w:tc>
        <w:tc>
          <w:tcPr>
            <w:tcW w:w="240" w:type="dxa"/>
            <w:vAlign w:val="bottom"/>
          </w:tcPr>
          <w:p>
            <w:pPr>
              <w:spacing w:after="0"/>
              <w:rPr>
                <w:sz w:val="9"/>
                <w:szCs w:val="9"/>
                <w:color w:val="auto"/>
              </w:rPr>
            </w:pPr>
          </w:p>
        </w:tc>
        <w:tc>
          <w:tcPr>
            <w:tcW w:w="820" w:type="dxa"/>
            <w:vAlign w:val="bottom"/>
          </w:tcPr>
          <w:p>
            <w:pPr>
              <w:spacing w:after="0"/>
              <w:rPr>
                <w:sz w:val="9"/>
                <w:szCs w:val="9"/>
                <w:color w:val="auto"/>
              </w:rPr>
            </w:pPr>
          </w:p>
        </w:tc>
        <w:tc>
          <w:tcPr>
            <w:tcW w:w="600" w:type="dxa"/>
            <w:vAlign w:val="bottom"/>
          </w:tcPr>
          <w:p>
            <w:pPr>
              <w:spacing w:after="0"/>
              <w:rPr>
                <w:sz w:val="9"/>
                <w:szCs w:val="9"/>
                <w:color w:val="auto"/>
              </w:rPr>
            </w:pPr>
          </w:p>
        </w:tc>
        <w:tc>
          <w:tcPr>
            <w:tcW w:w="400" w:type="dxa"/>
            <w:vAlign w:val="bottom"/>
          </w:tcPr>
          <w:p>
            <w:pPr>
              <w:spacing w:after="0"/>
              <w:rPr>
                <w:sz w:val="9"/>
                <w:szCs w:val="9"/>
                <w:color w:val="auto"/>
              </w:rPr>
            </w:pPr>
          </w:p>
        </w:tc>
        <w:tc>
          <w:tcPr>
            <w:tcW w:w="700" w:type="dxa"/>
            <w:vAlign w:val="bottom"/>
          </w:tcPr>
          <w:p>
            <w:pPr>
              <w:spacing w:after="0"/>
              <w:rPr>
                <w:sz w:val="9"/>
                <w:szCs w:val="9"/>
                <w:color w:val="auto"/>
              </w:rPr>
            </w:pPr>
          </w:p>
        </w:tc>
        <w:tc>
          <w:tcPr>
            <w:tcW w:w="720" w:type="dxa"/>
            <w:vAlign w:val="bottom"/>
          </w:tcPr>
          <w:p>
            <w:pPr>
              <w:spacing w:after="0"/>
              <w:rPr>
                <w:sz w:val="9"/>
                <w:szCs w:val="9"/>
                <w:color w:val="auto"/>
              </w:rPr>
            </w:pPr>
          </w:p>
        </w:tc>
        <w:tc>
          <w:tcPr>
            <w:tcW w:w="20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67"/>
        </w:trPr>
        <w:tc>
          <w:tcPr>
            <w:tcW w:w="3460" w:type="dxa"/>
            <w:vAlign w:val="bottom"/>
          </w:tcPr>
          <w:p>
            <w:pPr>
              <w:spacing w:after="0"/>
              <w:rPr>
                <w:sz w:val="14"/>
                <w:szCs w:val="14"/>
                <w:color w:val="auto"/>
              </w:rPr>
            </w:pPr>
          </w:p>
        </w:tc>
        <w:tc>
          <w:tcPr>
            <w:tcW w:w="1500" w:type="dxa"/>
            <w:vAlign w:val="bottom"/>
          </w:tcPr>
          <w:p>
            <w:pPr>
              <w:spacing w:after="0"/>
              <w:rPr>
                <w:sz w:val="14"/>
                <w:szCs w:val="14"/>
                <w:color w:val="auto"/>
              </w:rPr>
            </w:pPr>
          </w:p>
        </w:tc>
        <w:tc>
          <w:tcPr>
            <w:tcW w:w="1380" w:type="dxa"/>
            <w:vAlign w:val="bottom"/>
            <w:gridSpan w:val="3"/>
          </w:tcPr>
          <w:p>
            <w:pPr>
              <w:jc w:val="center"/>
              <w:ind w:right="100"/>
              <w:spacing w:after="0"/>
              <w:rPr>
                <w:sz w:val="20"/>
                <w:szCs w:val="20"/>
                <w:color w:val="auto"/>
              </w:rPr>
            </w:pPr>
            <w:r>
              <w:rPr>
                <w:rFonts w:ascii="Arial" w:cs="Arial" w:eastAsia="Arial" w:hAnsi="Arial"/>
                <w:sz w:val="14"/>
                <w:szCs w:val="14"/>
                <w:color w:val="auto"/>
                <w:w w:val="89"/>
              </w:rPr>
              <w:t>Ended June 30,</w:t>
            </w:r>
          </w:p>
        </w:tc>
        <w:tc>
          <w:tcPr>
            <w:tcW w:w="140" w:type="dxa"/>
            <w:vAlign w:val="bottom"/>
          </w:tcPr>
          <w:p>
            <w:pPr>
              <w:spacing w:after="0"/>
              <w:rPr>
                <w:sz w:val="14"/>
                <w:szCs w:val="14"/>
                <w:color w:val="auto"/>
              </w:rPr>
            </w:pPr>
          </w:p>
        </w:tc>
        <w:tc>
          <w:tcPr>
            <w:tcW w:w="1260" w:type="dxa"/>
            <w:vAlign w:val="bottom"/>
            <w:gridSpan w:val="2"/>
          </w:tcPr>
          <w:p>
            <w:pPr>
              <w:jc w:val="center"/>
              <w:spacing w:after="0"/>
              <w:rPr>
                <w:sz w:val="20"/>
                <w:szCs w:val="20"/>
                <w:color w:val="auto"/>
              </w:rPr>
            </w:pPr>
            <w:r>
              <w:rPr>
                <w:rFonts w:ascii="Arial" w:cs="Arial" w:eastAsia="Arial" w:hAnsi="Arial"/>
                <w:sz w:val="14"/>
                <w:szCs w:val="14"/>
                <w:color w:val="auto"/>
                <w:w w:val="89"/>
              </w:rPr>
              <w:t>Ended June 30,</w:t>
            </w:r>
          </w:p>
        </w:tc>
        <w:tc>
          <w:tcPr>
            <w:tcW w:w="240" w:type="dxa"/>
            <w:vAlign w:val="bottom"/>
          </w:tcPr>
          <w:p>
            <w:pPr>
              <w:spacing w:after="0"/>
              <w:rPr>
                <w:sz w:val="14"/>
                <w:szCs w:val="14"/>
                <w:color w:val="auto"/>
              </w:rPr>
            </w:pPr>
          </w:p>
        </w:tc>
        <w:tc>
          <w:tcPr>
            <w:tcW w:w="1820" w:type="dxa"/>
            <w:vAlign w:val="bottom"/>
            <w:gridSpan w:val="3"/>
          </w:tcPr>
          <w:p>
            <w:pPr>
              <w:ind w:left="320"/>
              <w:spacing w:after="0"/>
              <w:rPr>
                <w:sz w:val="20"/>
                <w:szCs w:val="20"/>
                <w:color w:val="auto"/>
              </w:rPr>
            </w:pPr>
            <w:r>
              <w:rPr>
                <w:rFonts w:ascii="Arial" w:cs="Arial" w:eastAsia="Arial" w:hAnsi="Arial"/>
                <w:sz w:val="14"/>
                <w:szCs w:val="14"/>
                <w:color w:val="auto"/>
              </w:rPr>
              <w:t>Three Months</w:t>
            </w:r>
          </w:p>
        </w:tc>
        <w:tc>
          <w:tcPr>
            <w:tcW w:w="1620" w:type="dxa"/>
            <w:vAlign w:val="bottom"/>
            <w:gridSpan w:val="3"/>
          </w:tcPr>
          <w:p>
            <w:pPr>
              <w:ind w:left="380"/>
              <w:spacing w:after="0"/>
              <w:rPr>
                <w:sz w:val="20"/>
                <w:szCs w:val="20"/>
                <w:color w:val="auto"/>
              </w:rPr>
            </w:pPr>
            <w:r>
              <w:rPr>
                <w:rFonts w:ascii="Arial" w:cs="Arial" w:eastAsia="Arial" w:hAnsi="Arial"/>
                <w:sz w:val="14"/>
                <w:szCs w:val="14"/>
                <w:color w:val="auto"/>
              </w:rPr>
              <w:t>Six Months</w:t>
            </w:r>
          </w:p>
        </w:tc>
        <w:tc>
          <w:tcPr>
            <w:tcW w:w="0" w:type="dxa"/>
            <w:vAlign w:val="bottom"/>
          </w:tcPr>
          <w:p>
            <w:pPr>
              <w:spacing w:after="0"/>
              <w:rPr>
                <w:sz w:val="1"/>
                <w:szCs w:val="1"/>
                <w:color w:val="auto"/>
              </w:rPr>
            </w:pPr>
          </w:p>
        </w:tc>
      </w:tr>
      <w:tr>
        <w:trPr>
          <w:trHeight w:val="142"/>
        </w:trPr>
        <w:tc>
          <w:tcPr>
            <w:tcW w:w="3460" w:type="dxa"/>
            <w:vAlign w:val="bottom"/>
          </w:tcPr>
          <w:p>
            <w:pPr>
              <w:spacing w:after="0"/>
              <w:rPr>
                <w:sz w:val="12"/>
                <w:szCs w:val="12"/>
                <w:color w:val="auto"/>
              </w:rPr>
            </w:pPr>
          </w:p>
        </w:tc>
        <w:tc>
          <w:tcPr>
            <w:tcW w:w="1500" w:type="dxa"/>
            <w:vAlign w:val="bottom"/>
          </w:tcPr>
          <w:p>
            <w:pPr>
              <w:spacing w:after="0"/>
              <w:rPr>
                <w:sz w:val="12"/>
                <w:szCs w:val="12"/>
                <w:color w:val="auto"/>
              </w:rPr>
            </w:pPr>
          </w:p>
        </w:tc>
        <w:tc>
          <w:tcPr>
            <w:tcW w:w="640" w:type="dxa"/>
            <w:vAlign w:val="bottom"/>
            <w:tcBorders>
              <w:top w:val="single" w:sz="8" w:color="auto"/>
              <w:bottom w:val="single" w:sz="8" w:color="auto"/>
            </w:tcBorders>
          </w:tcPr>
          <w:p>
            <w:pPr>
              <w:jc w:val="right"/>
              <w:ind w:right="168"/>
              <w:spacing w:after="0" w:line="142" w:lineRule="exact"/>
              <w:rPr>
                <w:sz w:val="20"/>
                <w:szCs w:val="20"/>
                <w:color w:val="auto"/>
              </w:rPr>
            </w:pPr>
            <w:r>
              <w:rPr>
                <w:rFonts w:ascii="Arial" w:cs="Arial" w:eastAsia="Arial" w:hAnsi="Arial"/>
                <w:sz w:val="14"/>
                <w:szCs w:val="14"/>
                <w:color w:val="auto"/>
              </w:rPr>
              <w:t>2018</w:t>
            </w:r>
          </w:p>
        </w:tc>
        <w:tc>
          <w:tcPr>
            <w:tcW w:w="620" w:type="dxa"/>
            <w:vAlign w:val="bottom"/>
            <w:tcBorders>
              <w:top w:val="single" w:sz="8" w:color="auto"/>
              <w:bottom w:val="single" w:sz="8" w:color="auto"/>
            </w:tcBorders>
          </w:tcPr>
          <w:p>
            <w:pPr>
              <w:jc w:val="right"/>
              <w:ind w:right="19"/>
              <w:spacing w:after="0" w:line="142" w:lineRule="exact"/>
              <w:rPr>
                <w:sz w:val="20"/>
                <w:szCs w:val="20"/>
                <w:color w:val="auto"/>
              </w:rPr>
            </w:pPr>
            <w:r>
              <w:rPr>
                <w:rFonts w:ascii="Arial" w:cs="Arial" w:eastAsia="Arial" w:hAnsi="Arial"/>
                <w:sz w:val="14"/>
                <w:szCs w:val="14"/>
                <w:color w:val="auto"/>
              </w:rPr>
              <w:t>2017</w:t>
            </w:r>
          </w:p>
        </w:tc>
        <w:tc>
          <w:tcPr>
            <w:tcW w:w="120" w:type="dxa"/>
            <w:vAlign w:val="bottom"/>
            <w:tcBorders>
              <w:bottom w:val="single" w:sz="8" w:color="auto"/>
            </w:tcBorders>
          </w:tcPr>
          <w:p>
            <w:pPr>
              <w:spacing w:after="0"/>
              <w:rPr>
                <w:sz w:val="12"/>
                <w:szCs w:val="12"/>
                <w:color w:val="auto"/>
              </w:rPr>
            </w:pPr>
          </w:p>
        </w:tc>
        <w:tc>
          <w:tcPr>
            <w:tcW w:w="140" w:type="dxa"/>
            <w:vAlign w:val="bottom"/>
            <w:tcBorders>
              <w:bottom w:val="single" w:sz="8" w:color="auto"/>
            </w:tcBorders>
          </w:tcPr>
          <w:p>
            <w:pPr>
              <w:spacing w:after="0"/>
              <w:rPr>
                <w:sz w:val="12"/>
                <w:szCs w:val="12"/>
                <w:color w:val="auto"/>
              </w:rPr>
            </w:pPr>
          </w:p>
        </w:tc>
        <w:tc>
          <w:tcPr>
            <w:tcW w:w="620" w:type="dxa"/>
            <w:vAlign w:val="bottom"/>
            <w:tcBorders>
              <w:top w:val="single" w:sz="8" w:color="auto"/>
              <w:bottom w:val="single" w:sz="8" w:color="auto"/>
            </w:tcBorders>
          </w:tcPr>
          <w:p>
            <w:pPr>
              <w:jc w:val="right"/>
              <w:ind w:right="148"/>
              <w:spacing w:after="0" w:line="142" w:lineRule="exact"/>
              <w:rPr>
                <w:sz w:val="20"/>
                <w:szCs w:val="20"/>
                <w:color w:val="auto"/>
              </w:rPr>
            </w:pPr>
            <w:r>
              <w:rPr>
                <w:rFonts w:ascii="Arial" w:cs="Arial" w:eastAsia="Arial" w:hAnsi="Arial"/>
                <w:sz w:val="14"/>
                <w:szCs w:val="14"/>
                <w:color w:val="auto"/>
              </w:rPr>
              <w:t>2018</w:t>
            </w:r>
          </w:p>
        </w:tc>
        <w:tc>
          <w:tcPr>
            <w:tcW w:w="640" w:type="dxa"/>
            <w:vAlign w:val="bottom"/>
            <w:tcBorders>
              <w:top w:val="single" w:sz="8" w:color="auto"/>
              <w:bottom w:val="single" w:sz="8" w:color="auto"/>
            </w:tcBorders>
          </w:tcPr>
          <w:p>
            <w:pPr>
              <w:jc w:val="right"/>
              <w:ind w:right="42"/>
              <w:spacing w:after="0" w:line="142" w:lineRule="exact"/>
              <w:rPr>
                <w:sz w:val="20"/>
                <w:szCs w:val="20"/>
                <w:color w:val="auto"/>
              </w:rPr>
            </w:pPr>
            <w:r>
              <w:rPr>
                <w:rFonts w:ascii="Arial" w:cs="Arial" w:eastAsia="Arial" w:hAnsi="Arial"/>
                <w:sz w:val="14"/>
                <w:szCs w:val="14"/>
                <w:color w:val="auto"/>
              </w:rPr>
              <w:t>2017</w:t>
            </w:r>
          </w:p>
        </w:tc>
        <w:tc>
          <w:tcPr>
            <w:tcW w:w="240" w:type="dxa"/>
            <w:vAlign w:val="bottom"/>
            <w:tcBorders>
              <w:bottom w:val="single" w:sz="8" w:color="auto"/>
            </w:tcBorders>
          </w:tcPr>
          <w:p>
            <w:pPr>
              <w:spacing w:after="0"/>
              <w:rPr>
                <w:sz w:val="12"/>
                <w:szCs w:val="12"/>
                <w:color w:val="auto"/>
              </w:rPr>
            </w:pPr>
          </w:p>
        </w:tc>
        <w:tc>
          <w:tcPr>
            <w:tcW w:w="820" w:type="dxa"/>
            <w:vAlign w:val="bottom"/>
            <w:tcBorders>
              <w:top w:val="single" w:sz="8" w:color="auto"/>
              <w:bottom w:val="single" w:sz="8" w:color="auto"/>
            </w:tcBorders>
          </w:tcPr>
          <w:p>
            <w:pPr>
              <w:ind w:left="20"/>
              <w:spacing w:after="0" w:line="142" w:lineRule="exact"/>
              <w:rPr>
                <w:sz w:val="20"/>
                <w:szCs w:val="20"/>
                <w:color w:val="auto"/>
              </w:rPr>
            </w:pPr>
            <w:r>
              <w:rPr>
                <w:rFonts w:ascii="Arial" w:cs="Arial" w:eastAsia="Arial" w:hAnsi="Arial"/>
                <w:sz w:val="14"/>
                <w:szCs w:val="14"/>
                <w:color w:val="auto"/>
              </w:rPr>
              <w:t>$ Change</w:t>
            </w:r>
          </w:p>
        </w:tc>
        <w:tc>
          <w:tcPr>
            <w:tcW w:w="600" w:type="dxa"/>
            <w:vAlign w:val="bottom"/>
            <w:tcBorders>
              <w:top w:val="single" w:sz="8" w:color="auto"/>
              <w:bottom w:val="single" w:sz="8" w:color="auto"/>
            </w:tcBorders>
          </w:tcPr>
          <w:p>
            <w:pPr>
              <w:spacing w:after="0" w:line="142" w:lineRule="exact"/>
              <w:rPr>
                <w:sz w:val="20"/>
                <w:szCs w:val="20"/>
                <w:color w:val="auto"/>
              </w:rPr>
            </w:pPr>
            <w:r>
              <w:rPr>
                <w:rFonts w:ascii="Arial" w:cs="Arial" w:eastAsia="Arial" w:hAnsi="Arial"/>
                <w:sz w:val="14"/>
                <w:szCs w:val="14"/>
                <w:color w:val="auto"/>
                <w:w w:val="88"/>
              </w:rPr>
              <w:t>% Change</w:t>
            </w:r>
          </w:p>
        </w:tc>
        <w:tc>
          <w:tcPr>
            <w:tcW w:w="400" w:type="dxa"/>
            <w:vAlign w:val="bottom"/>
            <w:tcBorders>
              <w:bottom w:val="single" w:sz="8" w:color="auto"/>
            </w:tcBorders>
          </w:tcPr>
          <w:p>
            <w:pPr>
              <w:spacing w:after="0"/>
              <w:rPr>
                <w:sz w:val="12"/>
                <w:szCs w:val="12"/>
                <w:color w:val="auto"/>
              </w:rPr>
            </w:pPr>
          </w:p>
        </w:tc>
        <w:tc>
          <w:tcPr>
            <w:tcW w:w="700" w:type="dxa"/>
            <w:vAlign w:val="bottom"/>
            <w:tcBorders>
              <w:top w:val="single" w:sz="8" w:color="auto"/>
              <w:bottom w:val="single" w:sz="8" w:color="auto"/>
            </w:tcBorders>
          </w:tcPr>
          <w:p>
            <w:pPr>
              <w:spacing w:after="0" w:line="142" w:lineRule="exact"/>
              <w:rPr>
                <w:sz w:val="20"/>
                <w:szCs w:val="20"/>
                <w:color w:val="auto"/>
              </w:rPr>
            </w:pPr>
            <w:r>
              <w:rPr>
                <w:rFonts w:ascii="Arial" w:cs="Arial" w:eastAsia="Arial" w:hAnsi="Arial"/>
                <w:sz w:val="14"/>
                <w:szCs w:val="14"/>
                <w:color w:val="auto"/>
              </w:rPr>
              <w:t>$ Change</w:t>
            </w:r>
          </w:p>
        </w:tc>
        <w:tc>
          <w:tcPr>
            <w:tcW w:w="720" w:type="dxa"/>
            <w:vAlign w:val="bottom"/>
            <w:tcBorders>
              <w:top w:val="single" w:sz="8" w:color="auto"/>
              <w:bottom w:val="single" w:sz="8" w:color="auto"/>
            </w:tcBorders>
          </w:tcPr>
          <w:p>
            <w:pPr>
              <w:ind w:left="120"/>
              <w:spacing w:after="0" w:line="142" w:lineRule="exact"/>
              <w:rPr>
                <w:sz w:val="20"/>
                <w:szCs w:val="20"/>
                <w:color w:val="auto"/>
              </w:rPr>
            </w:pPr>
            <w:r>
              <w:rPr>
                <w:rFonts w:ascii="Arial" w:cs="Arial" w:eastAsia="Arial" w:hAnsi="Arial"/>
                <w:sz w:val="14"/>
                <w:szCs w:val="14"/>
                <w:color w:val="auto"/>
                <w:w w:val="88"/>
              </w:rPr>
              <w:t>% Change</w:t>
            </w:r>
          </w:p>
        </w:tc>
        <w:tc>
          <w:tcPr>
            <w:tcW w:w="2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2"/>
        </w:trPr>
        <w:tc>
          <w:tcPr>
            <w:tcW w:w="3460" w:type="dxa"/>
            <w:vAlign w:val="bottom"/>
          </w:tcPr>
          <w:p>
            <w:pPr>
              <w:spacing w:after="0"/>
              <w:rPr>
                <w:sz w:val="12"/>
                <w:szCs w:val="12"/>
                <w:color w:val="auto"/>
              </w:rPr>
            </w:pPr>
          </w:p>
        </w:tc>
        <w:tc>
          <w:tcPr>
            <w:tcW w:w="150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1700" w:type="dxa"/>
            <w:vAlign w:val="bottom"/>
            <w:gridSpan w:val="3"/>
          </w:tcPr>
          <w:p>
            <w:pPr>
              <w:ind w:left="280"/>
              <w:spacing w:after="0" w:line="142" w:lineRule="exact"/>
              <w:rPr>
                <w:sz w:val="20"/>
                <w:szCs w:val="20"/>
                <w:color w:val="auto"/>
              </w:rPr>
            </w:pPr>
            <w:r>
              <w:rPr>
                <w:rFonts w:ascii="Arial" w:cs="Arial" w:eastAsia="Arial" w:hAnsi="Arial"/>
                <w:sz w:val="14"/>
                <w:szCs w:val="14"/>
                <w:color w:val="auto"/>
                <w:w w:val="90"/>
              </w:rPr>
              <w:t>(In thousands, except %)</w:t>
            </w:r>
          </w:p>
        </w:tc>
        <w:tc>
          <w:tcPr>
            <w:tcW w:w="600" w:type="dxa"/>
            <w:vAlign w:val="bottom"/>
          </w:tcPr>
          <w:p>
            <w:pPr>
              <w:spacing w:after="0"/>
              <w:rPr>
                <w:sz w:val="12"/>
                <w:szCs w:val="12"/>
                <w:color w:val="auto"/>
              </w:rPr>
            </w:pPr>
          </w:p>
        </w:tc>
        <w:tc>
          <w:tcPr>
            <w:tcW w:w="40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6"/>
        </w:trPr>
        <w:tc>
          <w:tcPr>
            <w:tcW w:w="3460" w:type="dxa"/>
            <w:vAlign w:val="bottom"/>
            <w:shd w:val="clear" w:color="auto" w:fill="CCEEFF"/>
          </w:tcPr>
          <w:p>
            <w:pPr>
              <w:spacing w:after="0"/>
              <w:rPr>
                <w:sz w:val="20"/>
                <w:szCs w:val="20"/>
                <w:color w:val="auto"/>
              </w:rPr>
            </w:pPr>
            <w:r>
              <w:rPr>
                <w:rFonts w:ascii="Arial" w:cs="Arial" w:eastAsia="Arial" w:hAnsi="Arial"/>
                <w:sz w:val="18"/>
                <w:szCs w:val="18"/>
                <w:color w:val="auto"/>
              </w:rPr>
              <w:t>General and administrative</w:t>
            </w:r>
          </w:p>
        </w:tc>
        <w:tc>
          <w:tcPr>
            <w:tcW w:w="2140" w:type="dxa"/>
            <w:vAlign w:val="bottom"/>
            <w:gridSpan w:val="2"/>
            <w:shd w:val="clear" w:color="auto" w:fill="CCEEFF"/>
          </w:tcPr>
          <w:p>
            <w:pPr>
              <w:jc w:val="right"/>
              <w:ind w:right="68"/>
              <w:spacing w:after="0"/>
              <w:rPr>
                <w:sz w:val="20"/>
                <w:szCs w:val="20"/>
                <w:color w:val="auto"/>
              </w:rPr>
            </w:pPr>
            <w:r>
              <w:rPr>
                <w:rFonts w:ascii="Arial" w:cs="Arial" w:eastAsia="Arial" w:hAnsi="Arial"/>
                <w:sz w:val="18"/>
                <w:szCs w:val="18"/>
                <w:color w:val="auto"/>
              </w:rPr>
              <w:t>$2,283</w:t>
            </w:r>
          </w:p>
        </w:tc>
        <w:tc>
          <w:tcPr>
            <w:tcW w:w="74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$1,070</w:t>
            </w:r>
          </w:p>
        </w:tc>
        <w:tc>
          <w:tcPr>
            <w:tcW w:w="760" w:type="dxa"/>
            <w:vAlign w:val="bottom"/>
            <w:gridSpan w:val="2"/>
            <w:shd w:val="clear" w:color="auto" w:fill="CCEEFF"/>
          </w:tcPr>
          <w:p>
            <w:pPr>
              <w:jc w:val="right"/>
              <w:ind w:right="48"/>
              <w:spacing w:after="0"/>
              <w:rPr>
                <w:sz w:val="20"/>
                <w:szCs w:val="20"/>
                <w:color w:val="auto"/>
              </w:rPr>
            </w:pPr>
            <w:r>
              <w:rPr>
                <w:rFonts w:ascii="Arial" w:cs="Arial" w:eastAsia="Arial" w:hAnsi="Arial"/>
                <w:sz w:val="18"/>
                <w:szCs w:val="18"/>
                <w:color w:val="auto"/>
              </w:rPr>
              <w:t>$4,163</w:t>
            </w: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$2,244</w:t>
            </w:r>
          </w:p>
        </w:tc>
        <w:tc>
          <w:tcPr>
            <w:tcW w:w="1060" w:type="dxa"/>
            <w:vAlign w:val="bottom"/>
            <w:gridSpan w:val="2"/>
            <w:shd w:val="clear" w:color="auto" w:fill="CCEEFF"/>
          </w:tcPr>
          <w:p>
            <w:pPr>
              <w:ind w:left="240"/>
              <w:spacing w:after="0"/>
              <w:rPr>
                <w:sz w:val="20"/>
                <w:szCs w:val="20"/>
                <w:color w:val="auto"/>
              </w:rPr>
            </w:pPr>
            <w:r>
              <w:rPr>
                <w:rFonts w:ascii="Arial" w:cs="Arial" w:eastAsia="Arial" w:hAnsi="Arial"/>
                <w:sz w:val="18"/>
                <w:szCs w:val="18"/>
                <w:color w:val="auto"/>
              </w:rPr>
              <w:t>$ 1,213</w:t>
            </w:r>
          </w:p>
        </w:tc>
        <w:tc>
          <w:tcPr>
            <w:tcW w:w="100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113%</w:t>
            </w:r>
          </w:p>
        </w:tc>
        <w:tc>
          <w:tcPr>
            <w:tcW w:w="700" w:type="dxa"/>
            <w:vAlign w:val="bottom"/>
            <w:shd w:val="clear" w:color="auto" w:fill="CCEEFF"/>
          </w:tcPr>
          <w:p>
            <w:pPr>
              <w:spacing w:after="0"/>
              <w:rPr>
                <w:sz w:val="20"/>
                <w:szCs w:val="20"/>
                <w:color w:val="auto"/>
              </w:rPr>
            </w:pPr>
            <w:r>
              <w:rPr>
                <w:rFonts w:ascii="Arial" w:cs="Arial" w:eastAsia="Arial" w:hAnsi="Arial"/>
                <w:sz w:val="18"/>
                <w:szCs w:val="18"/>
                <w:color w:val="auto"/>
              </w:rPr>
              <w:t>$ 1,919</w:t>
            </w:r>
          </w:p>
        </w:tc>
        <w:tc>
          <w:tcPr>
            <w:tcW w:w="92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86%</w:t>
            </w:r>
          </w:p>
        </w:tc>
        <w:tc>
          <w:tcPr>
            <w:tcW w:w="0" w:type="dxa"/>
            <w:vAlign w:val="bottom"/>
          </w:tcPr>
          <w:p>
            <w:pPr>
              <w:spacing w:after="0"/>
              <w:rPr>
                <w:sz w:val="1"/>
                <w:szCs w:val="1"/>
                <w:color w:val="auto"/>
              </w:rPr>
            </w:pPr>
          </w:p>
        </w:tc>
      </w:tr>
    </w:tbl>
    <w:p>
      <w:pPr>
        <w:spacing w:after="0" w:line="202" w:lineRule="exact"/>
        <w:rPr>
          <w:sz w:val="20"/>
          <w:szCs w:val="20"/>
          <w:color w:val="auto"/>
        </w:rPr>
      </w:pPr>
    </w:p>
    <w:p>
      <w:pPr>
        <w:jc w:val="both"/>
        <w:ind w:right="160" w:firstLine="456"/>
        <w:spacing w:after="0" w:line="264" w:lineRule="auto"/>
        <w:rPr>
          <w:sz w:val="20"/>
          <w:szCs w:val="20"/>
          <w:color w:val="auto"/>
        </w:rPr>
      </w:pPr>
      <w:r>
        <w:rPr>
          <w:rFonts w:ascii="Arial" w:cs="Arial" w:eastAsia="Arial" w:hAnsi="Arial"/>
          <w:sz w:val="18"/>
          <w:szCs w:val="18"/>
          <w:color w:val="auto"/>
        </w:rPr>
        <w:t>General and administrative expenses consist primarily of salaries including stock-based compensation, legal and accounting fees, insurance, investor relations, business development and other office related expenses. The primary reasons for the increase in general and administrative expenses for the three-months ended June 30, 2018 as compared to the same period in 2017 is due to an</w:t>
      </w:r>
    </w:p>
    <w:p>
      <w:pPr>
        <w:spacing w:after="0" w:line="11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16</w:t>
      </w:r>
    </w:p>
    <w:p>
      <w:pPr>
        <w:sectPr>
          <w:pgSz w:w="11900" w:h="16838" w:orient="portrait"/>
          <w:cols w:equalWidth="0" w:num="1">
            <w:col w:w="11420"/>
          </w:cols>
          <w:pgMar w:left="240" w:top="459" w:right="239" w:bottom="1440" w:gutter="0" w:footer="0" w:header="0"/>
        </w:sectPr>
      </w:pPr>
    </w:p>
    <w:bookmarkStart w:id="16" w:name="page17"/>
    <w:bookmarkEnd w:id="1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right="220"/>
        <w:spacing w:after="0" w:line="259" w:lineRule="auto"/>
        <w:rPr>
          <w:sz w:val="20"/>
          <w:szCs w:val="20"/>
          <w:color w:val="auto"/>
        </w:rPr>
      </w:pPr>
      <w:r>
        <w:rPr>
          <w:rFonts w:ascii="Arial" w:cs="Arial" w:eastAsia="Arial" w:hAnsi="Arial"/>
          <w:sz w:val="18"/>
          <w:szCs w:val="18"/>
          <w:color w:val="auto"/>
        </w:rPr>
        <w:t>increase non-cash, stock-based compensation expense of $679,000 and as increase in business development/investor relations expenses of approximately $191,000. The primary reasons for the increase in general and administrative expenses for the six-months ended June 30, 2018 as compared to the same period in 2017 is due to an increase non-cash, stock-based compensation expense of $1,168,000 and as increase in business development/investor relations expenses of approximately $333,000.</w:t>
      </w:r>
    </w:p>
    <w:p>
      <w:pPr>
        <w:spacing w:after="0" w:line="29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Liquidity and Capital Resources</w:t>
      </w:r>
    </w:p>
    <w:p>
      <w:pPr>
        <w:spacing w:after="0" w:line="121" w:lineRule="exact"/>
        <w:rPr>
          <w:sz w:val="20"/>
          <w:szCs w:val="20"/>
          <w:color w:val="auto"/>
        </w:rPr>
      </w:pPr>
    </w:p>
    <w:p>
      <w:pPr>
        <w:ind w:right="60" w:firstLine="456"/>
        <w:spacing w:after="0" w:line="254" w:lineRule="auto"/>
        <w:rPr>
          <w:sz w:val="20"/>
          <w:szCs w:val="20"/>
          <w:color w:val="auto"/>
        </w:rPr>
      </w:pPr>
      <w:r>
        <w:rPr>
          <w:rFonts w:ascii="Arial" w:cs="Arial" w:eastAsia="Arial" w:hAnsi="Arial"/>
          <w:sz w:val="18"/>
          <w:szCs w:val="18"/>
          <w:color w:val="auto"/>
        </w:rPr>
        <w:t>Since our inception on July 10, 2000, we have financed our operations from proceeds of public and private offerings of debt and equity. As of June 30, 2018, we raised a net total of $146.1 million from these offerings. We have operated at a loss since our inception and have had no significant revenues. We anticipate that losses will continue for the foreseeable future. At June 30, 2018, the Company had $10.5 million of unrestricted cash and cash equivalents available to fund future operations. The Company believes there is sufficient cash, including availability of the line of credit, to fund currently planned operations at least through June 30, 2019. Our ability to fund operations after our current cash resources are exhausted depends on our ability to obtain additional financing or achieve profitable operations, as to which no assurances can be given. Accordingly, based on the forecasts and estimates underlying our current operating plan, the financial statements do not currently include any adjustments that might be necessary if we are unable to continue as a going concern.</w:t>
      </w:r>
    </w:p>
    <w:p>
      <w:pPr>
        <w:spacing w:after="0" w:line="192" w:lineRule="exact"/>
        <w:rPr>
          <w:sz w:val="20"/>
          <w:szCs w:val="20"/>
          <w:color w:val="auto"/>
        </w:rPr>
      </w:pPr>
    </w:p>
    <w:p>
      <w:pPr>
        <w:ind w:right="80" w:firstLine="456"/>
        <w:spacing w:after="0" w:line="264" w:lineRule="auto"/>
        <w:rPr>
          <w:sz w:val="20"/>
          <w:szCs w:val="20"/>
          <w:color w:val="auto"/>
        </w:rPr>
      </w:pPr>
      <w:r>
        <w:rPr>
          <w:rFonts w:ascii="Arial" w:cs="Arial" w:eastAsia="Arial" w:hAnsi="Arial"/>
          <w:sz w:val="18"/>
          <w:szCs w:val="18"/>
          <w:color w:val="auto"/>
        </w:rPr>
        <w:t>Net cash used in operations decreased by $2,270,000 to $6,595,000 for the six months ended June 30, 2018, as compared to $8,865,000 for the six months ended June 30, 2017. Cash operating expenses decreased principally due to the winding down of Phase 2 research and development activities related to our clinical trial activity with GR-MD-02.</w:t>
      </w:r>
    </w:p>
    <w:p>
      <w:pPr>
        <w:spacing w:after="0" w:line="181" w:lineRule="exact"/>
        <w:rPr>
          <w:sz w:val="20"/>
          <w:szCs w:val="20"/>
          <w:color w:val="auto"/>
        </w:rPr>
      </w:pPr>
    </w:p>
    <w:p>
      <w:pPr>
        <w:ind w:firstLine="456"/>
        <w:spacing w:after="0" w:line="264" w:lineRule="auto"/>
        <w:rPr>
          <w:sz w:val="20"/>
          <w:szCs w:val="20"/>
          <w:color w:val="auto"/>
        </w:rPr>
      </w:pPr>
      <w:r>
        <w:rPr>
          <w:rFonts w:ascii="Arial" w:cs="Arial" w:eastAsia="Arial" w:hAnsi="Arial"/>
          <w:sz w:val="18"/>
          <w:szCs w:val="18"/>
          <w:color w:val="auto"/>
        </w:rPr>
        <w:t>Net cash provided by financing activities the six months ended June 30, 2018, of $14,039,000 represents proceeds from the exercise of common stock warrants and options and sale of common stock. Net cash provided by financing activities the three months ended June 30, 2017, of $2,630,000 represents net proceeds from the sale of common stock and warrants.</w:t>
      </w:r>
    </w:p>
    <w:p>
      <w:pPr>
        <w:spacing w:after="0" w:line="289"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Other.</w:t>
      </w:r>
    </w:p>
    <w:p>
      <w:pPr>
        <w:spacing w:after="0" w:line="117" w:lineRule="exact"/>
        <w:rPr>
          <w:sz w:val="20"/>
          <w:szCs w:val="20"/>
          <w:color w:val="auto"/>
        </w:rPr>
      </w:pPr>
    </w:p>
    <w:p>
      <w:pPr>
        <w:ind w:right="140" w:firstLine="456"/>
        <w:spacing w:after="0" w:line="277" w:lineRule="auto"/>
        <w:rPr>
          <w:sz w:val="20"/>
          <w:szCs w:val="20"/>
          <w:color w:val="auto"/>
        </w:rPr>
      </w:pPr>
      <w:r>
        <w:rPr>
          <w:rFonts w:ascii="Arial" w:cs="Arial" w:eastAsia="Arial" w:hAnsi="Arial"/>
          <w:sz w:val="18"/>
          <w:szCs w:val="18"/>
          <w:color w:val="auto"/>
        </w:rPr>
        <w:t>We have engaged outside vendors for certain services associated with our clinical trials. These services are generally available from several providers and, accordingly, our arrangements are typically cancellable on 30 days notice.</w:t>
      </w:r>
    </w:p>
    <w:p>
      <w:pPr>
        <w:spacing w:after="0" w:line="103"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17</w:t>
      </w:r>
    </w:p>
    <w:p>
      <w:pPr>
        <w:sectPr>
          <w:pgSz w:w="11900" w:h="16838" w:orient="portrait"/>
          <w:cols w:equalWidth="0" w:num="1">
            <w:col w:w="11380"/>
          </w:cols>
          <w:pgMar w:left="240" w:top="459" w:right="279" w:bottom="1440" w:gutter="0" w:footer="0" w:header="0"/>
        </w:sectPr>
      </w:pPr>
    </w:p>
    <w:bookmarkStart w:id="17" w:name="page18"/>
    <w:bookmarkEnd w:id="1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Off-Balance Sheet Arrangements</w:t>
      </w:r>
    </w:p>
    <w:p>
      <w:pPr>
        <w:spacing w:after="0" w:line="117" w:lineRule="exact"/>
        <w:rPr>
          <w:sz w:val="20"/>
          <w:szCs w:val="20"/>
          <w:color w:val="auto"/>
        </w:rPr>
      </w:pPr>
    </w:p>
    <w:p>
      <w:pPr>
        <w:ind w:right="40" w:firstLine="456"/>
        <w:spacing w:after="0" w:line="286" w:lineRule="auto"/>
        <w:rPr>
          <w:sz w:val="20"/>
          <w:szCs w:val="20"/>
          <w:color w:val="auto"/>
        </w:rPr>
      </w:pPr>
      <w:r>
        <w:rPr>
          <w:rFonts w:ascii="Arial" w:cs="Arial" w:eastAsia="Arial" w:hAnsi="Arial"/>
          <w:sz w:val="17"/>
          <w:szCs w:val="17"/>
          <w:color w:val="auto"/>
        </w:rPr>
        <w:t>We have not created, and are not a party to, any special-purpose or off-balance sheet entities for the purpose of raising capital, incurring debt or operating parts of our business that are not consolidated into our financial statements. We do not have any arrangements or relationships with entities that are not consolidated into our financial statements that are reasonably likely to materially affect our liquidity or the availability of capital resources.</w:t>
      </w:r>
    </w:p>
    <w:p>
      <w:pPr>
        <w:spacing w:after="0" w:line="27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Application of Critical Accounting Policies and Estimates</w:t>
      </w:r>
    </w:p>
    <w:p>
      <w:pPr>
        <w:spacing w:after="0" w:line="121" w:lineRule="exact"/>
        <w:rPr>
          <w:sz w:val="20"/>
          <w:szCs w:val="20"/>
          <w:color w:val="auto"/>
        </w:rPr>
      </w:pPr>
    </w:p>
    <w:p>
      <w:pPr>
        <w:ind w:firstLine="456"/>
        <w:spacing w:after="0" w:line="297" w:lineRule="auto"/>
        <w:rPr>
          <w:sz w:val="20"/>
          <w:szCs w:val="20"/>
          <w:color w:val="auto"/>
        </w:rPr>
      </w:pPr>
      <w:r>
        <w:rPr>
          <w:rFonts w:ascii="Arial" w:cs="Arial" w:eastAsia="Arial" w:hAnsi="Arial"/>
          <w:sz w:val="16"/>
          <w:szCs w:val="16"/>
          <w:color w:val="auto"/>
        </w:rPr>
        <w:t>The preparation of condensed consolidated financial statements requires us to make estimates and judgments that affect the reported amounts of assets, liabilities, expenses, and related disclosure of contingent assets and liabilities. On an ongoing basis, we evaluate our estimates, including those related to intangible assets, accrued expenses, stock-based compensation, contingencies and litigation. We base our estimates on historical experience, terms of existing contracts, our observance of trends in the industry, information available from other outside sources and on various other factors that we believe to be appropriate under the circumstances. Actual results may differ from these estimates under different assumptions or conditions.</w:t>
      </w:r>
    </w:p>
    <w:p>
      <w:pPr>
        <w:spacing w:after="0" w:line="158" w:lineRule="exact"/>
        <w:rPr>
          <w:sz w:val="20"/>
          <w:szCs w:val="20"/>
          <w:color w:val="auto"/>
        </w:rPr>
      </w:pPr>
    </w:p>
    <w:p>
      <w:pPr>
        <w:ind w:firstLine="456"/>
        <w:spacing w:after="0" w:line="286" w:lineRule="auto"/>
        <w:rPr>
          <w:sz w:val="20"/>
          <w:szCs w:val="20"/>
          <w:color w:val="auto"/>
        </w:rPr>
      </w:pPr>
      <w:r>
        <w:rPr>
          <w:rFonts w:ascii="Arial" w:cs="Arial" w:eastAsia="Arial" w:hAnsi="Arial"/>
          <w:sz w:val="17"/>
          <w:szCs w:val="17"/>
          <w:color w:val="auto"/>
        </w:rPr>
        <w:t>Critical accounting policies are those policies that affect our more significant judgments and estimates used in preparation of our consolidated financial statements. We believe our critical accounting policies include our policies regarding stock-based compensation, accrued expenses and income taxes. For a more detailed discussion of our critical accounting policies, please refer to our 2017 Annual Report on Form 10-K.</w:t>
      </w:r>
    </w:p>
    <w:p>
      <w:pPr>
        <w:spacing w:after="0" w:line="27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3. Quantitative and Qualitative Disclosures about Market Risk</w:t>
      </w:r>
    </w:p>
    <w:p>
      <w:pPr>
        <w:spacing w:after="0" w:line="121" w:lineRule="exact"/>
        <w:rPr>
          <w:sz w:val="20"/>
          <w:szCs w:val="20"/>
          <w:color w:val="auto"/>
        </w:rPr>
      </w:pPr>
    </w:p>
    <w:p>
      <w:pPr>
        <w:ind w:right="140" w:firstLine="456"/>
        <w:spacing w:after="0" w:line="259" w:lineRule="auto"/>
        <w:rPr>
          <w:sz w:val="20"/>
          <w:szCs w:val="20"/>
          <w:color w:val="auto"/>
        </w:rPr>
      </w:pPr>
      <w:r>
        <w:rPr>
          <w:rFonts w:ascii="Arial" w:cs="Arial" w:eastAsia="Arial" w:hAnsi="Arial"/>
          <w:sz w:val="18"/>
          <w:szCs w:val="18"/>
          <w:color w:val="auto"/>
        </w:rPr>
        <w:t>Market risk represents the risk of loss that may impact our financial position, operating results or cash flows due to changes in the U.S. interest rates. The primary objective of our investment activities is to preserve cash until it is required to fund operations. To minimize risk, we maintain our portfolio of cash and cash equivalents in operating bank accounts and money market funds. Since our investments are short-term in duration, we believe that we are not subject to any material market risk exposure.</w:t>
      </w:r>
    </w:p>
    <w:p>
      <w:pPr>
        <w:spacing w:after="0" w:line="29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4. Controls and Procedures</w:t>
      </w:r>
    </w:p>
    <w:p>
      <w:pPr>
        <w:spacing w:after="0" w:line="121" w:lineRule="exact"/>
        <w:rPr>
          <w:sz w:val="20"/>
          <w:szCs w:val="20"/>
          <w:color w:val="auto"/>
        </w:rPr>
      </w:pPr>
    </w:p>
    <w:p>
      <w:pPr>
        <w:ind w:right="120" w:firstLine="456"/>
        <w:spacing w:after="0" w:line="302" w:lineRule="auto"/>
        <w:rPr>
          <w:sz w:val="20"/>
          <w:szCs w:val="20"/>
          <w:color w:val="auto"/>
        </w:rPr>
      </w:pPr>
      <w:r>
        <w:rPr>
          <w:rFonts w:ascii="Arial" w:cs="Arial" w:eastAsia="Arial" w:hAnsi="Arial"/>
          <w:sz w:val="16"/>
          <w:szCs w:val="16"/>
          <w:color w:val="auto"/>
        </w:rPr>
        <w:t>Our management, with the participation of the Chief Executive Officer and Chief Financial Officer, evaluated the effectiveness of our disclosure controls and procedures (as defined in Rule 13a-15(e) promulgated under the Securities Exchange Act of 1934) and concluded that, as of June 30, 2018, our disclosure controls and procedures were effective at a reasonable assurance level. During the quarter ended June 30, 2018, no change in our internal control over financial reporting has materially affected, or is reasonably likely to materially affect, our internal control over financial reporting.</w:t>
      </w:r>
    </w:p>
    <w:p>
      <w:pPr>
        <w:spacing w:after="0" w:line="87" w:lineRule="exact"/>
        <w:rPr>
          <w:sz w:val="20"/>
          <w:szCs w:val="20"/>
          <w:color w:val="auto"/>
        </w:rPr>
      </w:pPr>
    </w:p>
    <w:p>
      <w:pPr>
        <w:jc w:val="center"/>
        <w:ind w:right="-79"/>
        <w:spacing w:after="0"/>
        <w:rPr>
          <w:sz w:val="20"/>
          <w:szCs w:val="20"/>
          <w:color w:val="auto"/>
        </w:rPr>
      </w:pPr>
      <w:r>
        <w:rPr>
          <w:rFonts w:ascii="Arial" w:cs="Arial" w:eastAsia="Arial" w:hAnsi="Arial"/>
          <w:sz w:val="18"/>
          <w:szCs w:val="18"/>
          <w:color w:val="auto"/>
        </w:rPr>
        <w:t>18</w:t>
      </w:r>
    </w:p>
    <w:p>
      <w:pPr>
        <w:sectPr>
          <w:pgSz w:w="11900" w:h="16838" w:orient="portrait"/>
          <w:cols w:equalWidth="0" w:num="1">
            <w:col w:w="11360"/>
          </w:cols>
          <w:pgMar w:left="240" w:top="459" w:right="299" w:bottom="1440" w:gutter="0" w:footer="0" w:header="0"/>
        </w:sectPr>
      </w:pPr>
    </w:p>
    <w:bookmarkStart w:id="18" w:name="page19"/>
    <w:bookmarkEnd w:id="1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jc w:val="center"/>
        <w:ind w:right="-59"/>
        <w:spacing w:after="0"/>
        <w:rPr>
          <w:sz w:val="20"/>
          <w:szCs w:val="20"/>
          <w:color w:val="auto"/>
        </w:rPr>
      </w:pPr>
      <w:r>
        <w:rPr>
          <w:rFonts w:ascii="Arial" w:cs="Arial" w:eastAsia="Arial" w:hAnsi="Arial"/>
          <w:sz w:val="18"/>
          <w:szCs w:val="18"/>
          <w:b w:val="1"/>
          <w:bCs w:val="1"/>
          <w:color w:val="auto"/>
        </w:rPr>
        <w:t>PART II — OTHER INFORMATION</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1. Legal Proceedings</w:t>
      </w:r>
    </w:p>
    <w:p>
      <w:pPr>
        <w:spacing w:after="0" w:line="121" w:lineRule="exact"/>
        <w:rPr>
          <w:sz w:val="20"/>
          <w:szCs w:val="20"/>
          <w:color w:val="auto"/>
        </w:rPr>
      </w:pPr>
    </w:p>
    <w:p>
      <w:pPr>
        <w:ind w:left="460"/>
        <w:spacing w:after="0"/>
        <w:rPr>
          <w:sz w:val="20"/>
          <w:szCs w:val="20"/>
          <w:color w:val="auto"/>
        </w:rPr>
      </w:pPr>
      <w:r>
        <w:rPr>
          <w:rFonts w:ascii="Arial" w:cs="Arial" w:eastAsia="Arial" w:hAnsi="Arial"/>
          <w:sz w:val="18"/>
          <w:szCs w:val="18"/>
          <w:color w:val="auto"/>
        </w:rPr>
        <w:t>None except as discussed in Note 9 to our condensed consolidated financial statements included in this report.</w:t>
      </w:r>
    </w:p>
    <w:p>
      <w:pPr>
        <w:spacing w:after="0" w:line="32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1A. Risk Factors</w:t>
      </w:r>
    </w:p>
    <w:p>
      <w:pPr>
        <w:spacing w:after="0" w:line="121" w:lineRule="exact"/>
        <w:rPr>
          <w:sz w:val="20"/>
          <w:szCs w:val="20"/>
          <w:color w:val="auto"/>
        </w:rPr>
      </w:pPr>
    </w:p>
    <w:p>
      <w:pPr>
        <w:ind w:right="120" w:firstLine="456"/>
        <w:spacing w:after="0" w:line="308" w:lineRule="auto"/>
        <w:rPr>
          <w:sz w:val="20"/>
          <w:szCs w:val="20"/>
          <w:color w:val="auto"/>
        </w:rPr>
      </w:pPr>
      <w:r>
        <w:rPr>
          <w:rFonts w:ascii="Arial" w:cs="Arial" w:eastAsia="Arial" w:hAnsi="Arial"/>
          <w:sz w:val="17"/>
          <w:szCs w:val="17"/>
          <w:color w:val="auto"/>
        </w:rPr>
        <w:t>The information set forth in this report should be read in conjunction with the risk factors set forth in Item 1A, “Risk Factors,” of Part I of our Annual Report on Form 10-K for the year ended December 31, 2017, which could materially impact our business, financial condition or future results.</w:t>
      </w:r>
    </w:p>
    <w:p>
      <w:pPr>
        <w:sectPr>
          <w:pgSz w:w="11900" w:h="16838" w:orient="portrait"/>
          <w:cols w:equalWidth="0" w:num="1">
            <w:col w:w="11380"/>
          </w:cols>
          <w:pgMar w:left="240" w:top="459" w:right="279" w:bottom="1440" w:gutter="0" w:footer="0" w:header="0"/>
        </w:sectPr>
      </w:pPr>
    </w:p>
    <w:p>
      <w:pPr>
        <w:spacing w:after="0" w:line="25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2. Unregistered Sales of Equity Securities and Use of Proceeds</w:t>
      </w:r>
    </w:p>
    <w:p>
      <w:pPr>
        <w:spacing w:after="0" w:line="121" w:lineRule="exact"/>
        <w:rPr>
          <w:sz w:val="20"/>
          <w:szCs w:val="20"/>
          <w:color w:val="auto"/>
        </w:rPr>
      </w:pPr>
    </w:p>
    <w:p>
      <w:pPr>
        <w:ind w:left="460"/>
        <w:spacing w:after="0"/>
        <w:rPr>
          <w:sz w:val="20"/>
          <w:szCs w:val="20"/>
          <w:color w:val="auto"/>
        </w:rPr>
      </w:pPr>
      <w:r>
        <w:rPr>
          <w:rFonts w:ascii="Arial" w:cs="Arial" w:eastAsia="Arial" w:hAnsi="Arial"/>
          <w:sz w:val="18"/>
          <w:szCs w:val="18"/>
          <w:color w:val="auto"/>
        </w:rPr>
        <w:t>None</w:t>
      </w:r>
    </w:p>
    <w:p>
      <w:pPr>
        <w:spacing w:after="0" w:line="32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3. Defaults Upon Senior Securities</w:t>
      </w:r>
    </w:p>
    <w:p>
      <w:pPr>
        <w:spacing w:after="0" w:line="121" w:lineRule="exact"/>
        <w:rPr>
          <w:sz w:val="20"/>
          <w:szCs w:val="20"/>
          <w:color w:val="auto"/>
        </w:rPr>
      </w:pPr>
    </w:p>
    <w:p>
      <w:pPr>
        <w:ind w:left="460"/>
        <w:spacing w:after="0"/>
        <w:rPr>
          <w:sz w:val="20"/>
          <w:szCs w:val="20"/>
          <w:color w:val="auto"/>
        </w:rPr>
      </w:pPr>
      <w:r>
        <w:rPr>
          <w:rFonts w:ascii="Arial" w:cs="Arial" w:eastAsia="Arial" w:hAnsi="Arial"/>
          <w:sz w:val="18"/>
          <w:szCs w:val="18"/>
          <w:color w:val="auto"/>
        </w:rPr>
        <w:t>None</w:t>
      </w:r>
    </w:p>
    <w:p>
      <w:pPr>
        <w:spacing w:after="0" w:line="32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4. Mine Safety Disclosures</w:t>
      </w:r>
    </w:p>
    <w:p>
      <w:pPr>
        <w:spacing w:after="0" w:line="121" w:lineRule="exact"/>
        <w:rPr>
          <w:sz w:val="20"/>
          <w:szCs w:val="20"/>
          <w:color w:val="auto"/>
        </w:rPr>
      </w:pPr>
    </w:p>
    <w:p>
      <w:pPr>
        <w:ind w:left="460"/>
        <w:spacing w:after="0"/>
        <w:rPr>
          <w:sz w:val="20"/>
          <w:szCs w:val="20"/>
          <w:color w:val="auto"/>
        </w:rPr>
      </w:pPr>
      <w:r>
        <w:rPr>
          <w:rFonts w:ascii="Arial" w:cs="Arial" w:eastAsia="Arial" w:hAnsi="Arial"/>
          <w:sz w:val="18"/>
          <w:szCs w:val="18"/>
          <w:color w:val="auto"/>
        </w:rPr>
        <w:t>Not Applicable</w:t>
      </w:r>
    </w:p>
    <w:p>
      <w:pPr>
        <w:spacing w:after="0" w:line="329" w:lineRule="exact"/>
        <w:rPr>
          <w:sz w:val="20"/>
          <w:szCs w:val="20"/>
          <w:color w:val="auto"/>
        </w:rPr>
      </w:pPr>
    </w:p>
    <w:p>
      <w:pPr>
        <w:jc w:val="center"/>
        <w:ind w:right="8180"/>
        <w:spacing w:after="0"/>
        <w:rPr>
          <w:sz w:val="20"/>
          <w:szCs w:val="20"/>
          <w:color w:val="auto"/>
        </w:rPr>
      </w:pPr>
      <w:r>
        <w:rPr>
          <w:rFonts w:ascii="Arial" w:cs="Arial" w:eastAsia="Arial" w:hAnsi="Arial"/>
          <w:sz w:val="17"/>
          <w:szCs w:val="17"/>
          <w:b w:val="1"/>
          <w:bCs w:val="1"/>
          <w:color w:val="auto"/>
        </w:rPr>
        <w:t>Item 5. Other Information</w:t>
      </w:r>
    </w:p>
    <w:p>
      <w:pPr>
        <w:spacing w:after="0" w:line="133" w:lineRule="exact"/>
        <w:rPr>
          <w:sz w:val="20"/>
          <w:szCs w:val="20"/>
          <w:color w:val="auto"/>
        </w:rPr>
      </w:pPr>
    </w:p>
    <w:p>
      <w:pPr>
        <w:jc w:val="center"/>
        <w:ind w:right="8180"/>
        <w:spacing w:after="0"/>
        <w:rPr>
          <w:sz w:val="20"/>
          <w:szCs w:val="20"/>
          <w:color w:val="auto"/>
        </w:rPr>
      </w:pPr>
      <w:r>
        <w:rPr>
          <w:rFonts w:ascii="Arial" w:cs="Arial" w:eastAsia="Arial" w:hAnsi="Arial"/>
          <w:sz w:val="18"/>
          <w:szCs w:val="18"/>
          <w:color w:val="auto"/>
        </w:rPr>
        <w:t>Not Applicable</w:t>
      </w:r>
    </w:p>
    <w:p>
      <w:pPr>
        <w:spacing w:after="0" w:line="32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6. Exhibits</w:t>
      </w:r>
    </w:p>
    <w:p>
      <w:pPr>
        <w:spacing w:after="0" w:line="235"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1220" w:type="dxa"/>
            <w:vAlign w:val="bottom"/>
            <w:gridSpan w:val="2"/>
          </w:tcPr>
          <w:p>
            <w:pPr>
              <w:spacing w:after="0"/>
              <w:rPr>
                <w:sz w:val="20"/>
                <w:szCs w:val="20"/>
                <w:color w:val="auto"/>
              </w:rPr>
            </w:pPr>
            <w:r>
              <w:rPr>
                <w:rFonts w:ascii="Arial" w:cs="Arial" w:eastAsia="Arial" w:hAnsi="Arial"/>
                <w:sz w:val="14"/>
                <w:szCs w:val="14"/>
                <w:b w:val="1"/>
                <w:bCs w:val="1"/>
                <w:color w:val="auto"/>
              </w:rPr>
              <w:t>Exhibit</w:t>
            </w:r>
          </w:p>
        </w:tc>
        <w:tc>
          <w:tcPr>
            <w:tcW w:w="9000" w:type="dxa"/>
            <w:vAlign w:val="bottom"/>
            <w:gridSpan w:val="4"/>
            <w:vMerge w:val="restart"/>
          </w:tcPr>
          <w:p>
            <w:pPr>
              <w:ind w:left="3720"/>
              <w:spacing w:after="0"/>
              <w:rPr>
                <w:sz w:val="20"/>
                <w:szCs w:val="20"/>
                <w:color w:val="auto"/>
              </w:rPr>
            </w:pPr>
            <w:r>
              <w:rPr>
                <w:rFonts w:ascii="Arial" w:cs="Arial" w:eastAsia="Arial" w:hAnsi="Arial"/>
                <w:sz w:val="14"/>
                <w:szCs w:val="14"/>
                <w:b w:val="1"/>
                <w:bCs w:val="1"/>
                <w:color w:val="auto"/>
              </w:rPr>
              <w:t>Description of Document</w:t>
            </w:r>
          </w:p>
        </w:tc>
        <w:tc>
          <w:tcPr>
            <w:tcW w:w="0" w:type="dxa"/>
            <w:vAlign w:val="bottom"/>
          </w:tcPr>
          <w:p>
            <w:pPr>
              <w:spacing w:after="0"/>
              <w:rPr>
                <w:sz w:val="1"/>
                <w:szCs w:val="1"/>
                <w:color w:val="auto"/>
              </w:rPr>
            </w:pPr>
          </w:p>
        </w:tc>
      </w:tr>
      <w:tr>
        <w:trPr>
          <w:trHeight w:val="178"/>
        </w:trPr>
        <w:tc>
          <w:tcPr>
            <w:tcW w:w="1220" w:type="dxa"/>
            <w:vAlign w:val="bottom"/>
            <w:gridSpan w:val="2"/>
          </w:tcPr>
          <w:p>
            <w:pPr>
              <w:spacing w:after="0"/>
              <w:rPr>
                <w:sz w:val="20"/>
                <w:szCs w:val="20"/>
                <w:color w:val="auto"/>
              </w:rPr>
            </w:pPr>
            <w:r>
              <w:rPr>
                <w:rFonts w:ascii="Arial" w:cs="Arial" w:eastAsia="Arial" w:hAnsi="Arial"/>
                <w:sz w:val="14"/>
                <w:szCs w:val="14"/>
                <w:b w:val="1"/>
                <w:bCs w:val="1"/>
                <w:color w:val="auto"/>
              </w:rPr>
              <w:t>Number</w:t>
            </w:r>
          </w:p>
        </w:tc>
        <w:tc>
          <w:tcPr>
            <w:tcW w:w="9000" w:type="dxa"/>
            <w:vAlign w:val="bottom"/>
            <w:gridSpan w:val="4"/>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257"/>
        </w:trPr>
        <w:tc>
          <w:tcPr>
            <w:tcW w:w="520" w:type="dxa"/>
            <w:vAlign w:val="bottom"/>
            <w:tcBorders>
              <w:top w:val="single" w:sz="8" w:color="auto"/>
            </w:tcBorders>
          </w:tcPr>
          <w:p>
            <w:pPr>
              <w:spacing w:after="0"/>
              <w:rPr>
                <w:sz w:val="20"/>
                <w:szCs w:val="20"/>
                <w:color w:val="auto"/>
              </w:rPr>
            </w:pPr>
            <w:r>
              <w:rPr>
                <w:rFonts w:ascii="Arial" w:cs="Arial" w:eastAsia="Arial" w:hAnsi="Arial"/>
                <w:sz w:val="18"/>
                <w:szCs w:val="18"/>
                <w:color w:val="auto"/>
              </w:rPr>
              <w:t>31.1*</w:t>
            </w:r>
          </w:p>
        </w:tc>
        <w:tc>
          <w:tcPr>
            <w:tcW w:w="700" w:type="dxa"/>
            <w:vAlign w:val="bottom"/>
          </w:tcPr>
          <w:p>
            <w:pPr>
              <w:spacing w:after="0"/>
              <w:rPr>
                <w:sz w:val="22"/>
                <w:szCs w:val="22"/>
                <w:color w:val="auto"/>
              </w:rPr>
            </w:pPr>
          </w:p>
        </w:tc>
        <w:tc>
          <w:tcPr>
            <w:tcW w:w="9000" w:type="dxa"/>
            <w:vAlign w:val="bottom"/>
            <w:tcBorders>
              <w:top w:val="single" w:sz="8" w:color="auto"/>
            </w:tcBorders>
            <w:gridSpan w:val="4"/>
          </w:tcPr>
          <w:p>
            <w:pPr>
              <w:spacing w:after="0"/>
              <w:rPr>
                <w:rFonts w:ascii="Arial" w:cs="Arial" w:eastAsia="Arial" w:hAnsi="Arial"/>
                <w:sz w:val="18"/>
                <w:szCs w:val="18"/>
                <w:color w:val="0000EE"/>
              </w:rPr>
            </w:pPr>
            <w:hyperlink w:anchor="page21">
              <w:r>
                <w:rPr>
                  <w:rFonts w:ascii="Arial" w:cs="Arial" w:eastAsia="Arial" w:hAnsi="Arial"/>
                  <w:sz w:val="18"/>
                  <w:szCs w:val="18"/>
                  <w:color w:val="0000EE"/>
                </w:rPr>
                <w:t>Certification Pursuant to Rule 13a-14(a) of the Securities Exchange Act of 1934</w:t>
              </w:r>
            </w:hyperlink>
          </w:p>
        </w:tc>
        <w:tc>
          <w:tcPr>
            <w:tcW w:w="0" w:type="dxa"/>
            <w:vAlign w:val="bottom"/>
          </w:tcPr>
          <w:p>
            <w:pPr>
              <w:spacing w:after="0"/>
              <w:rPr>
                <w:sz w:val="1"/>
                <w:szCs w:val="1"/>
                <w:color w:val="auto"/>
              </w:rPr>
            </w:pPr>
          </w:p>
        </w:tc>
      </w:tr>
      <w:tr>
        <w:trPr>
          <w:trHeight w:val="20"/>
        </w:trPr>
        <w:tc>
          <w:tcPr>
            <w:tcW w:w="52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5760" w:type="dxa"/>
            <w:vAlign w:val="bottom"/>
            <w:shd w:val="clear" w:color="auto" w:fill="0000EE"/>
          </w:tcPr>
          <w:p>
            <w:pPr>
              <w:spacing w:after="0" w:line="20" w:lineRule="exact"/>
              <w:rPr>
                <w:sz w:val="1"/>
                <w:szCs w:val="1"/>
                <w:color w:val="auto"/>
              </w:rPr>
            </w:pPr>
          </w:p>
        </w:tc>
        <w:tc>
          <w:tcPr>
            <w:tcW w:w="29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04"/>
        </w:trPr>
        <w:tc>
          <w:tcPr>
            <w:tcW w:w="520" w:type="dxa"/>
            <w:vAlign w:val="bottom"/>
          </w:tcPr>
          <w:p>
            <w:pPr>
              <w:spacing w:after="0"/>
              <w:rPr>
                <w:sz w:val="20"/>
                <w:szCs w:val="20"/>
                <w:color w:val="auto"/>
              </w:rPr>
            </w:pPr>
            <w:r>
              <w:rPr>
                <w:rFonts w:ascii="Arial" w:cs="Arial" w:eastAsia="Arial" w:hAnsi="Arial"/>
                <w:sz w:val="18"/>
                <w:szCs w:val="18"/>
                <w:color w:val="auto"/>
              </w:rPr>
              <w:t>31.2*</w:t>
            </w:r>
          </w:p>
        </w:tc>
        <w:tc>
          <w:tcPr>
            <w:tcW w:w="700" w:type="dxa"/>
            <w:vAlign w:val="bottom"/>
          </w:tcPr>
          <w:p>
            <w:pPr>
              <w:spacing w:after="0"/>
              <w:rPr>
                <w:sz w:val="24"/>
                <w:szCs w:val="24"/>
                <w:color w:val="auto"/>
              </w:rPr>
            </w:pPr>
          </w:p>
        </w:tc>
        <w:tc>
          <w:tcPr>
            <w:tcW w:w="9000" w:type="dxa"/>
            <w:vAlign w:val="bottom"/>
            <w:gridSpan w:val="4"/>
          </w:tcPr>
          <w:p>
            <w:pPr>
              <w:spacing w:after="0"/>
              <w:rPr>
                <w:rFonts w:ascii="Arial" w:cs="Arial" w:eastAsia="Arial" w:hAnsi="Arial"/>
                <w:sz w:val="18"/>
                <w:szCs w:val="18"/>
                <w:color w:val="0000EE"/>
              </w:rPr>
            </w:pPr>
            <w:hyperlink w:anchor="page22">
              <w:r>
                <w:rPr>
                  <w:rFonts w:ascii="Arial" w:cs="Arial" w:eastAsia="Arial" w:hAnsi="Arial"/>
                  <w:sz w:val="18"/>
                  <w:szCs w:val="18"/>
                  <w:color w:val="0000EE"/>
                </w:rPr>
                <w:t>Certification Pursuant to Rule 13a-14(a) of the Securities Exchange Act of 1934</w:t>
              </w:r>
            </w:hyperlink>
          </w:p>
        </w:tc>
        <w:tc>
          <w:tcPr>
            <w:tcW w:w="0" w:type="dxa"/>
            <w:vAlign w:val="bottom"/>
          </w:tcPr>
          <w:p>
            <w:pPr>
              <w:spacing w:after="0"/>
              <w:rPr>
                <w:sz w:val="1"/>
                <w:szCs w:val="1"/>
                <w:color w:val="auto"/>
              </w:rPr>
            </w:pPr>
          </w:p>
        </w:tc>
      </w:tr>
      <w:tr>
        <w:trPr>
          <w:trHeight w:val="20"/>
        </w:trPr>
        <w:tc>
          <w:tcPr>
            <w:tcW w:w="52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5760" w:type="dxa"/>
            <w:vAlign w:val="bottom"/>
            <w:shd w:val="clear" w:color="auto" w:fill="0000EE"/>
          </w:tcPr>
          <w:p>
            <w:pPr>
              <w:spacing w:after="0" w:line="20" w:lineRule="exact"/>
              <w:rPr>
                <w:sz w:val="1"/>
                <w:szCs w:val="1"/>
                <w:color w:val="auto"/>
              </w:rPr>
            </w:pPr>
          </w:p>
        </w:tc>
        <w:tc>
          <w:tcPr>
            <w:tcW w:w="29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04"/>
        </w:trPr>
        <w:tc>
          <w:tcPr>
            <w:tcW w:w="520" w:type="dxa"/>
            <w:vAlign w:val="bottom"/>
          </w:tcPr>
          <w:p>
            <w:pPr>
              <w:spacing w:after="0"/>
              <w:rPr>
                <w:sz w:val="20"/>
                <w:szCs w:val="20"/>
                <w:color w:val="auto"/>
              </w:rPr>
            </w:pPr>
            <w:r>
              <w:rPr>
                <w:rFonts w:ascii="Arial" w:cs="Arial" w:eastAsia="Arial" w:hAnsi="Arial"/>
                <w:sz w:val="18"/>
                <w:szCs w:val="18"/>
                <w:color w:val="auto"/>
              </w:rPr>
              <w:t>32.1**</w:t>
            </w:r>
          </w:p>
        </w:tc>
        <w:tc>
          <w:tcPr>
            <w:tcW w:w="700" w:type="dxa"/>
            <w:vAlign w:val="bottom"/>
          </w:tcPr>
          <w:p>
            <w:pPr>
              <w:spacing w:after="0"/>
              <w:rPr>
                <w:sz w:val="24"/>
                <w:szCs w:val="24"/>
                <w:color w:val="auto"/>
              </w:rPr>
            </w:pPr>
          </w:p>
        </w:tc>
        <w:tc>
          <w:tcPr>
            <w:tcW w:w="8740" w:type="dxa"/>
            <w:vAlign w:val="bottom"/>
            <w:tcBorders>
              <w:bottom w:val="single" w:sz="8" w:color="0000EE"/>
            </w:tcBorders>
            <w:gridSpan w:val="3"/>
          </w:tcPr>
          <w:p>
            <w:pPr>
              <w:spacing w:after="0"/>
              <w:rPr>
                <w:rFonts w:ascii="Arial" w:cs="Arial" w:eastAsia="Arial" w:hAnsi="Arial"/>
                <w:sz w:val="18"/>
                <w:szCs w:val="18"/>
                <w:color w:val="0000EE"/>
                <w:w w:val="90"/>
              </w:rPr>
            </w:pPr>
            <w:hyperlink w:anchor="page23">
              <w:r>
                <w:rPr>
                  <w:rFonts w:ascii="Arial" w:cs="Arial" w:eastAsia="Arial" w:hAnsi="Arial"/>
                  <w:sz w:val="18"/>
                  <w:szCs w:val="18"/>
                  <w:color w:val="0000EE"/>
                  <w:w w:val="90"/>
                </w:rPr>
                <w:t>Certification Pursuant to 18 U.S.C. Section 1350, as Adopted Pursuant to Section 906 of the Sarbanes-Oxley Act of 2002</w:t>
              </w:r>
            </w:hyperlink>
          </w:p>
        </w:tc>
        <w:tc>
          <w:tcPr>
            <w:tcW w:w="2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04"/>
        </w:trPr>
        <w:tc>
          <w:tcPr>
            <w:tcW w:w="520" w:type="dxa"/>
            <w:vAlign w:val="bottom"/>
          </w:tcPr>
          <w:p>
            <w:pPr>
              <w:spacing w:after="0"/>
              <w:rPr>
                <w:sz w:val="20"/>
                <w:szCs w:val="20"/>
                <w:color w:val="auto"/>
              </w:rPr>
            </w:pPr>
            <w:r>
              <w:rPr>
                <w:rFonts w:ascii="Arial" w:cs="Arial" w:eastAsia="Arial" w:hAnsi="Arial"/>
                <w:sz w:val="18"/>
                <w:szCs w:val="18"/>
                <w:color w:val="auto"/>
              </w:rPr>
              <w:t>32.2**</w:t>
            </w:r>
          </w:p>
        </w:tc>
        <w:tc>
          <w:tcPr>
            <w:tcW w:w="700" w:type="dxa"/>
            <w:vAlign w:val="bottom"/>
          </w:tcPr>
          <w:p>
            <w:pPr>
              <w:spacing w:after="0"/>
              <w:rPr>
                <w:sz w:val="24"/>
                <w:szCs w:val="24"/>
                <w:color w:val="auto"/>
              </w:rPr>
            </w:pPr>
          </w:p>
        </w:tc>
        <w:tc>
          <w:tcPr>
            <w:tcW w:w="9000" w:type="dxa"/>
            <w:vAlign w:val="bottom"/>
            <w:gridSpan w:val="4"/>
          </w:tcPr>
          <w:p>
            <w:pPr>
              <w:spacing w:after="0"/>
              <w:rPr>
                <w:rFonts w:ascii="Arial" w:cs="Arial" w:eastAsia="Arial" w:hAnsi="Arial"/>
                <w:sz w:val="18"/>
                <w:szCs w:val="18"/>
                <w:color w:val="0000EE"/>
                <w:w w:val="93"/>
              </w:rPr>
            </w:pPr>
            <w:hyperlink w:anchor="page24">
              <w:r>
                <w:rPr>
                  <w:rFonts w:ascii="Arial" w:cs="Arial" w:eastAsia="Arial" w:hAnsi="Arial"/>
                  <w:sz w:val="18"/>
                  <w:szCs w:val="18"/>
                  <w:color w:val="0000EE"/>
                  <w:w w:val="93"/>
                </w:rPr>
                <w:t>Certification Pursuant to 18 U.S.C. Section 1350, as Adopted Pursuant to Section 906 of the Sarbanes-Oxley Act of 2002</w:t>
              </w:r>
            </w:hyperlink>
          </w:p>
        </w:tc>
        <w:tc>
          <w:tcPr>
            <w:tcW w:w="0" w:type="dxa"/>
            <w:vAlign w:val="bottom"/>
          </w:tcPr>
          <w:p>
            <w:pPr>
              <w:spacing w:after="0"/>
              <w:rPr>
                <w:sz w:val="1"/>
                <w:szCs w:val="1"/>
                <w:color w:val="auto"/>
              </w:rPr>
            </w:pPr>
          </w:p>
        </w:tc>
      </w:tr>
      <w:tr>
        <w:trPr>
          <w:trHeight w:val="345"/>
        </w:trPr>
        <w:tc>
          <w:tcPr>
            <w:tcW w:w="1220" w:type="dxa"/>
            <w:vAlign w:val="bottom"/>
            <w:gridSpan w:val="2"/>
          </w:tcPr>
          <w:p>
            <w:pPr>
              <w:spacing w:after="0"/>
              <w:rPr>
                <w:sz w:val="20"/>
                <w:szCs w:val="20"/>
                <w:color w:val="auto"/>
              </w:rPr>
            </w:pPr>
            <w:r>
              <w:rPr>
                <w:rFonts w:ascii="Arial" w:cs="Arial" w:eastAsia="Arial" w:hAnsi="Arial"/>
                <w:sz w:val="18"/>
                <w:szCs w:val="18"/>
                <w:color w:val="auto"/>
              </w:rPr>
              <w:t>101.INS</w:t>
            </w:r>
          </w:p>
        </w:tc>
        <w:tc>
          <w:tcPr>
            <w:tcW w:w="8720" w:type="dxa"/>
            <w:vAlign w:val="bottom"/>
            <w:tcBorders>
              <w:top w:val="single" w:sz="8" w:color="0000EE"/>
            </w:tcBorders>
            <w:gridSpan w:val="2"/>
          </w:tcPr>
          <w:p>
            <w:pPr>
              <w:spacing w:after="0"/>
              <w:rPr>
                <w:sz w:val="20"/>
                <w:szCs w:val="20"/>
                <w:color w:val="auto"/>
              </w:rPr>
            </w:pPr>
            <w:r>
              <w:rPr>
                <w:rFonts w:ascii="Arial" w:cs="Arial" w:eastAsia="Arial" w:hAnsi="Arial"/>
                <w:sz w:val="18"/>
                <w:szCs w:val="18"/>
                <w:color w:val="auto"/>
              </w:rPr>
              <w:t>XBRL Instance Document*</w:t>
            </w:r>
          </w:p>
        </w:tc>
        <w:tc>
          <w:tcPr>
            <w:tcW w:w="280" w:type="dxa"/>
            <w:vAlign w:val="bottom"/>
            <w:gridSpan w:val="2"/>
          </w:tcPr>
          <w:p>
            <w:pPr>
              <w:spacing w:after="0"/>
              <w:rPr>
                <w:sz w:val="24"/>
                <w:szCs w:val="24"/>
                <w:color w:val="auto"/>
              </w:rPr>
            </w:pPr>
          </w:p>
        </w:tc>
        <w:tc>
          <w:tcPr>
            <w:tcW w:w="0" w:type="dxa"/>
            <w:vAlign w:val="bottom"/>
          </w:tcPr>
          <w:p>
            <w:pPr>
              <w:spacing w:after="0"/>
              <w:rPr>
                <w:sz w:val="1"/>
                <w:szCs w:val="1"/>
                <w:color w:val="auto"/>
              </w:rPr>
            </w:pPr>
          </w:p>
        </w:tc>
      </w:tr>
      <w:tr>
        <w:trPr>
          <w:trHeight w:val="324"/>
        </w:trPr>
        <w:tc>
          <w:tcPr>
            <w:tcW w:w="1220" w:type="dxa"/>
            <w:vAlign w:val="bottom"/>
            <w:gridSpan w:val="2"/>
          </w:tcPr>
          <w:p>
            <w:pPr>
              <w:spacing w:after="0"/>
              <w:rPr>
                <w:sz w:val="20"/>
                <w:szCs w:val="20"/>
                <w:color w:val="auto"/>
              </w:rPr>
            </w:pPr>
            <w:r>
              <w:rPr>
                <w:rFonts w:ascii="Arial" w:cs="Arial" w:eastAsia="Arial" w:hAnsi="Arial"/>
                <w:sz w:val="18"/>
                <w:szCs w:val="18"/>
                <w:color w:val="auto"/>
              </w:rPr>
              <w:t>101.SCH</w:t>
            </w:r>
          </w:p>
        </w:tc>
        <w:tc>
          <w:tcPr>
            <w:tcW w:w="9000" w:type="dxa"/>
            <w:vAlign w:val="bottom"/>
            <w:gridSpan w:val="4"/>
          </w:tcPr>
          <w:p>
            <w:pPr>
              <w:spacing w:after="0"/>
              <w:rPr>
                <w:sz w:val="20"/>
                <w:szCs w:val="20"/>
                <w:color w:val="auto"/>
              </w:rPr>
            </w:pPr>
            <w:r>
              <w:rPr>
                <w:rFonts w:ascii="Arial" w:cs="Arial" w:eastAsia="Arial" w:hAnsi="Arial"/>
                <w:sz w:val="18"/>
                <w:szCs w:val="18"/>
                <w:color w:val="auto"/>
              </w:rPr>
              <w:t>XBRL Taxonomy Extension Schema Document*</w:t>
            </w:r>
          </w:p>
        </w:tc>
        <w:tc>
          <w:tcPr>
            <w:tcW w:w="0" w:type="dxa"/>
            <w:vAlign w:val="bottom"/>
          </w:tcPr>
          <w:p>
            <w:pPr>
              <w:spacing w:after="0"/>
              <w:rPr>
                <w:sz w:val="1"/>
                <w:szCs w:val="1"/>
                <w:color w:val="auto"/>
              </w:rPr>
            </w:pPr>
          </w:p>
        </w:tc>
      </w:tr>
      <w:tr>
        <w:trPr>
          <w:trHeight w:val="324"/>
        </w:trPr>
        <w:tc>
          <w:tcPr>
            <w:tcW w:w="1220" w:type="dxa"/>
            <w:vAlign w:val="bottom"/>
            <w:gridSpan w:val="2"/>
          </w:tcPr>
          <w:p>
            <w:pPr>
              <w:spacing w:after="0"/>
              <w:rPr>
                <w:sz w:val="20"/>
                <w:szCs w:val="20"/>
                <w:color w:val="auto"/>
              </w:rPr>
            </w:pPr>
            <w:r>
              <w:rPr>
                <w:rFonts w:ascii="Arial" w:cs="Arial" w:eastAsia="Arial" w:hAnsi="Arial"/>
                <w:sz w:val="18"/>
                <w:szCs w:val="18"/>
                <w:color w:val="auto"/>
              </w:rPr>
              <w:t>101.CAL</w:t>
            </w:r>
          </w:p>
        </w:tc>
        <w:tc>
          <w:tcPr>
            <w:tcW w:w="9000" w:type="dxa"/>
            <w:vAlign w:val="bottom"/>
            <w:gridSpan w:val="4"/>
          </w:tcPr>
          <w:p>
            <w:pPr>
              <w:spacing w:after="0"/>
              <w:rPr>
                <w:sz w:val="20"/>
                <w:szCs w:val="20"/>
                <w:color w:val="auto"/>
              </w:rPr>
            </w:pPr>
            <w:r>
              <w:rPr>
                <w:rFonts w:ascii="Arial" w:cs="Arial" w:eastAsia="Arial" w:hAnsi="Arial"/>
                <w:sz w:val="18"/>
                <w:szCs w:val="18"/>
                <w:color w:val="auto"/>
              </w:rPr>
              <w:t>XBRL Taxonomy Calculation Linkbase Document*</w:t>
            </w:r>
          </w:p>
        </w:tc>
        <w:tc>
          <w:tcPr>
            <w:tcW w:w="0" w:type="dxa"/>
            <w:vAlign w:val="bottom"/>
          </w:tcPr>
          <w:p>
            <w:pPr>
              <w:spacing w:after="0"/>
              <w:rPr>
                <w:sz w:val="1"/>
                <w:szCs w:val="1"/>
                <w:color w:val="auto"/>
              </w:rPr>
            </w:pPr>
          </w:p>
        </w:tc>
      </w:tr>
      <w:tr>
        <w:trPr>
          <w:trHeight w:val="324"/>
        </w:trPr>
        <w:tc>
          <w:tcPr>
            <w:tcW w:w="1220" w:type="dxa"/>
            <w:vAlign w:val="bottom"/>
            <w:gridSpan w:val="2"/>
          </w:tcPr>
          <w:p>
            <w:pPr>
              <w:spacing w:after="0"/>
              <w:rPr>
                <w:sz w:val="20"/>
                <w:szCs w:val="20"/>
                <w:color w:val="auto"/>
              </w:rPr>
            </w:pPr>
            <w:r>
              <w:rPr>
                <w:rFonts w:ascii="Arial" w:cs="Arial" w:eastAsia="Arial" w:hAnsi="Arial"/>
                <w:sz w:val="18"/>
                <w:szCs w:val="18"/>
                <w:color w:val="auto"/>
              </w:rPr>
              <w:t>101.DEF</w:t>
            </w:r>
          </w:p>
        </w:tc>
        <w:tc>
          <w:tcPr>
            <w:tcW w:w="9000" w:type="dxa"/>
            <w:vAlign w:val="bottom"/>
            <w:gridSpan w:val="4"/>
          </w:tcPr>
          <w:p>
            <w:pPr>
              <w:spacing w:after="0"/>
              <w:rPr>
                <w:sz w:val="20"/>
                <w:szCs w:val="20"/>
                <w:color w:val="auto"/>
              </w:rPr>
            </w:pPr>
            <w:r>
              <w:rPr>
                <w:rFonts w:ascii="Arial" w:cs="Arial" w:eastAsia="Arial" w:hAnsi="Arial"/>
                <w:sz w:val="18"/>
                <w:szCs w:val="18"/>
                <w:color w:val="auto"/>
              </w:rPr>
              <w:t>XBRL Taxonomy Extension Definition Linkbase Document*</w:t>
            </w:r>
          </w:p>
        </w:tc>
        <w:tc>
          <w:tcPr>
            <w:tcW w:w="0" w:type="dxa"/>
            <w:vAlign w:val="bottom"/>
          </w:tcPr>
          <w:p>
            <w:pPr>
              <w:spacing w:after="0"/>
              <w:rPr>
                <w:sz w:val="1"/>
                <w:szCs w:val="1"/>
                <w:color w:val="auto"/>
              </w:rPr>
            </w:pPr>
          </w:p>
        </w:tc>
      </w:tr>
      <w:tr>
        <w:trPr>
          <w:trHeight w:val="324"/>
        </w:trPr>
        <w:tc>
          <w:tcPr>
            <w:tcW w:w="1220" w:type="dxa"/>
            <w:vAlign w:val="bottom"/>
            <w:gridSpan w:val="2"/>
          </w:tcPr>
          <w:p>
            <w:pPr>
              <w:spacing w:after="0"/>
              <w:rPr>
                <w:sz w:val="20"/>
                <w:szCs w:val="20"/>
                <w:color w:val="auto"/>
              </w:rPr>
            </w:pPr>
            <w:r>
              <w:rPr>
                <w:rFonts w:ascii="Arial" w:cs="Arial" w:eastAsia="Arial" w:hAnsi="Arial"/>
                <w:sz w:val="18"/>
                <w:szCs w:val="18"/>
                <w:color w:val="auto"/>
              </w:rPr>
              <w:t>101.LAB</w:t>
            </w:r>
          </w:p>
        </w:tc>
        <w:tc>
          <w:tcPr>
            <w:tcW w:w="9000" w:type="dxa"/>
            <w:vAlign w:val="bottom"/>
            <w:gridSpan w:val="4"/>
          </w:tcPr>
          <w:p>
            <w:pPr>
              <w:spacing w:after="0"/>
              <w:rPr>
                <w:sz w:val="20"/>
                <w:szCs w:val="20"/>
                <w:color w:val="auto"/>
              </w:rPr>
            </w:pPr>
            <w:r>
              <w:rPr>
                <w:rFonts w:ascii="Arial" w:cs="Arial" w:eastAsia="Arial" w:hAnsi="Arial"/>
                <w:sz w:val="18"/>
                <w:szCs w:val="18"/>
                <w:color w:val="auto"/>
              </w:rPr>
              <w:t>XBRL Taxonomy Label Linkbase Document*</w:t>
            </w:r>
          </w:p>
        </w:tc>
        <w:tc>
          <w:tcPr>
            <w:tcW w:w="0" w:type="dxa"/>
            <w:vAlign w:val="bottom"/>
          </w:tcPr>
          <w:p>
            <w:pPr>
              <w:spacing w:after="0"/>
              <w:rPr>
                <w:sz w:val="1"/>
                <w:szCs w:val="1"/>
                <w:color w:val="auto"/>
              </w:rPr>
            </w:pPr>
          </w:p>
        </w:tc>
      </w:tr>
      <w:tr>
        <w:trPr>
          <w:trHeight w:val="324"/>
        </w:trPr>
        <w:tc>
          <w:tcPr>
            <w:tcW w:w="1220" w:type="dxa"/>
            <w:vAlign w:val="bottom"/>
            <w:gridSpan w:val="2"/>
          </w:tcPr>
          <w:p>
            <w:pPr>
              <w:spacing w:after="0"/>
              <w:rPr>
                <w:sz w:val="20"/>
                <w:szCs w:val="20"/>
                <w:color w:val="auto"/>
              </w:rPr>
            </w:pPr>
            <w:r>
              <w:rPr>
                <w:rFonts w:ascii="Arial" w:cs="Arial" w:eastAsia="Arial" w:hAnsi="Arial"/>
                <w:sz w:val="18"/>
                <w:szCs w:val="18"/>
                <w:color w:val="auto"/>
              </w:rPr>
              <w:t>101.PRE</w:t>
            </w:r>
          </w:p>
        </w:tc>
        <w:tc>
          <w:tcPr>
            <w:tcW w:w="9000" w:type="dxa"/>
            <w:vAlign w:val="bottom"/>
            <w:gridSpan w:val="4"/>
          </w:tcPr>
          <w:p>
            <w:pPr>
              <w:spacing w:after="0"/>
              <w:rPr>
                <w:sz w:val="20"/>
                <w:szCs w:val="20"/>
                <w:color w:val="auto"/>
              </w:rPr>
            </w:pPr>
            <w:r>
              <w:rPr>
                <w:rFonts w:ascii="Arial" w:cs="Arial" w:eastAsia="Arial" w:hAnsi="Arial"/>
                <w:sz w:val="18"/>
                <w:szCs w:val="18"/>
                <w:color w:val="auto"/>
              </w:rPr>
              <w:t>XBRL Taxonomy Presentation Linkbase Document*</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85725</wp:posOffset>
            </wp:positionV>
            <wp:extent cx="728980" cy="8890"/>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728980" cy="8890"/>
                    </a:xfrm>
                    <a:prstGeom prst="rect">
                      <a:avLst/>
                    </a:prstGeom>
                    <a:noFill/>
                  </pic:spPr>
                </pic:pic>
              </a:graphicData>
            </a:graphic>
          </wp:anchor>
        </w:drawing>
      </w:r>
    </w:p>
    <w:p>
      <w:pPr>
        <w:spacing w:after="0" w:line="155" w:lineRule="exact"/>
        <w:rPr>
          <w:sz w:val="20"/>
          <w:szCs w:val="20"/>
          <w:color w:val="auto"/>
        </w:rPr>
      </w:pPr>
    </w:p>
    <w:p>
      <w:pPr>
        <w:ind w:left="460" w:hanging="452"/>
        <w:spacing w:after="0"/>
        <w:tabs>
          <w:tab w:leader="none" w:pos="460" w:val="left"/>
        </w:tabs>
        <w:numPr>
          <w:ilvl w:val="0"/>
          <w:numId w:val="4"/>
        </w:numPr>
        <w:rPr>
          <w:rFonts w:ascii="Arial" w:cs="Arial" w:eastAsia="Arial" w:hAnsi="Arial"/>
          <w:sz w:val="15"/>
          <w:szCs w:val="15"/>
          <w:color w:val="auto"/>
        </w:rPr>
      </w:pPr>
      <w:r>
        <w:rPr>
          <w:rFonts w:ascii="Arial" w:cs="Arial" w:eastAsia="Arial" w:hAnsi="Arial"/>
          <w:sz w:val="18"/>
          <w:szCs w:val="18"/>
          <w:color w:val="auto"/>
        </w:rPr>
        <w:t>Filed herewith.</w:t>
      </w:r>
    </w:p>
    <w:p>
      <w:pPr>
        <w:spacing w:after="0" w:line="22" w:lineRule="exact"/>
        <w:rPr>
          <w:sz w:val="20"/>
          <w:szCs w:val="20"/>
          <w:color w:val="auto"/>
        </w:rPr>
      </w:pPr>
    </w:p>
    <w:p>
      <w:pPr>
        <w:ind w:left="5620" w:right="1460" w:hanging="5612"/>
        <w:spacing w:after="0" w:line="434" w:lineRule="auto"/>
        <w:tabs>
          <w:tab w:leader="none" w:pos="450" w:val="left"/>
        </w:tabs>
        <w:numPr>
          <w:ilvl w:val="0"/>
          <w:numId w:val="5"/>
        </w:numPr>
        <w:rPr>
          <w:rFonts w:ascii="Arial" w:cs="Arial" w:eastAsia="Arial" w:hAnsi="Arial"/>
          <w:sz w:val="15"/>
          <w:szCs w:val="15"/>
          <w:color w:val="auto"/>
        </w:rPr>
      </w:pPr>
      <w:r>
        <w:rPr>
          <w:rFonts w:ascii="Arial" w:cs="Arial" w:eastAsia="Arial" w:hAnsi="Arial"/>
          <w:sz w:val="18"/>
          <w:szCs w:val="18"/>
          <w:color w:val="auto"/>
        </w:rPr>
        <w:t>Furnished herewith and not “filed” for purposes of Section 18 of the Securities Exchange Act of 1934, as amended. 19</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3" w:lineRule="exact"/>
        <w:rPr>
          <w:sz w:val="20"/>
          <w:szCs w:val="20"/>
          <w:color w:val="auto"/>
        </w:rPr>
      </w:pPr>
    </w:p>
    <w:p>
      <w:pPr>
        <w:jc w:val="center"/>
        <w:spacing w:after="0"/>
        <w:rPr>
          <w:sz w:val="20"/>
          <w:szCs w:val="20"/>
          <w:color w:val="auto"/>
        </w:rPr>
      </w:pPr>
      <w:r>
        <w:rPr>
          <w:rFonts w:ascii="Arial" w:cs="Arial" w:eastAsia="Arial" w:hAnsi="Arial"/>
          <w:sz w:val="14"/>
          <w:szCs w:val="14"/>
          <w:b w:val="1"/>
          <w:bCs w:val="1"/>
          <w:color w:val="auto"/>
        </w:rPr>
        <w:t>Note</w:t>
      </w:r>
    </w:p>
    <w:p>
      <w:pPr>
        <w:spacing w:after="0" w:line="4" w:lineRule="exact"/>
        <w:rPr>
          <w:sz w:val="20"/>
          <w:szCs w:val="20"/>
          <w:color w:val="auto"/>
        </w:rPr>
      </w:pPr>
    </w:p>
    <w:p>
      <w:pPr>
        <w:jc w:val="center"/>
        <w:spacing w:after="0"/>
        <w:rPr>
          <w:sz w:val="20"/>
          <w:szCs w:val="20"/>
          <w:color w:val="auto"/>
        </w:rPr>
      </w:pPr>
      <w:r>
        <w:rPr>
          <w:rFonts w:ascii="Arial" w:cs="Arial" w:eastAsia="Arial" w:hAnsi="Arial"/>
          <w:sz w:val="12"/>
          <w:szCs w:val="12"/>
          <w:b w:val="1"/>
          <w:bCs w:val="1"/>
          <w:u w:val="single" w:color="auto"/>
          <w:color w:val="auto"/>
        </w:rPr>
        <w:t>Reference</w:t>
      </w:r>
    </w:p>
    <w:p>
      <w:pPr>
        <w:sectPr>
          <w:pgSz w:w="11900" w:h="16838" w:orient="portrait"/>
          <w:cols w:equalWidth="0" w:num="2">
            <w:col w:w="10220" w:space="540"/>
            <w:col w:w="620"/>
          </w:cols>
          <w:pgMar w:left="240" w:top="459" w:right="279" w:bottom="1440" w:gutter="0" w:footer="0" w:header="0"/>
          <w:type w:val="continuous"/>
        </w:sectPr>
      </w:pPr>
    </w:p>
    <w:bookmarkStart w:id="19" w:name="page20"/>
    <w:bookmarkEnd w:id="1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SIGNATURES</w:t>
      </w:r>
    </w:p>
    <w:p>
      <w:pPr>
        <w:spacing w:after="0" w:line="229" w:lineRule="exact"/>
        <w:rPr>
          <w:sz w:val="20"/>
          <w:szCs w:val="20"/>
          <w:color w:val="auto"/>
        </w:rPr>
      </w:pPr>
    </w:p>
    <w:p>
      <w:pPr>
        <w:ind w:right="680" w:firstLine="456"/>
        <w:spacing w:after="0" w:line="277" w:lineRule="auto"/>
        <w:rPr>
          <w:sz w:val="20"/>
          <w:szCs w:val="20"/>
          <w:color w:val="auto"/>
        </w:rPr>
      </w:pPr>
      <w:r>
        <w:rPr>
          <w:rFonts w:ascii="Arial" w:cs="Arial" w:eastAsia="Arial" w:hAnsi="Arial"/>
          <w:sz w:val="18"/>
          <w:szCs w:val="18"/>
          <w:color w:val="auto"/>
        </w:rPr>
        <w:t>Pursuant to the requirements of the Securities Exchange Act of 1934, the registrant has duly caused this report to be signed on its behalf by the undersigned, thereunto duly authorized, on August 14, 2018.</w:t>
      </w:r>
    </w:p>
    <w:p>
      <w:pPr>
        <w:spacing w:after="0" w:line="197" w:lineRule="exact"/>
        <w:rPr>
          <w:sz w:val="20"/>
          <w:szCs w:val="20"/>
          <w:color w:val="auto"/>
        </w:rPr>
      </w:pPr>
    </w:p>
    <w:p>
      <w:pPr>
        <w:ind w:left="6860"/>
        <w:spacing w:after="0"/>
        <w:rPr>
          <w:sz w:val="20"/>
          <w:szCs w:val="20"/>
          <w:color w:val="auto"/>
        </w:rPr>
      </w:pPr>
      <w:r>
        <w:rPr>
          <w:rFonts w:ascii="Arial" w:cs="Arial" w:eastAsia="Arial" w:hAnsi="Arial"/>
          <w:sz w:val="18"/>
          <w:szCs w:val="18"/>
          <w:color w:val="auto"/>
        </w:rPr>
        <w:t>GALECTIN THERAPEUTICS INC.</w:t>
      </w:r>
    </w:p>
    <w:p>
      <w:pPr>
        <w:spacing w:after="0" w:line="225" w:lineRule="exact"/>
        <w:rPr>
          <w:sz w:val="20"/>
          <w:szCs w:val="20"/>
          <w:color w:val="auto"/>
        </w:rPr>
      </w:pPr>
    </w:p>
    <w:tbl>
      <w:tblPr>
        <w:tblLayout w:type="fixed"/>
        <w:tblInd w:w="6860" w:type="dxa"/>
        <w:tblCellMar>
          <w:top w:w="0" w:type="dxa"/>
          <w:left w:w="0" w:type="dxa"/>
          <w:bottom w:w="0" w:type="dxa"/>
          <w:right w:w="0" w:type="dxa"/>
        </w:tblCellMar>
      </w:tblPr>
      <w:tr>
        <w:trPr>
          <w:trHeight w:val="230"/>
        </w:trPr>
        <w:tc>
          <w:tcPr>
            <w:tcW w:w="580" w:type="dxa"/>
            <w:vAlign w:val="bottom"/>
          </w:tcPr>
          <w:p>
            <w:pPr>
              <w:spacing w:after="0"/>
              <w:rPr>
                <w:sz w:val="20"/>
                <w:szCs w:val="20"/>
                <w:color w:val="auto"/>
              </w:rPr>
            </w:pPr>
            <w:r>
              <w:rPr>
                <w:rFonts w:ascii="Arial" w:cs="Arial" w:eastAsia="Arial" w:hAnsi="Arial"/>
                <w:sz w:val="18"/>
                <w:szCs w:val="18"/>
                <w:color w:val="auto"/>
              </w:rPr>
              <w:t>By:</w:t>
            </w:r>
          </w:p>
        </w:tc>
        <w:tc>
          <w:tcPr>
            <w:tcW w:w="398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/s/ Harold H. Shlevin, Ph.D.</w:t>
            </w:r>
          </w:p>
        </w:tc>
      </w:tr>
      <w:tr>
        <w:trPr>
          <w:trHeight w:val="209"/>
        </w:trPr>
        <w:tc>
          <w:tcPr>
            <w:tcW w:w="580" w:type="dxa"/>
            <w:vAlign w:val="bottom"/>
          </w:tcPr>
          <w:p>
            <w:pPr>
              <w:spacing w:after="0"/>
              <w:rPr>
                <w:sz w:val="20"/>
                <w:szCs w:val="20"/>
                <w:color w:val="auto"/>
              </w:rPr>
            </w:pPr>
            <w:r>
              <w:rPr>
                <w:rFonts w:ascii="Arial" w:cs="Arial" w:eastAsia="Arial" w:hAnsi="Arial"/>
                <w:sz w:val="18"/>
                <w:szCs w:val="18"/>
                <w:color w:val="auto"/>
              </w:rPr>
              <w:t>Name:</w:t>
            </w:r>
          </w:p>
        </w:tc>
        <w:tc>
          <w:tcPr>
            <w:tcW w:w="3980" w:type="dxa"/>
            <w:vAlign w:val="bottom"/>
          </w:tcPr>
          <w:p>
            <w:pPr>
              <w:spacing w:after="0"/>
              <w:rPr>
                <w:sz w:val="20"/>
                <w:szCs w:val="20"/>
                <w:color w:val="auto"/>
              </w:rPr>
            </w:pPr>
            <w:r>
              <w:rPr>
                <w:rFonts w:ascii="Arial" w:cs="Arial" w:eastAsia="Arial" w:hAnsi="Arial"/>
                <w:sz w:val="18"/>
                <w:szCs w:val="18"/>
                <w:color w:val="auto"/>
              </w:rPr>
              <w:t>Harold H. Shlevin, Ph. D</w:t>
            </w:r>
          </w:p>
        </w:tc>
      </w:tr>
      <w:tr>
        <w:trPr>
          <w:trHeight w:val="216"/>
        </w:trPr>
        <w:tc>
          <w:tcPr>
            <w:tcW w:w="580" w:type="dxa"/>
            <w:vAlign w:val="bottom"/>
          </w:tcPr>
          <w:p>
            <w:pPr>
              <w:spacing w:after="0"/>
              <w:rPr>
                <w:sz w:val="20"/>
                <w:szCs w:val="20"/>
                <w:color w:val="auto"/>
              </w:rPr>
            </w:pPr>
            <w:r>
              <w:rPr>
                <w:rFonts w:ascii="Arial" w:cs="Arial" w:eastAsia="Arial" w:hAnsi="Arial"/>
                <w:sz w:val="18"/>
                <w:szCs w:val="18"/>
                <w:color w:val="auto"/>
              </w:rPr>
              <w:t>Title:</w:t>
            </w:r>
          </w:p>
        </w:tc>
        <w:tc>
          <w:tcPr>
            <w:tcW w:w="3980" w:type="dxa"/>
            <w:vAlign w:val="bottom"/>
          </w:tcPr>
          <w:p>
            <w:pPr>
              <w:spacing w:after="0"/>
              <w:rPr>
                <w:sz w:val="20"/>
                <w:szCs w:val="20"/>
                <w:color w:val="auto"/>
              </w:rPr>
            </w:pPr>
            <w:r>
              <w:rPr>
                <w:rFonts w:ascii="Arial" w:cs="Arial" w:eastAsia="Arial" w:hAnsi="Arial"/>
                <w:sz w:val="18"/>
                <w:szCs w:val="18"/>
                <w:color w:val="auto"/>
              </w:rPr>
              <w:t>Chief Executive Officer and President (principal</w:t>
            </w:r>
          </w:p>
        </w:tc>
      </w:tr>
      <w:tr>
        <w:trPr>
          <w:trHeight w:val="230"/>
        </w:trPr>
        <w:tc>
          <w:tcPr>
            <w:tcW w:w="580" w:type="dxa"/>
            <w:vAlign w:val="bottom"/>
          </w:tcPr>
          <w:p>
            <w:pPr>
              <w:spacing w:after="0"/>
              <w:rPr>
                <w:sz w:val="20"/>
                <w:szCs w:val="20"/>
                <w:color w:val="auto"/>
              </w:rPr>
            </w:pPr>
          </w:p>
        </w:tc>
        <w:tc>
          <w:tcPr>
            <w:tcW w:w="3980" w:type="dxa"/>
            <w:vAlign w:val="bottom"/>
          </w:tcPr>
          <w:p>
            <w:pPr>
              <w:spacing w:after="0"/>
              <w:rPr>
                <w:sz w:val="20"/>
                <w:szCs w:val="20"/>
                <w:color w:val="auto"/>
              </w:rPr>
            </w:pPr>
            <w:r>
              <w:rPr>
                <w:rFonts w:ascii="Arial" w:cs="Arial" w:eastAsia="Arial" w:hAnsi="Arial"/>
                <w:sz w:val="18"/>
                <w:szCs w:val="18"/>
                <w:color w:val="auto"/>
              </w:rPr>
              <w:t>executive officer)</w:t>
            </w:r>
          </w:p>
        </w:tc>
      </w:tr>
    </w:tbl>
    <w:p>
      <w:pPr>
        <w:spacing w:after="0" w:line="202" w:lineRule="exact"/>
        <w:rPr>
          <w:sz w:val="20"/>
          <w:szCs w:val="20"/>
          <w:color w:val="auto"/>
        </w:rPr>
      </w:pPr>
    </w:p>
    <w:p>
      <w:pPr>
        <w:ind w:left="7440"/>
        <w:spacing w:after="0"/>
        <w:rPr>
          <w:sz w:val="20"/>
          <w:szCs w:val="20"/>
          <w:color w:val="auto"/>
        </w:rPr>
      </w:pPr>
      <w:r>
        <w:rPr>
          <w:rFonts w:ascii="Arial" w:cs="Arial" w:eastAsia="Arial" w:hAnsi="Arial"/>
          <w:sz w:val="18"/>
          <w:szCs w:val="18"/>
          <w:color w:val="auto"/>
        </w:rPr>
        <w:t>/s/ Jack W. Callicutt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4730115</wp:posOffset>
            </wp:positionH>
            <wp:positionV relativeFrom="paragraph">
              <wp:posOffset>14605</wp:posOffset>
            </wp:positionV>
            <wp:extent cx="2521585" cy="8890"/>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2521585" cy="8890"/>
                    </a:xfrm>
                    <a:prstGeom prst="rect">
                      <a:avLst/>
                    </a:prstGeom>
                    <a:noFill/>
                  </pic:spPr>
                </pic:pic>
              </a:graphicData>
            </a:graphic>
          </wp:anchor>
        </w:drawing>
      </w:r>
    </w:p>
    <w:p>
      <w:pPr>
        <w:spacing w:after="0" w:line="16" w:lineRule="exact"/>
        <w:rPr>
          <w:sz w:val="20"/>
          <w:szCs w:val="20"/>
          <w:color w:val="auto"/>
        </w:rPr>
      </w:pPr>
    </w:p>
    <w:p>
      <w:pPr>
        <w:ind w:left="6860"/>
        <w:spacing w:after="0"/>
        <w:rPr>
          <w:sz w:val="20"/>
          <w:szCs w:val="20"/>
          <w:color w:val="auto"/>
        </w:rPr>
      </w:pPr>
      <w:r>
        <w:rPr>
          <w:rFonts w:ascii="Arial" w:cs="Arial" w:eastAsia="Arial" w:hAnsi="Arial"/>
          <w:sz w:val="18"/>
          <w:szCs w:val="18"/>
          <w:color w:val="auto"/>
        </w:rPr>
        <w:t>Name: Jack W. Callicutt</w:t>
      </w:r>
    </w:p>
    <w:p>
      <w:pPr>
        <w:spacing w:after="0" w:line="23" w:lineRule="exact"/>
        <w:rPr>
          <w:sz w:val="20"/>
          <w:szCs w:val="20"/>
          <w:color w:val="auto"/>
        </w:rPr>
      </w:pPr>
    </w:p>
    <w:p>
      <w:pPr>
        <w:ind w:left="6860"/>
        <w:spacing w:after="0"/>
        <w:tabs>
          <w:tab w:leader="none" w:pos="7420" w:val="left"/>
        </w:tabs>
        <w:rPr>
          <w:sz w:val="20"/>
          <w:szCs w:val="20"/>
          <w:color w:val="auto"/>
        </w:rPr>
      </w:pPr>
      <w:r>
        <w:rPr>
          <w:rFonts w:ascii="Arial" w:cs="Arial" w:eastAsia="Arial" w:hAnsi="Arial"/>
          <w:sz w:val="18"/>
          <w:szCs w:val="18"/>
          <w:color w:val="auto"/>
        </w:rPr>
        <w:t>Title:</w:t>
        <w:tab/>
        <w:t>Chief Financial Officer</w:t>
      </w:r>
    </w:p>
    <w:p>
      <w:pPr>
        <w:spacing w:after="0" w:line="9" w:lineRule="exact"/>
        <w:rPr>
          <w:sz w:val="20"/>
          <w:szCs w:val="20"/>
          <w:color w:val="auto"/>
        </w:rPr>
      </w:pPr>
    </w:p>
    <w:p>
      <w:pPr>
        <w:ind w:left="7440"/>
        <w:spacing w:after="0"/>
        <w:rPr>
          <w:sz w:val="20"/>
          <w:szCs w:val="20"/>
          <w:color w:val="auto"/>
        </w:rPr>
      </w:pPr>
      <w:r>
        <w:rPr>
          <w:rFonts w:ascii="Arial" w:cs="Arial" w:eastAsia="Arial" w:hAnsi="Arial"/>
          <w:sz w:val="18"/>
          <w:szCs w:val="18"/>
          <w:color w:val="auto"/>
        </w:rPr>
        <w:t>(principal financial and accounting officer)</w:t>
      </w:r>
    </w:p>
    <w:p>
      <w:pPr>
        <w:spacing w:after="0" w:line="15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20</w:t>
      </w:r>
    </w:p>
    <w:p>
      <w:pPr>
        <w:sectPr>
          <w:pgSz w:w="11900" w:h="16838" w:orient="portrait"/>
          <w:cols w:equalWidth="0" w:num="1">
            <w:col w:w="11420"/>
          </w:cols>
          <w:pgMar w:left="240" w:top="459" w:right="239" w:bottom="1440" w:gutter="0" w:footer="0" w:header="0"/>
        </w:sectPr>
      </w:pPr>
    </w:p>
    <w:bookmarkStart w:id="20" w:name="page21"/>
    <w:bookmarkEnd w:id="20"/>
    <w:p>
      <w:pPr>
        <w:jc w:val="right"/>
        <w:spacing w:after="0"/>
        <w:rPr>
          <w:sz w:val="20"/>
          <w:szCs w:val="20"/>
          <w:color w:val="auto"/>
        </w:rPr>
      </w:pPr>
      <w:r>
        <w:rPr>
          <w:rFonts w:ascii="Arial" w:cs="Arial" w:eastAsia="Arial" w:hAnsi="Arial"/>
          <w:sz w:val="18"/>
          <w:szCs w:val="18"/>
          <w:b w:val="1"/>
          <w:bCs w:val="1"/>
          <w:color w:val="auto"/>
        </w:rPr>
        <w:t>Exhibit 31.1</w:t>
      </w:r>
    </w:p>
    <w:p>
      <w:pPr>
        <w:spacing w:after="0" w:line="200" w:lineRule="exact"/>
        <w:rPr>
          <w:sz w:val="20"/>
          <w:szCs w:val="20"/>
          <w:color w:val="auto"/>
        </w:rPr>
      </w:pPr>
    </w:p>
    <w:p>
      <w:pPr>
        <w:spacing w:after="0" w:line="24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Certification Pursuant to Rule 13a-14(a) of the Securities Exchange Act of 1934</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I, Harold H. Shlevin, certify that:</w:t>
      </w:r>
    </w:p>
    <w:p>
      <w:pPr>
        <w:spacing w:after="0" w:line="131" w:lineRule="exact"/>
        <w:rPr>
          <w:sz w:val="20"/>
          <w:szCs w:val="20"/>
          <w:color w:val="auto"/>
        </w:rPr>
      </w:pPr>
    </w:p>
    <w:p>
      <w:pPr>
        <w:ind w:left="460" w:hanging="452"/>
        <w:spacing w:after="0"/>
        <w:tabs>
          <w:tab w:leader="none" w:pos="460" w:val="left"/>
        </w:tabs>
        <w:numPr>
          <w:ilvl w:val="0"/>
          <w:numId w:val="6"/>
        </w:numPr>
        <w:rPr>
          <w:rFonts w:ascii="Arial" w:cs="Arial" w:eastAsia="Arial" w:hAnsi="Arial"/>
          <w:sz w:val="18"/>
          <w:szCs w:val="18"/>
          <w:color w:val="auto"/>
        </w:rPr>
      </w:pPr>
      <w:r>
        <w:rPr>
          <w:rFonts w:ascii="Arial" w:cs="Arial" w:eastAsia="Arial" w:hAnsi="Arial"/>
          <w:sz w:val="18"/>
          <w:szCs w:val="18"/>
          <w:color w:val="auto"/>
        </w:rPr>
        <w:t>I have reviewed this quarterly report on Form 10-Q of Galectin Therapeutics Inc;</w:t>
      </w:r>
    </w:p>
    <w:p>
      <w:pPr>
        <w:spacing w:after="0" w:line="130" w:lineRule="exact"/>
        <w:rPr>
          <w:rFonts w:ascii="Arial" w:cs="Arial" w:eastAsia="Arial" w:hAnsi="Arial"/>
          <w:sz w:val="18"/>
          <w:szCs w:val="18"/>
          <w:color w:val="auto"/>
        </w:rPr>
      </w:pPr>
    </w:p>
    <w:p>
      <w:pPr>
        <w:jc w:val="both"/>
        <w:ind w:left="460" w:right="500" w:hanging="452"/>
        <w:spacing w:after="0" w:line="264" w:lineRule="auto"/>
        <w:tabs>
          <w:tab w:leader="none" w:pos="460" w:val="left"/>
        </w:tabs>
        <w:numPr>
          <w:ilvl w:val="0"/>
          <w:numId w:val="6"/>
        </w:numPr>
        <w:rPr>
          <w:rFonts w:ascii="Arial" w:cs="Arial" w:eastAsia="Arial" w:hAnsi="Arial"/>
          <w:sz w:val="18"/>
          <w:szCs w:val="18"/>
          <w:color w:val="auto"/>
        </w:rPr>
      </w:pPr>
      <w:r>
        <w:rPr>
          <w:rFonts w:ascii="Arial" w:cs="Arial" w:eastAsia="Arial" w:hAnsi="Arial"/>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86" w:lineRule="exact"/>
        <w:rPr>
          <w:rFonts w:ascii="Arial" w:cs="Arial" w:eastAsia="Arial" w:hAnsi="Arial"/>
          <w:sz w:val="18"/>
          <w:szCs w:val="18"/>
          <w:color w:val="auto"/>
        </w:rPr>
      </w:pPr>
    </w:p>
    <w:p>
      <w:pPr>
        <w:ind w:left="460" w:right="460" w:hanging="452"/>
        <w:spacing w:after="0" w:line="308" w:lineRule="auto"/>
        <w:tabs>
          <w:tab w:leader="none" w:pos="460" w:val="left"/>
        </w:tabs>
        <w:numPr>
          <w:ilvl w:val="0"/>
          <w:numId w:val="6"/>
        </w:numPr>
        <w:rPr>
          <w:rFonts w:ascii="Arial" w:cs="Arial" w:eastAsia="Arial" w:hAnsi="Arial"/>
          <w:sz w:val="17"/>
          <w:szCs w:val="17"/>
          <w:color w:val="auto"/>
        </w:rPr>
      </w:pPr>
      <w:r>
        <w:rPr>
          <w:rFonts w:ascii="Arial" w:cs="Arial" w:eastAsia="Arial" w:hAnsi="Arial"/>
          <w:sz w:val="17"/>
          <w:szCs w:val="17"/>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51" w:lineRule="exact"/>
        <w:rPr>
          <w:rFonts w:ascii="Arial" w:cs="Arial" w:eastAsia="Arial" w:hAnsi="Arial"/>
          <w:sz w:val="17"/>
          <w:szCs w:val="17"/>
          <w:color w:val="auto"/>
        </w:rPr>
      </w:pPr>
    </w:p>
    <w:p>
      <w:pPr>
        <w:ind w:left="460" w:right="80" w:hanging="452"/>
        <w:spacing w:after="0" w:line="264" w:lineRule="auto"/>
        <w:tabs>
          <w:tab w:leader="none" w:pos="460" w:val="left"/>
        </w:tabs>
        <w:numPr>
          <w:ilvl w:val="0"/>
          <w:numId w:val="6"/>
        </w:numPr>
        <w:rPr>
          <w:rFonts w:ascii="Arial" w:cs="Arial" w:eastAsia="Arial" w:hAnsi="Arial"/>
          <w:sz w:val="18"/>
          <w:szCs w:val="18"/>
          <w:color w:val="auto"/>
        </w:rPr>
      </w:pPr>
      <w:r>
        <w:rPr>
          <w:rFonts w:ascii="Arial" w:cs="Arial" w:eastAsia="Arial" w:hAnsi="Arial"/>
          <w:sz w:val="18"/>
          <w:szCs w:val="18"/>
          <w:color w:val="auto"/>
        </w:rPr>
        <w:t>The registrant’s other certifying officer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86" w:lineRule="exact"/>
        <w:rPr>
          <w:rFonts w:ascii="Arial" w:cs="Arial" w:eastAsia="Arial" w:hAnsi="Arial"/>
          <w:sz w:val="18"/>
          <w:szCs w:val="18"/>
          <w:color w:val="auto"/>
        </w:rPr>
      </w:pPr>
    </w:p>
    <w:p>
      <w:pPr>
        <w:ind w:left="900" w:right="300" w:hanging="446"/>
        <w:spacing w:after="0" w:line="264" w:lineRule="auto"/>
        <w:tabs>
          <w:tab w:leader="none" w:pos="900" w:val="left"/>
        </w:tabs>
        <w:numPr>
          <w:ilvl w:val="1"/>
          <w:numId w:val="6"/>
        </w:numPr>
        <w:rPr>
          <w:rFonts w:ascii="Arial" w:cs="Arial" w:eastAsia="Arial" w:hAnsi="Arial"/>
          <w:sz w:val="18"/>
          <w:szCs w:val="18"/>
          <w:color w:val="auto"/>
        </w:rPr>
      </w:pPr>
      <w:r>
        <w:rPr>
          <w:rFonts w:ascii="Arial" w:cs="Arial" w:eastAsia="Arial" w:hAnsi="Arial"/>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86" w:lineRule="exact"/>
        <w:rPr>
          <w:rFonts w:ascii="Arial" w:cs="Arial" w:eastAsia="Arial" w:hAnsi="Arial"/>
          <w:sz w:val="18"/>
          <w:szCs w:val="18"/>
          <w:color w:val="auto"/>
        </w:rPr>
      </w:pPr>
    </w:p>
    <w:p>
      <w:pPr>
        <w:ind w:left="900" w:right="620" w:hanging="446"/>
        <w:spacing w:after="0" w:line="264" w:lineRule="auto"/>
        <w:tabs>
          <w:tab w:leader="none" w:pos="900" w:val="left"/>
        </w:tabs>
        <w:numPr>
          <w:ilvl w:val="1"/>
          <w:numId w:val="6"/>
        </w:numPr>
        <w:rPr>
          <w:rFonts w:ascii="Arial" w:cs="Arial" w:eastAsia="Arial" w:hAnsi="Arial"/>
          <w:sz w:val="18"/>
          <w:szCs w:val="18"/>
          <w:color w:val="auto"/>
        </w:rPr>
      </w:pPr>
      <w:r>
        <w:rPr>
          <w:rFonts w:ascii="Arial" w:cs="Arial" w:eastAsia="Arial" w:hAnsi="Arial"/>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86" w:lineRule="exact"/>
        <w:rPr>
          <w:rFonts w:ascii="Arial" w:cs="Arial" w:eastAsia="Arial" w:hAnsi="Arial"/>
          <w:sz w:val="18"/>
          <w:szCs w:val="18"/>
          <w:color w:val="auto"/>
        </w:rPr>
      </w:pPr>
    </w:p>
    <w:p>
      <w:pPr>
        <w:jc w:val="both"/>
        <w:ind w:left="900" w:right="800" w:hanging="446"/>
        <w:spacing w:after="0" w:line="342" w:lineRule="auto"/>
        <w:tabs>
          <w:tab w:leader="none" w:pos="900" w:val="left"/>
        </w:tabs>
        <w:numPr>
          <w:ilvl w:val="1"/>
          <w:numId w:val="6"/>
        </w:numPr>
        <w:rPr>
          <w:rFonts w:ascii="Arial" w:cs="Arial" w:eastAsia="Arial" w:hAnsi="Arial"/>
          <w:sz w:val="16"/>
          <w:szCs w:val="16"/>
          <w:color w:val="auto"/>
        </w:rPr>
      </w:pPr>
      <w:r>
        <w:rPr>
          <w:rFonts w:ascii="Arial" w:cs="Arial" w:eastAsia="Arial" w:hAnsi="Arial"/>
          <w:sz w:val="16"/>
          <w:szCs w:val="16"/>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29" w:lineRule="exact"/>
        <w:rPr>
          <w:rFonts w:ascii="Arial" w:cs="Arial" w:eastAsia="Arial" w:hAnsi="Arial"/>
          <w:sz w:val="16"/>
          <w:szCs w:val="16"/>
          <w:color w:val="auto"/>
        </w:rPr>
      </w:pPr>
    </w:p>
    <w:p>
      <w:pPr>
        <w:ind w:left="900" w:right="20" w:hanging="446"/>
        <w:spacing w:after="0" w:line="264" w:lineRule="auto"/>
        <w:tabs>
          <w:tab w:leader="none" w:pos="900" w:val="left"/>
        </w:tabs>
        <w:numPr>
          <w:ilvl w:val="1"/>
          <w:numId w:val="6"/>
        </w:numPr>
        <w:rPr>
          <w:rFonts w:ascii="Arial" w:cs="Arial" w:eastAsia="Arial" w:hAnsi="Arial"/>
          <w:sz w:val="18"/>
          <w:szCs w:val="18"/>
          <w:color w:val="auto"/>
        </w:rPr>
      </w:pPr>
      <w:r>
        <w:rPr>
          <w:rFonts w:ascii="Arial" w:cs="Arial" w:eastAsia="Arial" w:hAnsi="Arial"/>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86" w:lineRule="exact"/>
        <w:rPr>
          <w:rFonts w:ascii="Arial" w:cs="Arial" w:eastAsia="Arial" w:hAnsi="Arial"/>
          <w:sz w:val="18"/>
          <w:szCs w:val="18"/>
          <w:color w:val="auto"/>
        </w:rPr>
      </w:pPr>
    </w:p>
    <w:p>
      <w:pPr>
        <w:ind w:left="460" w:right="380" w:hanging="452"/>
        <w:spacing w:after="0" w:line="308" w:lineRule="auto"/>
        <w:tabs>
          <w:tab w:leader="none" w:pos="460" w:val="left"/>
        </w:tabs>
        <w:numPr>
          <w:ilvl w:val="0"/>
          <w:numId w:val="6"/>
        </w:numPr>
        <w:rPr>
          <w:rFonts w:ascii="Arial" w:cs="Arial" w:eastAsia="Arial" w:hAnsi="Arial"/>
          <w:sz w:val="17"/>
          <w:szCs w:val="17"/>
          <w:color w:val="auto"/>
        </w:rPr>
      </w:pPr>
      <w:r>
        <w:rPr>
          <w:rFonts w:ascii="Arial" w:cs="Arial" w:eastAsia="Arial" w:hAnsi="Arial"/>
          <w:sz w:val="17"/>
          <w:szCs w:val="17"/>
          <w:color w:val="auto"/>
        </w:rPr>
        <w:t>The registrant’s other certifying officer and I have disclosed, based on our most recent evaluation of internal control over financial reporting, to the registrant’s auditors and the audit committee of the registrant’s board of directors (or persons performing the equivalent functions):</w:t>
      </w:r>
    </w:p>
    <w:p>
      <w:pPr>
        <w:spacing w:after="0" w:line="51" w:lineRule="exact"/>
        <w:rPr>
          <w:rFonts w:ascii="Arial" w:cs="Arial" w:eastAsia="Arial" w:hAnsi="Arial"/>
          <w:sz w:val="17"/>
          <w:szCs w:val="17"/>
          <w:color w:val="auto"/>
        </w:rPr>
      </w:pPr>
    </w:p>
    <w:p>
      <w:pPr>
        <w:ind w:left="900" w:right="200" w:hanging="446"/>
        <w:spacing w:after="0" w:line="277" w:lineRule="auto"/>
        <w:tabs>
          <w:tab w:leader="none" w:pos="900" w:val="left"/>
        </w:tabs>
        <w:numPr>
          <w:ilvl w:val="1"/>
          <w:numId w:val="6"/>
        </w:numPr>
        <w:rPr>
          <w:rFonts w:ascii="Arial" w:cs="Arial" w:eastAsia="Arial" w:hAnsi="Arial"/>
          <w:sz w:val="18"/>
          <w:szCs w:val="18"/>
          <w:color w:val="auto"/>
        </w:rPr>
      </w:pPr>
      <w:r>
        <w:rPr>
          <w:rFonts w:ascii="Arial" w:cs="Arial" w:eastAsia="Arial" w:hAnsi="Arial"/>
          <w:sz w:val="18"/>
          <w:szCs w:val="18"/>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75" w:lineRule="exact"/>
        <w:rPr>
          <w:rFonts w:ascii="Arial" w:cs="Arial" w:eastAsia="Arial" w:hAnsi="Arial"/>
          <w:sz w:val="18"/>
          <w:szCs w:val="18"/>
          <w:color w:val="auto"/>
        </w:rPr>
      </w:pPr>
    </w:p>
    <w:p>
      <w:pPr>
        <w:ind w:left="900" w:right="160" w:hanging="446"/>
        <w:spacing w:after="0" w:line="277" w:lineRule="auto"/>
        <w:tabs>
          <w:tab w:leader="none" w:pos="900" w:val="left"/>
        </w:tabs>
        <w:numPr>
          <w:ilvl w:val="1"/>
          <w:numId w:val="6"/>
        </w:numPr>
        <w:rPr>
          <w:rFonts w:ascii="Arial" w:cs="Arial" w:eastAsia="Arial" w:hAnsi="Arial"/>
          <w:sz w:val="18"/>
          <w:szCs w:val="18"/>
          <w:color w:val="auto"/>
        </w:rPr>
      </w:pPr>
      <w:r>
        <w:rPr>
          <w:rFonts w:ascii="Arial" w:cs="Arial" w:eastAsia="Arial" w:hAnsi="Arial"/>
          <w:sz w:val="18"/>
          <w:szCs w:val="18"/>
          <w:color w:val="auto"/>
        </w:rPr>
        <w:t>Any fraud, whether or not material, that involves management or other employees who have a significant role in the registrant’s internal control over financial reporting.</w:t>
      </w:r>
    </w:p>
    <w:p>
      <w:pPr>
        <w:spacing w:after="0" w:line="197"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6400" w:type="dxa"/>
            <w:vAlign w:val="bottom"/>
          </w:tcPr>
          <w:p>
            <w:pPr>
              <w:spacing w:after="0"/>
              <w:rPr>
                <w:sz w:val="20"/>
                <w:szCs w:val="20"/>
                <w:color w:val="auto"/>
              </w:rPr>
            </w:pPr>
            <w:r>
              <w:rPr>
                <w:rFonts w:ascii="Arial" w:cs="Arial" w:eastAsia="Arial" w:hAnsi="Arial"/>
                <w:sz w:val="18"/>
                <w:szCs w:val="18"/>
                <w:color w:val="auto"/>
              </w:rPr>
              <w:t>Date: August 14, 2018</w:t>
            </w:r>
          </w:p>
        </w:tc>
        <w:tc>
          <w:tcPr>
            <w:tcW w:w="502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/s/ Harold H. Shlevin, Ph.D.</w:t>
            </w:r>
          </w:p>
        </w:tc>
      </w:tr>
      <w:tr>
        <w:trPr>
          <w:trHeight w:val="209"/>
        </w:trPr>
        <w:tc>
          <w:tcPr>
            <w:tcW w:w="6400" w:type="dxa"/>
            <w:vAlign w:val="bottom"/>
          </w:tcPr>
          <w:p>
            <w:pPr>
              <w:ind w:left="5820"/>
              <w:spacing w:after="0"/>
              <w:rPr>
                <w:sz w:val="20"/>
                <w:szCs w:val="20"/>
                <w:color w:val="auto"/>
              </w:rPr>
            </w:pPr>
            <w:r>
              <w:rPr>
                <w:rFonts w:ascii="Arial" w:cs="Arial" w:eastAsia="Arial" w:hAnsi="Arial"/>
                <w:sz w:val="18"/>
                <w:szCs w:val="18"/>
                <w:color w:val="auto"/>
              </w:rPr>
              <w:t>Name:</w:t>
            </w:r>
          </w:p>
        </w:tc>
        <w:tc>
          <w:tcPr>
            <w:tcW w:w="5020" w:type="dxa"/>
            <w:vAlign w:val="bottom"/>
          </w:tcPr>
          <w:p>
            <w:pPr>
              <w:spacing w:after="0"/>
              <w:rPr>
                <w:sz w:val="20"/>
                <w:szCs w:val="20"/>
                <w:color w:val="auto"/>
              </w:rPr>
            </w:pPr>
            <w:r>
              <w:rPr>
                <w:rFonts w:ascii="Arial" w:cs="Arial" w:eastAsia="Arial" w:hAnsi="Arial"/>
                <w:sz w:val="18"/>
                <w:szCs w:val="18"/>
                <w:color w:val="auto"/>
              </w:rPr>
              <w:t>Harold H. Shlevin, Ph. D</w:t>
            </w:r>
          </w:p>
        </w:tc>
      </w:tr>
      <w:tr>
        <w:trPr>
          <w:trHeight w:val="216"/>
        </w:trPr>
        <w:tc>
          <w:tcPr>
            <w:tcW w:w="6400" w:type="dxa"/>
            <w:vAlign w:val="bottom"/>
          </w:tcPr>
          <w:p>
            <w:pPr>
              <w:ind w:left="5820"/>
              <w:spacing w:after="0"/>
              <w:rPr>
                <w:sz w:val="20"/>
                <w:szCs w:val="20"/>
                <w:color w:val="auto"/>
              </w:rPr>
            </w:pPr>
            <w:r>
              <w:rPr>
                <w:rFonts w:ascii="Arial" w:cs="Arial" w:eastAsia="Arial" w:hAnsi="Arial"/>
                <w:sz w:val="18"/>
                <w:szCs w:val="18"/>
                <w:color w:val="auto"/>
              </w:rPr>
              <w:t>Title:</w:t>
            </w:r>
          </w:p>
        </w:tc>
        <w:tc>
          <w:tcPr>
            <w:tcW w:w="5020" w:type="dxa"/>
            <w:vAlign w:val="bottom"/>
          </w:tcPr>
          <w:p>
            <w:pPr>
              <w:spacing w:after="0"/>
              <w:rPr>
                <w:sz w:val="20"/>
                <w:szCs w:val="20"/>
                <w:color w:val="auto"/>
              </w:rPr>
            </w:pPr>
            <w:r>
              <w:rPr>
                <w:rFonts w:ascii="Arial" w:cs="Arial" w:eastAsia="Arial" w:hAnsi="Arial"/>
                <w:sz w:val="18"/>
                <w:szCs w:val="18"/>
                <w:color w:val="auto"/>
              </w:rPr>
              <w:t>Chief Executive Officer and President</w:t>
            </w:r>
          </w:p>
        </w:tc>
      </w:tr>
      <w:tr>
        <w:trPr>
          <w:trHeight w:val="230"/>
        </w:trPr>
        <w:tc>
          <w:tcPr>
            <w:tcW w:w="6400" w:type="dxa"/>
            <w:vAlign w:val="bottom"/>
          </w:tcPr>
          <w:p>
            <w:pPr>
              <w:spacing w:after="0"/>
              <w:rPr>
                <w:sz w:val="20"/>
                <w:szCs w:val="20"/>
                <w:color w:val="auto"/>
              </w:rPr>
            </w:pPr>
          </w:p>
        </w:tc>
        <w:tc>
          <w:tcPr>
            <w:tcW w:w="5020" w:type="dxa"/>
            <w:vAlign w:val="bottom"/>
          </w:tcPr>
          <w:p>
            <w:pPr>
              <w:spacing w:after="0"/>
              <w:rPr>
                <w:sz w:val="20"/>
                <w:szCs w:val="20"/>
                <w:color w:val="auto"/>
              </w:rPr>
            </w:pPr>
            <w:r>
              <w:rPr>
                <w:rFonts w:ascii="Arial" w:cs="Arial" w:eastAsia="Arial" w:hAnsi="Arial"/>
                <w:sz w:val="18"/>
                <w:szCs w:val="18"/>
                <w:color w:val="auto"/>
              </w:rPr>
              <w:t>(principal executive officer)</w:t>
            </w:r>
          </w:p>
        </w:tc>
      </w:tr>
    </w:tbl>
    <w:p>
      <w:pPr>
        <w:sectPr>
          <w:pgSz w:w="11900" w:h="16838" w:orient="portrait"/>
          <w:cols w:equalWidth="0" w:num="1">
            <w:col w:w="11420"/>
          </w:cols>
          <w:pgMar w:left="240" w:top="121" w:right="239" w:bottom="1440" w:gutter="0" w:footer="0" w:header="0"/>
        </w:sectPr>
      </w:pPr>
    </w:p>
    <w:bookmarkStart w:id="21" w:name="page22"/>
    <w:bookmarkEnd w:id="21"/>
    <w:p>
      <w:pPr>
        <w:jc w:val="right"/>
        <w:spacing w:after="0"/>
        <w:rPr>
          <w:sz w:val="20"/>
          <w:szCs w:val="20"/>
          <w:color w:val="auto"/>
        </w:rPr>
      </w:pPr>
      <w:r>
        <w:rPr>
          <w:rFonts w:ascii="Arial" w:cs="Arial" w:eastAsia="Arial" w:hAnsi="Arial"/>
          <w:sz w:val="18"/>
          <w:szCs w:val="18"/>
          <w:b w:val="1"/>
          <w:bCs w:val="1"/>
          <w:color w:val="auto"/>
        </w:rPr>
        <w:t>Exhibit 31.2</w:t>
      </w:r>
    </w:p>
    <w:p>
      <w:pPr>
        <w:spacing w:after="0" w:line="200" w:lineRule="exact"/>
        <w:rPr>
          <w:sz w:val="20"/>
          <w:szCs w:val="20"/>
          <w:color w:val="auto"/>
        </w:rPr>
      </w:pPr>
    </w:p>
    <w:p>
      <w:pPr>
        <w:spacing w:after="0" w:line="24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Certification Pursuant to Rule 13a-14(a) of the Securities Exchange Act of 1934</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I, Jack W. Callicutt, certify that:</w:t>
      </w:r>
    </w:p>
    <w:p>
      <w:pPr>
        <w:spacing w:after="0" w:line="131" w:lineRule="exact"/>
        <w:rPr>
          <w:sz w:val="20"/>
          <w:szCs w:val="20"/>
          <w:color w:val="auto"/>
        </w:rPr>
      </w:pPr>
    </w:p>
    <w:p>
      <w:pPr>
        <w:ind w:left="460" w:hanging="452"/>
        <w:spacing w:after="0"/>
        <w:tabs>
          <w:tab w:leader="none" w:pos="460" w:val="left"/>
        </w:tabs>
        <w:numPr>
          <w:ilvl w:val="0"/>
          <w:numId w:val="7"/>
        </w:numPr>
        <w:rPr>
          <w:rFonts w:ascii="Arial" w:cs="Arial" w:eastAsia="Arial" w:hAnsi="Arial"/>
          <w:sz w:val="18"/>
          <w:szCs w:val="18"/>
          <w:color w:val="auto"/>
        </w:rPr>
      </w:pPr>
      <w:r>
        <w:rPr>
          <w:rFonts w:ascii="Arial" w:cs="Arial" w:eastAsia="Arial" w:hAnsi="Arial"/>
          <w:sz w:val="18"/>
          <w:szCs w:val="18"/>
          <w:color w:val="auto"/>
        </w:rPr>
        <w:t>I have reviewed this quarterly report on Form 10-Q of Galectin Therapeutics Inc;</w:t>
      </w:r>
    </w:p>
    <w:p>
      <w:pPr>
        <w:spacing w:after="0" w:line="130" w:lineRule="exact"/>
        <w:rPr>
          <w:rFonts w:ascii="Arial" w:cs="Arial" w:eastAsia="Arial" w:hAnsi="Arial"/>
          <w:sz w:val="18"/>
          <w:szCs w:val="18"/>
          <w:color w:val="auto"/>
        </w:rPr>
      </w:pPr>
    </w:p>
    <w:p>
      <w:pPr>
        <w:jc w:val="both"/>
        <w:ind w:left="460" w:right="500" w:hanging="452"/>
        <w:spacing w:after="0" w:line="264" w:lineRule="auto"/>
        <w:tabs>
          <w:tab w:leader="none" w:pos="460" w:val="left"/>
        </w:tabs>
        <w:numPr>
          <w:ilvl w:val="0"/>
          <w:numId w:val="7"/>
        </w:numPr>
        <w:rPr>
          <w:rFonts w:ascii="Arial" w:cs="Arial" w:eastAsia="Arial" w:hAnsi="Arial"/>
          <w:sz w:val="18"/>
          <w:szCs w:val="18"/>
          <w:color w:val="auto"/>
        </w:rPr>
      </w:pPr>
      <w:r>
        <w:rPr>
          <w:rFonts w:ascii="Arial" w:cs="Arial" w:eastAsia="Arial" w:hAnsi="Arial"/>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86" w:lineRule="exact"/>
        <w:rPr>
          <w:rFonts w:ascii="Arial" w:cs="Arial" w:eastAsia="Arial" w:hAnsi="Arial"/>
          <w:sz w:val="18"/>
          <w:szCs w:val="18"/>
          <w:color w:val="auto"/>
        </w:rPr>
      </w:pPr>
    </w:p>
    <w:p>
      <w:pPr>
        <w:ind w:left="460" w:right="460" w:hanging="452"/>
        <w:spacing w:after="0" w:line="308" w:lineRule="auto"/>
        <w:tabs>
          <w:tab w:leader="none" w:pos="460" w:val="left"/>
        </w:tabs>
        <w:numPr>
          <w:ilvl w:val="0"/>
          <w:numId w:val="7"/>
        </w:numPr>
        <w:rPr>
          <w:rFonts w:ascii="Arial" w:cs="Arial" w:eastAsia="Arial" w:hAnsi="Arial"/>
          <w:sz w:val="17"/>
          <w:szCs w:val="17"/>
          <w:color w:val="auto"/>
        </w:rPr>
      </w:pPr>
      <w:r>
        <w:rPr>
          <w:rFonts w:ascii="Arial" w:cs="Arial" w:eastAsia="Arial" w:hAnsi="Arial"/>
          <w:sz w:val="17"/>
          <w:szCs w:val="17"/>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51" w:lineRule="exact"/>
        <w:rPr>
          <w:rFonts w:ascii="Arial" w:cs="Arial" w:eastAsia="Arial" w:hAnsi="Arial"/>
          <w:sz w:val="17"/>
          <w:szCs w:val="17"/>
          <w:color w:val="auto"/>
        </w:rPr>
      </w:pPr>
    </w:p>
    <w:p>
      <w:pPr>
        <w:ind w:left="460" w:right="80" w:hanging="452"/>
        <w:spacing w:after="0" w:line="264" w:lineRule="auto"/>
        <w:tabs>
          <w:tab w:leader="none" w:pos="460" w:val="left"/>
        </w:tabs>
        <w:numPr>
          <w:ilvl w:val="0"/>
          <w:numId w:val="7"/>
        </w:numPr>
        <w:rPr>
          <w:rFonts w:ascii="Arial" w:cs="Arial" w:eastAsia="Arial" w:hAnsi="Arial"/>
          <w:sz w:val="18"/>
          <w:szCs w:val="18"/>
          <w:color w:val="auto"/>
        </w:rPr>
      </w:pPr>
      <w:r>
        <w:rPr>
          <w:rFonts w:ascii="Arial" w:cs="Arial" w:eastAsia="Arial" w:hAnsi="Arial"/>
          <w:sz w:val="18"/>
          <w:szCs w:val="18"/>
          <w:color w:val="auto"/>
        </w:rPr>
        <w:t>The registrant’s other certifying officer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86" w:lineRule="exact"/>
        <w:rPr>
          <w:rFonts w:ascii="Arial" w:cs="Arial" w:eastAsia="Arial" w:hAnsi="Arial"/>
          <w:sz w:val="18"/>
          <w:szCs w:val="18"/>
          <w:color w:val="auto"/>
        </w:rPr>
      </w:pPr>
    </w:p>
    <w:p>
      <w:pPr>
        <w:ind w:left="900" w:right="300" w:hanging="446"/>
        <w:spacing w:after="0" w:line="264" w:lineRule="auto"/>
        <w:tabs>
          <w:tab w:leader="none" w:pos="900" w:val="left"/>
        </w:tabs>
        <w:numPr>
          <w:ilvl w:val="1"/>
          <w:numId w:val="7"/>
        </w:numPr>
        <w:rPr>
          <w:rFonts w:ascii="Arial" w:cs="Arial" w:eastAsia="Arial" w:hAnsi="Arial"/>
          <w:sz w:val="18"/>
          <w:szCs w:val="18"/>
          <w:color w:val="auto"/>
        </w:rPr>
      </w:pPr>
      <w:r>
        <w:rPr>
          <w:rFonts w:ascii="Arial" w:cs="Arial" w:eastAsia="Arial" w:hAnsi="Arial"/>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86" w:lineRule="exact"/>
        <w:rPr>
          <w:rFonts w:ascii="Arial" w:cs="Arial" w:eastAsia="Arial" w:hAnsi="Arial"/>
          <w:sz w:val="18"/>
          <w:szCs w:val="18"/>
          <w:color w:val="auto"/>
        </w:rPr>
      </w:pPr>
    </w:p>
    <w:p>
      <w:pPr>
        <w:ind w:left="900" w:right="620" w:hanging="446"/>
        <w:spacing w:after="0" w:line="264" w:lineRule="auto"/>
        <w:tabs>
          <w:tab w:leader="none" w:pos="900" w:val="left"/>
        </w:tabs>
        <w:numPr>
          <w:ilvl w:val="1"/>
          <w:numId w:val="7"/>
        </w:numPr>
        <w:rPr>
          <w:rFonts w:ascii="Arial" w:cs="Arial" w:eastAsia="Arial" w:hAnsi="Arial"/>
          <w:sz w:val="18"/>
          <w:szCs w:val="18"/>
          <w:color w:val="auto"/>
        </w:rPr>
      </w:pPr>
      <w:r>
        <w:rPr>
          <w:rFonts w:ascii="Arial" w:cs="Arial" w:eastAsia="Arial" w:hAnsi="Arial"/>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86" w:lineRule="exact"/>
        <w:rPr>
          <w:rFonts w:ascii="Arial" w:cs="Arial" w:eastAsia="Arial" w:hAnsi="Arial"/>
          <w:sz w:val="18"/>
          <w:szCs w:val="18"/>
          <w:color w:val="auto"/>
        </w:rPr>
      </w:pPr>
    </w:p>
    <w:p>
      <w:pPr>
        <w:jc w:val="both"/>
        <w:ind w:left="900" w:right="800" w:hanging="446"/>
        <w:spacing w:after="0" w:line="342" w:lineRule="auto"/>
        <w:tabs>
          <w:tab w:leader="none" w:pos="900" w:val="left"/>
        </w:tabs>
        <w:numPr>
          <w:ilvl w:val="1"/>
          <w:numId w:val="7"/>
        </w:numPr>
        <w:rPr>
          <w:rFonts w:ascii="Arial" w:cs="Arial" w:eastAsia="Arial" w:hAnsi="Arial"/>
          <w:sz w:val="16"/>
          <w:szCs w:val="16"/>
          <w:color w:val="auto"/>
        </w:rPr>
      </w:pPr>
      <w:r>
        <w:rPr>
          <w:rFonts w:ascii="Arial" w:cs="Arial" w:eastAsia="Arial" w:hAnsi="Arial"/>
          <w:sz w:val="16"/>
          <w:szCs w:val="16"/>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29" w:lineRule="exact"/>
        <w:rPr>
          <w:rFonts w:ascii="Arial" w:cs="Arial" w:eastAsia="Arial" w:hAnsi="Arial"/>
          <w:sz w:val="16"/>
          <w:szCs w:val="16"/>
          <w:color w:val="auto"/>
        </w:rPr>
      </w:pPr>
    </w:p>
    <w:p>
      <w:pPr>
        <w:ind w:left="900" w:right="20" w:hanging="446"/>
        <w:spacing w:after="0" w:line="264" w:lineRule="auto"/>
        <w:tabs>
          <w:tab w:leader="none" w:pos="900" w:val="left"/>
        </w:tabs>
        <w:numPr>
          <w:ilvl w:val="1"/>
          <w:numId w:val="7"/>
        </w:numPr>
        <w:rPr>
          <w:rFonts w:ascii="Arial" w:cs="Arial" w:eastAsia="Arial" w:hAnsi="Arial"/>
          <w:sz w:val="18"/>
          <w:szCs w:val="18"/>
          <w:color w:val="auto"/>
        </w:rPr>
      </w:pPr>
      <w:r>
        <w:rPr>
          <w:rFonts w:ascii="Arial" w:cs="Arial" w:eastAsia="Arial" w:hAnsi="Arial"/>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86" w:lineRule="exact"/>
        <w:rPr>
          <w:rFonts w:ascii="Arial" w:cs="Arial" w:eastAsia="Arial" w:hAnsi="Arial"/>
          <w:sz w:val="18"/>
          <w:szCs w:val="18"/>
          <w:color w:val="auto"/>
        </w:rPr>
      </w:pPr>
    </w:p>
    <w:p>
      <w:pPr>
        <w:ind w:left="460" w:right="380" w:hanging="452"/>
        <w:spacing w:after="0" w:line="308" w:lineRule="auto"/>
        <w:tabs>
          <w:tab w:leader="none" w:pos="460" w:val="left"/>
        </w:tabs>
        <w:numPr>
          <w:ilvl w:val="0"/>
          <w:numId w:val="7"/>
        </w:numPr>
        <w:rPr>
          <w:rFonts w:ascii="Arial" w:cs="Arial" w:eastAsia="Arial" w:hAnsi="Arial"/>
          <w:sz w:val="17"/>
          <w:szCs w:val="17"/>
          <w:color w:val="auto"/>
        </w:rPr>
      </w:pPr>
      <w:r>
        <w:rPr>
          <w:rFonts w:ascii="Arial" w:cs="Arial" w:eastAsia="Arial" w:hAnsi="Arial"/>
          <w:sz w:val="17"/>
          <w:szCs w:val="17"/>
          <w:color w:val="auto"/>
        </w:rPr>
        <w:t>The registrant’s other certifying officer and I have disclosed, based on our most recent evaluation of internal control over financial reporting, to the registrant’s auditors and the audit committee of the registrant’s board of directors (or persons performing the equivalent functions):</w:t>
      </w:r>
    </w:p>
    <w:p>
      <w:pPr>
        <w:spacing w:after="0" w:line="51" w:lineRule="exact"/>
        <w:rPr>
          <w:rFonts w:ascii="Arial" w:cs="Arial" w:eastAsia="Arial" w:hAnsi="Arial"/>
          <w:sz w:val="17"/>
          <w:szCs w:val="17"/>
          <w:color w:val="auto"/>
        </w:rPr>
      </w:pPr>
    </w:p>
    <w:p>
      <w:pPr>
        <w:ind w:left="900" w:right="200" w:hanging="446"/>
        <w:spacing w:after="0" w:line="277" w:lineRule="auto"/>
        <w:tabs>
          <w:tab w:leader="none" w:pos="900" w:val="left"/>
        </w:tabs>
        <w:numPr>
          <w:ilvl w:val="1"/>
          <w:numId w:val="7"/>
        </w:numPr>
        <w:rPr>
          <w:rFonts w:ascii="Arial" w:cs="Arial" w:eastAsia="Arial" w:hAnsi="Arial"/>
          <w:sz w:val="18"/>
          <w:szCs w:val="18"/>
          <w:color w:val="auto"/>
        </w:rPr>
      </w:pPr>
      <w:r>
        <w:rPr>
          <w:rFonts w:ascii="Arial" w:cs="Arial" w:eastAsia="Arial" w:hAnsi="Arial"/>
          <w:sz w:val="18"/>
          <w:szCs w:val="18"/>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75" w:lineRule="exact"/>
        <w:rPr>
          <w:rFonts w:ascii="Arial" w:cs="Arial" w:eastAsia="Arial" w:hAnsi="Arial"/>
          <w:sz w:val="18"/>
          <w:szCs w:val="18"/>
          <w:color w:val="auto"/>
        </w:rPr>
      </w:pPr>
    </w:p>
    <w:p>
      <w:pPr>
        <w:ind w:left="900" w:right="160" w:hanging="446"/>
        <w:spacing w:after="0" w:line="277" w:lineRule="auto"/>
        <w:tabs>
          <w:tab w:leader="none" w:pos="900" w:val="left"/>
        </w:tabs>
        <w:numPr>
          <w:ilvl w:val="1"/>
          <w:numId w:val="7"/>
        </w:numPr>
        <w:rPr>
          <w:rFonts w:ascii="Arial" w:cs="Arial" w:eastAsia="Arial" w:hAnsi="Arial"/>
          <w:sz w:val="18"/>
          <w:szCs w:val="18"/>
          <w:color w:val="auto"/>
        </w:rPr>
      </w:pPr>
      <w:r>
        <w:rPr>
          <w:rFonts w:ascii="Arial" w:cs="Arial" w:eastAsia="Arial" w:hAnsi="Arial"/>
          <w:sz w:val="18"/>
          <w:szCs w:val="18"/>
          <w:color w:val="auto"/>
        </w:rPr>
        <w:t>Any fraud, whether or not material, that involves management or other employees who have a significant role in the registrant’s internal control over financial reporting.</w:t>
      </w:r>
    </w:p>
    <w:p>
      <w:pPr>
        <w:spacing w:after="0" w:line="197"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6400" w:type="dxa"/>
            <w:vAlign w:val="bottom"/>
          </w:tcPr>
          <w:p>
            <w:pPr>
              <w:spacing w:after="0"/>
              <w:rPr>
                <w:sz w:val="20"/>
                <w:szCs w:val="20"/>
                <w:color w:val="auto"/>
              </w:rPr>
            </w:pPr>
            <w:r>
              <w:rPr>
                <w:rFonts w:ascii="Arial" w:cs="Arial" w:eastAsia="Arial" w:hAnsi="Arial"/>
                <w:sz w:val="18"/>
                <w:szCs w:val="18"/>
                <w:color w:val="auto"/>
              </w:rPr>
              <w:t>Date: August 14, 2018</w:t>
            </w:r>
          </w:p>
        </w:tc>
        <w:tc>
          <w:tcPr>
            <w:tcW w:w="502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/s/ Jack W. Callicutt</w:t>
            </w:r>
          </w:p>
        </w:tc>
      </w:tr>
      <w:tr>
        <w:trPr>
          <w:trHeight w:val="209"/>
        </w:trPr>
        <w:tc>
          <w:tcPr>
            <w:tcW w:w="6400" w:type="dxa"/>
            <w:vAlign w:val="bottom"/>
          </w:tcPr>
          <w:p>
            <w:pPr>
              <w:ind w:left="5820"/>
              <w:spacing w:after="0"/>
              <w:rPr>
                <w:sz w:val="20"/>
                <w:szCs w:val="20"/>
                <w:color w:val="auto"/>
              </w:rPr>
            </w:pPr>
            <w:r>
              <w:rPr>
                <w:rFonts w:ascii="Arial" w:cs="Arial" w:eastAsia="Arial" w:hAnsi="Arial"/>
                <w:sz w:val="18"/>
                <w:szCs w:val="18"/>
                <w:color w:val="auto"/>
              </w:rPr>
              <w:t>Name:</w:t>
            </w:r>
          </w:p>
        </w:tc>
        <w:tc>
          <w:tcPr>
            <w:tcW w:w="5020" w:type="dxa"/>
            <w:vAlign w:val="bottom"/>
          </w:tcPr>
          <w:p>
            <w:pPr>
              <w:spacing w:after="0"/>
              <w:rPr>
                <w:sz w:val="20"/>
                <w:szCs w:val="20"/>
                <w:color w:val="auto"/>
              </w:rPr>
            </w:pPr>
            <w:r>
              <w:rPr>
                <w:rFonts w:ascii="Arial" w:cs="Arial" w:eastAsia="Arial" w:hAnsi="Arial"/>
                <w:sz w:val="18"/>
                <w:szCs w:val="18"/>
                <w:color w:val="auto"/>
              </w:rPr>
              <w:t>Jack W. Callicutt</w:t>
            </w:r>
          </w:p>
        </w:tc>
      </w:tr>
      <w:tr>
        <w:trPr>
          <w:trHeight w:val="216"/>
        </w:trPr>
        <w:tc>
          <w:tcPr>
            <w:tcW w:w="6400" w:type="dxa"/>
            <w:vAlign w:val="bottom"/>
          </w:tcPr>
          <w:p>
            <w:pPr>
              <w:ind w:left="5820"/>
              <w:spacing w:after="0"/>
              <w:rPr>
                <w:sz w:val="20"/>
                <w:szCs w:val="20"/>
                <w:color w:val="auto"/>
              </w:rPr>
            </w:pPr>
            <w:r>
              <w:rPr>
                <w:rFonts w:ascii="Arial" w:cs="Arial" w:eastAsia="Arial" w:hAnsi="Arial"/>
                <w:sz w:val="18"/>
                <w:szCs w:val="18"/>
                <w:color w:val="auto"/>
              </w:rPr>
              <w:t>Title:</w:t>
            </w:r>
          </w:p>
        </w:tc>
        <w:tc>
          <w:tcPr>
            <w:tcW w:w="5020" w:type="dxa"/>
            <w:vAlign w:val="bottom"/>
          </w:tcPr>
          <w:p>
            <w:pPr>
              <w:spacing w:after="0"/>
              <w:rPr>
                <w:sz w:val="20"/>
                <w:szCs w:val="20"/>
                <w:color w:val="auto"/>
              </w:rPr>
            </w:pPr>
            <w:r>
              <w:rPr>
                <w:rFonts w:ascii="Arial" w:cs="Arial" w:eastAsia="Arial" w:hAnsi="Arial"/>
                <w:sz w:val="18"/>
                <w:szCs w:val="18"/>
                <w:color w:val="auto"/>
              </w:rPr>
              <w:t>Chief Financial Officer</w:t>
            </w:r>
          </w:p>
        </w:tc>
      </w:tr>
      <w:tr>
        <w:trPr>
          <w:trHeight w:val="230"/>
        </w:trPr>
        <w:tc>
          <w:tcPr>
            <w:tcW w:w="6400" w:type="dxa"/>
            <w:vAlign w:val="bottom"/>
          </w:tcPr>
          <w:p>
            <w:pPr>
              <w:spacing w:after="0"/>
              <w:rPr>
                <w:sz w:val="20"/>
                <w:szCs w:val="20"/>
                <w:color w:val="auto"/>
              </w:rPr>
            </w:pPr>
          </w:p>
        </w:tc>
        <w:tc>
          <w:tcPr>
            <w:tcW w:w="5020" w:type="dxa"/>
            <w:vAlign w:val="bottom"/>
          </w:tcPr>
          <w:p>
            <w:pPr>
              <w:spacing w:after="0"/>
              <w:rPr>
                <w:sz w:val="20"/>
                <w:szCs w:val="20"/>
                <w:color w:val="auto"/>
              </w:rPr>
            </w:pPr>
            <w:r>
              <w:rPr>
                <w:rFonts w:ascii="Arial" w:cs="Arial" w:eastAsia="Arial" w:hAnsi="Arial"/>
                <w:sz w:val="18"/>
                <w:szCs w:val="18"/>
                <w:color w:val="auto"/>
              </w:rPr>
              <w:t>(principal financial and accounting officer)</w:t>
            </w:r>
          </w:p>
        </w:tc>
      </w:tr>
    </w:tbl>
    <w:p>
      <w:pPr>
        <w:sectPr>
          <w:pgSz w:w="11900" w:h="16838" w:orient="portrait"/>
          <w:cols w:equalWidth="0" w:num="1">
            <w:col w:w="11420"/>
          </w:cols>
          <w:pgMar w:left="240" w:top="121" w:right="239" w:bottom="1440" w:gutter="0" w:footer="0" w:header="0"/>
        </w:sectPr>
      </w:pPr>
    </w:p>
    <w:bookmarkStart w:id="22" w:name="page23"/>
    <w:bookmarkEnd w:id="22"/>
    <w:p>
      <w:pPr>
        <w:jc w:val="right"/>
        <w:spacing w:after="0"/>
        <w:rPr>
          <w:sz w:val="20"/>
          <w:szCs w:val="20"/>
          <w:color w:val="auto"/>
        </w:rPr>
      </w:pPr>
      <w:r>
        <w:rPr>
          <w:rFonts w:ascii="Arial" w:cs="Arial" w:eastAsia="Arial" w:hAnsi="Arial"/>
          <w:sz w:val="18"/>
          <w:szCs w:val="18"/>
          <w:b w:val="1"/>
          <w:bCs w:val="1"/>
          <w:color w:val="auto"/>
        </w:rPr>
        <w:t>Exhibit 32.1</w:t>
      </w:r>
    </w:p>
    <w:p>
      <w:pPr>
        <w:spacing w:after="0" w:line="200" w:lineRule="exact"/>
        <w:rPr>
          <w:sz w:val="20"/>
          <w:szCs w:val="20"/>
          <w:color w:val="auto"/>
        </w:rPr>
      </w:pPr>
    </w:p>
    <w:p>
      <w:pPr>
        <w:spacing w:after="0" w:line="241" w:lineRule="exact"/>
        <w:rPr>
          <w:sz w:val="20"/>
          <w:szCs w:val="20"/>
          <w:color w:val="auto"/>
        </w:rPr>
      </w:pPr>
    </w:p>
    <w:p>
      <w:pPr>
        <w:ind w:left="2700"/>
        <w:spacing w:after="0"/>
        <w:rPr>
          <w:sz w:val="20"/>
          <w:szCs w:val="20"/>
          <w:color w:val="auto"/>
        </w:rPr>
      </w:pPr>
      <w:r>
        <w:rPr>
          <w:rFonts w:ascii="Arial" w:cs="Arial" w:eastAsia="Arial" w:hAnsi="Arial"/>
          <w:sz w:val="18"/>
          <w:szCs w:val="18"/>
          <w:b w:val="1"/>
          <w:bCs w:val="1"/>
          <w:color w:val="auto"/>
        </w:rPr>
        <w:t>CERTIFICATION PURSUANT TO 18 U.S.C. SECTION 1350, AS ADOPTED</w:t>
      </w:r>
    </w:p>
    <w:p>
      <w:pPr>
        <w:spacing w:after="0" w:line="27" w:lineRule="exact"/>
        <w:rPr>
          <w:sz w:val="20"/>
          <w:szCs w:val="20"/>
          <w:color w:val="auto"/>
        </w:rPr>
      </w:pPr>
    </w:p>
    <w:p>
      <w:pPr>
        <w:ind w:left="2720"/>
        <w:spacing w:after="0"/>
        <w:rPr>
          <w:sz w:val="20"/>
          <w:szCs w:val="20"/>
          <w:color w:val="auto"/>
        </w:rPr>
      </w:pPr>
      <w:r>
        <w:rPr>
          <w:rFonts w:ascii="Arial" w:cs="Arial" w:eastAsia="Arial" w:hAnsi="Arial"/>
          <w:sz w:val="18"/>
          <w:szCs w:val="18"/>
          <w:b w:val="1"/>
          <w:bCs w:val="1"/>
          <w:color w:val="auto"/>
        </w:rPr>
        <w:t>PURSUANT TO SECTION 906 OF THE SARBANES-OXLEY ACT OF 2002</w:t>
      </w:r>
    </w:p>
    <w:p>
      <w:pPr>
        <w:spacing w:after="0" w:line="211" w:lineRule="exact"/>
        <w:rPr>
          <w:sz w:val="20"/>
          <w:szCs w:val="20"/>
          <w:color w:val="auto"/>
        </w:rPr>
      </w:pPr>
    </w:p>
    <w:p>
      <w:pPr>
        <w:ind w:right="80" w:firstLine="456"/>
        <w:spacing w:after="0" w:line="264" w:lineRule="auto"/>
        <w:rPr>
          <w:sz w:val="20"/>
          <w:szCs w:val="20"/>
          <w:color w:val="auto"/>
        </w:rPr>
      </w:pPr>
      <w:r>
        <w:rPr>
          <w:rFonts w:ascii="Arial" w:cs="Arial" w:eastAsia="Arial" w:hAnsi="Arial"/>
          <w:sz w:val="18"/>
          <w:szCs w:val="18"/>
          <w:color w:val="auto"/>
        </w:rPr>
        <w:t>In connection with the Quarterly Report of Galectin Therapeutics Inc. (the “Company”) on Form 10-Q for the period ended June 30, 2018 as filed with the Securities and Exchange Commission on the date hereof (the “Report”), I, Harold H. Shlevin, Chief Executive Officer of the Company, certify, pursuant to 18 U.S.C. § 1350, as adopted pursuant to § 906 of the Sarbanes-Oxley Act of 2002, that, to my knowledge:</w:t>
      </w:r>
    </w:p>
    <w:p>
      <w:pPr>
        <w:spacing w:after="0" w:line="87" w:lineRule="exact"/>
        <w:rPr>
          <w:sz w:val="20"/>
          <w:szCs w:val="20"/>
          <w:color w:val="auto"/>
        </w:rPr>
      </w:pPr>
    </w:p>
    <w:p>
      <w:pPr>
        <w:ind w:left="900" w:hanging="446"/>
        <w:spacing w:after="0"/>
        <w:tabs>
          <w:tab w:leader="none" w:pos="900" w:val="left"/>
        </w:tabs>
        <w:numPr>
          <w:ilvl w:val="0"/>
          <w:numId w:val="8"/>
        </w:numPr>
        <w:rPr>
          <w:rFonts w:ascii="Arial" w:cs="Arial" w:eastAsia="Arial" w:hAnsi="Arial"/>
          <w:sz w:val="18"/>
          <w:szCs w:val="18"/>
          <w:color w:val="auto"/>
        </w:rPr>
      </w:pPr>
      <w:r>
        <w:rPr>
          <w:rFonts w:ascii="Arial" w:cs="Arial" w:eastAsia="Arial" w:hAnsi="Arial"/>
          <w:sz w:val="18"/>
          <w:szCs w:val="18"/>
          <w:color w:val="auto"/>
        </w:rPr>
        <w:t>The Report fully complies with the requirements of Section 13(a) or 15(d) of the Securities Exchange Act of 1934, as amended; and</w:t>
      </w:r>
    </w:p>
    <w:p>
      <w:pPr>
        <w:spacing w:after="0" w:line="130" w:lineRule="exact"/>
        <w:rPr>
          <w:rFonts w:ascii="Arial" w:cs="Arial" w:eastAsia="Arial" w:hAnsi="Arial"/>
          <w:sz w:val="18"/>
          <w:szCs w:val="18"/>
          <w:color w:val="auto"/>
        </w:rPr>
      </w:pPr>
    </w:p>
    <w:p>
      <w:pPr>
        <w:ind w:left="900" w:right="100" w:hanging="446"/>
        <w:spacing w:after="0" w:line="277" w:lineRule="auto"/>
        <w:tabs>
          <w:tab w:leader="none" w:pos="900" w:val="left"/>
        </w:tabs>
        <w:numPr>
          <w:ilvl w:val="0"/>
          <w:numId w:val="8"/>
        </w:numPr>
        <w:rPr>
          <w:rFonts w:ascii="Arial" w:cs="Arial" w:eastAsia="Arial" w:hAnsi="Arial"/>
          <w:sz w:val="18"/>
          <w:szCs w:val="18"/>
          <w:color w:val="auto"/>
        </w:rPr>
      </w:pPr>
      <w:r>
        <w:rPr>
          <w:rFonts w:ascii="Arial" w:cs="Arial" w:eastAsia="Arial" w:hAnsi="Arial"/>
          <w:sz w:val="18"/>
          <w:szCs w:val="18"/>
          <w:color w:val="auto"/>
        </w:rPr>
        <w:t>The information contained in the Report fairly presents, in all material respects, the financial condition and results of operations of the Company for the periods covered in the Report.</w:t>
      </w:r>
    </w:p>
    <w:p>
      <w:pPr>
        <w:spacing w:after="0" w:line="197"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6360" w:type="dxa"/>
            <w:vAlign w:val="bottom"/>
          </w:tcPr>
          <w:p>
            <w:pPr>
              <w:spacing w:after="0"/>
              <w:rPr>
                <w:sz w:val="20"/>
                <w:szCs w:val="20"/>
                <w:color w:val="auto"/>
              </w:rPr>
            </w:pPr>
            <w:r>
              <w:rPr>
                <w:rFonts w:ascii="Arial" w:cs="Arial" w:eastAsia="Arial" w:hAnsi="Arial"/>
                <w:sz w:val="18"/>
                <w:szCs w:val="18"/>
                <w:color w:val="auto"/>
              </w:rPr>
              <w:t>Date: August 14, 2018</w:t>
            </w:r>
          </w:p>
        </w:tc>
        <w:tc>
          <w:tcPr>
            <w:tcW w:w="5060" w:type="dxa"/>
            <w:vAlign w:val="bottom"/>
            <w:gridSpan w:val="2"/>
          </w:tcPr>
          <w:p>
            <w:pPr>
              <w:ind w:left="40"/>
              <w:spacing w:after="0"/>
              <w:rPr>
                <w:sz w:val="20"/>
                <w:szCs w:val="20"/>
                <w:color w:val="auto"/>
              </w:rPr>
            </w:pPr>
            <w:r>
              <w:rPr>
                <w:rFonts w:ascii="Arial" w:cs="Arial" w:eastAsia="Arial" w:hAnsi="Arial"/>
                <w:sz w:val="18"/>
                <w:szCs w:val="18"/>
                <w:color w:val="auto"/>
              </w:rPr>
              <w:t>/s/ Harold H. Shlevin, Ph.D.</w:t>
            </w:r>
          </w:p>
        </w:tc>
        <w:tc>
          <w:tcPr>
            <w:tcW w:w="0" w:type="dxa"/>
            <w:vAlign w:val="bottom"/>
          </w:tcPr>
          <w:p>
            <w:pPr>
              <w:spacing w:after="0"/>
              <w:rPr>
                <w:sz w:val="1"/>
                <w:szCs w:val="1"/>
                <w:color w:val="auto"/>
              </w:rPr>
            </w:pPr>
          </w:p>
        </w:tc>
      </w:tr>
      <w:tr>
        <w:trPr>
          <w:trHeight w:val="20"/>
        </w:trPr>
        <w:tc>
          <w:tcPr>
            <w:tcW w:w="6360" w:type="dxa"/>
            <w:vAlign w:val="bottom"/>
            <w:vMerge w:val="restart"/>
          </w:tcPr>
          <w:p>
            <w:pPr>
              <w:ind w:left="5820"/>
              <w:spacing w:after="0"/>
              <w:rPr>
                <w:sz w:val="20"/>
                <w:szCs w:val="20"/>
                <w:color w:val="auto"/>
              </w:rPr>
            </w:pPr>
            <w:r>
              <w:rPr>
                <w:rFonts w:ascii="Arial" w:cs="Arial" w:eastAsia="Arial" w:hAnsi="Arial"/>
                <w:sz w:val="18"/>
                <w:szCs w:val="18"/>
                <w:color w:val="auto"/>
                <w:w w:val="98"/>
              </w:rPr>
              <w:t>Name:</w:t>
            </w:r>
          </w:p>
        </w:tc>
        <w:tc>
          <w:tcPr>
            <w:tcW w:w="220" w:type="dxa"/>
            <w:vAlign w:val="bottom"/>
          </w:tcPr>
          <w:p>
            <w:pPr>
              <w:spacing w:after="0" w:line="20" w:lineRule="exact"/>
              <w:rPr>
                <w:sz w:val="1"/>
                <w:szCs w:val="1"/>
                <w:color w:val="auto"/>
              </w:rPr>
            </w:pPr>
          </w:p>
        </w:tc>
        <w:tc>
          <w:tcPr>
            <w:tcW w:w="4840" w:type="dxa"/>
            <w:vAlign w:val="bottom"/>
            <w:shd w:val="clear" w:color="auto" w:fill="000000"/>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9"/>
        </w:trPr>
        <w:tc>
          <w:tcPr>
            <w:tcW w:w="6360" w:type="dxa"/>
            <w:vAlign w:val="bottom"/>
            <w:vMerge w:val="continue"/>
          </w:tcPr>
          <w:p>
            <w:pPr>
              <w:spacing w:after="0"/>
              <w:rPr>
                <w:sz w:val="18"/>
                <w:szCs w:val="18"/>
                <w:color w:val="auto"/>
              </w:rPr>
            </w:pPr>
          </w:p>
        </w:tc>
        <w:tc>
          <w:tcPr>
            <w:tcW w:w="5060" w:type="dxa"/>
            <w:vAlign w:val="bottom"/>
            <w:gridSpan w:val="2"/>
          </w:tcPr>
          <w:p>
            <w:pPr>
              <w:ind w:left="40"/>
              <w:spacing w:after="0"/>
              <w:rPr>
                <w:sz w:val="20"/>
                <w:szCs w:val="20"/>
                <w:color w:val="auto"/>
              </w:rPr>
            </w:pPr>
            <w:r>
              <w:rPr>
                <w:rFonts w:ascii="Arial" w:cs="Arial" w:eastAsia="Arial" w:hAnsi="Arial"/>
                <w:sz w:val="18"/>
                <w:szCs w:val="18"/>
                <w:color w:val="auto"/>
              </w:rPr>
              <w:t>Harold H. Shlevin, Ph. D</w:t>
            </w:r>
          </w:p>
        </w:tc>
        <w:tc>
          <w:tcPr>
            <w:tcW w:w="0" w:type="dxa"/>
            <w:vAlign w:val="bottom"/>
          </w:tcPr>
          <w:p>
            <w:pPr>
              <w:spacing w:after="0"/>
              <w:rPr>
                <w:sz w:val="1"/>
                <w:szCs w:val="1"/>
                <w:color w:val="auto"/>
              </w:rPr>
            </w:pPr>
          </w:p>
        </w:tc>
      </w:tr>
      <w:tr>
        <w:trPr>
          <w:trHeight w:val="216"/>
        </w:trPr>
        <w:tc>
          <w:tcPr>
            <w:tcW w:w="6360" w:type="dxa"/>
            <w:vAlign w:val="bottom"/>
          </w:tcPr>
          <w:p>
            <w:pPr>
              <w:ind w:left="5820"/>
              <w:spacing w:after="0"/>
              <w:rPr>
                <w:sz w:val="20"/>
                <w:szCs w:val="20"/>
                <w:color w:val="auto"/>
              </w:rPr>
            </w:pPr>
            <w:r>
              <w:rPr>
                <w:rFonts w:ascii="Arial" w:cs="Arial" w:eastAsia="Arial" w:hAnsi="Arial"/>
                <w:sz w:val="18"/>
                <w:szCs w:val="18"/>
                <w:color w:val="auto"/>
              </w:rPr>
              <w:t>Title:</w:t>
            </w:r>
          </w:p>
        </w:tc>
        <w:tc>
          <w:tcPr>
            <w:tcW w:w="5060" w:type="dxa"/>
            <w:vAlign w:val="bottom"/>
            <w:gridSpan w:val="2"/>
          </w:tcPr>
          <w:p>
            <w:pPr>
              <w:ind w:left="40"/>
              <w:spacing w:after="0"/>
              <w:rPr>
                <w:sz w:val="20"/>
                <w:szCs w:val="20"/>
                <w:color w:val="auto"/>
              </w:rPr>
            </w:pPr>
            <w:r>
              <w:rPr>
                <w:rFonts w:ascii="Arial" w:cs="Arial" w:eastAsia="Arial" w:hAnsi="Arial"/>
                <w:sz w:val="18"/>
                <w:szCs w:val="18"/>
                <w:color w:val="auto"/>
              </w:rPr>
              <w:t>Chief Executive Officer and President</w:t>
            </w:r>
          </w:p>
        </w:tc>
        <w:tc>
          <w:tcPr>
            <w:tcW w:w="0" w:type="dxa"/>
            <w:vAlign w:val="bottom"/>
          </w:tcPr>
          <w:p>
            <w:pPr>
              <w:spacing w:after="0"/>
              <w:rPr>
                <w:sz w:val="1"/>
                <w:szCs w:val="1"/>
                <w:color w:val="auto"/>
              </w:rPr>
            </w:pPr>
          </w:p>
        </w:tc>
      </w:tr>
      <w:tr>
        <w:trPr>
          <w:trHeight w:val="230"/>
        </w:trPr>
        <w:tc>
          <w:tcPr>
            <w:tcW w:w="6360" w:type="dxa"/>
            <w:vAlign w:val="bottom"/>
          </w:tcPr>
          <w:p>
            <w:pPr>
              <w:spacing w:after="0"/>
              <w:rPr>
                <w:sz w:val="20"/>
                <w:szCs w:val="20"/>
                <w:color w:val="auto"/>
              </w:rPr>
            </w:pPr>
          </w:p>
        </w:tc>
        <w:tc>
          <w:tcPr>
            <w:tcW w:w="5060" w:type="dxa"/>
            <w:vAlign w:val="bottom"/>
            <w:gridSpan w:val="2"/>
          </w:tcPr>
          <w:p>
            <w:pPr>
              <w:ind w:left="40"/>
              <w:spacing w:after="0"/>
              <w:rPr>
                <w:sz w:val="20"/>
                <w:szCs w:val="20"/>
                <w:color w:val="auto"/>
              </w:rPr>
            </w:pPr>
            <w:r>
              <w:rPr>
                <w:rFonts w:ascii="Arial" w:cs="Arial" w:eastAsia="Arial" w:hAnsi="Arial"/>
                <w:sz w:val="18"/>
                <w:szCs w:val="18"/>
                <w:color w:val="auto"/>
              </w:rPr>
              <w:t>(principal executive officer)</w:t>
            </w:r>
          </w:p>
        </w:tc>
        <w:tc>
          <w:tcPr>
            <w:tcW w:w="0" w:type="dxa"/>
            <w:vAlign w:val="bottom"/>
          </w:tcPr>
          <w:p>
            <w:pPr>
              <w:spacing w:after="0"/>
              <w:rPr>
                <w:sz w:val="1"/>
                <w:szCs w:val="1"/>
                <w:color w:val="auto"/>
              </w:rPr>
            </w:pPr>
          </w:p>
        </w:tc>
      </w:tr>
    </w:tbl>
    <w:p>
      <w:pPr>
        <w:spacing w:after="0" w:line="215" w:lineRule="exact"/>
        <w:rPr>
          <w:sz w:val="20"/>
          <w:szCs w:val="20"/>
          <w:color w:val="auto"/>
        </w:rPr>
      </w:pPr>
    </w:p>
    <w:p>
      <w:pPr>
        <w:jc w:val="both"/>
        <w:ind w:right="160" w:firstLine="456"/>
        <w:spacing w:after="0" w:line="264" w:lineRule="auto"/>
        <w:rPr>
          <w:sz w:val="20"/>
          <w:szCs w:val="20"/>
          <w:color w:val="auto"/>
        </w:rPr>
      </w:pPr>
      <w:r>
        <w:rPr>
          <w:rFonts w:ascii="Arial" w:cs="Arial" w:eastAsia="Arial" w:hAnsi="Arial"/>
          <w:sz w:val="18"/>
          <w:szCs w:val="18"/>
          <w:color w:val="auto"/>
        </w:rPr>
        <w:t>This certification accompanies the Form 10-Q to which it relates, is not deemed filed with the SEC and is not to be incorporated by reference into any filing of the Company under the Securities Act of 1933, as amended, or the Securities Exchange Act of 1934, as amended (whether made before or after the date of the Form 10-Q), irrespective of any general incorporation language contained in such filing.</w:t>
      </w:r>
    </w:p>
    <w:p>
      <w:pPr>
        <w:spacing w:after="0" w:line="181" w:lineRule="exact"/>
        <w:rPr>
          <w:sz w:val="20"/>
          <w:szCs w:val="20"/>
          <w:color w:val="auto"/>
        </w:rPr>
      </w:pPr>
    </w:p>
    <w:p>
      <w:pPr>
        <w:ind w:right="480" w:firstLine="456"/>
        <w:spacing w:after="0" w:line="312" w:lineRule="auto"/>
        <w:rPr>
          <w:sz w:val="20"/>
          <w:szCs w:val="20"/>
          <w:color w:val="auto"/>
        </w:rPr>
      </w:pPr>
      <w:r>
        <w:rPr>
          <w:rFonts w:ascii="Arial" w:cs="Arial" w:eastAsia="Arial" w:hAnsi="Arial"/>
          <w:sz w:val="16"/>
          <w:szCs w:val="16"/>
          <w:color w:val="auto"/>
        </w:rPr>
        <w:t>A signed original of this written statement required by Section 906, or other document authenticating, acknowledging, or otherwise adopting the signature that appears in typed form within the electronic version of this written statement required by Section 906, has been provided to Galectin Therapeutics Inc. and will be retained by Galectin Therapeutics Inc. and furnished to the Securities and Exchange Commission or its staff upon request.</w:t>
      </w:r>
    </w:p>
    <w:p>
      <w:pPr>
        <w:sectPr>
          <w:pgSz w:w="11900" w:h="16838" w:orient="portrait"/>
          <w:cols w:equalWidth="0" w:num="1">
            <w:col w:w="11420"/>
          </w:cols>
          <w:pgMar w:left="240" w:top="121" w:right="239" w:bottom="1440" w:gutter="0" w:footer="0" w:header="0"/>
        </w:sectPr>
      </w:pPr>
    </w:p>
    <w:bookmarkStart w:id="23" w:name="page24"/>
    <w:bookmarkEnd w:id="23"/>
    <w:p>
      <w:pPr>
        <w:jc w:val="right"/>
        <w:spacing w:after="0"/>
        <w:rPr>
          <w:sz w:val="20"/>
          <w:szCs w:val="20"/>
          <w:color w:val="auto"/>
        </w:rPr>
      </w:pPr>
      <w:r>
        <w:rPr>
          <w:rFonts w:ascii="Arial" w:cs="Arial" w:eastAsia="Arial" w:hAnsi="Arial"/>
          <w:sz w:val="18"/>
          <w:szCs w:val="18"/>
          <w:b w:val="1"/>
          <w:bCs w:val="1"/>
          <w:color w:val="auto"/>
        </w:rPr>
        <w:t>Exhibit 32.2</w:t>
      </w:r>
    </w:p>
    <w:p>
      <w:pPr>
        <w:spacing w:after="0" w:line="200" w:lineRule="exact"/>
        <w:rPr>
          <w:sz w:val="20"/>
          <w:szCs w:val="20"/>
          <w:color w:val="auto"/>
        </w:rPr>
      </w:pPr>
    </w:p>
    <w:p>
      <w:pPr>
        <w:spacing w:after="0" w:line="241" w:lineRule="exact"/>
        <w:rPr>
          <w:sz w:val="20"/>
          <w:szCs w:val="20"/>
          <w:color w:val="auto"/>
        </w:rPr>
      </w:pPr>
    </w:p>
    <w:p>
      <w:pPr>
        <w:ind w:left="2700"/>
        <w:spacing w:after="0"/>
        <w:rPr>
          <w:sz w:val="20"/>
          <w:szCs w:val="20"/>
          <w:color w:val="auto"/>
        </w:rPr>
      </w:pPr>
      <w:r>
        <w:rPr>
          <w:rFonts w:ascii="Arial" w:cs="Arial" w:eastAsia="Arial" w:hAnsi="Arial"/>
          <w:sz w:val="18"/>
          <w:szCs w:val="18"/>
          <w:b w:val="1"/>
          <w:bCs w:val="1"/>
          <w:color w:val="auto"/>
        </w:rPr>
        <w:t>CERTIFICATION PURSUANT TO 18 U.S.C. SECTION 1350, AS ADOPTED</w:t>
      </w:r>
    </w:p>
    <w:p>
      <w:pPr>
        <w:spacing w:after="0" w:line="27" w:lineRule="exact"/>
        <w:rPr>
          <w:sz w:val="20"/>
          <w:szCs w:val="20"/>
          <w:color w:val="auto"/>
        </w:rPr>
      </w:pPr>
    </w:p>
    <w:p>
      <w:pPr>
        <w:ind w:left="2720"/>
        <w:spacing w:after="0"/>
        <w:rPr>
          <w:sz w:val="20"/>
          <w:szCs w:val="20"/>
          <w:color w:val="auto"/>
        </w:rPr>
      </w:pPr>
      <w:r>
        <w:rPr>
          <w:rFonts w:ascii="Arial" w:cs="Arial" w:eastAsia="Arial" w:hAnsi="Arial"/>
          <w:sz w:val="18"/>
          <w:szCs w:val="18"/>
          <w:b w:val="1"/>
          <w:bCs w:val="1"/>
          <w:color w:val="auto"/>
        </w:rPr>
        <w:t>PURSUANT TO SECTION 906 OF THE SARBANES-OXLEY ACT OF 2002</w:t>
      </w:r>
    </w:p>
    <w:p>
      <w:pPr>
        <w:spacing w:after="0" w:line="211" w:lineRule="exact"/>
        <w:rPr>
          <w:sz w:val="20"/>
          <w:szCs w:val="20"/>
          <w:color w:val="auto"/>
        </w:rPr>
      </w:pPr>
    </w:p>
    <w:p>
      <w:pPr>
        <w:jc w:val="both"/>
        <w:ind w:right="80" w:firstLine="456"/>
        <w:spacing w:after="0" w:line="264" w:lineRule="auto"/>
        <w:rPr>
          <w:sz w:val="20"/>
          <w:szCs w:val="20"/>
          <w:color w:val="auto"/>
        </w:rPr>
      </w:pPr>
      <w:r>
        <w:rPr>
          <w:rFonts w:ascii="Arial" w:cs="Arial" w:eastAsia="Arial" w:hAnsi="Arial"/>
          <w:sz w:val="18"/>
          <w:szCs w:val="18"/>
          <w:color w:val="auto"/>
        </w:rPr>
        <w:t>In connection with the Quarterly Report of Galectin Therapeutics Inc. (the “Company”) on Form 10-Q for the period ended June 30, 2018 as filed with the Securities and Exchange Commission on the date hereof (the “Report”), I, Jack W. Callicutt, Chief Financial Officer of the Company, certify, pursuant to 18 U.S.C. § 1350, as adopted pursuant to § 906 of the Sarbanes-Oxley Act of 2002, that, to my knowledge:</w:t>
      </w:r>
    </w:p>
    <w:p>
      <w:pPr>
        <w:spacing w:after="0" w:line="87" w:lineRule="exact"/>
        <w:rPr>
          <w:sz w:val="20"/>
          <w:szCs w:val="20"/>
          <w:color w:val="auto"/>
        </w:rPr>
      </w:pPr>
    </w:p>
    <w:p>
      <w:pPr>
        <w:ind w:left="900" w:hanging="446"/>
        <w:spacing w:after="0"/>
        <w:tabs>
          <w:tab w:leader="none" w:pos="900" w:val="left"/>
        </w:tabs>
        <w:numPr>
          <w:ilvl w:val="0"/>
          <w:numId w:val="9"/>
        </w:numPr>
        <w:rPr>
          <w:rFonts w:ascii="Arial" w:cs="Arial" w:eastAsia="Arial" w:hAnsi="Arial"/>
          <w:sz w:val="18"/>
          <w:szCs w:val="18"/>
          <w:color w:val="auto"/>
        </w:rPr>
      </w:pPr>
      <w:r>
        <w:rPr>
          <w:rFonts w:ascii="Arial" w:cs="Arial" w:eastAsia="Arial" w:hAnsi="Arial"/>
          <w:sz w:val="18"/>
          <w:szCs w:val="18"/>
          <w:color w:val="auto"/>
        </w:rPr>
        <w:t>The Report fully complies with the requirements of Section 13(a) or 15(d) of the Securities Exchange Act of 1934; and</w:t>
      </w:r>
    </w:p>
    <w:p>
      <w:pPr>
        <w:spacing w:after="0" w:line="130" w:lineRule="exact"/>
        <w:rPr>
          <w:rFonts w:ascii="Arial" w:cs="Arial" w:eastAsia="Arial" w:hAnsi="Arial"/>
          <w:sz w:val="18"/>
          <w:szCs w:val="18"/>
          <w:color w:val="auto"/>
        </w:rPr>
      </w:pPr>
    </w:p>
    <w:p>
      <w:pPr>
        <w:ind w:left="900" w:right="100" w:hanging="446"/>
        <w:spacing w:after="0" w:line="277" w:lineRule="auto"/>
        <w:tabs>
          <w:tab w:leader="none" w:pos="900" w:val="left"/>
        </w:tabs>
        <w:numPr>
          <w:ilvl w:val="0"/>
          <w:numId w:val="9"/>
        </w:numPr>
        <w:rPr>
          <w:rFonts w:ascii="Arial" w:cs="Arial" w:eastAsia="Arial" w:hAnsi="Arial"/>
          <w:sz w:val="18"/>
          <w:szCs w:val="18"/>
          <w:color w:val="auto"/>
        </w:rPr>
      </w:pPr>
      <w:r>
        <w:rPr>
          <w:rFonts w:ascii="Arial" w:cs="Arial" w:eastAsia="Arial" w:hAnsi="Arial"/>
          <w:sz w:val="18"/>
          <w:szCs w:val="18"/>
          <w:color w:val="auto"/>
        </w:rPr>
        <w:t>The information contained in the Report fairly presents, in all material respects, the financial condition and results of operations of the Company for the periods covered in the Report.</w:t>
      </w:r>
    </w:p>
    <w:p>
      <w:pPr>
        <w:spacing w:after="0" w:line="197"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6400" w:type="dxa"/>
            <w:vAlign w:val="bottom"/>
          </w:tcPr>
          <w:p>
            <w:pPr>
              <w:spacing w:after="0"/>
              <w:rPr>
                <w:sz w:val="20"/>
                <w:szCs w:val="20"/>
                <w:color w:val="auto"/>
              </w:rPr>
            </w:pPr>
            <w:r>
              <w:rPr>
                <w:rFonts w:ascii="Arial" w:cs="Arial" w:eastAsia="Arial" w:hAnsi="Arial"/>
                <w:sz w:val="18"/>
                <w:szCs w:val="18"/>
                <w:color w:val="auto"/>
              </w:rPr>
              <w:t>Date: August 14, 2018</w:t>
            </w:r>
          </w:p>
        </w:tc>
        <w:tc>
          <w:tcPr>
            <w:tcW w:w="502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/s/ Jack W. Callicutt</w:t>
            </w:r>
          </w:p>
        </w:tc>
      </w:tr>
      <w:tr>
        <w:trPr>
          <w:trHeight w:val="209"/>
        </w:trPr>
        <w:tc>
          <w:tcPr>
            <w:tcW w:w="6400" w:type="dxa"/>
            <w:vAlign w:val="bottom"/>
          </w:tcPr>
          <w:p>
            <w:pPr>
              <w:ind w:left="5820"/>
              <w:spacing w:after="0"/>
              <w:rPr>
                <w:sz w:val="20"/>
                <w:szCs w:val="20"/>
                <w:color w:val="auto"/>
              </w:rPr>
            </w:pPr>
            <w:r>
              <w:rPr>
                <w:rFonts w:ascii="Arial" w:cs="Arial" w:eastAsia="Arial" w:hAnsi="Arial"/>
                <w:sz w:val="18"/>
                <w:szCs w:val="18"/>
                <w:color w:val="auto"/>
              </w:rPr>
              <w:t>Name:</w:t>
            </w:r>
          </w:p>
        </w:tc>
        <w:tc>
          <w:tcPr>
            <w:tcW w:w="5020" w:type="dxa"/>
            <w:vAlign w:val="bottom"/>
          </w:tcPr>
          <w:p>
            <w:pPr>
              <w:spacing w:after="0"/>
              <w:rPr>
                <w:sz w:val="20"/>
                <w:szCs w:val="20"/>
                <w:color w:val="auto"/>
              </w:rPr>
            </w:pPr>
            <w:r>
              <w:rPr>
                <w:rFonts w:ascii="Arial" w:cs="Arial" w:eastAsia="Arial" w:hAnsi="Arial"/>
                <w:sz w:val="18"/>
                <w:szCs w:val="18"/>
                <w:color w:val="auto"/>
              </w:rPr>
              <w:t>Jack W. Callicutt</w:t>
            </w:r>
          </w:p>
        </w:tc>
      </w:tr>
      <w:tr>
        <w:trPr>
          <w:trHeight w:val="216"/>
        </w:trPr>
        <w:tc>
          <w:tcPr>
            <w:tcW w:w="6400" w:type="dxa"/>
            <w:vAlign w:val="bottom"/>
          </w:tcPr>
          <w:p>
            <w:pPr>
              <w:ind w:left="5820"/>
              <w:spacing w:after="0"/>
              <w:rPr>
                <w:sz w:val="20"/>
                <w:szCs w:val="20"/>
                <w:color w:val="auto"/>
              </w:rPr>
            </w:pPr>
            <w:r>
              <w:rPr>
                <w:rFonts w:ascii="Arial" w:cs="Arial" w:eastAsia="Arial" w:hAnsi="Arial"/>
                <w:sz w:val="18"/>
                <w:szCs w:val="18"/>
                <w:color w:val="auto"/>
              </w:rPr>
              <w:t>Title:</w:t>
            </w:r>
          </w:p>
        </w:tc>
        <w:tc>
          <w:tcPr>
            <w:tcW w:w="5020" w:type="dxa"/>
            <w:vAlign w:val="bottom"/>
          </w:tcPr>
          <w:p>
            <w:pPr>
              <w:spacing w:after="0"/>
              <w:rPr>
                <w:sz w:val="20"/>
                <w:szCs w:val="20"/>
                <w:color w:val="auto"/>
              </w:rPr>
            </w:pPr>
            <w:r>
              <w:rPr>
                <w:rFonts w:ascii="Arial" w:cs="Arial" w:eastAsia="Arial" w:hAnsi="Arial"/>
                <w:sz w:val="18"/>
                <w:szCs w:val="18"/>
                <w:color w:val="auto"/>
              </w:rPr>
              <w:t>Chief Financial Officer</w:t>
            </w:r>
          </w:p>
        </w:tc>
      </w:tr>
      <w:tr>
        <w:trPr>
          <w:trHeight w:val="230"/>
        </w:trPr>
        <w:tc>
          <w:tcPr>
            <w:tcW w:w="6400" w:type="dxa"/>
            <w:vAlign w:val="bottom"/>
          </w:tcPr>
          <w:p>
            <w:pPr>
              <w:spacing w:after="0"/>
              <w:rPr>
                <w:sz w:val="20"/>
                <w:szCs w:val="20"/>
                <w:color w:val="auto"/>
              </w:rPr>
            </w:pPr>
          </w:p>
        </w:tc>
        <w:tc>
          <w:tcPr>
            <w:tcW w:w="5020" w:type="dxa"/>
            <w:vAlign w:val="bottom"/>
          </w:tcPr>
          <w:p>
            <w:pPr>
              <w:spacing w:after="0"/>
              <w:rPr>
                <w:sz w:val="20"/>
                <w:szCs w:val="20"/>
                <w:color w:val="auto"/>
              </w:rPr>
            </w:pPr>
            <w:r>
              <w:rPr>
                <w:rFonts w:ascii="Arial" w:cs="Arial" w:eastAsia="Arial" w:hAnsi="Arial"/>
                <w:sz w:val="18"/>
                <w:szCs w:val="18"/>
                <w:color w:val="auto"/>
              </w:rPr>
              <w:t>(principal financial and accounting officer)</w:t>
            </w:r>
          </w:p>
        </w:tc>
      </w:tr>
    </w:tbl>
    <w:p>
      <w:pPr>
        <w:spacing w:after="0" w:line="215" w:lineRule="exact"/>
        <w:rPr>
          <w:sz w:val="20"/>
          <w:szCs w:val="20"/>
          <w:color w:val="auto"/>
        </w:rPr>
      </w:pPr>
    </w:p>
    <w:p>
      <w:pPr>
        <w:jc w:val="both"/>
        <w:ind w:right="160" w:firstLine="456"/>
        <w:spacing w:after="0" w:line="264" w:lineRule="auto"/>
        <w:rPr>
          <w:sz w:val="20"/>
          <w:szCs w:val="20"/>
          <w:color w:val="auto"/>
        </w:rPr>
      </w:pPr>
      <w:r>
        <w:rPr>
          <w:rFonts w:ascii="Arial" w:cs="Arial" w:eastAsia="Arial" w:hAnsi="Arial"/>
          <w:sz w:val="18"/>
          <w:szCs w:val="18"/>
          <w:color w:val="auto"/>
        </w:rPr>
        <w:t>This certification accompanies the Form 10-Q to which it relates, is not deemed filed with the SEC and is not to be incorporated by reference into any filing of the Company under the Securities Act of 1933, as amended, or the Securities Exchange Act of 1934, as amended (whether made before or after the date of the Form 10-Q), irrespective of any general incorporation language contained in such filing.</w:t>
      </w:r>
    </w:p>
    <w:p>
      <w:pPr>
        <w:spacing w:after="0" w:line="181" w:lineRule="exact"/>
        <w:rPr>
          <w:sz w:val="20"/>
          <w:szCs w:val="20"/>
          <w:color w:val="auto"/>
        </w:rPr>
      </w:pPr>
    </w:p>
    <w:p>
      <w:pPr>
        <w:ind w:right="480" w:firstLine="456"/>
        <w:spacing w:after="0" w:line="312" w:lineRule="auto"/>
        <w:rPr>
          <w:sz w:val="20"/>
          <w:szCs w:val="20"/>
          <w:color w:val="auto"/>
        </w:rPr>
      </w:pPr>
      <w:r>
        <w:rPr>
          <w:rFonts w:ascii="Arial" w:cs="Arial" w:eastAsia="Arial" w:hAnsi="Arial"/>
          <w:sz w:val="16"/>
          <w:szCs w:val="16"/>
          <w:color w:val="auto"/>
        </w:rPr>
        <w:t>A signed original of this written statement required by Section 906, or other document authenticating, acknowledging, or otherwise adopting the signature that appears in typed form within the electronic version of this written statement required by Section 906, has been provided to Galectin Therapeutics Inc. and will be retained by Galectin Therapeutics Inc. and furnished to the Securities and Exchange Commission or its staff upon request.</w:t>
      </w:r>
    </w:p>
    <w:sectPr>
      <w:pgSz w:w="11900" w:h="16838" w:orient="portrait"/>
      <w:cols w:equalWidth="0" w:num="1">
        <w:col w:w="11420"/>
      </w:cols>
      <w:pgMar w:left="240" w:top="121" w:right="2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46E87CCD"/>
    <w:multiLevelType w:val="hybridMultilevel"/>
    <w:lvl w:ilvl="0">
      <w:lvlJc w:val="left"/>
      <w:lvlText w:val="☒"/>
      <w:numFmt w:val="bullet"/>
      <w:start w:val="1"/>
    </w:lvl>
  </w:abstractNum>
  <w:abstractNum w:abstractNumId="1">
    <w:nsid w:val="3D1B58BA"/>
    <w:multiLevelType w:val="hybridMultilevel"/>
    <w:lvl w:ilvl="0">
      <w:lvlJc w:val="left"/>
      <w:lvlText w:val="☐"/>
      <w:numFmt w:val="bullet"/>
      <w:start w:val="1"/>
    </w:lvl>
  </w:abstractNum>
  <w:abstractNum w:abstractNumId="2">
    <w:nsid w:val="507ED7AB"/>
    <w:multiLevelType w:val="hybridMultilevel"/>
    <w:lvl w:ilvl="0">
      <w:lvlJc w:val="left"/>
      <w:lvlText w:val="•"/>
      <w:numFmt w:val="bullet"/>
      <w:start w:val="1"/>
    </w:lvl>
  </w:abstractNum>
  <w:abstractNum w:abstractNumId="3">
    <w:nsid w:val="2EB141F2"/>
    <w:multiLevelType w:val="hybridMultilevel"/>
    <w:lvl w:ilvl="0">
      <w:lvlJc w:val="left"/>
      <w:lvlText w:val="*"/>
      <w:numFmt w:val="bullet"/>
      <w:start w:val="1"/>
    </w:lvl>
  </w:abstractNum>
  <w:abstractNum w:abstractNumId="4">
    <w:nsid w:val="41B71EFB"/>
    <w:multiLevelType w:val="hybridMultilevel"/>
    <w:lvl w:ilvl="0">
      <w:lvlJc w:val="left"/>
      <w:lvlText w:val="**"/>
      <w:numFmt w:val="bullet"/>
      <w:start w:val="1"/>
    </w:lvl>
  </w:abstractNum>
  <w:abstractNum w:abstractNumId="5">
    <w:nsid w:val="79E2A9E3"/>
    <w:multiLevelType w:val="hybridMultilevel"/>
    <w:lvl w:ilvl="0">
      <w:lvlJc w:val="left"/>
      <w:lvlText w:val="%1."/>
      <w:numFmt w:val="decimal"/>
      <w:start w:val="1"/>
    </w:lvl>
    <w:lvl w:ilvl="1">
      <w:lvlJc w:val="left"/>
      <w:lvlText w:val="(%2)"/>
      <w:numFmt w:val="lowerLetter"/>
      <w:start w:val="1"/>
    </w:lvl>
  </w:abstractNum>
  <w:abstractNum w:abstractNumId="6">
    <w:nsid w:val="7545E146"/>
    <w:multiLevelType w:val="hybridMultilevel"/>
    <w:lvl w:ilvl="0">
      <w:lvlJc w:val="left"/>
      <w:lvlText w:val="%1."/>
      <w:numFmt w:val="decimal"/>
      <w:start w:val="1"/>
    </w:lvl>
    <w:lvl w:ilvl="1">
      <w:lvlJc w:val="left"/>
      <w:lvlText w:val="(%2)"/>
      <w:numFmt w:val="lowerLetter"/>
      <w:start w:val="1"/>
    </w:lvl>
  </w:abstractNum>
  <w:abstractNum w:abstractNumId="7">
    <w:nsid w:val="515F007C"/>
    <w:multiLevelType w:val="hybridMultilevel"/>
    <w:lvl w:ilvl="0">
      <w:lvlJc w:val="left"/>
      <w:lvlText w:val="(%1)"/>
      <w:numFmt w:val="decimal"/>
      <w:start w:val="1"/>
    </w:lvl>
  </w:abstractNum>
  <w:abstractNum w:abstractNumId="8">
    <w:nsid w:val="5BD062C2"/>
    <w:multiLevelType w:val="hybridMultilevel"/>
    <w:lvl w:ilvl="0">
      <w:lvlJc w:val="left"/>
      <w:lvlText w:val="(%1)"/>
      <w:numFmt w:val="decimal"/>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2019-12-28T19:52:44Z</dcterms:created>
  <dcterms:modified xsi:type="dcterms:W3CDTF">2019-12-28T19:52:44Z</dcterms:modified>
</cp:coreProperties>
</file>