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Jamil Khurram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4960 PEACHTREE INDUSTRIAL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NORCROSS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GALECTIN THERAPEUTICS INC</w:t>
              </w:r>
            </w:hyperlink>
            <w:r>
              <w:rPr/>
              <w:t xml:space="preserve"> [ </w:t>
            </w:r>
            <w:r>
              <w:rPr>
                <w:rFonts w:ascii="Times;serif" w:hAnsi="Times;serif"/>
                <w:color w:val="0000FF"/>
                <w:sz w:val="24"/>
                <w:shd w:fill="FFFFFF" w:val="clear"/>
              </w:rPr>
              <w:t>GALT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3.04</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5.1252</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06/30/2026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made pursuant to a Rule 10b5-1 plan adopted by the reporting person on February 2, 2026, as disclosed in the Issuers Quarterly Report on Form 10-Q, filed with the SEC on May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in multiple transactions at prices ranging from $5.00 to $5.32. This amount represents the weighted average sale price of such transactions. The reporting person undertakes to provide full information regarding the number of shares sold at each separate price upon request by the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vested at a rate of twenty five percent or 16,250 options on each of June 30, 2026; December 31, 2026; June 30, 2027; and December 31,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Jack W. Callicutt,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2345" TargetMode="External"/><Relationship Id="rId5" Type="http://schemas.openxmlformats.org/officeDocument/2006/relationships/hyperlink" Target="http://www.sec.gov/cgi-bin/browse-edgar?action=getcompany&amp;CIK=0001133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3842</Characters>
  <CharactersWithSpaces>4486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