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32"/>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52"/>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Securities Exchange Act of 1934</w:t>
      </w:r>
    </w:p>
    <w:p>
      <w:pPr>
        <w:jc w:val="center"/>
        <w:ind w:left="4800"/>
        <w:spacing w:after="0"/>
        <w:tabs>
          <w:tab w:leader="none" w:pos="300" w:val="left"/>
        </w:tabs>
        <w:rPr>
          <w:sz w:val="20"/>
          <w:szCs w:val="20"/>
          <w:color w:val="auto"/>
        </w:rPr>
      </w:pPr>
      <w:r>
        <w:rPr>
          <w:rFonts w:ascii="Arial" w:cs="Arial" w:eastAsia="Arial" w:hAnsi="Arial"/>
          <w:sz w:val="22"/>
          <w:szCs w:val="22"/>
          <w:b w:val="1"/>
          <w:bCs w:val="1"/>
          <w:color w:val="auto"/>
        </w:rPr>
        <w:t>(Amendment</w:t>
        <w:tab/>
        <w:t>)</w:t>
      </w:r>
    </w:p>
    <w:p>
      <w:pPr>
        <w:spacing w:after="0" w:line="317" w:lineRule="exact"/>
        <w:rPr>
          <w:sz w:val="24"/>
          <w:szCs w:val="24"/>
          <w:color w:val="auto"/>
        </w:rPr>
      </w:pPr>
    </w:p>
    <w:p>
      <w:pPr>
        <w:ind w:left="12"/>
        <w:spacing w:after="0" w:line="207"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8" w:right="5140" w:firstLine="8"/>
        <w:spacing w:after="0" w:line="270"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-3744595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-3101340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-2320925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-1677670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-1034415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405765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472"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-880110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invite you to attend the 2009 Annual Meeting of Stockholders of Pro-Pharmaceuticals, Inc. The Annual Meeting will be held at 2:00 p.m. on Thursday, May 21, 2009, at the Sheraton Needham Hotel, 100 Cabot Street, Needham, Massachusetts.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following pages, you will find the Notice of our 2009 Annual Meeting of Stockholders and the Proxy Statement that describes the matters to be considered at the Annual Meeting. We also have enclosed your Proxy Card and our Annual Report for the year ended December 31, 2008.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D. Z</w:t>
      </w:r>
      <w:r>
        <w:rPr>
          <w:rFonts w:ascii="Arial" w:cs="Arial" w:eastAsia="Arial" w:hAnsi="Arial"/>
          <w:sz w:val="13"/>
          <w:szCs w:val="13"/>
          <w:color w:val="auto"/>
        </w:rPr>
        <w:t>UCCONI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Theodore D. Zucconi,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YOUR VOTE IS IMPORTANT. PLEASE COMPLETE, DATE, SIGN AND RETURN THE ENCLOSED PROXY PROMPTLY IN ORDER TO ENSURE YOUR REPRESENTATION AT THE ANNUAL MEETING. A RETURN ENVELOPE IS ENCLOSED FOR THAT PURPOSE. EVEN IF YOU HAVE GIVEN YOUR PROXY, YOU MAY STILL VOTE IN PERSON IF YOU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76465" cy="724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724535"/>
                    </a:xfrm>
                    <a:prstGeom prst="rect">
                      <a:avLst/>
                    </a:prstGeom>
                    <a:noFill/>
                  </pic:spPr>
                </pic:pic>
              </a:graphicData>
            </a:graphic>
          </wp:anchor>
        </w:drawing>
      </w:r>
    </w:p>
    <w:p>
      <w:pPr>
        <w:spacing w:after="0" w:line="193" w:lineRule="exact"/>
        <w:rPr>
          <w:sz w:val="20"/>
          <w:szCs w:val="20"/>
          <w:color w:val="auto"/>
        </w:rPr>
      </w:pPr>
    </w:p>
    <w:p>
      <w:pPr>
        <w:jc w:val="center"/>
        <w:ind w:left="520" w:right="50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2009 ANNUAL MEETING OF STOCKHOLDERS TO BE HELD ON MAY 21, 2009</w:t>
      </w:r>
    </w:p>
    <w:p>
      <w:pPr>
        <w:spacing w:after="0" w:line="126"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The Company’s Proxy Statement for the 2009 Annual Meeting of Stockholders and Annual Report on Form 10-K for the fiscal year ended December 31, 2008 are available at www.cstproxy.com/pro-pharmaceuticals/2009.</w:t>
      </w:r>
    </w:p>
    <w:p>
      <w:pPr>
        <w:sectPr>
          <w:pgSz w:w="11900" w:h="16838" w:orient="portrait"/>
          <w:cols w:equalWidth="0" w:num="1">
            <w:col w:w="11180"/>
          </w:cols>
          <w:pgMar w:left="240" w:top="274"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2009 ANNUAL MEETING OF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21, 2009 at 2:00 p.m., Eastern Daylight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elect six members of the Board of Directors to one-year terms.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approve our 2009 Incentive Compensation Plan.</w:t>
      </w:r>
    </w:p>
    <w:p>
      <w:pPr>
        <w:spacing w:after="0" w:line="90" w:lineRule="exact"/>
        <w:rPr>
          <w:sz w:val="20"/>
          <w:szCs w:val="20"/>
          <w:color w:val="auto"/>
        </w:rPr>
      </w:pPr>
    </w:p>
    <w:p>
      <w:pPr>
        <w:ind w:left="780" w:right="80" w:hanging="324"/>
        <w:spacing w:after="0" w:line="268" w:lineRule="auto"/>
        <w:rPr>
          <w:sz w:val="20"/>
          <w:szCs w:val="20"/>
          <w:color w:val="auto"/>
        </w:rPr>
      </w:pPr>
      <w:r>
        <w:rPr>
          <w:rFonts w:ascii="Arial" w:cs="Arial" w:eastAsia="Arial" w:hAnsi="Arial"/>
          <w:sz w:val="18"/>
          <w:szCs w:val="18"/>
          <w:color w:val="auto"/>
        </w:rPr>
        <w:t>— To consider and act upon a proposal to approve an amendment to our Articles of Incorporation increasing the number of authorized shares of common stock from 200,000,000 to 300,000,000.</w:t>
      </w:r>
    </w:p>
    <w:p>
      <w:pPr>
        <w:spacing w:after="0" w:line="50" w:lineRule="exact"/>
        <w:rPr>
          <w:sz w:val="20"/>
          <w:szCs w:val="20"/>
          <w:color w:val="auto"/>
        </w:rPr>
      </w:pPr>
    </w:p>
    <w:p>
      <w:pPr>
        <w:ind w:left="780" w:right="440" w:hanging="324"/>
        <w:spacing w:after="0" w:line="268" w:lineRule="auto"/>
        <w:rPr>
          <w:sz w:val="20"/>
          <w:szCs w:val="20"/>
          <w:color w:val="auto"/>
        </w:rPr>
      </w:pPr>
      <w:r>
        <w:rPr>
          <w:rFonts w:ascii="Arial" w:cs="Arial" w:eastAsia="Arial" w:hAnsi="Arial"/>
          <w:sz w:val="18"/>
          <w:szCs w:val="18"/>
          <w:color w:val="auto"/>
        </w:rPr>
        <w:t>— To consider and act upon a proposal to approve an amendment to our Articles of Incorporation increasing the number of authorized undesignated shares from 10,000,000 to 20,000,000.</w:t>
      </w:r>
    </w:p>
    <w:p>
      <w:pPr>
        <w:spacing w:after="0" w:line="50" w:lineRule="exact"/>
        <w:rPr>
          <w:sz w:val="20"/>
          <w:szCs w:val="20"/>
          <w:color w:val="auto"/>
        </w:rPr>
      </w:pPr>
    </w:p>
    <w:p>
      <w:pPr>
        <w:ind w:left="780" w:right="220" w:hanging="324"/>
        <w:spacing w:after="0" w:line="268" w:lineRule="auto"/>
        <w:rPr>
          <w:sz w:val="20"/>
          <w:szCs w:val="20"/>
          <w:color w:val="auto"/>
        </w:rPr>
      </w:pPr>
      <w:r>
        <w:rPr>
          <w:rFonts w:ascii="Arial" w:cs="Arial" w:eastAsia="Arial" w:hAnsi="Arial"/>
          <w:sz w:val="18"/>
          <w:szCs w:val="18"/>
          <w:color w:val="auto"/>
        </w:rPr>
        <w:t>— To consider and act upon a proposal to ratify the appointment of Vitale, Caturano &amp; Company, P.C., as our independent registered public accounting firm to audit the financial statements for our 2009 fiscal year.</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9, 2009.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HEODORE</w:t>
            </w:r>
            <w:r>
              <w:rPr>
                <w:rFonts w:ascii="Arial" w:cs="Arial" w:eastAsia="Arial" w:hAnsi="Arial"/>
                <w:sz w:val="18"/>
                <w:szCs w:val="18"/>
                <w:color w:val="auto"/>
              </w:rPr>
              <w:t xml:space="preserve"> D. Z</w:t>
            </w:r>
            <w:r>
              <w:rPr>
                <w:rFonts w:ascii="Arial" w:cs="Arial" w:eastAsia="Arial" w:hAnsi="Arial"/>
                <w:sz w:val="14"/>
                <w:szCs w:val="14"/>
                <w:color w:val="auto"/>
              </w:rPr>
              <w:t>UCCONI</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21, 2009</w:t>
            </w:r>
          </w:p>
        </w:tc>
        <w:tc>
          <w:tcPr>
            <w:tcW w:w="5460" w:type="dxa"/>
            <w:vAlign w:val="bottom"/>
          </w:tcPr>
          <w:p>
            <w:pPr>
              <w:ind w:left="100"/>
              <w:spacing w:after="0"/>
              <w:rPr>
                <w:sz w:val="20"/>
                <w:szCs w:val="20"/>
                <w:color w:val="auto"/>
              </w:rPr>
            </w:pPr>
            <w:r>
              <w:rPr>
                <w:rFonts w:ascii="Arial" w:cs="Arial" w:eastAsia="Arial" w:hAnsi="Arial"/>
                <w:sz w:val="18"/>
                <w:szCs w:val="18"/>
                <w:color w:val="auto"/>
              </w:rPr>
              <w:t>Theodore D. Zucconi,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2009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21, 2009</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Proxy Statement is being provided to you by Pro-Pharmaceuticals’ Board of Directors in connection with our 2009 Annual Meeting of Stockholders. The Annual Meeting will be held at 2:00 p.m. on Thursday, May 21, 2009 at the Sheraton Needham Hotel, 100 Cabot Street, Needham, Massachusetts 02494, for the purposes set forth in the accompanying Notice of 2009 Annual Meeting of Stockholders and this Proxy Statement. This Proxy Statement and the accompanying Proxy Card is being mailed to all stockholders entitled to vote at the Annual Meeting on or about April 21, 2009.</w:t>
      </w:r>
    </w:p>
    <w:p>
      <w:pPr>
        <w:spacing w:after="0" w:line="26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stockholders will be asked consider and act upon:</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elect six members of the Board of Directors to one-year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approve our 2009 Incentive Compensation Plan;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approve an amendment to our Articles of Incorporation increasing the number of authorized shares of common stock from 200,000,000 to 300,000,000;</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approve an amendment to our Articles of Incorporation increasing the number of authorized undesignated shares from 10,000,000 to 20,000,000;</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ratify the appointment of Vitale, Caturano &amp; Company, P.C., as our independent registered public accounting firm to audit the financial statements for our 2009 fiscal year;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complete, date, sign and return the enclosed Proxy Card promptly in order to ensure your representation at the Annual Meeting. A return envelope is enclosed for that purpose. Proxies will be voted as directed.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Proxy Card returned without directions given will be voted (1) “FOR” the election of directors presented in this Proxy Statement by the Board,</w:t>
      </w:r>
    </w:p>
    <w:p>
      <w:pPr>
        <w:spacing w:after="0" w:line="38" w:lineRule="exact"/>
        <w:rPr>
          <w:sz w:val="20"/>
          <w:szCs w:val="20"/>
          <w:color w:val="auto"/>
        </w:rPr>
      </w:pPr>
    </w:p>
    <w:p>
      <w:pPr>
        <w:ind w:right="40" w:firstLine="8"/>
        <w:spacing w:after="0" w:line="29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approval of our 2009 Incentive Compensation Plan, (3) “FOR” the approval of an amendment to our Articles of Incorporation increasing the number of authorized shares of common stock from 200,000,000 to 300,000,000, (4) “FOR” the approval of an amendment to our Articles of Incorporation increasing the number of authorized undesignated shares from 10,000,000 to 20,000,000, (5) “FOR” the ratification of the appointment of Vitale, Caturano &amp; Company, Ltd. as our independent registered public accounting firm to audit the financial statements for our 2009 fiscal year and (6) as to any other business that may come before the Annual Meeting, in accordance with the judgment of the person or persons named in the proxy.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Revocation of Proxies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may revoke your proxy at any time before the Annual Meeting by sending a notice of revocation to Pro-Pharmaceuticals, Inc. at 7 Wells Avenue, Newton, Massachusetts 02459, Attention: Anthony D. Squeglia, Chief Financial Officer. You may also revoke it by submitting a more recently dated proxy to us before the Annual Meeting or by attending the Annual Meeting and voting in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Securities; Record Date</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Stockholders of record at the close of business on April 9, 2009, which we refer to herein as the record date, will be entitled to notice of the Annual Meeting and to vote at the Annual Meeting. Our voting stock is comprised of:</w:t>
      </w:r>
    </w:p>
    <w:p>
      <w:pPr>
        <w:spacing w:after="0" w:line="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stock, of which 50,356,709 shares were issued and outstanding as of the record date;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Series A 12% Convertible Preferred Stock (which we refer to as our Series A preferred stock and which votes in accordance with the formula set forth in the Certificate of Designation of Preferences, Rights and Limitations of the Series A 12% Convertible Preferred Stock), of which 1,742,500 shares were issued and outstanding as of the record date; and</w:t>
      </w:r>
    </w:p>
    <w:p>
      <w:pPr>
        <w:spacing w:after="0" w:line="59"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Series B-1 Convertible Preferred Stock (which we refer to as our Series B-1 preferred stock and which votes in accordance with the formula set forth in the Certificate of Designation of Preferences, Rights and Limitations of the Series B-1 Convertible Preferred Stock and Series B-2 Convertible Preferred Stock, which we refer to as the Series B Designation Certificate), of which 900,000 shares were issued and outstanding as of the record date.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shares of our Series A preferred stock vote with the shares of our common stock as a single class and, as of the record date, are each entitled to one vote. The shares of Series B-1 preferred stock vote with the shares of our common stock as a single class and, as of the record date, are each entitled to four votes. In addition, the shares of Series B-1 preferred stock are entitled as a separate class to elect two directors, which we refer to as the Series B directors. No class or series of our issued and outstanding capital stock is entitled to cumulative voting.</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shares of Series B-2 Convertible Preferred Stock (which we refer to as our Series B-2 preferred stock and, together with our Series B-1 preferred stock, as the Series B preferred stock) are issued and outstanding as of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 and Votes Required</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representation in person or by proxy of stockholders owning at least one-third of the outstanding voting shares is necessary to establish a quorum for the transaction of business. Shares which abstain from voting as to a particular matter, and shares held in “street name” by brokers or nominees who indicate on their proxies that they do not have discretionary authority to vote as to a particular matter (“broker non-votes”), will be counted for purposes of determining whether a quorum is present for the transaction of business at the Annual Meeting, but will not be considered as voting on such matters. Accordingly, neither abstentions nor broker non-votes will have any effect with respect to the election of directors or the ratification of our independent registered public accounting firm, each of which requires an affirmative vote of a majority of the voting shares present or represented by proxy and voting on the matter, or the proposals to approve our 2009 Incentive Compensation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to approve an amendment to our Articles of Incorporation increasing the number of authorized shares of common stock from 200,000,000 to 300,000,000 or to approve an amendment to our Articles of Incorporation increasing the number of authorized undesignated shares from 10,000,000 to 20,000,000, each of which requires an affirmative vote of a majority of the voting shares outstanding.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The following table sets forth, as of April 9, 2009, certain information concerning the beneficial ownership of our common stock, our Series A preferred stock and our Series B preferred stock by (i) each person known by us to own beneficially five per cent (5%) or more of the outstanding shares of each class,</w:t>
      </w:r>
    </w:p>
    <w:p>
      <w:pPr>
        <w:jc w:val="both"/>
        <w:ind w:right="80" w:firstLine="8"/>
        <w:spacing w:after="0" w:line="255"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April 9, 2009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Shares of</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Series A</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3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A</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Series B</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Common</w:t>
            </w: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Preferred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Preferred</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76"/>
        </w:trPr>
        <w:tc>
          <w:tcPr>
            <w:tcW w:w="3780" w:type="dxa"/>
            <w:vAlign w:val="bottom"/>
            <w:gridSpan w:val="3"/>
            <w:vMerge w:val="continue"/>
          </w:tcPr>
          <w:p>
            <w:pPr>
              <w:spacing w:after="0"/>
              <w:rPr>
                <w:sz w:val="15"/>
                <w:szCs w:val="15"/>
                <w:color w:val="auto"/>
              </w:rPr>
            </w:pPr>
          </w:p>
        </w:tc>
        <w:tc>
          <w:tcPr>
            <w:tcW w:w="130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90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(3)</w:t>
            </w:r>
          </w:p>
        </w:tc>
        <w:tc>
          <w:tcPr>
            <w:tcW w:w="160" w:type="dxa"/>
            <w:vAlign w:val="bottom"/>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Owned</w:t>
            </w:r>
          </w:p>
        </w:tc>
        <w:tc>
          <w:tcPr>
            <w:tcW w:w="104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(4)</w:t>
            </w:r>
          </w:p>
        </w:tc>
        <w:tc>
          <w:tcPr>
            <w:tcW w:w="7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Owned</w:t>
            </w:r>
            <w:r>
              <w:rPr>
                <w:rFonts w:ascii="Arial" w:cs="Arial" w:eastAsia="Arial" w:hAnsi="Arial"/>
                <w:sz w:val="20"/>
                <w:szCs w:val="20"/>
                <w:b w:val="1"/>
                <w:bCs w:val="1"/>
                <w:color w:val="auto"/>
                <w:w w:val="93"/>
                <w:vertAlign w:val="superscript"/>
              </w:rPr>
              <w:t>(5)</w:t>
            </w:r>
          </w:p>
        </w:tc>
        <w:tc>
          <w:tcPr>
            <w:tcW w:w="30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9"/>
              </w:rPr>
              <w:t>Securities</w:t>
            </w:r>
            <w:r>
              <w:rPr>
                <w:rFonts w:ascii="Arial" w:cs="Arial" w:eastAsia="Arial" w:hAnsi="Arial"/>
                <w:sz w:val="20"/>
                <w:szCs w:val="20"/>
                <w:b w:val="1"/>
                <w:bCs w:val="1"/>
                <w:color w:val="auto"/>
                <w:w w:val="89"/>
                <w:vertAlign w:val="superscript"/>
              </w:rPr>
              <w:t>(6)</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5% Stockholders</w:t>
            </w:r>
          </w:p>
        </w:tc>
        <w:tc>
          <w:tcPr>
            <w:tcW w:w="24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1300" w:type="dxa"/>
            <w:vAlign w:val="bottom"/>
            <w:gridSpan w:val="2"/>
            <w:shd w:val="clear" w:color="auto" w:fill="CCEEFF"/>
          </w:tcPr>
          <w:p>
            <w:pPr>
              <w:jc w:val="right"/>
              <w:ind w:right="360"/>
              <w:spacing w:after="0" w:line="208" w:lineRule="exact"/>
              <w:rPr>
                <w:sz w:val="20"/>
                <w:szCs w:val="20"/>
                <w:color w:val="auto"/>
              </w:rPr>
            </w:pPr>
            <w:r>
              <w:rPr>
                <w:rFonts w:ascii="Arial" w:cs="Arial" w:eastAsia="Arial" w:hAnsi="Arial"/>
                <w:sz w:val="18"/>
                <w:szCs w:val="18"/>
                <w:color w:val="auto"/>
                <w:w w:val="93"/>
              </w:rPr>
              <w:t>4,028,014</w:t>
            </w:r>
            <w:r>
              <w:rPr>
                <w:rFonts w:ascii="Arial" w:cs="Arial" w:eastAsia="Arial" w:hAnsi="Arial"/>
                <w:sz w:val="22"/>
                <w:szCs w:val="22"/>
                <w:color w:val="auto"/>
                <w:w w:val="93"/>
                <w:vertAlign w:val="superscript"/>
              </w:rPr>
              <w:t>(7)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100,000</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 Appleton Circle Newton, MA 02455</w:t>
            </w: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78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53,141,468</w:t>
            </w:r>
            <w:r>
              <w:rPr>
                <w:rFonts w:ascii="Arial" w:cs="Arial" w:eastAsia="Arial" w:hAnsi="Arial"/>
                <w:sz w:val="22"/>
                <w:szCs w:val="22"/>
                <w:color w:val="auto"/>
                <w:w w:val="85"/>
                <w:vertAlign w:val="superscript"/>
              </w:rPr>
              <w:t>(8)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3,000,000</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r>
              <w:rPr>
                <w:rFonts w:ascii="Arial" w:cs="Arial" w:eastAsia="Arial" w:hAnsi="Arial"/>
                <w:sz w:val="22"/>
                <w:szCs w:val="22"/>
                <w:color w:val="auto"/>
                <w:vertAlign w:val="superscript"/>
              </w:rPr>
              <w:t>(9)</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w:t>
            </w:r>
          </w:p>
        </w:tc>
        <w:tc>
          <w:tcPr>
            <w:tcW w:w="1300" w:type="dxa"/>
            <w:vAlign w:val="bottom"/>
            <w:gridSpan w:val="2"/>
            <w:shd w:val="clear" w:color="auto" w:fill="CCEEFF"/>
          </w:tcPr>
          <w:p>
            <w:pPr>
              <w:jc w:val="right"/>
              <w:ind w:right="300"/>
              <w:spacing w:after="0" w:line="208" w:lineRule="exact"/>
              <w:rPr>
                <w:sz w:val="20"/>
                <w:szCs w:val="20"/>
                <w:color w:val="auto"/>
              </w:rPr>
            </w:pPr>
            <w:r>
              <w:rPr>
                <w:rFonts w:ascii="Arial" w:cs="Arial" w:eastAsia="Arial" w:hAnsi="Arial"/>
                <w:sz w:val="18"/>
                <w:szCs w:val="18"/>
                <w:color w:val="auto"/>
                <w:w w:val="84"/>
              </w:rPr>
              <w:t>48,000,000</w:t>
            </w:r>
            <w:r>
              <w:rPr>
                <w:rFonts w:ascii="Arial" w:cs="Arial" w:eastAsia="Arial" w:hAnsi="Arial"/>
                <w:sz w:val="22"/>
                <w:szCs w:val="22"/>
                <w:color w:val="auto"/>
                <w:w w:val="84"/>
                <w:vertAlign w:val="superscript"/>
              </w:rPr>
              <w:t>(10)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3,000,000</w:t>
            </w: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10X Capital Management, LLC</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1099 Forest Lake Terrace Niceville, FL</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32578</w:t>
            </w:r>
          </w:p>
        </w:tc>
        <w:tc>
          <w:tcPr>
            <w:tcW w:w="24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780" w:type="dxa"/>
            <w:vAlign w:val="bottom"/>
            <w:gridSpan w:val="3"/>
          </w:tcPr>
          <w:p>
            <w:pPr>
              <w:spacing w:after="0"/>
              <w:rPr>
                <w:sz w:val="20"/>
                <w:szCs w:val="20"/>
                <w:color w:val="auto"/>
              </w:rPr>
            </w:pPr>
            <w:r>
              <w:rPr>
                <w:rFonts w:ascii="Arial" w:cs="Arial" w:eastAsia="Arial" w:hAnsi="Arial"/>
                <w:sz w:val="18"/>
                <w:szCs w:val="18"/>
                <w:color w:val="auto"/>
              </w:rPr>
              <w:t>Rod D. Martin, J.D.</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48,518,926</w:t>
            </w:r>
            <w:r>
              <w:rPr>
                <w:rFonts w:ascii="Arial" w:cs="Arial" w:eastAsia="Arial" w:hAnsi="Arial"/>
                <w:sz w:val="22"/>
                <w:szCs w:val="22"/>
                <w:color w:val="auto"/>
                <w:w w:val="82"/>
                <w:vertAlign w:val="superscript"/>
              </w:rPr>
              <w:t>(11)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3,000,000</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22"/>
                <w:szCs w:val="22"/>
                <w:color w:val="auto"/>
                <w:vertAlign w:val="superscript"/>
              </w:rPr>
              <w:t>(9)</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 Trust,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100,000</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James C. Czirr</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425 Janish Drive, Sandpoint, ID 83864</w:t>
            </w: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80" w:type="dxa"/>
            <w:vAlign w:val="bottom"/>
            <w:gridSpan w:val="3"/>
          </w:tcPr>
          <w:p>
            <w:pPr>
              <w:spacing w:after="0"/>
              <w:rPr>
                <w:sz w:val="20"/>
                <w:szCs w:val="20"/>
                <w:color w:val="auto"/>
              </w:rPr>
            </w:pPr>
            <w:r>
              <w:rPr>
                <w:rFonts w:ascii="Arial" w:cs="Arial" w:eastAsia="Arial" w:hAnsi="Arial"/>
                <w:sz w:val="18"/>
                <w:szCs w:val="18"/>
                <w:color w:val="auto"/>
              </w:rPr>
              <w:t>David Smith</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6"/>
              </w:rPr>
              <w:t>175,000</w:t>
            </w:r>
          </w:p>
        </w:tc>
        <w:tc>
          <w:tcPr>
            <w:tcW w:w="5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34 Shorehaven Road E. Norwalk, CT 06855</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260"/>
              <w:spacing w:after="0" w:line="208" w:lineRule="exact"/>
              <w:rPr>
                <w:sz w:val="20"/>
                <w:szCs w:val="20"/>
                <w:color w:val="auto"/>
              </w:rPr>
            </w:pPr>
            <w:r>
              <w:rPr>
                <w:rFonts w:ascii="Arial" w:cs="Arial" w:eastAsia="Arial" w:hAnsi="Arial"/>
                <w:sz w:val="18"/>
                <w:szCs w:val="18"/>
                <w:color w:val="auto"/>
              </w:rPr>
              <w:t>100,000</w:t>
            </w:r>
            <w:r>
              <w:rPr>
                <w:rFonts w:ascii="Arial" w:cs="Arial" w:eastAsia="Arial" w:hAnsi="Arial"/>
                <w:sz w:val="22"/>
                <w:szCs w:val="22"/>
                <w:color w:val="auto"/>
                <w:vertAlign w:val="superscript"/>
              </w:rPr>
              <w:t>(12)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David Smith 34 Shorehaven Road</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 Norwalk, CT 06855</w:t>
            </w: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 of</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Shares of</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Preferred</w:t>
            </w:r>
          </w:p>
        </w:tc>
        <w:tc>
          <w:tcPr>
            <w:tcW w:w="3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Series A</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Series B</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Preferred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Voting</w:t>
            </w:r>
          </w:p>
        </w:tc>
        <w:tc>
          <w:tcPr>
            <w:tcW w:w="0" w:type="dxa"/>
            <w:vAlign w:val="bottom"/>
          </w:tcPr>
          <w:p>
            <w:pPr>
              <w:spacing w:after="0"/>
              <w:rPr>
                <w:sz w:val="1"/>
                <w:szCs w:val="1"/>
                <w:color w:val="auto"/>
              </w:rPr>
            </w:pPr>
          </w:p>
        </w:tc>
      </w:tr>
      <w:tr>
        <w:trPr>
          <w:trHeight w:val="176"/>
        </w:trPr>
        <w:tc>
          <w:tcPr>
            <w:tcW w:w="3880" w:type="dxa"/>
            <w:vAlign w:val="bottom"/>
            <w:gridSpan w:val="3"/>
            <w:vMerge w:val="continue"/>
          </w:tcPr>
          <w:p>
            <w:pPr>
              <w:spacing w:after="0"/>
              <w:rPr>
                <w:sz w:val="15"/>
                <w:szCs w:val="15"/>
                <w:color w:val="auto"/>
              </w:rPr>
            </w:pPr>
          </w:p>
        </w:tc>
        <w:tc>
          <w:tcPr>
            <w:tcW w:w="1320" w:type="dxa"/>
            <w:vAlign w:val="bottom"/>
            <w:gridSpan w:val="2"/>
          </w:tcPr>
          <w:p>
            <w:pPr>
              <w:jc w:val="center"/>
              <w:ind w:right="540"/>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(3)</w:t>
            </w:r>
          </w:p>
        </w:tc>
        <w:tc>
          <w:tcPr>
            <w:tcW w:w="18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Owned</w:t>
            </w:r>
          </w:p>
        </w:tc>
        <w:tc>
          <w:tcPr>
            <w:tcW w:w="110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(4)</w:t>
            </w:r>
          </w:p>
        </w:tc>
        <w:tc>
          <w:tcPr>
            <w:tcW w:w="70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Owned</w:t>
            </w:r>
            <w:r>
              <w:rPr>
                <w:rFonts w:ascii="Arial" w:cs="Arial" w:eastAsia="Arial" w:hAnsi="Arial"/>
                <w:sz w:val="20"/>
                <w:szCs w:val="20"/>
                <w:b w:val="1"/>
                <w:bCs w:val="1"/>
                <w:color w:val="auto"/>
                <w:vertAlign w:val="superscript"/>
              </w:rPr>
              <w:t>(5)</w:t>
            </w:r>
          </w:p>
        </w:tc>
        <w:tc>
          <w:tcPr>
            <w:tcW w:w="36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86"/>
              </w:rPr>
              <w:t>Securities</w:t>
            </w:r>
            <w:r>
              <w:rPr>
                <w:rFonts w:ascii="Arial" w:cs="Arial" w:eastAsia="Arial" w:hAnsi="Arial"/>
                <w:sz w:val="20"/>
                <w:szCs w:val="20"/>
                <w:b w:val="1"/>
                <w:bCs w:val="1"/>
                <w:color w:val="auto"/>
                <w:w w:val="86"/>
                <w:vertAlign w:val="superscript"/>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(13)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53,158,368</w:t>
            </w:r>
            <w:r>
              <w:rPr>
                <w:rFonts w:ascii="Arial" w:cs="Arial" w:eastAsia="Arial" w:hAnsi="Arial"/>
                <w:sz w:val="11"/>
                <w:szCs w:val="11"/>
                <w:color w:val="auto"/>
                <w:w w:val="86"/>
              </w:rPr>
              <w:t>(8)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3,000,000</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48,518,926</w:t>
            </w:r>
            <w:r>
              <w:rPr>
                <w:rFonts w:ascii="Arial" w:cs="Arial" w:eastAsia="Arial" w:hAnsi="Arial"/>
                <w:sz w:val="11"/>
                <w:szCs w:val="11"/>
                <w:color w:val="auto"/>
                <w:w w:val="87"/>
              </w:rPr>
              <w:t>(11)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1440" w:type="dxa"/>
            <w:vAlign w:val="bottom"/>
            <w:gridSpan w:val="3"/>
          </w:tcPr>
          <w:p>
            <w:pPr>
              <w:ind w:left="68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37,000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229,844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(13)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446,343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886,667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All executive officers and directors as a group</w:t>
            </w: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(9 persons)</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57,878,449</w:t>
            </w:r>
            <w:r>
              <w:rPr>
                <w:rFonts w:ascii="Arial" w:cs="Arial" w:eastAsia="Arial" w:hAnsi="Arial"/>
                <w:sz w:val="11"/>
                <w:szCs w:val="11"/>
                <w:color w:val="auto"/>
                <w:w w:val="87"/>
              </w:rPr>
              <w:t>(14)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3,000,000</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3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indicated in the table, the address for each named person is c/o Pro-Pharmaceuticals, Inc., 7 Wells Avenue, Newton, Massachusetts 02459.</w:t>
      </w:r>
    </w:p>
    <w:p>
      <w:pPr>
        <w:ind w:left="460" w:right="10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April 9, 2009:</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5000" w:type="dxa"/>
            <w:vAlign w:val="bottom"/>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Options Exercisable Within 60 Days</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Neill:</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Mr. Prelack:</w:t>
            </w:r>
          </w:p>
        </w:tc>
        <w:tc>
          <w:tcPr>
            <w:tcW w:w="2080" w:type="dxa"/>
            <w:vAlign w:val="bottom"/>
          </w:tcPr>
          <w:p>
            <w:pPr>
              <w:jc w:val="right"/>
              <w:spacing w:after="0"/>
              <w:rPr>
                <w:sz w:val="20"/>
                <w:szCs w:val="20"/>
                <w:color w:val="auto"/>
              </w:rPr>
            </w:pPr>
            <w:r>
              <w:rPr>
                <w:rFonts w:ascii="Arial" w:cs="Arial" w:eastAsia="Arial" w:hAnsi="Arial"/>
                <w:sz w:val="18"/>
                <w:szCs w:val="18"/>
                <w:color w:val="auto"/>
              </w:rPr>
              <w:t>37,000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Dr. Zucconi:</w:t>
            </w:r>
          </w:p>
        </w:tc>
        <w:tc>
          <w:tcPr>
            <w:tcW w:w="208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Zomer: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886,667</w:t>
            </w: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2080" w:type="dxa"/>
            <w:vAlign w:val="bottom"/>
          </w:tcPr>
          <w:p>
            <w:pPr>
              <w:jc w:val="right"/>
              <w:spacing w:after="0"/>
              <w:rPr>
                <w:sz w:val="20"/>
                <w:szCs w:val="20"/>
                <w:color w:val="auto"/>
              </w:rPr>
            </w:pPr>
            <w:r>
              <w:rPr>
                <w:rFonts w:ascii="Arial" w:cs="Arial" w:eastAsia="Arial" w:hAnsi="Arial"/>
                <w:sz w:val="18"/>
                <w:szCs w:val="18"/>
                <w:color w:val="auto"/>
              </w:rPr>
              <w:t>2,870,668</w:t>
            </w:r>
          </w:p>
        </w:tc>
      </w:tr>
    </w:tbl>
    <w:p>
      <w:pPr>
        <w:spacing w:after="0" w:line="66" w:lineRule="exact"/>
        <w:rPr>
          <w:sz w:val="20"/>
          <w:szCs w:val="20"/>
          <w:color w:val="auto"/>
        </w:rPr>
      </w:pPr>
    </w:p>
    <w:p>
      <w:pPr>
        <w:jc w:val="both"/>
        <w:ind w:left="460" w:right="120" w:hanging="452"/>
        <w:spacing w:after="0" w:line="28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50,356,709 shares of our common stock outstanding as of the record date and (ii) the number of shares of our common stock that such person has the right to acquire within 60 days after April 9, 2009.</w:t>
      </w:r>
    </w:p>
    <w:p>
      <w:pPr>
        <w:spacing w:after="0" w:line="1"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Series A preferred stock is based on 1,742,500 shares of Series A preferred stock outstanding as of April 9, 2009.</w:t>
      </w:r>
    </w:p>
    <w:p>
      <w:pPr>
        <w:ind w:left="460" w:right="4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(i) 900,000 shares of Series B-1 preferred stock issued and outstanding and (ii) 2,100,000 shares of Series B-2 preferred stock that we have agreed to sell to 10X Fund, L.P., a Delaware limited partnership which we refer to as 10X Fund, pursuant to a securities purchase agreement dated as of February 12, 2009, which we refer to as the 10X Purchase Agreement, but that have not been issued as of April 9, 2009.</w:t>
      </w:r>
    </w:p>
    <w:p>
      <w:pPr>
        <w:spacing w:after="0" w:line="2" w:lineRule="exact"/>
        <w:rPr>
          <w:rFonts w:ascii="Arial" w:cs="Arial" w:eastAsia="Arial" w:hAnsi="Arial"/>
          <w:sz w:val="16"/>
          <w:szCs w:val="16"/>
          <w:color w:val="auto"/>
        </w:rPr>
      </w:pPr>
    </w:p>
    <w:p>
      <w:pPr>
        <w:ind w:left="460" w:right="8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combined voting power of the voting securities (comprised of the aggregate of the shares of our common stock, Series A preferred stock voting on an as-converted basis with the common stock, and Series B-1 preferred stock voting on an as-converted basis with the common stock) on all matters presented to the stockholders for their approval at the Annual Meeting (except for such separate class votes as are required by law or the terms of a class or series of securities) and excludes shares of common stock underlying (i) outstanding options and warrants that have not been exercised as of the record date and (ii) the Series B-2 preferred stock and related warrants that have not been issued pursuant to the 10X Purchase Agreement as of the record date.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5" w:right="239" w:bottom="1440" w:gutter="0" w:footer="0" w:header="0"/>
        </w:sectPr>
      </w:pPr>
    </w:p>
    <w:bookmarkStart w:id="8" w:name="page9"/>
    <w:bookmarkEnd w:id="8"/>
    <w:p>
      <w:pPr>
        <w:ind w:left="452" w:hanging="452"/>
        <w:spacing w:after="0" w:line="253"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(i) 7,379 shares of our common stock owned by Dr. Platt’s wife as to which he disclaims beneficial ownership; (ii) 100,000 shares of our common stock issuable upon conversion of Series A preferred stock; and (iii) 200,000 shares of our common stock underlying warrants to purchase shares of our common stock.</w:t>
      </w:r>
    </w:p>
    <w:p>
      <w:pPr>
        <w:ind w:left="452" w:right="240" w:hanging="452"/>
        <w:spacing w:after="0" w:line="300" w:lineRule="auto"/>
        <w:tabs>
          <w:tab w:leader="none" w:pos="452"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(i) 33,200 shares of our common stock owned by a minor child of Mr. Czirr as to which Mr. Czirr disclaims beneficial ownership; (ii) 100,000 shares of our common stock issuable upon conversion of Series A preferred stock; (iii) 200,000 shares of our common stock underlying warrants to purchase shares of our common stock; (iv) 500,000 shares of restricted stock, all of which are subject to forfeiture pursuant to the terms of the restricted stock grant; (v) 3,600,000 shares of our common stock issuable upon conversion of 900,000 shares of Series B-1 preferred stock held of record by 10X Fund, as to which Mr. Czirr, in his capacity as a managing member of 10X Capital Management Fund, LLC, a Florida limited liability company and</w:t>
      </w:r>
    </w:p>
    <w:p>
      <w:pPr>
        <w:spacing w:after="0" w:line="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general partner of 10X Fund, which we refer to as 10X Management, has shared voting and investment power, and disclaims beneficial ownership;</w:t>
      </w:r>
    </w:p>
    <w:p>
      <w:pPr>
        <w:spacing w:after="0" w:line="32" w:lineRule="exact"/>
        <w:rPr>
          <w:sz w:val="20"/>
          <w:szCs w:val="20"/>
          <w:color w:val="auto"/>
        </w:rPr>
      </w:pPr>
    </w:p>
    <w:p>
      <w:pPr>
        <w:ind w:left="452" w:right="620" w:hanging="6"/>
        <w:spacing w:after="0" w:line="300" w:lineRule="auto"/>
        <w:tabs>
          <w:tab w:leader="none" w:pos="749" w:val="left"/>
        </w:tabs>
        <w:numPr>
          <w:ilvl w:val="1"/>
          <w:numId w:val="14"/>
        </w:numPr>
        <w:rPr>
          <w:rFonts w:ascii="Arial" w:cs="Arial" w:eastAsia="Arial" w:hAnsi="Arial"/>
          <w:sz w:val="15"/>
          <w:szCs w:val="15"/>
          <w:color w:val="auto"/>
        </w:rPr>
      </w:pPr>
      <w:r>
        <w:rPr>
          <w:rFonts w:ascii="Arial" w:cs="Arial" w:eastAsia="Arial" w:hAnsi="Arial"/>
          <w:sz w:val="15"/>
          <w:szCs w:val="15"/>
          <w:color w:val="auto"/>
        </w:rPr>
        <w:t>10,800,000 shares of our common stock underlying warrants to purchase shares of our common stock held of record by 10X Fund as to which Mr. Czirr in his capacity a managing member of 10X Management has shared voting and investment power, and disclaims beneficial ownership;</w:t>
      </w:r>
    </w:p>
    <w:p>
      <w:pPr>
        <w:jc w:val="both"/>
        <w:ind w:left="452" w:right="80" w:hanging="6"/>
        <w:spacing w:after="0" w:line="300" w:lineRule="auto"/>
        <w:tabs>
          <w:tab w:leader="none" w:pos="798" w:val="left"/>
        </w:tabs>
        <w:numPr>
          <w:ilvl w:val="1"/>
          <w:numId w:val="14"/>
        </w:numPr>
        <w:rPr>
          <w:rFonts w:ascii="Arial" w:cs="Arial" w:eastAsia="Arial" w:hAnsi="Arial"/>
          <w:sz w:val="15"/>
          <w:szCs w:val="15"/>
          <w:color w:val="auto"/>
        </w:rPr>
      </w:pPr>
      <w:r>
        <w:rPr>
          <w:rFonts w:ascii="Arial" w:cs="Arial" w:eastAsia="Arial" w:hAnsi="Arial"/>
          <w:sz w:val="15"/>
          <w:szCs w:val="15"/>
          <w:color w:val="auto"/>
        </w:rPr>
        <w:t>8,400,000 shares of our common stock issuable upon conversion of 2,100,000 shares of Series B-2 preferred stock that we have agreed to sell to 10X Fund pursuant to the 10X Purchase Agreement; and (viii) 25,200,000 shares of our common stock underlying warrants to purchase shares of our common stock that we have agreed to sell to 10X Fund pursuant to the 10X Purchase Agreement in connection with the sale of the Series B-2 preferred stock.</w:t>
      </w:r>
    </w:p>
    <w:p>
      <w:pPr>
        <w:spacing w:after="0" w:line="1" w:lineRule="exact"/>
        <w:rPr>
          <w:rFonts w:ascii="Arial" w:cs="Arial" w:eastAsia="Arial" w:hAnsi="Arial"/>
          <w:sz w:val="15"/>
          <w:szCs w:val="15"/>
          <w:color w:val="auto"/>
        </w:rPr>
      </w:pPr>
    </w:p>
    <w:p>
      <w:pPr>
        <w:ind w:left="452" w:right="240" w:hanging="452"/>
        <w:spacing w:after="0" w:line="250"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for purposes of this column, shares of common stock underlying the B-1 preferred stock as to which such person has shared voting power but which will be voted by 10X Fund.</w:t>
      </w:r>
    </w:p>
    <w:p>
      <w:pPr>
        <w:ind w:left="452" w:right="60" w:hanging="452"/>
        <w:spacing w:after="0" w:line="281"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(i) 3,600,000 shares of our common stock issuable upon conversion of 900,000 shares of Series B-1 preferred stock; (ii) 10,800,000 shares of our common stock underlying warrants to purchase shares of our common stock; (iii) 8,400,000 shares of our common stock issuable upon conversion of 2,100,000 shares of Series B-2 preferred stock that we have agreed to sell to 10X Fund pursuant to the 10X Purchase Agreement; and (iv) 25,200,000 shares of our common stock underlying warrants to purchase shares of our common stock that we have agreed to sell pursuant to the 10X Purchase Agreement in connection with the sale of the Series B-2 preferred stock. Each of Mr. Czirr and Mr. Martin,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jc w:val="both"/>
        <w:ind w:left="452" w:right="60" w:hanging="452"/>
        <w:spacing w:after="0" w:line="300" w:lineRule="auto"/>
        <w:tabs>
          <w:tab w:leader="none" w:pos="452"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(i) 500,000 shares of restricted stock, all of which are subject to forfeiture pursuant to the terms of the restricted stock grant; (ii) 3,600,000 shares of our common stock issuable upon conversion of 900,000 shares of Series B-1 preferred stock held of record by 10X Fund as to which Mr. Martin, in his capacity as a managing member of 10X Management, its general partner, has shared voting and investment power, and disclaims beneficial ownership;</w:t>
      </w:r>
    </w:p>
    <w:p>
      <w:pPr>
        <w:spacing w:after="0" w:line="1" w:lineRule="exact"/>
        <w:rPr>
          <w:rFonts w:ascii="Arial" w:cs="Arial" w:eastAsia="Arial" w:hAnsi="Arial"/>
          <w:sz w:val="15"/>
          <w:szCs w:val="15"/>
          <w:color w:val="auto"/>
        </w:rPr>
      </w:pPr>
    </w:p>
    <w:p>
      <w:pPr>
        <w:ind w:left="752" w:hanging="306"/>
        <w:spacing w:after="0"/>
        <w:tabs>
          <w:tab w:leader="none" w:pos="7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10,800,000 shares of our common stock underlying warrants to purchase shares of our common stock held of record by 10X Fund as to which</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Mr. Martin, in his capacity as a managing member of 10X Management, has shared voting and investment power, and disclaims beneficial ownership;</w:t>
      </w:r>
    </w:p>
    <w:p>
      <w:pPr>
        <w:spacing w:after="0" w:line="32" w:lineRule="exact"/>
        <w:rPr>
          <w:sz w:val="20"/>
          <w:szCs w:val="20"/>
          <w:color w:val="auto"/>
        </w:rPr>
      </w:pPr>
    </w:p>
    <w:p>
      <w:pPr>
        <w:ind w:left="452" w:right="140"/>
        <w:spacing w:after="0" w:line="300" w:lineRule="auto"/>
        <w:rPr>
          <w:sz w:val="20"/>
          <w:szCs w:val="20"/>
          <w:color w:val="auto"/>
        </w:rPr>
      </w:pPr>
      <w:r>
        <w:rPr>
          <w:rFonts w:ascii="Arial" w:cs="Arial" w:eastAsia="Arial" w:hAnsi="Arial"/>
          <w:sz w:val="15"/>
          <w:szCs w:val="15"/>
          <w:color w:val="auto"/>
        </w:rPr>
        <w:t>(iv) 8,400,000 shares of our common stock issuable upon conversion of 2,100,000 shares of Series B-2 preferred stock that we have agreed to sell to 10X Fund pursuant to the 10X Purchase Agreement; and (v) 25,200,000 shares of our common stock underlying warrants to purchase shares of our common stock that we have agreed to sell to 10X Fund pursuant to the 10X Purchase Agreement in connection with the sale of the Series B-2 preferred stock.</w:t>
      </w:r>
    </w:p>
    <w:p>
      <w:pPr>
        <w:spacing w:after="0" w:line="1" w:lineRule="exact"/>
        <w:rPr>
          <w:sz w:val="20"/>
          <w:szCs w:val="20"/>
          <w:color w:val="auto"/>
        </w:rPr>
      </w:pPr>
    </w:p>
    <w:p>
      <w:pPr>
        <w:ind w:left="452" w:right="400" w:hanging="452"/>
        <w:spacing w:after="0" w:line="250"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of restricted stock, all of which are subject to forfeiture pursuant to the terms of the restricted stock grant.</w:t>
      </w:r>
    </w:p>
    <w:p>
      <w:pPr>
        <w:spacing w:after="0" w:line="9" w:lineRule="exact"/>
        <w:rPr>
          <w:rFonts w:ascii="Arial" w:cs="Arial" w:eastAsia="Arial" w:hAnsi="Arial"/>
          <w:sz w:val="18"/>
          <w:szCs w:val="18"/>
          <w:color w:val="auto"/>
        </w:rPr>
      </w:pPr>
    </w:p>
    <w:p>
      <w:pPr>
        <w:jc w:val="both"/>
        <w:ind w:left="452" w:right="120" w:hanging="452"/>
        <w:spacing w:after="0" w:line="255"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48,000,000 shares of our common stock underlying the Series B preferred stock and related warrants as to which Messrs. Czirr and Martin share voting and investment control but are counted one time for purposes of this total. For additional information about the beneficial ownership of our capital stock by Messrs. Czirr and Martin, see notes 8 and 11 respectively.</w:t>
      </w:r>
    </w:p>
    <w:p>
      <w:pPr>
        <w:spacing w:after="0" w:line="13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Series B Designation Certificate provides that the holder(s) of our Series B preferred stock have the right, as long as any shares of Series B preferred stock are outstanding, to nominate four persons to serve of our Board of Directors, two of whom are to be elected by the holder(s) of Series B preferred stock, voting as a separate class, and two of whom, referred to as the Series B nominees, must be recommended for election by holders of all of our voting securities, voting as a single class. Mr. Czirr and Mr. Martin are the Series B directors who will serve on our Board of Directors as a result of their nomination and election by the holder of Series B preferred stock. Drs. Amelio and Traber are the Series B nominees who are recommended in this Proxy Statement for election at the 2009 Annual Meeting. If Drs. Amelio and Traber are elected to the Board of Directors, and assuming all six of the nominees recommended in this Proxy Statement are elected to the Board of Directors, the holder of the Series B preferred stock shall have nominated or elected four of our eight directors. As of April 9, 2009, 10X Fund is the owner of all of the issued and outstanding shares of the Series B preferred stock.</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Series B Designation Certificate also provides that the holder(s) of the Series B preferred stock, following the sale and issuance of all of the authorized shares Series B-2 preferred stock, will have the right to nominate a third person to serve on our Board of Directors, which nominee must be recommended for election by holders of all our voting securities, voting as a single class. In that case, and assuming all three of the Series B preferred stockholder nominees are elected to the Board of Directors, the Series B preferred stockholder will have nominated or elected five of our nine directors. The 10X Purchase Agreement requires that the Series B-2 preferred stock, none of which has been issued and outstanding as of April 9, 2009, must be purchased within 120 days after the initial closing date of February 12, 2009, which may be extended by an additional 60 days if we have issued at least $2,500,000 of Series B preferred stock within 90 days after the initial closing date. Following the sale and issuance of all of the authorized shares of Series B preferred stock, and as long as any shares of Series B preferred stock are issued and outstanding, the holders of our Series B preferred stock have the right to nominate or elect five, or a majority, of the members of our Board of Directors. The Series B Designation Certificate requires the consent of the Series B preferred stockholder(s) to amend our articles of incorporation which currently provide that the number of members of our Board of Directors cannot exceed nine.</w:t>
      </w:r>
    </w:p>
    <w:p>
      <w:pPr>
        <w:spacing w:after="0" w:line="12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10X Fund is the purchaser named in the securities purchase agreement that has agreed to purchase all of the shares of Series B-2 preferred stock, and upon completion of this sale and issuance will be the owner of all of the issued and outstanding shares of Series B preferred stock. In that event, 10X Fund will have the right to elect or nominate five of nine members, or a majority, of our Board of Directors.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six members of our current Board of Directors to be re-elected at the Annual Meeting to serve one-year terms until the 2010 annual meeting of stockholders and until their respective successors are elected and qualified. Each nominee has agreed to serve if elected.</w:t>
      </w:r>
    </w:p>
    <w:p>
      <w:pPr>
        <w:spacing w:after="0" w:line="14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Nominating and Corporate Governance Committee is nominating six directors, which is fewer than the number (nine) of directors fixed by our governing instruments, to be elected to the Board of Directors because James C. Czirr, age 55, and Rod D. Martin, age 39, are the Series B directors who are nominated and elected by the holder(s) of the Series B preferred stock voting as a separate class. Mr. Czirr serves as the Chairman of the Board. Background information with respect to Messrs. Czirr and Martin is provided below.</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Committee has approved the nomination of Gilbert F. Amelio, Ph.D. and Peter G. Traber, M.D., as the Series B nominees, based on the recommendation of 10X Fund, which is the holder of all of the issued and outstanding shares of the Series B preferred stock. If all of the nominees are elected at the Annual Meeting, our Board of Directors will have eight members, and one vacancy, which may be filled by the appointment of Arthur R. Greenberg, whom 10X Fund has named as the third Series B nominee. For additional information with respect to the Series B directors and Series B nominees, see “Security Ownership of Certain Beneficial Owners and Management—Change of Control” above.</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9, 2009, including their ages, positions with Pro-Pharmaceuticals,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2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 as of 4/9/09</w:t>
            </w:r>
          </w:p>
        </w:tc>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540" w:type="dxa"/>
            <w:vAlign w:val="bottom"/>
          </w:tcPr>
          <w:p>
            <w:pPr>
              <w:spacing w:after="0"/>
              <w:rPr>
                <w:sz w:val="14"/>
                <w:szCs w:val="14"/>
                <w:color w:val="auto"/>
              </w:rPr>
            </w:pPr>
          </w:p>
        </w:tc>
      </w:tr>
      <w:tr>
        <w:trPr>
          <w:trHeight w:val="210"/>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Gilbert F. Amelio, Ph.D.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22"/>
        </w:trPr>
        <w:tc>
          <w:tcPr>
            <w:tcW w:w="4200" w:type="dxa"/>
            <w:vAlign w:val="bottom"/>
            <w:gridSpan w:val="3"/>
          </w:tcPr>
          <w:p>
            <w:pPr>
              <w:spacing w:after="0"/>
              <w:rPr>
                <w:sz w:val="20"/>
                <w:szCs w:val="20"/>
                <w:color w:val="auto"/>
              </w:rPr>
            </w:pPr>
            <w:r>
              <w:rPr>
                <w:rFonts w:ascii="Arial" w:cs="Arial" w:eastAsia="Arial" w:hAnsi="Arial"/>
                <w:sz w:val="18"/>
                <w:szCs w:val="18"/>
                <w:color w:val="auto"/>
              </w:rPr>
              <w:t>Peter G. Traber, M.D.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Mildred S. Christian, Ph.D., was a member of the Board of Directors until her death on March 26, 2009. Our Board of Directors and management are grateful for her diligent service as a member of the Board and the Compensation Committee since 2002 and offer our condolences to her family, friends and colleagues.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Dr. Zucconi, a director since 2007, was named our Chief Executive Officer and President on February 12, 2009, and served as its President from October 2007 to December 31, 2008. From 2002 to 2007, Dr. Zucconi was President of Implementation Edge, a management consulting firm that specializes in organizational performance improvement. From 1994 until 2002, Dr. Zucconi served in various capacities at Motorola, including Director of Motorola University. Prior to Motorola, Dr. Zucconi held technical, operational, and senior management positions at various high technology companies, including IBM and Nortel Networks. Dr. Zucconi received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B.S. degree in Chemistry from Villanova University, an M.S. degree in Chemistry from the University of Connecticut and a Ph.D. in analytical chemistry from State University of New York in 1977. Dr. Zucconi also received a Master’s Certificate in international management from Thunderbird University and a certified project manager from Stanford University.</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Dr. Amelio was appointed a director on February 12, 2009. Dr. Amelio, who began his career at Bell Labs, is Senior Partner of Sienna Ventures, a privately-held venture capital firm, and has acted in this capacity since 2001. Dr. Amelio was Chairman and Chief Executive Officer of Jazz Technologies, Inc., a specialty wafer foundry, from 2005 until his retirement in 2008, when he was named Chairman Emeritus. Dr. Amelio was Chairman and Chief Executive Officer of Beneventure Capital, LLC, a venture capital firm from 1999 to 2005 and was Principal of Aircraft Ventures, LLC, a consulting firm from 1997 to 2004.</w:t>
      </w:r>
    </w:p>
    <w:p>
      <w:pPr>
        <w:spacing w:after="0" w:line="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Dr. Amelio was elected a Director of AT&amp;T (NYSE: T) in 2001 and had previously served as an Advisory Director of AT&amp;T from 1997 to 2001. He served as a Director of Pacific Telesis Group from 1995 until the company was acquired by AT&amp;T in 1997. Dr. Amelio was chief executive officer of Apple, Inc., and from 1991 to 1993, he was chief executive officer of National Semiconductor Corporation. He was a director of Chiron, now a part of Novartis.</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Czirr, a Series B director, was appointed a director and became Chairman of the Board of Directors on February 12, 2009. Mr. Czirr is a co-founder 10X Fund, L.P. and is a managing member of 10X Capital Management LLC, the general partner 10X Fund, L.P. Mr. Czirr was a co-founder of Pro-Pharmaceuticals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(NYSE Alternext US: MMG), a mineral exploration company seeking to become a low cost producer of zinc. Mr. Czirr received a B.A. degree from the University of Michigan.</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Mr. Martin, a Series B director, was appointed a director and became a member of the Nominating and Corporate Governance Committee and member of the Compensation Committee on February 12, 2009. Mr. Martin is a co-founder 10X Fund, L.P. and is a managing member of 10X Capital Management LLC, the general partner 10X Fund, L.P. Mr. Martin served as a senior advisor to PayPal, Inc. founder Peter Thiel, during the period in which the company conducted its initial public offering and subsequently acquired by eBay Inc., and afterward, served at Clarium Capital, a global macro hedge fund which has more than $5 billion under management. Mr. Martin also served as Director of Policy Planning &amp; Research for former Arkansas Governor and presidential candidate Mike Huckabee. He is a widely noted author and speaker, and leads several non-profit organizations. Mr. Martin holds a J.D. from Baylor Law School and B.A. from the University of Arkansas.</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Dr. Traber was appointed a director on February 12, 2009. Dr. Traber is President Emeritus, and from 2003 to 2008 was Chief Executive Officer, of Baylor College of Medicine. From 2000 to 2003 he was Senior Vice President Clinical Development and Regulatory Affairs and Chief Medical Officer of GlaxoSmithKline plc. He has also served as Chief Executive Officer of the University of Pennsylvania Health System, as well as Chair of the Department of Internal Medicine and Chief of Gastroenterology for the University of Pennsylvania School of Medicine. Dr. Traber received his M.D. from Wayne State School of Medicine and a B.S. in chemical engineering form the University of Michigan.</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Mr. Neill, a director since May 2007, became President of Pharmos Corp. (Nasdaq: PARS) in 2008, and since 2006, was its Senior Vice President, Chief Financial Officer, Secretary, and Treasurer. From 2003 to 2006, Mr. Neill served as Chief Financial Officer, Treasurer and Secretary of Axonyx Inc., a biopharmaceutical company that develops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President Financial Services of The BOC Group Inc., a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 Economics. He is a Certified Public Accountant in New York State and a Chartered Accountant in Ireland.</w:t>
      </w:r>
    </w:p>
    <w:p>
      <w:pPr>
        <w:spacing w:after="0" w:line="12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Mr. Prelack, a director since April 2003, has served as Senior Vice President, Chief Financial Officer and Treasurer of VelQuest Corporation since 2001, a provider of automated compliance management solutions for the pharmaceutical industry. In this capacity, Mr. Prelack oversees business development, financial, administrative and other functions and is responsible for VelQuest’s transition from a development-stage company to an operating company. Mr. Prelack is a director of Codeco Corporation, a designer and manufacturer of custom resisters and switches, and of Sight Code, Inc., which specializes in OPM, a systems design and architecture platform. Mr. Prelack, a Certified Public Accountant, received a B.B.A. degree from the University of Massachusetts at Amherst in 1979.</w:t>
      </w:r>
    </w:p>
    <w:p>
      <w:pPr>
        <w:spacing w:after="0" w:line="10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Mr. Rome, a director of ours since March 2004, has been a private investor since 1996. Mr. Rome founded Amberline Pharmaceutical Care Corp., a marketer of 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Theodore Zucconi, Ph.D., President (see Board of Directors)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Anatole Klyosov, Ph.D., D.Sc., is Chief Scientist, a co-inventor of our patented technology, and a founder of Pro-Pharmaceuticals. Dr. Klyosov was vice 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230 peer-reviewed articles in scientific journals, authored books on enzymes, carbohydrates, and biotechnology, and holds more than 20 patents. Dr. Klyosov earned his Ph.D. and D.Sc. degrees in physical chemistry, and an M.S. degree in enzyme kinetics, from Moscow State University.</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Eliezer Zomer, Ph.D., is Executive Vice President of Manufacturing and Product Development.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Anthony D. Squeglia became our Chief Financial Officer in October 2007 and from 2003 served as our Vice President of Investor Relations. From 2001 to 2003, Mr. Squeglia was a Partner in JFS Advisors, a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consulting firm that delivered strategic services to entrepreneurial businesses that includes raising funds, business planning, positioning, branding, marketing and sales channel development. From 1996 to 2001, Mr. Squeglia was Director of Investor Relations and Corporate Communications for Quentra/Coyote Networks. Previously, Mr. Squeglia held management positions with Summa Four, Unisys, AT&amp;T, Timeplex, Colonial Penn and ITT. Mr. Squeglia received an M.B.A. from Pepperdine University and a B.B.A. from The Wharton School, University of Pennsylvania.</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Maureen Foley has been our Chief Operating Officer since October 2001 and was formerly our Manager of Operations and acting Chief Financial Officer. She has provided 30 years of business and operations management experience including facility design, construction, and fit out, project management, IT, HR, press and public relations, accounting and finance to startup companies. Between 1999 and 2000 she managed business operations for eHealthDirect, Inc., a developer of medical records processing software; and ArsDigita, Inc., a web development company. From 1996 to 1999, she served as Manager of Operations with Thermo Fibergen, Inc., a developer of composite materials and a subsidiary of Thermo Electron Corporation. Ms. Foley is a graduate of The Wyndham School, Boston, Massachusetts, with a major in Mechanical Engineering. Ms. Foley serves as Secretary to the Board.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has determined that all of the directors named in this Proxy Statement are, and all of the former directors who served during our last fiscal year, were “independent” within the meaning of the rules of the NYSE Alternext US, other than Dr. Zucconi, who does not serve on a standing committee, and David Platt, Ph.D., formerly our Chief Executive Officer and a director. During the year ended December 31, 2008, our Board of Directors held 13 meetings. One of our incumbent directors attended fewer than 75% of the meetings of the Board of Director or committees of the Board on which he or she serves during the last full fiscal year.</w:t>
      </w:r>
    </w:p>
    <w:p>
      <w:pPr>
        <w:spacing w:after="0" w:line="2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required under the rules of the NYSE Alternext US, we held at least one meeting of the Board during 2008 which was attended only by the independent (non-management) directors.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During 2008, the Board of Directors had three standing committees: the Compensation Committee, the Audit Committee and the Nominating and Corporate Governance Committee.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Compensation Committee met two times in 2008. The members of this committee are Rod D. Martin (chair), Gilbert F. Amelio and Arthur R. Greenberg. Mr. Greenberg, although not a member of our Board of Directors, serves on this committee as part of our agreement with 10X Fund. During 2008 and until February 12, 2009, the members of this committee were Mildred Christian (chair) and Henry Esber.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2003 Non-employee Director Stock Incentive Plan and the 2009 Incentive Compensation Plan.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Audit Committee met sixteen times in 2008. The members of this committee are Steven Prelack (chair), Jerald K. Rome and S. Colin Neill. During 2008 and until February 12, 2009, Dale Conaway was a member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ind w:right="1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committee.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w:t>
      </w:r>
    </w:p>
    <w:p>
      <w:pPr>
        <w:spacing w:after="0" w:line="1" w:lineRule="exact"/>
        <w:rPr>
          <w:sz w:val="20"/>
          <w:szCs w:val="20"/>
          <w:color w:val="auto"/>
        </w:rPr>
      </w:pPr>
    </w:p>
    <w:p>
      <w:pPr>
        <w:ind w:right="40" w:firstLine="8"/>
        <w:spacing w:after="0" w:line="254"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Nominating and Corporate Governance Committee did not meet in 2008. The members of this committee are Rod D. Martin (chair), Jerald Rome and Gilbert F. Amelio. During 2008 and until February 12, 2009, Dale Conaway, and until March 26, 2009, Mildred S. Christian, served on this committee.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Stockholders may send communications to the Board, the Chairman, or one or more non-management directors by using the contact information provided on our website. Stockholders also may send communications by letter addressed to Anthony D. Squeglia, Chief Financial Officer, Pro-Pharmaceuticals, Inc., 7 Wells Avenue, Newton, Massachusetts 02459, or by calling (617) 559-0033. All communications will be received and reviewed by our Chief Financial Officer. Stockholder concerns about our accounting, internal controls, auditing matters or business practices will be reported to the Audit Committee. All other concerns will be reported to the appropriate committee(s) of the Board.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Six members of the Board attended our 2008 annual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NAMED EXECUTIVE OFFICERS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following information summarizes the compensation paid to our Named Executive Officers for the fiscal years ended December 31, 2008 and 2007.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Option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4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56"/>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156,787</w:t>
            </w:r>
          </w:p>
        </w:tc>
        <w:tc>
          <w:tcPr>
            <w:tcW w:w="94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4"/>
              </w:rPr>
              <w:t>40,244</w:t>
            </w:r>
            <w:r>
              <w:rPr>
                <w:rFonts w:ascii="Arial" w:cs="Arial" w:eastAsia="Arial" w:hAnsi="Arial"/>
                <w:sz w:val="22"/>
                <w:szCs w:val="22"/>
                <w:color w:val="auto"/>
                <w:w w:val="84"/>
                <w:vertAlign w:val="superscript"/>
              </w:rPr>
              <w:t>(3)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Chief Executive Officer</w:t>
            </w:r>
            <w:r>
              <w:rPr>
                <w:rFonts w:ascii="Arial" w:cs="Arial" w:eastAsia="Arial" w:hAnsi="Arial"/>
                <w:sz w:val="22"/>
                <w:szCs w:val="22"/>
                <w:color w:val="auto"/>
                <w:vertAlign w:val="superscript"/>
              </w:rPr>
              <w:t>(2)</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86,250</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49,850</w:t>
            </w:r>
            <w:r>
              <w:rPr>
                <w:rFonts w:ascii="Arial" w:cs="Arial" w:eastAsia="Arial" w:hAnsi="Arial"/>
                <w:sz w:val="22"/>
                <w:szCs w:val="22"/>
                <w:color w:val="auto"/>
                <w:w w:val="84"/>
                <w:vertAlign w:val="superscript"/>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137,169</w:t>
            </w: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48,215</w:t>
            </w:r>
          </w:p>
        </w:tc>
        <w:tc>
          <w:tcPr>
            <w:tcW w:w="940" w:type="dxa"/>
            <w:vAlign w:val="bottom"/>
          </w:tcPr>
          <w:p>
            <w:pPr>
              <w:jc w:val="center"/>
              <w:spacing w:after="0" w:line="208" w:lineRule="exact"/>
              <w:rPr>
                <w:sz w:val="20"/>
                <w:szCs w:val="20"/>
                <w:color w:val="auto"/>
              </w:rPr>
            </w:pPr>
            <w:r>
              <w:rPr>
                <w:rFonts w:ascii="Arial" w:cs="Arial" w:eastAsia="Arial" w:hAnsi="Arial"/>
                <w:sz w:val="18"/>
                <w:szCs w:val="18"/>
                <w:color w:val="auto"/>
                <w:w w:val="84"/>
              </w:rPr>
              <w:t>39,502</w:t>
            </w:r>
            <w:r>
              <w:rPr>
                <w:rFonts w:ascii="Arial" w:cs="Arial" w:eastAsia="Arial" w:hAnsi="Arial"/>
                <w:sz w:val="22"/>
                <w:szCs w:val="22"/>
                <w:color w:val="auto"/>
                <w:w w:val="84"/>
                <w:vertAlign w:val="superscript"/>
              </w:rPr>
              <w:t>(6)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President</w:t>
            </w:r>
            <w:r>
              <w:rPr>
                <w:rFonts w:ascii="Arial" w:cs="Arial" w:eastAsia="Arial" w:hAnsi="Arial"/>
                <w:sz w:val="22"/>
                <w:szCs w:val="22"/>
                <w:color w:val="auto"/>
                <w:vertAlign w:val="superscript"/>
              </w:rPr>
              <w:t>(5)</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55,410</w:t>
            </w:r>
          </w:p>
        </w:tc>
        <w:tc>
          <w:tcPr>
            <w:tcW w:w="2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center"/>
              <w:spacing w:after="0" w:line="224" w:lineRule="exact"/>
              <w:rPr>
                <w:sz w:val="20"/>
                <w:szCs w:val="20"/>
                <w:color w:val="auto"/>
              </w:rPr>
            </w:pPr>
            <w:r>
              <w:rPr>
                <w:rFonts w:ascii="Arial" w:cs="Arial" w:eastAsia="Arial" w:hAnsi="Arial"/>
                <w:sz w:val="18"/>
                <w:szCs w:val="18"/>
                <w:color w:val="auto"/>
                <w:w w:val="84"/>
              </w:rPr>
              <w:t>16,284</w:t>
            </w:r>
            <w:r>
              <w:rPr>
                <w:rFonts w:ascii="Arial" w:cs="Arial" w:eastAsia="Arial" w:hAnsi="Arial"/>
                <w:sz w:val="22"/>
                <w:szCs w:val="22"/>
                <w:color w:val="auto"/>
                <w:w w:val="84"/>
                <w:vertAlign w:val="superscript"/>
              </w:rPr>
              <w:t>(7)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224,886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124,333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109,882</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29,271</w:t>
            </w:r>
            <w:r>
              <w:rPr>
                <w:rFonts w:ascii="Arial" w:cs="Arial" w:eastAsia="Arial" w:hAnsi="Arial"/>
                <w:sz w:val="22"/>
                <w:szCs w:val="22"/>
                <w:color w:val="auto"/>
                <w:w w:val="84"/>
                <w:vertAlign w:val="superscript"/>
              </w:rPr>
              <w:t>(8)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of Manufacturing and Product Development</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85,651</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26,870</w:t>
            </w:r>
            <w:r>
              <w:rPr>
                <w:rFonts w:ascii="Arial" w:cs="Arial" w:eastAsia="Arial" w:hAnsi="Arial"/>
                <w:sz w:val="22"/>
                <w:szCs w:val="22"/>
                <w:color w:val="auto"/>
                <w:w w:val="84"/>
                <w:vertAlign w:val="superscript"/>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Reference is made to Note 9, “Stock Based Compensation,” to the Consolidated Financial Statements filed in our Form 10-K for the year ended December 31, 2008 filed with the SEC on March 30, 2009, which identifies assumptions made in the valuation of option awards in accordance with SFAS No. 123(R). The amounts listed in this column represent the amount of stock based compensation recognized for financial statement reporting purposes for the year ended December 31, 2008, in accordance with SFAS No. 123(R) and thus may include amounts from awards granted in or prior to 2008 in our operating expenses for the named executive officers for the year ended December 31, 2008.</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Resigned effective February 12,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$27,403 for health insurance expenses, $7,201 for automobile expenses, and $5,640 for retirement plan contributions.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$22,220 for health insurance expenses, $17,795 for automobile expenses, $7,800 for retirement plan contributions and $2,035 for health club expenses.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Appointed Chief Executive Officer effective February 12,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$34,744 for local housing and travel to permanent residence and $4,758 for automobile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$15,223 for local housing and travel to permanent residence and $1,061 for automobile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$24,568 for health insurance expenses and $4,703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$19,937 for health insurance expenses, $6,533 for retirement plan contributions, and $400 for health club expenses.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in 2008 and 2007.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Theodore D. Zucconi, PhD., Chief Executive Officer and President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entered into an employment agreement with Dr. Zucconi on December 19, 2007, which we refer to as the Zucconi Employment Agreement, which amended and restated his prior employment agreement effective October 1, 2007. Although the Zucconi Employment Agreement expired on October 1, 2008, we continued to compensate him on the same terms until December 31, 2008, when his employment terminated in connection with our cash conservation efforts. In connection with the purchase of our Series B preferred stock, Dr. Zucconi</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 w:name="page17"/>
    <w:bookmarkEnd w:id="1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appointed as our Chief Executive Officer and President effective February 12, 2009. As of April 3, 2009, we have not entered into a written employment with Dr. Zucconi.</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now-expired Zucconi Employment Agreement, Dr. Zucconi is required to assign inventions and other intellectual property to us which he conceives or reduces to practice during employment and for one year after the end of his employment. Dr. Zucconi has also agreed to refrain from soliciting, diverting or accepting business relating to our products, processes or services from any customers that he has come into contact with as a result of his employment with us for a period of 12 months after termination of his employment. In addition, Dr. Zucconi has agreed to refrain from rendering any services as an employee, consultant or otherwise to any competing organization or from owning any interest in any competing organization for a period of six months after termination of his employment. Dr. Zucconi is also subject to a non-solicitation provision for 12 months after termination of his employment.</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Zucconi Employment Agreement provided a monthly salary of $9,167 in 2007 and an annual salary of $220,000 in 2008, payment of 50% of which was deferred until October 1, 2008. Under the Zucconi Employment Agreement, Dr. Zucconi was paid a cash bonus of $27,500 before June 1, 2008, and was entitled to health insurance, participation in our 401(k) plan and other employee benefits, as well as $54,000 for relocation costs and airfare reimbursement (usable by him or his spouse) for up to 14 round trips to his home in Phoenix, Arizona. The Zucconi Employment Agreement also provided for a “sign-on” bonus of 200,000 stock options, which were granted in December 2007, and 10,000 incentive stock options for each $1.0 million of financing received by us from investors identified by him. All of these stock options were fully vested on the applicable grant date, had an exercise price equal to the fair market value of our common stock on the grant date, and are exercisable for five years, whether or not Dr. Zucconi is then employed by us.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Platt, PhD., former Chief Executive Officer and President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2, 2004, we entered into an employment with David Platt, Ph.D., then our President and Chief Executive Officer, which we refer to as the Platt Employment Agreement. The Platt Employment Agreement terminated as of Dr. Platt’s voluntary resignation from these offices on February 12, 2009, on which date we entered into a separation agreement with Dr. Platt, which we refer to as the Separation Agreement. The Separation Agreement addressed certain matters in the Platt Employment Agreement including events that would trigger bonus compensation as well as severance compensation. No “triggers” for bonus compensation occurred in 2008 under the Platt Employment Agreement, and, accordingly, we did not pay a bonus to Dr. Platt in 2008.</w:t>
      </w:r>
    </w:p>
    <w:p>
      <w:pPr>
        <w:spacing w:after="0" w:line="1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Dr. Platt will continue to provide consulting services to us. The Separation Agreement requires that we pay Dr. Platt his current salary at the monthly rate of $21,667 for 24 months. We may defer payment of a portion of such salary amounts above $10,000 per month (so long as Dr. Platt does not receive payments of less than the salary payments being made to our Chief Executive Officer). However, all deferred amounts will continue to accrue and will be payable upon the earlier to occur of (i) our receipt of a minimum of $4.0 million of funding after February 12, 2009, or (ii) February 12, 2011. We also agreed to continue to</w:t>
      </w:r>
    </w:p>
    <w:p>
      <w:pPr>
        <w:spacing w:after="0" w:line="3" w:lineRule="exact"/>
        <w:rPr>
          <w:sz w:val="20"/>
          <w:szCs w:val="20"/>
          <w:color w:val="auto"/>
        </w:rPr>
      </w:pPr>
    </w:p>
    <w:p>
      <w:pPr>
        <w:ind w:right="200" w:firstLine="8"/>
        <w:spacing w:after="0" w:line="255"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health and dental insurance benefits to Dr. Platt, until the first to occur of February 12, 2011 or the date Dr. Platt and his family become eligible to receive health and dental insurance benefits under the plans of a subsequent employer and (ii) make the current monthly lease payments on his automobile until February 12, 2011.</w:t>
      </w:r>
    </w:p>
    <w:p>
      <w:pPr>
        <w:spacing w:after="0" w:line="144" w:lineRule="exact"/>
        <w:rPr>
          <w:sz w:val="20"/>
          <w:szCs w:val="20"/>
          <w:color w:val="auto"/>
        </w:rPr>
      </w:pPr>
    </w:p>
    <w:p>
      <w:pPr>
        <w:jc w:val="both"/>
        <w:ind w:right="40" w:firstLine="456"/>
        <w:spacing w:after="0" w:line="300" w:lineRule="auto"/>
        <w:rPr>
          <w:sz w:val="20"/>
          <w:szCs w:val="20"/>
          <w:color w:val="auto"/>
        </w:rPr>
      </w:pPr>
      <w:r>
        <w:rPr>
          <w:rFonts w:ascii="Arial" w:cs="Arial" w:eastAsia="Arial" w:hAnsi="Arial"/>
          <w:sz w:val="15"/>
          <w:szCs w:val="15"/>
          <w:color w:val="auto"/>
        </w:rPr>
        <w:t>The Separation Agreement provides that the $1 million severance compensation formerly payable under the Platt Employment Agreement may be deferred until the occurrence of any of the following events, referred to as a Milestone Event: (i) approval by the Food and Drug Administration of a new drug application,</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or NDA, for any drug candidate or drug delivery candidate based on our DAVANAT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(whether or not such technology is patented); (ii) consummation of a transaction with a pharmaceutical company expected to result in at least $10.0 million of equity investment or $50.0 million of royalty revenue to us; or</w:t>
      </w:r>
    </w:p>
    <w:p>
      <w:pPr>
        <w:ind w:right="280" w:firstLine="8"/>
        <w:spacing w:after="0" w:line="238" w:lineRule="auto"/>
        <w:tabs>
          <w:tab w:leader="none" w:pos="3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renewed listing of our securities on a national securities exchange and the achievement of a market capitalization of $100.0 million. Payment upon the events referred to in clause (i) and (iii) may be deferred up to six months, and if we have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insufficient cash at the time of any of such events, we may issue Dr. Platt a secured promissory note for such amount. If we file a voluntary or involuntary petition for bankruptcy, whether or not a Milestone Event has occurred, such event shall trigger our obligation to pay the $1.0 million with the result that Dr. Platt may assert a claim for such obligation against the bankruptcy estate.</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5"/>
          <w:szCs w:val="15"/>
          <w:color w:val="auto"/>
        </w:rPr>
        <w:t>The Separation Agreement also provides that we will grant Dr. Platt fully vested cashless-exercise stock options exercisable to purchase shares of our common stock for ten years at an exercise price not less than the fair market value of our common stock on the date of the grant, as follows: (i) at least 300,000 options upon consummation of a transaction with a pharmaceutical company expected to result in at least $10.0 million of equity investment or $50.0 million of royalty revenue to us, and (ii) at least 500,000 options upon approval by the FDA of the first NDA for any of our drug or drug delivery candidates based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DAVANAT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technology (whether or not such technology is patented).</w:t>
      </w:r>
    </w:p>
    <w:p>
      <w:pPr>
        <w:spacing w:after="0" w:line="15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Separation Agreement provides that the confidentiality provisions in the Platt Employment Agreement remain in effect and contains non-competition covenants that continue for 24 months after its effective date.</w:t>
      </w:r>
    </w:p>
    <w:p>
      <w:pPr>
        <w:spacing w:after="0" w:line="213" w:lineRule="exact"/>
        <w:rPr>
          <w:sz w:val="20"/>
          <w:szCs w:val="20"/>
          <w:color w:val="auto"/>
        </w:rPr>
      </w:pPr>
    </w:p>
    <w:p>
      <w:pPr>
        <w:ind w:left="460" w:right="4500"/>
        <w:spacing w:after="0" w:line="362" w:lineRule="auto"/>
        <w:rPr>
          <w:sz w:val="20"/>
          <w:szCs w:val="20"/>
          <w:color w:val="auto"/>
        </w:rPr>
      </w:pPr>
      <w:r>
        <w:rPr>
          <w:rFonts w:ascii="Arial" w:cs="Arial" w:eastAsia="Arial" w:hAnsi="Arial"/>
          <w:sz w:val="18"/>
          <w:szCs w:val="18"/>
          <w:i w:val="1"/>
          <w:iCs w:val="1"/>
          <w:color w:val="auto"/>
        </w:rPr>
        <w:t xml:space="preserve">Eliezer Zomer, Ph.D., Executive Vice President of Manufacturing and Product Development </w:t>
      </w:r>
      <w:r>
        <w:rPr>
          <w:rFonts w:ascii="Arial" w:cs="Arial" w:eastAsia="Arial" w:hAnsi="Arial"/>
          <w:sz w:val="18"/>
          <w:szCs w:val="18"/>
          <w:color w:val="auto"/>
        </w:rPr>
        <w:t>We do not have an employment agreement with Dr. Zomer.</w:t>
      </w:r>
    </w:p>
    <w:p>
      <w:pPr>
        <w:spacing w:after="0" w:line="20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OUTSTANDING EQUITY AWARDS AT YEAR 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summarizes outstanding equity awards held by the Named Executive Officers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tcBorders>
              <w:bottom w:val="single" w:sz="8" w:color="auto"/>
            </w:tcBorders>
            <w:gridSpan w:val="3"/>
          </w:tcPr>
          <w:p>
            <w:pPr>
              <w:jc w:val="right"/>
              <w:ind w:right="858"/>
              <w:spacing w:after="0"/>
              <w:rPr>
                <w:sz w:val="20"/>
                <w:szCs w:val="20"/>
                <w:color w:val="auto"/>
              </w:rPr>
            </w:pPr>
            <w:r>
              <w:rPr>
                <w:rFonts w:ascii="Arial" w:cs="Arial" w:eastAsia="Arial" w:hAnsi="Arial"/>
                <w:sz w:val="14"/>
                <w:szCs w:val="14"/>
                <w:b w:val="1"/>
                <w:bCs w:val="1"/>
                <w:color w:val="auto"/>
              </w:rPr>
              <w:t>Stock Option Awards</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0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6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Option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Unexercised</w:t>
            </w:r>
          </w:p>
        </w:tc>
        <w:tc>
          <w:tcPr>
            <w:tcW w:w="64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Option</w:t>
            </w:r>
          </w:p>
        </w:tc>
        <w:tc>
          <w:tcPr>
            <w:tcW w:w="19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Options (#)</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tcPr>
          <w:p>
            <w:pPr>
              <w:spacing w:after="0"/>
              <w:rPr>
                <w:sz w:val="12"/>
                <w:szCs w:val="12"/>
                <w:color w:val="auto"/>
              </w:rPr>
            </w:pPr>
          </w:p>
        </w:tc>
        <w:tc>
          <w:tcPr>
            <w:tcW w:w="11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Price Per</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Grant Date</w:t>
            </w:r>
          </w:p>
        </w:tc>
        <w:tc>
          <w:tcPr>
            <w:tcW w:w="19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Exercisable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6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 xml:space="preserve">Share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03/09/2006</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03/09/2011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03/08/2007</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560" w:type="dxa"/>
            <w:vAlign w:val="bottom"/>
            <w:gridSpan w:val="3"/>
          </w:tcPr>
          <w:p>
            <w:pPr>
              <w:spacing w:after="0"/>
              <w:rPr>
                <w:sz w:val="20"/>
                <w:szCs w:val="20"/>
                <w:color w:val="auto"/>
              </w:rPr>
            </w:pPr>
            <w:r>
              <w:rPr>
                <w:rFonts w:ascii="Arial" w:cs="Arial" w:eastAsia="Arial" w:hAnsi="Arial"/>
                <w:sz w:val="18"/>
                <w:szCs w:val="18"/>
                <w:color w:val="auto"/>
              </w:rPr>
              <w:t>Theodore Zucconi, Ph.D.</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12/10/07</w:t>
            </w:r>
          </w:p>
        </w:tc>
        <w:tc>
          <w:tcPr>
            <w:tcW w:w="1900" w:type="dxa"/>
            <w:vAlign w:val="bottom"/>
            <w:gridSpan w:val="2"/>
          </w:tcPr>
          <w:p>
            <w:pPr>
              <w:jc w:val="right"/>
              <w:ind w:right="640"/>
              <w:spacing w:after="0"/>
              <w:rPr>
                <w:sz w:val="20"/>
                <w:szCs w:val="20"/>
                <w:color w:val="auto"/>
              </w:rPr>
            </w:pPr>
            <w:r>
              <w:rPr>
                <w:rFonts w:ascii="Arial" w:cs="Arial" w:eastAsia="Arial" w:hAnsi="Arial"/>
                <w:sz w:val="18"/>
                <w:szCs w:val="18"/>
                <w:color w:val="auto"/>
              </w:rPr>
              <w:t>200,000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0.70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12/10/2012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04/10/2008</w:t>
            </w:r>
          </w:p>
        </w:tc>
        <w:tc>
          <w:tcPr>
            <w:tcW w:w="1900" w:type="dxa"/>
            <w:vAlign w:val="bottom"/>
            <w:gridSpan w:val="2"/>
          </w:tcPr>
          <w:p>
            <w:pPr>
              <w:jc w:val="right"/>
              <w:ind w:right="640"/>
              <w:spacing w:after="0"/>
              <w:rPr>
                <w:sz w:val="20"/>
                <w:szCs w:val="20"/>
                <w:color w:val="auto"/>
              </w:rPr>
            </w:pPr>
            <w:r>
              <w:rPr>
                <w:rFonts w:ascii="Arial" w:cs="Arial" w:eastAsia="Arial" w:hAnsi="Arial"/>
                <w:sz w:val="18"/>
                <w:szCs w:val="18"/>
                <w:color w:val="auto"/>
              </w:rPr>
              <w:t>150,000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0.44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04/10/2013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2080" w:type="dxa"/>
            <w:vAlign w:val="bottom"/>
            <w:gridSpan w:val="3"/>
          </w:tcPr>
          <w:p>
            <w:pPr>
              <w:spacing w:after="0"/>
              <w:rPr>
                <w:sz w:val="6"/>
                <w:szCs w:val="6"/>
                <w:color w:val="auto"/>
              </w:rPr>
            </w:pPr>
          </w:p>
        </w:tc>
        <w:tc>
          <w:tcPr>
            <w:tcW w:w="1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12/04/2002</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11/14/2012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09/18/2003</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09/02/2013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12/21/2004</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03/09/2006</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33,333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03/08/2007</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Options vest annually, in equal increments, over three years beginning the first anniversary of the grant date, provided the grantee is then an employee. The exercise price of the options is set at the closing price of our stock on the date of grant. Grants of options are recommended by the Compensation Committee and adopted by the Board of Directors. No options were exercised in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w w:val="99"/>
              </w:rPr>
              <w:t>Non-Equity</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or Paid</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Incentive Plan</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Cash</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235"/>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3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81"/>
              </w:rPr>
              <w:t>($)</w:t>
            </w:r>
          </w:p>
        </w:tc>
        <w:tc>
          <w:tcPr>
            <w:tcW w:w="11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Mildred S. Christian, Ph.D.</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(2,292)</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7" w:lineRule="exact"/>
              <w:rPr>
                <w:sz w:val="20"/>
                <w:szCs w:val="20"/>
                <w:color w:val="auto"/>
              </w:rPr>
            </w:pPr>
            <w:r>
              <w:rPr>
                <w:rFonts w:ascii="Arial" w:cs="Arial" w:eastAsia="Arial" w:hAnsi="Arial"/>
                <w:sz w:val="18"/>
                <w:szCs w:val="18"/>
                <w:color w:val="auto"/>
              </w:rPr>
              <w:t>Dale H. Conaway, D.V.M</w:t>
            </w:r>
            <w:r>
              <w:rPr>
                <w:rFonts w:ascii="Arial" w:cs="Arial" w:eastAsia="Arial" w:hAnsi="Arial"/>
                <w:sz w:val="22"/>
                <w:szCs w:val="22"/>
                <w:color w:val="auto"/>
                <w:vertAlign w:val="superscript"/>
              </w:rPr>
              <w:t>(2)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(1,644)</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Henry J. Esber, Ph.D.</w:t>
            </w:r>
            <w:r>
              <w:rPr>
                <w:rFonts w:ascii="Arial" w:cs="Arial" w:eastAsia="Arial" w:hAnsi="Arial"/>
                <w:sz w:val="22"/>
                <w:szCs w:val="22"/>
                <w:color w:val="auto"/>
                <w:vertAlign w:val="superscript"/>
              </w:rPr>
              <w:t>(2)</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(1,149)</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7" w:lineRule="exact"/>
              <w:rPr>
                <w:sz w:val="20"/>
                <w:szCs w:val="20"/>
                <w:color w:val="auto"/>
              </w:rPr>
            </w:pPr>
            <w:r>
              <w:rPr>
                <w:rFonts w:ascii="Arial" w:cs="Arial" w:eastAsia="Arial" w:hAnsi="Arial"/>
                <w:sz w:val="18"/>
                <w:szCs w:val="18"/>
                <w:color w:val="auto"/>
              </w:rPr>
              <w:t>James T. Gourzis, M.D., Ph.D.</w:t>
            </w:r>
            <w:r>
              <w:rPr>
                <w:rFonts w:ascii="Arial" w:cs="Arial" w:eastAsia="Arial" w:hAnsi="Arial"/>
                <w:sz w:val="22"/>
                <w:szCs w:val="22"/>
                <w:color w:val="auto"/>
                <w:vertAlign w:val="superscript"/>
              </w:rPr>
              <w:t>(2)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(850)</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68,000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(1,131)</w:t>
            </w:r>
          </w:p>
        </w:tc>
        <w:tc>
          <w:tcPr>
            <w:tcW w:w="8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(1,934)</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8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the dollar amount recognized for financial statement reporting purposes for the fiscal year ended December 31, 2008, that were expensed accordance with SFAS No. 123(R) for awards granted in 2008 and stock options earned and expensed in 2008. This expense includes a mark to market credit for options earned in 2007 and granted in 2008. Reference is made to Note 9 “Stock Based Compensation” in our Form 10-K for the year ended December 31, 2008 filed with the SEC on March 30, 2009, which states the assumptions made in the calculation of these amounts.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Resigned on February 12, 2009.</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provided for in our 2003 Non-employee Directors Stock Incentive Plan, each non-employee director receives a grant of 500 non-qualified stock options for each meeting of our Board, and each meeting of a standing committee of the Board, that such director attended during a year of service. We paid Mr. Prelack $68,000 for service as Chair of the Audit Committee.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with respect to compensation plans, including individual compensation arrangements, under which our common stock is authorized for issuance.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0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0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0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7"/>
              </w:rPr>
              <w:t>warrants and rights</w:t>
            </w:r>
          </w:p>
        </w:tc>
        <w:tc>
          <w:tcPr>
            <w:tcW w:w="10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4,342,250</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403,250</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10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4,745,500</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80" w:type="dxa"/>
            <w:vAlign w:val="bottom"/>
          </w:tcPr>
          <w:p>
            <w:pPr>
              <w:jc w:val="right"/>
              <w:ind w:right="862"/>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AND ADOPTION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PRO-PHARMACEUTICALS, INC. 2009 INCENTIVE COMPENSATION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Purpose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February 12, 2009, our Board of Directors adopted the Pro-Pharmaceuticals, Inc. 2009 Incentive Compensation Plan, which we refer to as the 2009 Plan, and recommended that it be submitted to our stockholders for their approval at the next annual meeting.</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purpose of the 2009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 term performance incentives to expend their maximum efforts in the creation of stockholder value.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effective date of the 2009 Plan is February 12, 2009. As of the date of this Proxy Statement, no awards have been granted under the 2009 Plan, except for (i) an aggregate of 2,000,000 shares of restricted common stock granted to four incumbent directors and (ii) non-qualified stock options to purchase an aggregate of 3,500,000 shares of our common stock granted to five incumbent directors and four former directors.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Stockholder approval of the 2009 Plan is required (i) to comply with certain exclusions from the limitations of Section 162(m) of the Internal Revenue Code of 1986, which we refer to as the Code, as described below, (ii) for the 2009 Plan to be eligible under the “plan lender” exemption from the margin requirements of Regulation G promulgated under the Securities Exchange Act of 1934, as amended, which we refer to as the Exchange Act, (iii) to comply with the incentive stock options rules under Section 422 of the Code, and (iv) for purposes of complying with the stockholder approval requirements for the listing of shares on a national securities exchange in the event our shares of common stock are approved for listing.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2009 Plan</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is a summary of certain principal features of the 2009 Plan. This summary is qualified in its entirety by reference to the complete text of the 2009 Plan. Stockholders are urged to read the actual text of the 2009 Plan in its entirety which is set forth as Exhibit A to this Proxy Statement.</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Shares Available for Awards; Annual Per-Person Limitations. </w:t>
      </w:r>
      <w:r>
        <w:rPr>
          <w:rFonts w:ascii="Arial" w:cs="Arial" w:eastAsia="Arial" w:hAnsi="Arial"/>
          <w:sz w:val="16"/>
          <w:szCs w:val="16"/>
          <w:color w:val="auto"/>
        </w:rPr>
        <w:t>Under the 2009 Plan, the total number of shares of common stock of our company reserved</w:t>
      </w:r>
      <w:r>
        <w:rPr>
          <w:rFonts w:ascii="Arial" w:cs="Arial" w:eastAsia="Arial" w:hAnsi="Arial"/>
          <w:sz w:val="16"/>
          <w:szCs w:val="16"/>
          <w:i w:val="1"/>
          <w:iCs w:val="1"/>
          <w:color w:val="auto"/>
        </w:rPr>
        <w:t xml:space="preserve"> </w:t>
      </w:r>
      <w:r>
        <w:rPr>
          <w:rFonts w:ascii="Arial" w:cs="Arial" w:eastAsia="Arial" w:hAnsi="Arial"/>
          <w:sz w:val="16"/>
          <w:szCs w:val="16"/>
          <w:color w:val="auto"/>
        </w:rPr>
        <w:t>and available for delivery under the 2009 Plan (the “awards”) at any time during the term of the 2009 Plan shall be equal to 10,000,000 shares. The foregoing limit shall be increased by the number of shares of common stock with respect to which awards previously granted under the 2009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2009 Plan.</w:t>
      </w:r>
    </w:p>
    <w:p>
      <w:pPr>
        <w:spacing w:after="0" w:line="118"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The 2009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w:t>
      </w:r>
    </w:p>
    <w:p>
      <w:pPr>
        <w:ind w:left="5620" w:right="2580" w:hanging="5612"/>
        <w:spacing w:after="0" w:line="433"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of restricted stock, shares of deferred stock, performance shares and other stock based-awards with respect to more 16</w:t>
      </w:r>
    </w:p>
    <w:p>
      <w:pPr>
        <w:sectPr>
          <w:pgSz w:w="11900" w:h="16838" w:orient="portrait"/>
          <w:cols w:equalWidth="0" w:num="1">
            <w:col w:w="11400"/>
          </w:cols>
          <w:pgMar w:left="240" w:top="274" w:right="259" w:bottom="1440" w:gutter="0" w:footer="0" w:header="0"/>
        </w:sectPr>
      </w:pPr>
    </w:p>
    <w:bookmarkStart w:id="20" w:name="page21"/>
    <w:bookmarkEnd w:id="20"/>
    <w:p>
      <w:pPr>
        <w:ind w:right="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4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2009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 An employee on leave of absence may be considered as still in the employ of our company or a related entity for purposes of eligibility for participation in the 2009 Plan.</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2009 Plan is to be administered by the Compensation Committee, provided, however, that except as otherwise expressly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2009 Plan, our Board of Directors may exercise any power or authority granted to the Compensation Committee under the 2009 Plan. Subject to the terms of the 2009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2009 Plan, construe and interpret the 2009 Plan and award agreements, correct defects, supply omissions or reconcile inconsistencies therein, and make all other decisions and determinations as the Compensation Committee may deem necessary or advisable for the administration of the 2009 Plan.</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is authorized to grant stock options, including both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2009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2009 Plan to be paid in cash, shares, other awards or other 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right="8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Restricted and Deferred Stock. </w:t>
      </w:r>
      <w:r>
        <w:rPr>
          <w:rFonts w:ascii="Arial" w:cs="Arial" w:eastAsia="Arial" w:hAnsi="Arial"/>
          <w:sz w:val="16"/>
          <w:szCs w:val="16"/>
          <w:color w:val="auto"/>
        </w:rPr>
        <w:t>The Compensation Committee is authorized to grant restricted stock and deferred stock. Restricted stock is a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Dividend Equivalents. </w:t>
      </w:r>
      <w:r>
        <w:rPr>
          <w:rFonts w:ascii="Arial" w:cs="Arial" w:eastAsia="Arial" w:hAnsi="Arial"/>
          <w:sz w:val="15"/>
          <w:szCs w:val="15"/>
          <w:color w:val="auto"/>
        </w:rPr>
        <w:t>The Compensation Committee is authorized to grant dividend equivalents conferring on participants the right to receive,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9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as a bonus free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to grant shares of common stock or other awards in lieu of company obligations to pay cash under the 2009 Plan or other plans or compensatory arrangements, subject to such terms as the Compensation Committee may specify.</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is authorized to grant performance awards to participants on terms and conditions established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will, if and to the extent intended by the Compensation Committee, be subject to provisions that should qualify such awards as “performance-based compensation” not subject to the limitation on tax deductibility by our company under Code 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2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and to the extent that the Compensation Committee determines that these provisions of the 2009 Plan are to be applicable to any award, one or more of the following business criteria for our company, on a consolidated basis, and/or for related entities, or for business or geographical units of our company and/or a related entity (except with respect to the total stockholder return and earnings per share criteria), shall be used by the Compensation Committee in establishing performance goals for awards under the 2009 Plan: (1) earnings per share; (2) revenues or margins; (3) cash flow; (4) operating margin; (5) return on assets, net assets, investment, capital, operating revenue or equity; (6) economic value added; (7) direct contribution; (8) income; net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earnings; 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 (10) management of fixed costs or variable costs; (11) identification or consummation of investment opportunities or completion of specified projects in accordance with corporate business plans, including strategic mergers, acquisitions or divestitures;</w:t>
      </w:r>
    </w:p>
    <w:p>
      <w:pPr>
        <w:spacing w:after="0" w:line="2" w:lineRule="exact"/>
        <w:rPr>
          <w:sz w:val="20"/>
          <w:szCs w:val="20"/>
          <w:color w:val="auto"/>
        </w:rPr>
      </w:pPr>
    </w:p>
    <w:p>
      <w:pPr>
        <w:ind w:right="100" w:firstLine="8"/>
        <w:spacing w:after="0" w:line="287" w:lineRule="auto"/>
        <w:tabs>
          <w:tab w:leader="none" w:pos="3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stockholder return; (13) debt reduction; (14) 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our company or not within the reasonable control of our company’s management, or (iii) a change in accounting standards required by generally accepted accounting principles.</w:t>
      </w:r>
    </w:p>
    <w:p>
      <w:pPr>
        <w:spacing w:after="0" w:line="12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Other Terms of Awards. </w:t>
      </w:r>
      <w:r>
        <w:rPr>
          <w:rFonts w:ascii="Arial" w:cs="Arial" w:eastAsia="Arial" w:hAnsi="Arial"/>
          <w:sz w:val="16"/>
          <w:szCs w:val="16"/>
          <w:color w:val="auto"/>
        </w:rPr>
        <w:t>Awards may be settled in the form of cash, shares of common stock, other awards or other property, in the discretion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2009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2009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Awards under the 2009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2009 Plan, awards under other company plans, or other rights to payment from our company, and may grant awards in addition to and in tandem with such other awards, rights or other awards.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Acceleration of Vesting; Change in Control. </w:t>
      </w:r>
      <w:r>
        <w:rPr>
          <w:rFonts w:ascii="Arial" w:cs="Arial" w:eastAsia="Arial" w:hAnsi="Arial"/>
          <w:sz w:val="16"/>
          <w:szCs w:val="16"/>
          <w:color w:val="auto"/>
        </w:rPr>
        <w:t>The Compensation Committee may, in its discretion, accelerate the exercisability, the lapsing of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the expiration of deferral or vesting periods of any award, and such accelerated exercisability, lapse, expiration and if so provided in the award agreement or otherwise determined by the Compensation Committee, vesting shall occur automatically in the case of a “change in control” of our company (including the cash settlement of stock appreciation rights which may be exercisable in the event of a change in control). In addition, the Compensation Committee may provide in an award agreement that the performance goals relating to any performance award will be deemed to have been met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occurrence of any “change in control.” For purposes of the 2009 Plan, unless otherwise specified in an award agreement, a change in control means the occurrence of any of the following:</w:t>
      </w:r>
    </w:p>
    <w:p>
      <w:pPr>
        <w:spacing w:after="0" w:line="51" w:lineRule="exact"/>
        <w:rPr>
          <w:sz w:val="20"/>
          <w:szCs w:val="20"/>
          <w:color w:val="auto"/>
        </w:rPr>
      </w:pPr>
    </w:p>
    <w:p>
      <w:pPr>
        <w:ind w:left="900" w:right="140" w:hanging="446"/>
        <w:spacing w:after="0" w:line="289"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 (y) any acquisition by any employee benefit plan (or related trust) sponsored or maintained by our company or any subsidiary; or (z) any acquisition by any corporation pursuant to a transaction which complies with clauses (A), (B) and (C) of subsection (iii) below; or</w:t>
      </w:r>
    </w:p>
    <w:p>
      <w:pPr>
        <w:spacing w:after="0" w:line="37"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any period of three (3) consecutive years (not including any period prior to the effective date of the 2009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37"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42"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Approval by our stockholders of a complete liquidation or dissolution of our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ind w:right="20" w:firstLine="456"/>
        <w:spacing w:after="0" w:line="309"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Amendment and Termination. </w:t>
      </w:r>
      <w:r>
        <w:rPr>
          <w:rFonts w:ascii="Arial" w:cs="Arial" w:eastAsia="Arial" w:hAnsi="Arial"/>
          <w:sz w:val="15"/>
          <w:szCs w:val="15"/>
          <w:color w:val="auto"/>
        </w:rPr>
        <w:t>Our Board of Directors may amend, alter, suspend, discontinue or terminate the 2009 Plan or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Committee’s authority to 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2009 Plan which might increase the cost of the 2009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2009 Plan will terminate at the earliest of (a) such time as no shares of common stock remain available for issuance under the 2009 Plan, (b) termination of the 2009 Plan by our board, or (c) the tenth anniversary of the effective date of the Plan. Awards outstanding upon expiration of the 2009 Plan shall remain in effect until they have been exercised or terminated, or have expired.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 below sets forth the benefits or amounts that have been, as of the record date, received by or allocated to each of the persons and groups described therein under the 2009 Plan. Additional benefits or amounts may be received by or allocated to such persons or groups under the 2009 Plan but no such benefits or amounts are determinable at this time because the amount and type of grant to be made to any eligible participant under the 2009 Plan in any year is to be determined at the discretion of the Compensation Committee.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Incentive Compensation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5"/>
              </w:rPr>
              <w:t xml:space="preserve">Dollar Value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2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898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David Platt</w:t>
            </w:r>
          </w:p>
        </w:tc>
        <w:tc>
          <w:tcPr>
            <w:tcW w:w="78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36,320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83,247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Group</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83,247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Non-Executive Director Group</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650,556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3,500,000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Officer Employee Group</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6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amount to be recognized by us as compensation expense for financial statement reporting purposes with respect to equity awards in accordance with SFAS 123(R).</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 grant to Dr. Zucconi on March 24, 2009 of non-qualified stock options to purchase 500,000 shares of our common stock.</w:t>
      </w:r>
    </w:p>
    <w:p>
      <w:pPr>
        <w:spacing w:after="0" w:line="9" w:lineRule="exact"/>
        <w:rPr>
          <w:rFonts w:ascii="Arial" w:cs="Arial" w:eastAsia="Arial" w:hAnsi="Arial"/>
          <w:sz w:val="18"/>
          <w:szCs w:val="18"/>
          <w:color w:val="auto"/>
        </w:rPr>
      </w:pPr>
    </w:p>
    <w:p>
      <w:pPr>
        <w:ind w:left="460" w:right="220" w:hanging="452"/>
        <w:spacing w:after="0" w:line="30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(i) grants to each of Mr. Czirr, Mr. Martin, Mr. Amelio and Mr. Traber on February 13, 2009 of 500,000 shares of restricted common stock, subject to forfeiture pursuant to the terms of the respective restricted stock grant and (ii) grants to each of Dr. Christian (forfeited at her death), Mr. Neill, Mr. Prelack and Mr. Rome on February 13, 2009 of non-qualified stock options to purchase 500,000 shares of our common stock.</w:t>
      </w:r>
    </w:p>
    <w:p>
      <w:pPr>
        <w:spacing w:after="0" w:line="1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Federal Income Tax Consequences of Awards.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2009 Plan is not qualified under the provisions of section 401(a) of the Code and is not subject to any of the provisions of the Employee Retirement Income Security Act of 1974.</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On exercise of a nonqualified stock option granted under the 2009 Plan an optionee will recognize ordinary income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excess, if any, of the fair market value on the date of exercise of the shares of stock acquired on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optionee pays for shares of stock on exercise of an option by delivering shares of our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2009 Plan provides for the grant of stock options that qualify as “incentive stock options” as defined in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company is not allowed an income tax deduction with respect to the grant or exercise of an incentive stock option or the disposition of a share acquired on exercise of an incentive stock option after the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Generally, the recipient of a stock award will recognize ordinary compensation income at the time the stock is received equal to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of the fair market value of the stock received over any amount paid by the recipient in exchange for the stock. If, however, the stock is non-vested when it is received under the 2009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2009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SARs separate from any other award, which we refer to as Stand-Alone SARs, or in tandem with</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which we refer to as Tandem SARs, under the 2009 Plan. Generally, the recipient of a Stand-Alone SAR will not recognize any taxable income at the time the Stand-Alone SAR is granted.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Generally, the recipient of a dividend equivalent award will recognize ordinary compensation income at the time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award is received equal to the fair market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7" w:name="page28"/>
    <w:bookmarkEnd w:id="2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Section 162 Limitations. </w:t>
      </w:r>
      <w:r>
        <w:rPr>
          <w:rFonts w:ascii="Arial" w:cs="Arial" w:eastAsia="Arial" w:hAnsi="Arial"/>
          <w:sz w:val="16"/>
          <w:szCs w:val="16"/>
          <w:color w:val="auto"/>
        </w:rPr>
        <w:t>Section 162(m) to the Code, generally disallows a public company’s tax deduction for compensation to covered 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$1 million in any tax year beginning on or after January 1, 1994. Compensation that qualifies as “performance-based compensation” is excluded from the $1 million deductibility cap, and therefore remains fully deductible by the company that pays it. We intend that awards granted to employees under the 2009 Plan whom the Compensation Committee expects to be covered employees at the time a deduction arises in connection with such options, may, if and to the extent so intended by the Compensation Committee, be granted in a manner that will qualify as such “performance-based compensation,” so that such awards would not be subject to the Section 162(m) deductibility cap of $1 million. Future changes in Section 162(m) or the regulations thereunder may adversely affect our ability to ensure that awards under the 2006 Plan will qualify as “performance-based compensation” that are fully deductible by us under Section 162(m).</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Code, enacted as part of the American Jobs Creation Act of 2004, imposes certain new requirements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deferred compensation plans,” including new 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These new rules generally apply with respect to deferred compensation that becomes earned and vested on or after January 1, 2005. If a nonqualified deferred compensation plan subject to Section 409A fails to meet, or is not operated in accordance with, these new requirements, then all compensation deferred under the plan is or becomes immediately taxable to the extent that it is not subject to a substantial risk of forfeiture and was not previously taxable. The tax imposed as a result of these new rules would be increased by interest at a rate equal to the rate imposed upon tax underpayments plus one percentage point, and an additional tax equal to 20% of the compensation required to be included in income. Some of the awards to be granted under this 2009 Plan may constitute deferred compensation subject to the Section 409A requirements, including, without limitation, discounted stock options, deferred stock and SARs that are not payable in shares of our company stock. It is our company’s intention that any award agreement that will govern awards subject to Section 409A will comply with these new rules.</w:t>
      </w:r>
    </w:p>
    <w:p>
      <w:pPr>
        <w:spacing w:after="0" w:line="12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Importance of Consulting Tax Adviser. </w:t>
      </w:r>
      <w:r>
        <w:rPr>
          <w:rFonts w:ascii="Arial" w:cs="Arial" w:eastAsia="Arial" w:hAnsi="Arial"/>
          <w:sz w:val="16"/>
          <w:szCs w:val="16"/>
          <w:color w:val="auto"/>
        </w:rPr>
        <w:t>The information set forth above is a summary only and does not purport to be complete.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13"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THE PRO-PHARMACEUTICALS, INC. 2009 INCENTIVE COMPENSATION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AN AMENDMENT TO THE PRO-PHARMACEUTICALS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INCREASING THE NUMBER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SHARES OF COMMON STOCK FROM 200,000,000 TO 300,000,000</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has approved and has recommended that our stockholders approve, an amendment to our Articles of Incorporation providing for an increase in the number of authorized shares of our common stock from 200,000,000 to 300,000,000. This amendment is attached as an Exhibit B to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50,356,709 shares of our common stock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were 14,114,250 shares of our common stock reserved for future issuance under our stock incentive plans and outstanding options,</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1,742,500 shares of our common stock reserved for future issuance upon the conversion of outstanding shares of our Series A preferred stock,</w:t>
      </w:r>
    </w:p>
    <w:p>
      <w:pPr>
        <w:spacing w:after="0" w:line="5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12,000,000 shares of our common stock reserved for future issuance upon the conversion of outstanding shares of our Series B-1 preferred stock and Series B-2 preferred stock,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35,532,255 shares of our common stock reserved for issuance upon exercise of outstanding warrants,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25,200,000 shares of our common stock reserved for issuance of warrants related to our Series B-2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as of the record date, there were an aggregate of 138,945,714 shares of common stock outstanding or reserved for issuance.</w:t>
      </w:r>
    </w:p>
    <w:p>
      <w:pPr>
        <w:spacing w:after="0" w:line="19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additional 100,000,000 authorized shares of common stock would be available for issuance in the future for corporate purposes, such as financings, acquisitions, stock splits, stock dividends and management incentive and employee benefit plans, as our Board of Directors may deem advisable, without the necessity of further stockholder action.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do not have any present plan, arrangement or understanding to issue any of the additional shares of common stock that will become available as a result of this amendment to our Articles of Incorporation.</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issuance of additional shares of our common stock would have the effect of diluting our current stockholders and could have the effect of making it more difficult for a third party to acquire, or discouraging a third party from attempting to acquire, control of us. We are not aware of any attempts on the part of a third party (other than the 10X Fund) to effect a change of control of us and the amendment has been proposed for the reasons stated above and not for any possible anti-takeover effects it may have. For additional information, see “Security Ownership of Certain Beneficial Owners and Management—Change of Control” above.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approved by the stockholders, the proposed amendment to our Articles of Incorporation will become effective upon the filing of a Certificate of Amendment with the Secretary of State of the State of Nevada. Although our Board of Directors intends to file the Certificate of Amendment as soon as practicable after the stockholder meeting, if, in the judgment of our Board of Directors, any circumstances exist that would make consummation of the proposed amendment inadvisable, then, in accordance with Nevada law, and notwithstanding approval of the proposed amendment to the Certificate of Incorporation by the stockholders, our Board of Directors may abandon the proposed amendment, either before or after approval and authorization thereof by the stockholders, at any time prior to the effectiveness of the filing of the Certificate of Amendment.</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Series B Designation Certificate, the consent of the holder(s) of Series B preferred stock is required for any amendment of our Articles of Incorporation. 10X Fund, as the holder of all issued and outstanding shares of Series B Preferred, has consented to the amendment proposed in this Proposal No. 3.</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THE PROPOSAL TO APPROVE AN AMENDMENT TO OUR ARTICLES OF INCORPORATION INCREASING THE NUMBER OF AUTHORIZED SHARES OF COMMON STOCK FROM 200,000,000 TO 300,000,000.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AN AMENDMENT TO THE PRO-PHARMACEUTICALS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INCREASING THE NUMBER OF UNDESIGNATED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SHARES OF PREFERRED STOCK FROM 10,000,000 TO 20,000,000</w:t>
      </w:r>
    </w:p>
    <w:p>
      <w:pPr>
        <w:spacing w:after="0" w:line="16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Board of Directors has approved and has recommended that our stockholders approve, an amendment to our Articles of Incorporation providing for an increase in the number of our undesignated shares from 10,000,000 to 20,000,000. This amendment is included in Exhibit B to this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5,000,000 shares designated as Series A preferred stock, of which 1,742,500 shares are issued and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900,000 shares designated as Series B-1 preferred stock, all of which are issued and outstanding,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2,100,000 shares designated as Series B-2 preferred stock, none of which are issued and outstanding and all of which we have agreed to sell to the 10X Fund pursuant to the 10X Purchase Agreement.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additional 10,000,000 authorized undesignated shares would be available for issuance in the future for corporate purposes, such as financings and acquisitions, as our Board of Directors may deem advisable, without the necessity of further stockholder action.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do not have any present plan, arrangement or understanding to designate and issue any of the additional undesignated shares that will become available as a result of this amendment to our Articles of Incorporation.</w:t>
      </w:r>
    </w:p>
    <w:p>
      <w:pPr>
        <w:spacing w:after="0" w:line="132"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The newly authorized undesignated capital stock would be available for issuance without further action by stockholders except as required by law or applicable stock exchange requirements. Any such issuance could have the effect of diluting existing stockholders. The terms of additional authorized shares could be structured in a manner to discourage persons from gaining control of Pro-Pharmaceuticals or make more difficult the removal of management.</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of any series of these undesignated shares when and if designated will be determine by our Board of Directors. Such terms may include, without limitation, preferences as to liquidation and right to dividends, dividend or interest rates, conversion prices and events if the series has conversion rights, voting rights as to election of directors and other matters as a separate class and/or together with all of our other voting securities, redemption prices, maturity dates and other terms.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not aware of any attempts on the part of a third party (other than the 10X Fund) to effect a change of control of us and the amendment has been proposed for the reasons stated above and not for any possible anti-takeover effects it may have. For additional information, see “Security Ownership of Certain Beneficial Owners and Management—Change of Control” above.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approved by the stockholders, the proposed amendment to our Articles of Incorporation will become effective upon the filing of a Certificate of Amendment with the Secretary of State of the State of Nevada. Although our Board of Directors intends to file the Certificate of Amendment as soon as practicable after the stockholder meeting, if, in the judgment of our Board of Directors, any circumstances exist that would make consummation of the proposed amendment inadvisable, then, in accordance with Nevada law, and notwithstanding approval of the proposed amendment to the Certificate of Incorporation by the stockholders, our Board of Directors may abandon the proposed amendment, either before or after approval and authorization thereof by the stockholders, at any time prior to the effectiveness of the filing of the Certificate of Amendment.</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Series B Designation Certificate, the consent of the holder(s) of Series B preferred stock is required for any amendment of our Articles of Incorporation. 10X Fund, as the holder of all issued and outstanding shares of Series B Preferred, has consented to the amendment proposed in this Proposal No. 4.</w:t>
      </w:r>
    </w:p>
    <w:p>
      <w:pPr>
        <w:spacing w:after="0" w:line="140" w:lineRule="exact"/>
        <w:rPr>
          <w:sz w:val="20"/>
          <w:szCs w:val="20"/>
          <w:color w:val="auto"/>
        </w:rPr>
      </w:pPr>
    </w:p>
    <w:p>
      <w:pPr>
        <w:jc w:val="both"/>
        <w:ind w:left="140" w:right="80" w:hanging="31"/>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APPROVAL OF THE PROPOSAL TO APPROVE AN AMENDMENT TO OUR ARTICLES OF INCORPORATION INCREASING THE NUMBER OF UNDESIGNATED AUTHORIZED SHARES FROM 10,000,000 TO 20,000,000.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Board of Directors has, subject to the ratification of the stockholders, appointed Vitale, Caturano &amp; Company, P.C. as our independent auditors for the fiscal year ending December 31, 2009. Vitale, Caturano &amp; Company, P.C. has served as our independent auditors since April 10, 2008. We do not expect that a representative from Vitale, Caturano &amp; Company, P.C. will be present at the Annual Meeting, and accordingly, Vitale, Caturano &amp; Company, P.C. will not be given the opportunity to make a statement nor be available to respond to any questions. We do not believe their attendance is necessary at the Annual Meeting because members of our Board with significant experience in accounting will be available at the Annual Meeting to respond to appropriate accounting-related questions should any arise.</w:t>
      </w:r>
    </w:p>
    <w:p>
      <w:pPr>
        <w:spacing w:after="0" w:line="14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VITALE, CATURANO &amp; COMPANY, LTD., AS PRO-PHARMACEUTICALS’ INDEPENDENT PUBLIC ACCOUNTANTS FOR THE FISCAL YEAR ENDING DECEMBER 31, 2009.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INDEPENDENT REGISTERED PUBLIC ACCOUNTING FIRM</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April 10, 2008, based on the decision of the Audit Committee of our Board of Directors, we dismissed Deloitte &amp; Touche LLP as our independent registered public accounting firm and engaged Vitale, Caturano &amp; Company, P.C. to serve as our independent registered public accounting firm for the fiscal year ending December 31, 2008.</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reports of Deloitte &amp; Touche LLP on our financial statements for the years ended December 31, 2007 and 2006 did not contain an adverse opinion or disclaimer of opinion, nor were they qualified or modified as to uncertainty, audit scope or accounting principles.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years ended December 31, 2007 and 2006 and through the date of dismissal, there were no disagreements with Deloitte &amp; Touche LLP on any matter of accounting principles or practices, financial statement disclosure, or auditing scope or procedure which, if not resolved to the satisfaction of Deloitte &amp; Touche LLP, would have caused them to make reference to the subject matter in connection with their report on our consolidated financial statements for such years; and there were no reportable events, as listed in Item 304(a)(1)(v) of Regulation S-K.</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During the years ended December 31, 2007 and 2006 and through the date of the Audit Committee’s decision, we did not consult Vitale, Caturano &amp; Company, P.C. with respect to the application of accounting principles to a specified transaction, either completed or proposed, or the type of audit opinion that might be rendered on our consolidated financial statements, or any other matter or reportable events listed in Items 304(a)(2)(i) and (ii) of Regulation S-K.</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828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6"/>
              </w:rPr>
              <w:t>FEES PAID TO VITALE, CATURANO &amp; COMPANY, P.C.</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4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Audit-Related Fees</w:t>
            </w: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40"/>
              <w:spacing w:after="0"/>
              <w:rPr>
                <w:sz w:val="20"/>
                <w:szCs w:val="20"/>
                <w:color w:val="auto"/>
              </w:rPr>
            </w:pPr>
            <w:r>
              <w:rPr>
                <w:rFonts w:ascii="Arial" w:cs="Arial" w:eastAsia="Arial" w:hAnsi="Arial"/>
                <w:sz w:val="18"/>
                <w:szCs w:val="18"/>
                <w:color w:val="auto"/>
              </w:rPr>
              <w:t>Subtotal</w:t>
            </w: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8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440"/>
              <w:spacing w:after="0"/>
              <w:rPr>
                <w:sz w:val="20"/>
                <w:szCs w:val="20"/>
                <w:color w:val="auto"/>
              </w:rPr>
            </w:pPr>
            <w:r>
              <w:rPr>
                <w:rFonts w:ascii="Arial" w:cs="Arial" w:eastAsia="Arial" w:hAnsi="Arial"/>
                <w:sz w:val="18"/>
                <w:szCs w:val="18"/>
                <w:color w:val="auto"/>
              </w:rPr>
              <w:t>Total Fees</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118,224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180" w:type="dxa"/>
            <w:vAlign w:val="bottom"/>
            <w:vMerge w:val="restart"/>
          </w:tcPr>
          <w:p>
            <w:pPr>
              <w:jc w:val="right"/>
              <w:ind w:right="471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700" w:type="dxa"/>
            <w:vAlign w:val="bottom"/>
            <w:gridSpan w:val="3"/>
          </w:tcPr>
          <w:p>
            <w:pPr>
              <w:jc w:val="right"/>
              <w:ind w:right="3920"/>
              <w:spacing w:after="0"/>
              <w:rPr>
                <w:sz w:val="20"/>
                <w:szCs w:val="20"/>
                <w:color w:val="auto"/>
              </w:rPr>
            </w:pPr>
            <w:r>
              <w:rPr>
                <w:rFonts w:ascii="Arial" w:cs="Arial" w:eastAsia="Arial" w:hAnsi="Arial"/>
                <w:sz w:val="18"/>
                <w:szCs w:val="18"/>
                <w:b w:val="1"/>
                <w:bCs w:val="1"/>
                <w:color w:val="auto"/>
              </w:rPr>
              <w:t>FEES PAID TO DELOITTE &amp; TOUCHE, LLP</w:t>
            </w:r>
          </w:p>
        </w:tc>
      </w:tr>
      <w:tr>
        <w:trPr>
          <w:trHeight w:val="340"/>
        </w:trPr>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8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$239,624</w:t>
            </w:r>
            <w:r>
              <w:rPr>
                <w:rFonts w:ascii="Arial" w:cs="Arial" w:eastAsia="Arial" w:hAnsi="Arial"/>
                <w:sz w:val="11"/>
                <w:szCs w:val="11"/>
                <w:color w:val="auto"/>
              </w:rPr>
              <w:t>(2)</w:t>
            </w:r>
          </w:p>
        </w:tc>
      </w:tr>
      <w:tr>
        <w:trPr>
          <w:trHeight w:val="216"/>
        </w:trPr>
        <w:tc>
          <w:tcPr>
            <w:tcW w:w="272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(3)</w:t>
            </w:r>
          </w:p>
        </w:tc>
        <w:tc>
          <w:tcPr>
            <w:tcW w:w="856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(4)</w:t>
            </w:r>
          </w:p>
        </w:tc>
        <w:tc>
          <w:tcPr>
            <w:tcW w:w="7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8560" w:type="dxa"/>
            <w:vAlign w:val="bottom"/>
            <w:gridSpan w:val="2"/>
          </w:tcPr>
          <w:p>
            <w:pPr>
              <w:jc w:val="right"/>
              <w:spacing w:after="0"/>
              <w:rPr>
                <w:sz w:val="20"/>
                <w:szCs w:val="20"/>
                <w:color w:val="auto"/>
              </w:rPr>
            </w:pPr>
            <w:r>
              <w:rPr>
                <w:rFonts w:ascii="Arial" w:cs="Arial" w:eastAsia="Arial" w:hAnsi="Arial"/>
                <w:sz w:val="18"/>
                <w:szCs w:val="18"/>
                <w:color w:val="auto"/>
              </w:rPr>
              <w:t>256,624</w:t>
            </w:r>
          </w:p>
        </w:tc>
        <w:tc>
          <w:tcPr>
            <w:tcW w:w="14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(5)</w:t>
            </w:r>
          </w:p>
        </w:tc>
        <w:tc>
          <w:tcPr>
            <w:tcW w:w="78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2"/>
        </w:trPr>
        <w:tc>
          <w:tcPr>
            <w:tcW w:w="272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256,624</w:t>
            </w:r>
          </w:p>
        </w:tc>
        <w:tc>
          <w:tcPr>
            <w:tcW w:w="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2008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year end audit were paid in 2009 and will be reported in 2010.</w:t>
      </w:r>
    </w:p>
    <w:p>
      <w:pPr>
        <w:ind w:left="460" w:right="4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2007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w:t>
      </w:r>
    </w:p>
    <w:p>
      <w:pPr>
        <w:ind w:left="460" w:right="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Deloitte &amp; Touche LLP and Vitale, Caturano &amp; Company, P.C.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Vitale, Caturano &amp; Company, P.C.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Audit Committee has also received and reviewed the written disclosures and the letter from Vitale, Caturano &amp; Company, P.C. required by applicable requirements of the Public Company Accounting Oversight Board regarding the communications by Vitale, Caturano &amp; Company, P.C. with the Audit Committee concerning independence, and has discussed Vitale, Caturano &amp; Company, P.C. its independence from Pro-Pharmaceuticals.</w:t>
      </w:r>
    </w:p>
    <w:p>
      <w:pPr>
        <w:spacing w:after="0" w:line="118"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2008 fiscal year be included in the Annual Report filed on Form 10-K for the year ended December 31, 2008.</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Colin Neill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2008.</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ten percent of our common stock, to file reports of ownership and changes of ownership of such securities with the SEC. Based on a review of our records, we believe a Form 3 was filed late with respect to Mr. Neill and a Form 5 filed by Mr. Czirr reporting two transactions were not timely filed on Form 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 FOR 2010 ANNUAL MEETING</w:t>
      </w:r>
    </w:p>
    <w:p>
      <w:pPr>
        <w:spacing w:after="0" w:line="17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2010 annual meeting of stockholders, the proposal must be received by us, attention: Anthony D. Squeglia, Chief Financial Officer, at our principal executive offices by December 21, 2009. Also in accordance with SEC guidelines, if a stockholder notifies us of that stockholder’s intent to present a proposal at our 2010 annual meeting of stockholders after March 5, 2010, we may, acting through the persons named as proxies in the proxy materials for that meeting, exercise discretionary voting authority with respect to the proposal without including information about the proposal in our proxy materials. However, in either case, if the date of the 2010 annual meeting is changed by more than 30 days from the date of the 2009 Annual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2008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Newton, Massachusetts 02459, Attention: Chief Financial Officer;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HEODORE</w:t>
            </w:r>
            <w:r>
              <w:rPr>
                <w:rFonts w:ascii="Arial" w:cs="Arial" w:eastAsia="Arial" w:hAnsi="Arial"/>
                <w:sz w:val="18"/>
                <w:szCs w:val="18"/>
                <w:color w:val="auto"/>
              </w:rPr>
              <w:t xml:space="preserve"> D. Z</w:t>
            </w:r>
            <w:r>
              <w:rPr>
                <w:rFonts w:ascii="Arial" w:cs="Arial" w:eastAsia="Arial" w:hAnsi="Arial"/>
                <w:sz w:val="14"/>
                <w:szCs w:val="14"/>
                <w:color w:val="auto"/>
              </w:rPr>
              <w:t>UCCONI</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21, 2009</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Theodore D. Zucconi,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PRO-PHARMACEUTICALS,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2009 INCENTIVE COMPENSATION PLAN</w:t>
      </w:r>
    </w:p>
    <w:p>
      <w:pPr>
        <w:sectPr>
          <w:pgSz w:w="11900" w:h="16838" w:orient="portrait"/>
          <w:cols w:equalWidth="0" w:num="1">
            <w:col w:w="9019"/>
          </w:cols>
          <w:pgMar w:left="1440" w:top="144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660" w:type="dxa"/>
            <w:vAlign w:val="bottom"/>
          </w:tcPr>
          <w:p>
            <w:pPr>
              <w:jc w:val="right"/>
              <w:ind w:right="4272"/>
              <w:spacing w:after="0"/>
              <w:rPr>
                <w:sz w:val="20"/>
                <w:szCs w:val="20"/>
                <w:color w:val="auto"/>
              </w:rPr>
            </w:pPr>
            <w:r>
              <w:rPr>
                <w:rFonts w:ascii="Arial" w:cs="Arial" w:eastAsia="Arial" w:hAnsi="Arial"/>
                <w:sz w:val="18"/>
                <w:szCs w:val="18"/>
                <w:b w:val="1"/>
                <w:bCs w:val="1"/>
                <w:color w:val="auto"/>
              </w:rPr>
              <w:t>PRO-PHARMACEUTICALS, INC.</w:t>
            </w:r>
          </w:p>
        </w:tc>
      </w:tr>
      <w:tr>
        <w:trPr>
          <w:trHeight w:val="228"/>
        </w:trPr>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60" w:type="dxa"/>
            <w:vAlign w:val="bottom"/>
          </w:tcPr>
          <w:p>
            <w:pPr>
              <w:jc w:val="right"/>
              <w:ind w:right="3912"/>
              <w:spacing w:after="0"/>
              <w:rPr>
                <w:sz w:val="20"/>
                <w:szCs w:val="20"/>
                <w:color w:val="auto"/>
              </w:rPr>
            </w:pPr>
            <w:r>
              <w:rPr>
                <w:rFonts w:ascii="Arial" w:cs="Arial" w:eastAsia="Arial" w:hAnsi="Arial"/>
                <w:sz w:val="18"/>
                <w:szCs w:val="18"/>
                <w:b w:val="1"/>
                <w:bCs w:val="1"/>
                <w:color w:val="auto"/>
              </w:rPr>
              <w:t>2009 INCENTIVE COMPENSATION PLAN</w:t>
            </w:r>
          </w:p>
        </w:tc>
      </w:tr>
      <w:tr>
        <w:trPr>
          <w:trHeight w:val="419"/>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Purpose</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Definitions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Administration</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Shares Subject to Plan</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93"/>
              </w:rPr>
              <w:t>Eligibility; Per-Person Award Limitations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Specific Terms of Awards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93"/>
              </w:rPr>
              <w:t>Certain Provisions Applicable to Awards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Code Section 162(m) Provisions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Change in Control</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General Provisions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36" w:name="page37"/>
    <w:bookmarkEnd w:id="36"/>
    <w:p>
      <w:pPr>
        <w:ind w:left="4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2009 INCENTIVE COMPENSATION PLAN</w:t>
      </w:r>
    </w:p>
    <w:p>
      <w:pPr>
        <w:spacing w:after="0" w:line="165" w:lineRule="exact"/>
        <w:rPr>
          <w:sz w:val="20"/>
          <w:szCs w:val="20"/>
          <w:color w:val="auto"/>
        </w:rPr>
      </w:pPr>
    </w:p>
    <w:p>
      <w:pPr>
        <w:ind w:right="160" w:firstLine="464"/>
        <w:spacing w:after="0" w:line="254"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this PRO-PHARMACEUTICALS, INC. 2009 INCENTIVE COMPENSATION PLAN (the “Plan”) is to assist Pro-Pharmaceuticals,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44"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purposes of the Plan, the following terms shall be defined as set forth below, in addition to such terms defined in Section 1 hereof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elsewhere herein.</w:t>
      </w:r>
    </w:p>
    <w:p>
      <w:pPr>
        <w:spacing w:after="0" w:line="131" w:lineRule="exact"/>
        <w:rPr>
          <w:rFonts w:ascii="Arial" w:cs="Arial" w:eastAsia="Arial" w:hAnsi="Arial"/>
          <w:sz w:val="18"/>
          <w:szCs w:val="18"/>
          <w:color w:val="auto"/>
        </w:rPr>
      </w:pPr>
    </w:p>
    <w:p>
      <w:pPr>
        <w:ind w:firstLine="921"/>
        <w:spacing w:after="0" w:line="259" w:lineRule="auto"/>
        <w:tabs>
          <w:tab w:leader="none" w:pos="11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4" w:lineRule="exact"/>
        <w:rPr>
          <w:rFonts w:ascii="Arial" w:cs="Arial" w:eastAsia="Arial" w:hAnsi="Arial"/>
          <w:sz w:val="16"/>
          <w:szCs w:val="16"/>
          <w:color w:val="auto"/>
        </w:rPr>
      </w:pPr>
    </w:p>
    <w:p>
      <w:pPr>
        <w:ind w:right="240" w:firstLine="921"/>
        <w:spacing w:after="0" w:line="323" w:lineRule="auto"/>
        <w:tabs>
          <w:tab w:leader="none" w:pos="1152" w:val="left"/>
        </w:tabs>
        <w:numPr>
          <w:ilvl w:val="1"/>
          <w:numId w:val="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97" w:lineRule="exact"/>
        <w:rPr>
          <w:rFonts w:ascii="Arial" w:cs="Arial" w:eastAsia="Arial" w:hAnsi="Arial"/>
          <w:sz w:val="15"/>
          <w:szCs w:val="15"/>
          <w:color w:val="auto"/>
        </w:rPr>
      </w:pPr>
    </w:p>
    <w:p>
      <w:pPr>
        <w:ind w:right="180" w:firstLine="921"/>
        <w:spacing w:after="0" w:line="268" w:lineRule="auto"/>
        <w:tabs>
          <w:tab w:leader="none" w:pos="11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71" w:lineRule="exact"/>
        <w:rPr>
          <w:rFonts w:ascii="Arial" w:cs="Arial" w:eastAsia="Arial" w:hAnsi="Arial"/>
          <w:sz w:val="18"/>
          <w:szCs w:val="18"/>
          <w:color w:val="auto"/>
        </w:rPr>
      </w:pPr>
    </w:p>
    <w:p>
      <w:pPr>
        <w:ind w:right="60" w:firstLine="921"/>
        <w:spacing w:after="0" w:line="287" w:lineRule="auto"/>
        <w:tabs>
          <w:tab w:leader="none" w:pos="1132"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22" w:lineRule="exact"/>
        <w:rPr>
          <w:rFonts w:ascii="Arial" w:cs="Arial" w:eastAsia="Arial" w:hAnsi="Arial"/>
          <w:sz w:val="16"/>
          <w:szCs w:val="16"/>
          <w:color w:val="auto"/>
        </w:rPr>
      </w:pPr>
    </w:p>
    <w:p>
      <w:pPr>
        <w:ind w:left="1160" w:hanging="239"/>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7" w:name="page38"/>
    <w:bookmarkEnd w:id="37"/>
    <w:p>
      <w:pPr>
        <w:ind w:left="-8" w:right="60" w:firstLine="921"/>
        <w:spacing w:after="0" w:line="268" w:lineRule="auto"/>
        <w:tabs>
          <w:tab w:leader="none" w:pos="1154"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31" w:lineRule="exact"/>
        <w:rPr>
          <w:rFonts w:ascii="Arial" w:cs="Arial" w:eastAsia="Arial" w:hAnsi="Arial"/>
          <w:sz w:val="18"/>
          <w:szCs w:val="18"/>
          <w:color w:val="auto"/>
        </w:rPr>
      </w:pPr>
    </w:p>
    <w:p>
      <w:pPr>
        <w:ind w:left="-8" w:right="120" w:firstLine="921"/>
        <w:spacing w:after="0" w:line="291" w:lineRule="auto"/>
        <w:tabs>
          <w:tab w:leader="none" w:pos="11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20" w:lineRule="exact"/>
        <w:rPr>
          <w:rFonts w:ascii="Arial" w:cs="Arial" w:eastAsia="Arial" w:hAnsi="Arial"/>
          <w:sz w:val="16"/>
          <w:szCs w:val="16"/>
          <w:color w:val="auto"/>
        </w:rPr>
      </w:pPr>
    </w:p>
    <w:p>
      <w:pPr>
        <w:ind w:left="-8" w:right="260" w:firstLine="921"/>
        <w:spacing w:after="0" w:line="332" w:lineRule="auto"/>
        <w:tabs>
          <w:tab w:leader="none" w:pos="11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85" w:lineRule="exact"/>
        <w:rPr>
          <w:rFonts w:ascii="Arial" w:cs="Arial" w:eastAsia="Arial" w:hAnsi="Arial"/>
          <w:sz w:val="16"/>
          <w:szCs w:val="16"/>
          <w:color w:val="auto"/>
        </w:rPr>
      </w:pPr>
    </w:p>
    <w:p>
      <w:pPr>
        <w:ind w:left="-8" w:right="440" w:firstLine="921"/>
        <w:spacing w:after="0" w:line="305" w:lineRule="auto"/>
        <w:tabs>
          <w:tab w:leader="none" w:pos="1154" w:val="left"/>
        </w:tabs>
        <w:numPr>
          <w:ilvl w:val="1"/>
          <w:numId w:val="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252" w:hanging="252"/>
        <w:spacing w:after="0"/>
        <w:tabs>
          <w:tab w:leader="none" w:pos="2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transfers among the Company, any Related Entities, or any successor entities, in any capacity of Employee, Director, Consultant or other service provider, or</w:t>
      </w:r>
    </w:p>
    <w:p>
      <w:pPr>
        <w:spacing w:after="0" w:line="32" w:lineRule="exact"/>
        <w:rPr>
          <w:rFonts w:ascii="Arial" w:cs="Arial" w:eastAsia="Arial" w:hAnsi="Arial"/>
          <w:sz w:val="16"/>
          <w:szCs w:val="16"/>
          <w:color w:val="auto"/>
        </w:rPr>
      </w:pPr>
    </w:p>
    <w:p>
      <w:pPr>
        <w:jc w:val="both"/>
        <w:ind w:left="-8" w:firstLine="8"/>
        <w:spacing w:after="0" w:line="255" w:lineRule="auto"/>
        <w:tabs>
          <w:tab w:leader="none" w:pos="2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44" w:lineRule="exact"/>
        <w:rPr>
          <w:rFonts w:ascii="Arial" w:cs="Arial" w:eastAsia="Arial" w:hAnsi="Arial"/>
          <w:sz w:val="18"/>
          <w:szCs w:val="18"/>
          <w:color w:val="auto"/>
        </w:rPr>
      </w:pPr>
    </w:p>
    <w:p>
      <w:pPr>
        <w:ind w:left="-8" w:right="100" w:firstLine="921"/>
        <w:spacing w:after="0" w:line="298" w:lineRule="auto"/>
        <w:tabs>
          <w:tab w:leader="none" w:pos="1115"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12" w:lineRule="exact"/>
        <w:rPr>
          <w:rFonts w:ascii="Arial" w:cs="Arial" w:eastAsia="Arial" w:hAnsi="Arial"/>
          <w:sz w:val="16"/>
          <w:szCs w:val="16"/>
          <w:color w:val="auto"/>
        </w:rPr>
      </w:pPr>
    </w:p>
    <w:p>
      <w:pPr>
        <w:ind w:left="-8" w:right="180" w:firstLine="921"/>
        <w:spacing w:after="0" w:line="268" w:lineRule="auto"/>
        <w:tabs>
          <w:tab w:leader="none" w:pos="12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71" w:lineRule="exact"/>
        <w:rPr>
          <w:rFonts w:ascii="Arial" w:cs="Arial" w:eastAsia="Arial" w:hAnsi="Arial"/>
          <w:sz w:val="18"/>
          <w:szCs w:val="18"/>
          <w:color w:val="auto"/>
        </w:rPr>
      </w:pPr>
    </w:p>
    <w:p>
      <w:pPr>
        <w:ind w:left="-8" w:right="580" w:firstLine="921"/>
        <w:spacing w:after="0" w:line="268" w:lineRule="auto"/>
        <w:tabs>
          <w:tab w:leader="none" w:pos="11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31" w:lineRule="exact"/>
        <w:rPr>
          <w:rFonts w:ascii="Arial" w:cs="Arial" w:eastAsia="Arial" w:hAnsi="Arial"/>
          <w:sz w:val="18"/>
          <w:szCs w:val="18"/>
          <w:color w:val="auto"/>
        </w:rPr>
      </w:pPr>
    </w:p>
    <w:p>
      <w:pPr>
        <w:ind w:left="-8" w:right="100" w:firstLine="921"/>
        <w:spacing w:after="0" w:line="268" w:lineRule="auto"/>
        <w:tabs>
          <w:tab w:leader="none" w:pos="11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31" w:lineRule="exact"/>
        <w:rPr>
          <w:rFonts w:ascii="Arial" w:cs="Arial" w:eastAsia="Arial" w:hAnsi="Arial"/>
          <w:sz w:val="18"/>
          <w:szCs w:val="18"/>
          <w:color w:val="auto"/>
        </w:rPr>
      </w:pPr>
    </w:p>
    <w:p>
      <w:pPr>
        <w:ind w:left="1132" w:hanging="219"/>
        <w:spacing w:after="0"/>
        <w:tabs>
          <w:tab w:leader="none" w:pos="11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171" w:lineRule="exact"/>
        <w:rPr>
          <w:rFonts w:ascii="Arial" w:cs="Arial" w:eastAsia="Arial" w:hAnsi="Arial"/>
          <w:sz w:val="18"/>
          <w:szCs w:val="18"/>
          <w:color w:val="auto"/>
        </w:rPr>
      </w:pPr>
    </w:p>
    <w:p>
      <w:pPr>
        <w:ind w:left="-8" w:right="120" w:firstLine="921"/>
        <w:spacing w:after="0" w:line="259" w:lineRule="auto"/>
        <w:tabs>
          <w:tab w:leader="none" w:pos="113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92"/>
          </w:cols>
          <w:pgMar w:left="248" w:top="280" w:right="259" w:bottom="1440" w:gutter="0" w:footer="0" w:header="0"/>
        </w:sectPr>
      </w:pPr>
    </w:p>
    <w:bookmarkStart w:id="38" w:name="page39"/>
    <w:bookmarkEnd w:id="38"/>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40" w:lineRule="exact"/>
        <w:rPr>
          <w:sz w:val="20"/>
          <w:szCs w:val="20"/>
          <w:color w:val="auto"/>
        </w:rPr>
      </w:pPr>
    </w:p>
    <w:p>
      <w:pPr>
        <w:ind w:right="300" w:firstLine="921"/>
        <w:spacing w:after="0" w:line="268" w:lineRule="auto"/>
        <w:tabs>
          <w:tab w:leader="none" w:pos="11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31" w:lineRule="exact"/>
        <w:rPr>
          <w:rFonts w:ascii="Arial" w:cs="Arial" w:eastAsia="Arial" w:hAnsi="Arial"/>
          <w:sz w:val="18"/>
          <w:szCs w:val="18"/>
          <w:color w:val="auto"/>
        </w:rPr>
      </w:pPr>
    </w:p>
    <w:p>
      <w:pPr>
        <w:ind w:firstLine="921"/>
        <w:spacing w:after="0" w:line="294"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15" w:lineRule="exact"/>
        <w:rPr>
          <w:rFonts w:ascii="Arial" w:cs="Arial" w:eastAsia="Arial" w:hAnsi="Arial"/>
          <w:sz w:val="16"/>
          <w:szCs w:val="16"/>
          <w:color w:val="auto"/>
        </w:rPr>
      </w:pPr>
    </w:p>
    <w:p>
      <w:pPr>
        <w:ind w:firstLine="921"/>
        <w:spacing w:after="0" w:line="286" w:lineRule="auto"/>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27"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w:t>
      </w:r>
      <w:r>
        <w:rPr>
          <w:rFonts w:ascii="Arial" w:cs="Arial" w:eastAsia="Arial" w:hAnsi="Arial"/>
          <w:sz w:val="15"/>
          <w:szCs w:val="15"/>
          <w:color w:val="auto"/>
        </w:rPr>
        <w:t>”, when referring to either the Board or members of the Committee, shall have the same meaning as used in the rules of the Listing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Market.</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71" w:lineRule="exact"/>
        <w:rPr>
          <w:sz w:val="20"/>
          <w:szCs w:val="20"/>
          <w:color w:val="auto"/>
        </w:rPr>
      </w:pPr>
    </w:p>
    <w:p>
      <w:pPr>
        <w:ind w:right="200" w:firstLine="921"/>
        <w:spacing w:after="0" w:line="332" w:lineRule="auto"/>
        <w:tabs>
          <w:tab w:leader="none" w:pos="1229"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“Listing Market” </w:t>
      </w:r>
      <w:r>
        <w:rPr>
          <w:rFonts w:ascii="Arial" w:cs="Arial" w:eastAsia="Arial" w:hAnsi="Arial"/>
          <w:sz w:val="16"/>
          <w:szCs w:val="16"/>
          <w:color w:val="auto"/>
        </w:rPr>
        <w:t>means the OTC Bulletin Board or any other national securities exchange on which any securities of the Company are listed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trading, and if not listed for trading, by the rules of the Nasdaq Market.</w:t>
      </w:r>
    </w:p>
    <w:p>
      <w:pPr>
        <w:spacing w:after="0" w:line="85" w:lineRule="exact"/>
        <w:rPr>
          <w:rFonts w:ascii="Arial" w:cs="Arial" w:eastAsia="Arial" w:hAnsi="Arial"/>
          <w:sz w:val="16"/>
          <w:szCs w:val="16"/>
          <w:color w:val="auto"/>
        </w:rPr>
      </w:pPr>
    </w:p>
    <w:p>
      <w:pPr>
        <w:ind w:right="540" w:firstLine="921"/>
        <w:spacing w:after="0" w:line="268" w:lineRule="auto"/>
        <w:tabs>
          <w:tab w:leader="none" w:pos="1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39" w:name="page40"/>
    <w:bookmarkEnd w:id="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(cc)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left="1260" w:hanging="339"/>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71" w:lineRule="exact"/>
        <w:rPr>
          <w:rFonts w:ascii="Arial" w:cs="Arial" w:eastAsia="Arial" w:hAnsi="Arial"/>
          <w:sz w:val="18"/>
          <w:szCs w:val="18"/>
          <w:color w:val="auto"/>
        </w:rPr>
      </w:pPr>
    </w:p>
    <w:p>
      <w:pPr>
        <w:ind w:left="1240" w:hanging="319"/>
        <w:spacing w:after="0"/>
        <w:tabs>
          <w:tab w:leader="none" w:pos="1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 person who has been granted an Award under the Plan which remains outstanding, including a person who is no longer 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Eligible Person.</w:t>
      </w:r>
    </w:p>
    <w:p>
      <w:pPr>
        <w:spacing w:after="0" w:line="164" w:lineRule="exact"/>
        <w:rPr>
          <w:rFonts w:ascii="Arial" w:cs="Arial" w:eastAsia="Arial" w:hAnsi="Arial"/>
          <w:sz w:val="15"/>
          <w:szCs w:val="15"/>
          <w:color w:val="auto"/>
        </w:rPr>
      </w:pPr>
    </w:p>
    <w:p>
      <w:pPr>
        <w:ind w:left="1200" w:hanging="27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6(h) hereof.</w:t>
      </w:r>
    </w:p>
    <w:p>
      <w:pPr>
        <w:spacing w:after="0" w:line="171" w:lineRule="exact"/>
        <w:rPr>
          <w:rFonts w:ascii="Arial" w:cs="Arial" w:eastAsia="Arial" w:hAnsi="Arial"/>
          <w:sz w:val="18"/>
          <w:szCs w:val="18"/>
          <w:color w:val="auto"/>
        </w:rPr>
      </w:pPr>
    </w:p>
    <w:p>
      <w:pPr>
        <w:ind w:right="14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31" w:lineRule="exact"/>
        <w:rPr>
          <w:rFonts w:ascii="Arial" w:cs="Arial" w:eastAsia="Arial" w:hAnsi="Arial"/>
          <w:sz w:val="18"/>
          <w:szCs w:val="18"/>
          <w:color w:val="auto"/>
        </w:rPr>
      </w:pPr>
    </w:p>
    <w:p>
      <w:pPr>
        <w:jc w:val="both"/>
        <w:ind w:right="220" w:firstLine="921"/>
        <w:spacing w:after="0" w:line="335" w:lineRule="auto"/>
        <w:tabs>
          <w:tab w:leader="none" w:pos="1249" w:val="left"/>
        </w:tabs>
        <w:numPr>
          <w:ilvl w:val="0"/>
          <w:numId w:val="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Share</w:t>
      </w:r>
      <w:r>
        <w:rPr>
          <w:rFonts w:ascii="Arial" w:cs="Arial" w:eastAsia="Arial" w:hAnsi="Arial"/>
          <w:sz w:val="15"/>
          <w:szCs w:val="15"/>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88" w:lineRule="exact"/>
        <w:rPr>
          <w:rFonts w:ascii="Arial" w:cs="Arial" w:eastAsia="Arial" w:hAnsi="Arial"/>
          <w:sz w:val="15"/>
          <w:szCs w:val="15"/>
          <w:color w:val="auto"/>
        </w:rPr>
      </w:pPr>
    </w:p>
    <w:p>
      <w:pPr>
        <w:ind w:right="40" w:firstLine="921"/>
        <w:spacing w:after="0" w:line="256" w:lineRule="auto"/>
        <w:tabs>
          <w:tab w:leader="none" w:pos="1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43" w:lineRule="exact"/>
        <w:rPr>
          <w:rFonts w:ascii="Arial" w:cs="Arial" w:eastAsia="Arial" w:hAnsi="Arial"/>
          <w:sz w:val="18"/>
          <w:szCs w:val="18"/>
          <w:color w:val="auto"/>
        </w:rPr>
      </w:pPr>
    </w:p>
    <w:p>
      <w:pPr>
        <w:ind w:right="100" w:firstLine="921"/>
        <w:spacing w:after="0" w:line="268" w:lineRule="auto"/>
        <w:tabs>
          <w:tab w:leader="none" w:pos="1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31" w:lineRule="exact"/>
        <w:rPr>
          <w:rFonts w:ascii="Arial" w:cs="Arial" w:eastAsia="Arial" w:hAnsi="Arial"/>
          <w:sz w:val="18"/>
          <w:szCs w:val="18"/>
          <w:color w:val="auto"/>
        </w:rPr>
      </w:pPr>
    </w:p>
    <w:p>
      <w:pPr>
        <w:ind w:right="18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31" w:lineRule="exact"/>
        <w:rPr>
          <w:rFonts w:ascii="Arial" w:cs="Arial" w:eastAsia="Arial" w:hAnsi="Arial"/>
          <w:sz w:val="18"/>
          <w:szCs w:val="18"/>
          <w:color w:val="auto"/>
        </w:rPr>
      </w:pPr>
    </w:p>
    <w:p>
      <w:pPr>
        <w:ind w:right="180" w:firstLine="921"/>
        <w:spacing w:after="0" w:line="268" w:lineRule="auto"/>
        <w:tabs>
          <w:tab w:leader="none" w:pos="117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transferability, risk of forfeiture and other restrictions, if any, as the Committee may impose.</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43" w:lineRule="exact"/>
        <w:rPr>
          <w:rFonts w:ascii="Arial" w:cs="Arial" w:eastAsia="Arial" w:hAnsi="Arial"/>
          <w:sz w:val="18"/>
          <w:szCs w:val="18"/>
          <w:color w:val="auto"/>
        </w:rPr>
      </w:pPr>
    </w:p>
    <w:p>
      <w:pPr>
        <w:ind w:left="1260" w:hanging="339"/>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71" w:lineRule="exact"/>
        <w:rPr>
          <w:rFonts w:ascii="Arial" w:cs="Arial" w:eastAsia="Arial" w:hAnsi="Arial"/>
          <w:sz w:val="18"/>
          <w:szCs w:val="18"/>
          <w:color w:val="auto"/>
        </w:rPr>
      </w:pPr>
    </w:p>
    <w:p>
      <w:pPr>
        <w:ind w:right="24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31" w:lineRule="exact"/>
        <w:rPr>
          <w:rFonts w:ascii="Arial" w:cs="Arial" w:eastAsia="Arial" w:hAnsi="Arial"/>
          <w:sz w:val="18"/>
          <w:szCs w:val="18"/>
          <w:color w:val="auto"/>
        </w:rPr>
      </w:pPr>
    </w:p>
    <w:p>
      <w:pPr>
        <w:ind w:right="4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40" w:name="page41"/>
    <w:bookmarkEnd w:id="40"/>
    <w:p>
      <w:pPr>
        <w:jc w:val="both"/>
        <w:ind w:left="-40" w:right="20" w:firstLine="921"/>
        <w:spacing w:after="0" w:line="306" w:lineRule="auto"/>
        <w:tabs>
          <w:tab w:leader="none" w:pos="1151"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06" w:lineRule="exact"/>
        <w:rPr>
          <w:rFonts w:ascii="Arial" w:cs="Arial" w:eastAsia="Arial" w:hAnsi="Arial"/>
          <w:sz w:val="16"/>
          <w:szCs w:val="16"/>
          <w:color w:val="auto"/>
        </w:rPr>
      </w:pPr>
    </w:p>
    <w:p>
      <w:pPr>
        <w:jc w:val="both"/>
        <w:ind w:left="-40" w:right="380" w:firstLine="921"/>
        <w:spacing w:after="0" w:line="306" w:lineRule="auto"/>
        <w:tabs>
          <w:tab w:leader="none" w:pos="1170"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p>
    <w:p>
      <w:pPr>
        <w:spacing w:after="0" w:line="171" w:lineRule="exact"/>
        <w:rPr>
          <w:rFonts w:ascii="Arial" w:cs="Arial" w:eastAsia="Arial" w:hAnsi="Arial"/>
          <w:sz w:val="18"/>
          <w:szCs w:val="18"/>
          <w:color w:val="auto"/>
        </w:rPr>
      </w:pPr>
    </w:p>
    <w:p>
      <w:pPr>
        <w:ind w:left="-40" w:right="20" w:firstLine="921"/>
        <w:spacing w:after="0" w:line="287" w:lineRule="auto"/>
        <w:tabs>
          <w:tab w:leader="none" w:pos="1112"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of the Committee. </w:t>
      </w:r>
      <w:r>
        <w:rPr>
          <w:rFonts w:ascii="Arial" w:cs="Arial" w:eastAsia="Arial" w:hAnsi="Arial"/>
          <w:sz w:val="16"/>
          <w:szCs w:val="16"/>
          <w:color w:val="auto"/>
        </w:rPr>
        <w:t>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22" w:lineRule="exact"/>
        <w:rPr>
          <w:rFonts w:ascii="Arial" w:cs="Arial" w:eastAsia="Arial" w:hAnsi="Arial"/>
          <w:sz w:val="16"/>
          <w:szCs w:val="16"/>
          <w:color w:val="auto"/>
        </w:rPr>
      </w:pPr>
    </w:p>
    <w:p>
      <w:pPr>
        <w:ind w:left="-40" w:right="20" w:firstLine="921"/>
        <w:spacing w:after="0" w:line="286" w:lineRule="auto"/>
        <w:tabs>
          <w:tab w:leader="none" w:pos="1121"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Manner of Exercise of Committee Authority. </w:t>
      </w:r>
      <w:r>
        <w:rPr>
          <w:rFonts w:ascii="Arial" w:cs="Arial" w:eastAsia="Arial" w:hAnsi="Arial"/>
          <w:sz w:val="16"/>
          <w:szCs w:val="16"/>
          <w:color w:val="auto"/>
        </w:rPr>
        <w:t>The Committee, and not the Board, shall exercise sole and exclusive discretion (i) on any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24" w:lineRule="exact"/>
        <w:rPr>
          <w:rFonts w:ascii="Arial" w:cs="Arial" w:eastAsia="Arial" w:hAnsi="Arial"/>
          <w:sz w:val="16"/>
          <w:szCs w:val="16"/>
          <w:color w:val="auto"/>
        </w:rPr>
      </w:pPr>
    </w:p>
    <w:p>
      <w:pPr>
        <w:ind w:left="-40" w:firstLine="921"/>
        <w:spacing w:after="0" w:line="294" w:lineRule="auto"/>
        <w:tabs>
          <w:tab w:leader="none" w:pos="1112"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the Board, and each member thereof, shall be entitled to, in good faith, rely or act upon any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80" w:top="280" w:right="279" w:bottom="1440" w:gutter="0" w:footer="0" w:header="0"/>
        </w:sectPr>
      </w:pPr>
    </w:p>
    <w:bookmarkStart w:id="41" w:name="page42"/>
    <w:bookmarkEnd w:id="41"/>
    <w:p>
      <w:pPr>
        <w:ind w:left="632" w:hanging="176"/>
        <w:spacing w:after="0"/>
        <w:tabs>
          <w:tab w:leader="none" w:pos="632"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Subject to Plan.</w:t>
      </w:r>
    </w:p>
    <w:p>
      <w:pPr>
        <w:spacing w:after="0" w:line="171" w:lineRule="exact"/>
        <w:rPr>
          <w:rFonts w:ascii="Arial" w:cs="Arial" w:eastAsia="Arial" w:hAnsi="Arial"/>
          <w:sz w:val="18"/>
          <w:szCs w:val="18"/>
          <w:color w:val="auto"/>
        </w:rPr>
      </w:pPr>
    </w:p>
    <w:p>
      <w:pPr>
        <w:jc w:val="both"/>
        <w:ind w:left="-8" w:right="240" w:firstLine="921"/>
        <w:spacing w:after="0" w:line="259" w:lineRule="auto"/>
        <w:tabs>
          <w:tab w:leader="none" w:pos="1144"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 on Overall Number of Shares Available for Delivery Under Plan. </w:t>
      </w:r>
      <w:r>
        <w:rPr>
          <w:rFonts w:ascii="Arial" w:cs="Arial" w:eastAsia="Arial" w:hAnsi="Arial"/>
          <w:sz w:val="18"/>
          <w:szCs w:val="18"/>
          <w:color w:val="auto"/>
        </w:rPr>
        <w:t>Subject to adjustment as provided in Section 10(c)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number of Shares reserved and available for delivery under the Plan shall be 10,000,000. Any Shares delivered under the Plan may consist, in whole or in part, of authorized and unissued shares or treasury shares.</w:t>
      </w:r>
    </w:p>
    <w:p>
      <w:pPr>
        <w:spacing w:after="0" w:line="140" w:lineRule="exact"/>
        <w:rPr>
          <w:rFonts w:ascii="Arial" w:cs="Arial" w:eastAsia="Arial" w:hAnsi="Arial"/>
          <w:sz w:val="18"/>
          <w:szCs w:val="18"/>
          <w:color w:val="auto"/>
        </w:rPr>
      </w:pPr>
    </w:p>
    <w:p>
      <w:pPr>
        <w:jc w:val="both"/>
        <w:ind w:left="-8" w:right="120" w:firstLine="921"/>
        <w:spacing w:after="0" w:line="255" w:lineRule="auto"/>
        <w:tabs>
          <w:tab w:leader="none" w:pos="1153"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of Limitation to Grants of Awards. </w:t>
      </w:r>
      <w:r>
        <w:rPr>
          <w:rFonts w:ascii="Arial" w:cs="Arial" w:eastAsia="Arial" w:hAnsi="Arial"/>
          <w:sz w:val="18"/>
          <w:szCs w:val="18"/>
          <w:color w:val="auto"/>
        </w:rPr>
        <w:t>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42" w:lineRule="exact"/>
        <w:rPr>
          <w:rFonts w:ascii="Arial" w:cs="Arial" w:eastAsia="Arial" w:hAnsi="Arial"/>
          <w:sz w:val="18"/>
          <w:szCs w:val="18"/>
          <w:color w:val="auto"/>
        </w:rPr>
      </w:pPr>
    </w:p>
    <w:p>
      <w:pPr>
        <w:ind w:left="1152" w:hanging="239"/>
        <w:spacing w:after="0"/>
        <w:tabs>
          <w:tab w:leader="none" w:pos="1152"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p>
    <w:p>
      <w:pPr>
        <w:spacing w:after="0" w:line="171" w:lineRule="exact"/>
        <w:rPr>
          <w:rFonts w:ascii="Arial" w:cs="Arial" w:eastAsia="Arial" w:hAnsi="Arial"/>
          <w:sz w:val="18"/>
          <w:szCs w:val="18"/>
          <w:color w:val="auto"/>
        </w:rPr>
      </w:pPr>
    </w:p>
    <w:p>
      <w:pPr>
        <w:jc w:val="both"/>
        <w:ind w:left="-8" w:right="120" w:firstLine="1492"/>
        <w:spacing w:after="0" w:line="303" w:lineRule="auto"/>
        <w:tabs>
          <w:tab w:leader="none" w:pos="1685" w:val="left"/>
        </w:tabs>
        <w:numPr>
          <w:ilvl w:val="3"/>
          <w:numId w:val="37"/>
        </w:numPr>
        <w:rPr>
          <w:rFonts w:ascii="Arial" w:cs="Arial" w:eastAsia="Arial" w:hAnsi="Arial"/>
          <w:sz w:val="15"/>
          <w:szCs w:val="15"/>
          <w:color w:val="auto"/>
        </w:rPr>
      </w:pPr>
      <w:r>
        <w:rPr>
          <w:rFonts w:ascii="Arial" w:cs="Arial" w:eastAsia="Arial" w:hAnsi="Arial"/>
          <w:sz w:val="15"/>
          <w:szCs w:val="15"/>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w:t>
      </w:r>
    </w:p>
    <w:p>
      <w:pPr>
        <w:spacing w:after="0" w:line="1" w:lineRule="exact"/>
        <w:rPr>
          <w:rFonts w:ascii="Arial" w:cs="Arial" w:eastAsia="Arial" w:hAnsi="Arial"/>
          <w:sz w:val="15"/>
          <w:szCs w:val="15"/>
          <w:color w:val="auto"/>
        </w:rPr>
      </w:pPr>
    </w:p>
    <w:p>
      <w:pPr>
        <w:ind w:left="292" w:hanging="292"/>
        <w:spacing w:after="0"/>
        <w:tabs>
          <w:tab w:leader="none" w:pos="2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below.</w:t>
      </w:r>
    </w:p>
    <w:p>
      <w:pPr>
        <w:spacing w:after="0" w:line="164" w:lineRule="exact"/>
        <w:rPr>
          <w:rFonts w:ascii="Arial" w:cs="Arial" w:eastAsia="Arial" w:hAnsi="Arial"/>
          <w:sz w:val="18"/>
          <w:szCs w:val="18"/>
          <w:color w:val="auto"/>
        </w:rPr>
      </w:pPr>
    </w:p>
    <w:p>
      <w:pPr>
        <w:ind w:left="-8" w:right="120" w:firstLine="1492"/>
        <w:spacing w:after="0" w:line="298" w:lineRule="auto"/>
        <w:tabs>
          <w:tab w:leader="none" w:pos="1734" w:val="left"/>
        </w:tabs>
        <w:numPr>
          <w:ilvl w:val="3"/>
          <w:numId w:val="38"/>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12" w:lineRule="exact"/>
        <w:rPr>
          <w:rFonts w:ascii="Arial" w:cs="Arial" w:eastAsia="Arial" w:hAnsi="Arial"/>
          <w:sz w:val="16"/>
          <w:szCs w:val="16"/>
          <w:color w:val="auto"/>
        </w:rPr>
      </w:pPr>
    </w:p>
    <w:p>
      <w:pPr>
        <w:ind w:left="-8" w:firstLine="1492"/>
        <w:spacing w:after="0" w:line="290" w:lineRule="auto"/>
        <w:tabs>
          <w:tab w:leader="none" w:pos="1783" w:val="left"/>
        </w:tabs>
        <w:numPr>
          <w:ilvl w:val="3"/>
          <w:numId w:val="38"/>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18" w:lineRule="exact"/>
        <w:rPr>
          <w:rFonts w:ascii="Arial" w:cs="Arial" w:eastAsia="Arial" w:hAnsi="Arial"/>
          <w:sz w:val="16"/>
          <w:szCs w:val="16"/>
          <w:color w:val="auto"/>
        </w:rPr>
      </w:pPr>
    </w:p>
    <w:p>
      <w:pPr>
        <w:ind w:left="1772" w:hanging="288"/>
        <w:spacing w:after="0"/>
        <w:tabs>
          <w:tab w:leader="none" w:pos="1772" w:val="left"/>
        </w:tabs>
        <w:numPr>
          <w:ilvl w:val="3"/>
          <w:numId w:val="38"/>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171" w:lineRule="exact"/>
        <w:rPr>
          <w:rFonts w:ascii="Arial" w:cs="Arial" w:eastAsia="Arial" w:hAnsi="Arial"/>
          <w:sz w:val="18"/>
          <w:szCs w:val="18"/>
          <w:color w:val="auto"/>
        </w:rPr>
      </w:pPr>
    </w:p>
    <w:p>
      <w:pPr>
        <w:ind w:left="-8" w:firstLine="1492"/>
        <w:spacing w:after="0" w:line="332" w:lineRule="auto"/>
        <w:tabs>
          <w:tab w:leader="none" w:pos="1724" w:val="left"/>
        </w:tabs>
        <w:numPr>
          <w:ilvl w:val="3"/>
          <w:numId w:val="38"/>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10,000,000 Shares.</w:t>
      </w:r>
    </w:p>
    <w:p>
      <w:pPr>
        <w:spacing w:after="0" w:line="85" w:lineRule="exact"/>
        <w:rPr>
          <w:rFonts w:ascii="Arial" w:cs="Arial" w:eastAsia="Arial" w:hAnsi="Arial"/>
          <w:sz w:val="16"/>
          <w:szCs w:val="16"/>
          <w:color w:val="auto"/>
        </w:rPr>
      </w:pPr>
    </w:p>
    <w:p>
      <w:pPr>
        <w:ind w:left="-8" w:right="20" w:firstLine="464"/>
        <w:spacing w:after="0" w:line="294" w:lineRule="auto"/>
        <w:tabs>
          <w:tab w:leader="none" w:pos="624" w:val="left"/>
        </w:tabs>
        <w:numPr>
          <w:ilvl w:val="1"/>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Eligibility; Per-Person Award Limitations. </w:t>
      </w:r>
      <w:r>
        <w:rPr>
          <w:rFonts w:ascii="Arial" w:cs="Arial" w:eastAsia="Arial" w:hAnsi="Arial"/>
          <w:sz w:val="16"/>
          <w:szCs w:val="16"/>
          <w:color w:val="auto"/>
        </w:rPr>
        <w:t>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92"/>
          </w:cols>
          <w:pgMar w:left="248" w:top="280" w:right="259" w:bottom="1440" w:gutter="0" w:footer="0" w:header="0"/>
        </w:sectPr>
      </w:pPr>
    </w:p>
    <w:bookmarkStart w:id="42" w:name="page43"/>
    <w:bookmarkEnd w:id="42"/>
    <w:p>
      <w:pPr>
        <w:ind w:left="620" w:hanging="176"/>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Terms of Awards.</w:t>
      </w:r>
    </w:p>
    <w:p>
      <w:pPr>
        <w:spacing w:after="0" w:line="171" w:lineRule="exact"/>
        <w:rPr>
          <w:rFonts w:ascii="Arial" w:cs="Arial" w:eastAsia="Arial" w:hAnsi="Arial"/>
          <w:sz w:val="18"/>
          <w:szCs w:val="18"/>
          <w:color w:val="auto"/>
        </w:rPr>
      </w:pPr>
    </w:p>
    <w:p>
      <w:pPr>
        <w:ind w:left="-20" w:firstLine="921"/>
        <w:spacing w:after="0" w:line="290" w:lineRule="auto"/>
        <w:tabs>
          <w:tab w:leader="none" w:pos="1132"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Awards may be granted on the terms and conditions set forth in this Section 6. In addition, the Committee may impose on any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The Committee is authorized to grant Options to any Eligible Person on the following terms and conditions:</w:t>
      </w:r>
    </w:p>
    <w:p>
      <w:pPr>
        <w:spacing w:after="0" w:line="171" w:lineRule="exact"/>
        <w:rPr>
          <w:rFonts w:ascii="Arial" w:cs="Arial" w:eastAsia="Arial" w:hAnsi="Arial"/>
          <w:sz w:val="18"/>
          <w:szCs w:val="18"/>
          <w:color w:val="auto"/>
        </w:rPr>
      </w:pPr>
    </w:p>
    <w:p>
      <w:pPr>
        <w:ind w:left="-20" w:right="40" w:firstLine="1492"/>
        <w:spacing w:after="0" w:line="290" w:lineRule="auto"/>
        <w:tabs>
          <w:tab w:leader="none" w:pos="1673" w:val="left"/>
        </w:tabs>
        <w:numPr>
          <w:ilvl w:val="2"/>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Price. </w:t>
      </w:r>
      <w:r>
        <w:rPr>
          <w:rFonts w:ascii="Arial" w:cs="Arial" w:eastAsia="Arial" w:hAnsi="Arial"/>
          <w:sz w:val="16"/>
          <w:szCs w:val="16"/>
          <w:color w:val="auto"/>
        </w:rPr>
        <w:t>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18" w:lineRule="exact"/>
        <w:rPr>
          <w:rFonts w:ascii="Arial" w:cs="Arial" w:eastAsia="Arial" w:hAnsi="Arial"/>
          <w:sz w:val="16"/>
          <w:szCs w:val="16"/>
          <w:color w:val="auto"/>
        </w:rPr>
      </w:pPr>
    </w:p>
    <w:p>
      <w:pPr>
        <w:ind w:left="-20" w:right="20" w:firstLine="1492"/>
        <w:spacing w:after="0" w:line="289" w:lineRule="auto"/>
        <w:tabs>
          <w:tab w:leader="none" w:pos="1722" w:val="left"/>
        </w:tabs>
        <w:numPr>
          <w:ilvl w:val="2"/>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 and Method of Exercise. </w:t>
      </w:r>
      <w:r>
        <w:rPr>
          <w:rFonts w:ascii="Arial" w:cs="Arial" w:eastAsia="Arial" w:hAnsi="Arial"/>
          <w:sz w:val="16"/>
          <w:szCs w:val="16"/>
          <w:color w:val="auto"/>
        </w:rPr>
        <w:t>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18" w:lineRule="exact"/>
        <w:rPr>
          <w:rFonts w:ascii="Arial" w:cs="Arial" w:eastAsia="Arial" w:hAnsi="Arial"/>
          <w:sz w:val="16"/>
          <w:szCs w:val="16"/>
          <w:color w:val="auto"/>
        </w:rPr>
      </w:pPr>
    </w:p>
    <w:p>
      <w:pPr>
        <w:ind w:left="-20" w:right="60" w:firstLine="1492"/>
        <w:spacing w:after="0" w:line="291" w:lineRule="auto"/>
        <w:tabs>
          <w:tab w:leader="none" w:pos="1771" w:val="left"/>
        </w:tabs>
        <w:numPr>
          <w:ilvl w:val="2"/>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20" w:lineRule="exact"/>
        <w:rPr>
          <w:rFonts w:ascii="Arial" w:cs="Arial" w:eastAsia="Arial" w:hAnsi="Arial"/>
          <w:sz w:val="16"/>
          <w:szCs w:val="16"/>
          <w:color w:val="auto"/>
        </w:rPr>
      </w:pPr>
    </w:p>
    <w:p>
      <w:pPr>
        <w:ind w:left="-20" w:right="120" w:firstLine="1948"/>
        <w:spacing w:after="0" w:line="306" w:lineRule="auto"/>
        <w:tabs>
          <w:tab w:leader="none" w:pos="2208" w:val="left"/>
        </w:tabs>
        <w:numPr>
          <w:ilvl w:val="3"/>
          <w:numId w:val="39"/>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80" w:right="239" w:bottom="1440" w:gutter="0" w:footer="0" w:header="0"/>
        </w:sectPr>
      </w:pPr>
    </w:p>
    <w:bookmarkStart w:id="43" w:name="page44"/>
    <w:bookmarkEnd w:id="43"/>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85" w:lineRule="exact"/>
        <w:rPr>
          <w:sz w:val="20"/>
          <w:szCs w:val="20"/>
          <w:color w:val="auto"/>
        </w:rPr>
      </w:pPr>
    </w:p>
    <w:p>
      <w:pPr>
        <w:ind w:right="120" w:firstLine="1948"/>
        <w:spacing w:after="0" w:line="298" w:lineRule="auto"/>
        <w:tabs>
          <w:tab w:leader="none" w:pos="2218"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12" w:lineRule="exact"/>
        <w:rPr>
          <w:rFonts w:ascii="Arial" w:cs="Arial" w:eastAsia="Arial" w:hAnsi="Arial"/>
          <w:sz w:val="16"/>
          <w:szCs w:val="16"/>
          <w:color w:val="auto"/>
        </w:rPr>
      </w:pPr>
    </w:p>
    <w:p>
      <w:pPr>
        <w:ind w:right="60" w:firstLine="921"/>
        <w:spacing w:after="0" w:line="256"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43" w:lineRule="exact"/>
        <w:rPr>
          <w:rFonts w:ascii="Arial" w:cs="Arial" w:eastAsia="Arial" w:hAnsi="Arial"/>
          <w:sz w:val="18"/>
          <w:szCs w:val="18"/>
          <w:color w:val="auto"/>
        </w:rPr>
      </w:pPr>
    </w:p>
    <w:p>
      <w:pPr>
        <w:ind w:firstLine="1492"/>
        <w:spacing w:after="0" w:line="298" w:lineRule="auto"/>
        <w:tabs>
          <w:tab w:leader="none" w:pos="1693"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Payment. </w:t>
      </w:r>
      <w:r>
        <w:rPr>
          <w:rFonts w:ascii="Arial" w:cs="Arial" w:eastAsia="Arial" w:hAnsi="Arial"/>
          <w:sz w:val="16"/>
          <w:szCs w:val="16"/>
          <w:color w:val="auto"/>
        </w:rPr>
        <w:t>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12" w:lineRule="exact"/>
        <w:rPr>
          <w:rFonts w:ascii="Arial" w:cs="Arial" w:eastAsia="Arial" w:hAnsi="Arial"/>
          <w:sz w:val="16"/>
          <w:szCs w:val="16"/>
          <w:color w:val="auto"/>
        </w:rPr>
      </w:pPr>
    </w:p>
    <w:p>
      <w:pPr>
        <w:ind w:firstLine="1492"/>
        <w:spacing w:after="0" w:line="291" w:lineRule="auto"/>
        <w:tabs>
          <w:tab w:leader="none" w:pos="1742"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20" w:lineRule="exact"/>
        <w:rPr>
          <w:rFonts w:ascii="Arial" w:cs="Arial" w:eastAsia="Arial" w:hAnsi="Arial"/>
          <w:sz w:val="16"/>
          <w:szCs w:val="16"/>
          <w:color w:val="auto"/>
        </w:rPr>
      </w:pPr>
    </w:p>
    <w:p>
      <w:pPr>
        <w:ind w:right="80" w:firstLine="1492"/>
        <w:spacing w:after="0" w:line="288" w:lineRule="auto"/>
        <w:tabs>
          <w:tab w:leader="none" w:pos="1791"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Tandem Stock Appreciation Rights. </w:t>
      </w:r>
      <w:r>
        <w:rPr>
          <w:rFonts w:ascii="Arial" w:cs="Arial" w:eastAsia="Arial" w:hAnsi="Arial"/>
          <w:sz w:val="16"/>
          <w:szCs w:val="16"/>
          <w:color w:val="auto"/>
        </w:rPr>
        <w:t>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0" w:firstLine="1492"/>
        <w:spacing w:after="0" w:line="306" w:lineRule="auto"/>
        <w:tabs>
          <w:tab w:leader="none" w:pos="1693"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and Restrictions. </w:t>
      </w:r>
      <w:r>
        <w:rPr>
          <w:rFonts w:ascii="Arial" w:cs="Arial" w:eastAsia="Arial" w:hAnsi="Arial"/>
          <w:sz w:val="16"/>
          <w:szCs w:val="16"/>
          <w:color w:val="auto"/>
        </w:rPr>
        <w:t>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44" w:name="page45"/>
    <w:bookmarkEnd w:id="4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18" w:lineRule="exact"/>
        <w:rPr>
          <w:sz w:val="20"/>
          <w:szCs w:val="20"/>
          <w:color w:val="auto"/>
        </w:rPr>
      </w:pPr>
    </w:p>
    <w:p>
      <w:pPr>
        <w:ind w:right="80" w:firstLine="1492"/>
        <w:spacing w:after="0" w:line="254" w:lineRule="auto"/>
        <w:tabs>
          <w:tab w:leader="none" w:pos="1742"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44" w:lineRule="exact"/>
        <w:rPr>
          <w:rFonts w:ascii="Arial" w:cs="Arial" w:eastAsia="Arial" w:hAnsi="Arial"/>
          <w:sz w:val="18"/>
          <w:szCs w:val="18"/>
          <w:color w:val="auto"/>
        </w:rPr>
      </w:pPr>
    </w:p>
    <w:p>
      <w:pPr>
        <w:jc w:val="both"/>
        <w:ind w:firstLine="1492"/>
        <w:spacing w:after="0" w:line="298" w:lineRule="auto"/>
        <w:tabs>
          <w:tab w:leader="none" w:pos="1791"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Certificates for Stock. </w:t>
      </w:r>
      <w:r>
        <w:rPr>
          <w:rFonts w:ascii="Arial" w:cs="Arial" w:eastAsia="Arial" w:hAnsi="Arial"/>
          <w:sz w:val="16"/>
          <w:szCs w:val="16"/>
          <w:color w:val="auto"/>
        </w:rPr>
        <w:t>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12" w:lineRule="exact"/>
        <w:rPr>
          <w:rFonts w:ascii="Arial" w:cs="Arial" w:eastAsia="Arial" w:hAnsi="Arial"/>
          <w:sz w:val="16"/>
          <w:szCs w:val="16"/>
          <w:color w:val="auto"/>
        </w:rPr>
      </w:pPr>
    </w:p>
    <w:p>
      <w:pPr>
        <w:ind w:right="20" w:firstLine="1492"/>
        <w:spacing w:after="0" w:line="255" w:lineRule="auto"/>
        <w:tabs>
          <w:tab w:leader="none" w:pos="1781"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and Splits. </w:t>
      </w:r>
      <w:r>
        <w:rPr>
          <w:rFonts w:ascii="Arial" w:cs="Arial" w:eastAsia="Arial" w:hAnsi="Arial"/>
          <w:sz w:val="18"/>
          <w:szCs w:val="18"/>
          <w:color w:val="auto"/>
        </w:rPr>
        <w:t>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Deferred Stock Award.  </w:t>
      </w:r>
      <w:r>
        <w:rPr>
          <w:rFonts w:ascii="Arial" w:cs="Arial" w:eastAsia="Arial" w:hAnsi="Arial"/>
          <w:sz w:val="16"/>
          <w:szCs w:val="16"/>
          <w:color w:val="auto"/>
        </w:rPr>
        <w:t>The Committee is authorized to grant Deferred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 w:firstLine="1492"/>
        <w:spacing w:after="0" w:line="290" w:lineRule="auto"/>
        <w:tabs>
          <w:tab w:leader="none" w:pos="1693"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and Restrictions. </w:t>
      </w:r>
      <w:r>
        <w:rPr>
          <w:rFonts w:ascii="Arial" w:cs="Arial" w:eastAsia="Arial" w:hAnsi="Arial"/>
          <w:sz w:val="16"/>
          <w:szCs w:val="16"/>
          <w:color w:val="auto"/>
        </w:rPr>
        <w:t>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18" w:lineRule="exact"/>
        <w:rPr>
          <w:rFonts w:ascii="Arial" w:cs="Arial" w:eastAsia="Arial" w:hAnsi="Arial"/>
          <w:sz w:val="16"/>
          <w:szCs w:val="16"/>
          <w:color w:val="auto"/>
        </w:rPr>
      </w:pPr>
    </w:p>
    <w:p>
      <w:pPr>
        <w:ind w:right="20" w:firstLine="1492"/>
        <w:spacing w:after="0" w:line="259" w:lineRule="auto"/>
        <w:tabs>
          <w:tab w:leader="none" w:pos="1742"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45" w:name="page46"/>
    <w:bookmarkEnd w:id="45"/>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13" w:lineRule="exact"/>
        <w:rPr>
          <w:sz w:val="20"/>
          <w:szCs w:val="20"/>
          <w:color w:val="auto"/>
        </w:rPr>
      </w:pPr>
    </w:p>
    <w:p>
      <w:pPr>
        <w:ind w:right="60" w:firstLine="1492"/>
        <w:spacing w:after="0" w:line="253" w:lineRule="auto"/>
        <w:tabs>
          <w:tab w:leader="none" w:pos="1791"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Unless otherwise determined by the Committee at the date of grant, any Dividend Equivalents that are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45" w:lineRule="exact"/>
        <w:rPr>
          <w:rFonts w:ascii="Arial" w:cs="Arial" w:eastAsia="Arial" w:hAnsi="Arial"/>
          <w:sz w:val="18"/>
          <w:szCs w:val="18"/>
          <w:color w:val="auto"/>
        </w:rPr>
      </w:pPr>
    </w:p>
    <w:p>
      <w:pPr>
        <w:ind w:right="220" w:firstLine="921"/>
        <w:spacing w:after="0" w:line="294" w:lineRule="auto"/>
        <w:tabs>
          <w:tab w:leader="none" w:pos="1132"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Bonus Stock and Awards in Lieu of Obligations. </w:t>
      </w:r>
      <w:r>
        <w:rPr>
          <w:rFonts w:ascii="Arial" w:cs="Arial" w:eastAsia="Arial" w:hAnsi="Arial"/>
          <w:sz w:val="16"/>
          <w:szCs w:val="16"/>
          <w:color w:val="auto"/>
        </w:rPr>
        <w:t>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15" w:lineRule="exact"/>
        <w:rPr>
          <w:rFonts w:ascii="Arial" w:cs="Arial" w:eastAsia="Arial" w:hAnsi="Arial"/>
          <w:sz w:val="16"/>
          <w:szCs w:val="16"/>
          <w:color w:val="auto"/>
        </w:rPr>
      </w:pPr>
    </w:p>
    <w:p>
      <w:pPr>
        <w:ind w:firstLine="921"/>
        <w:spacing w:after="0" w:line="254" w:lineRule="auto"/>
        <w:tabs>
          <w:tab w:leader="none" w:pos="1161"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The Committee is authorized to grant Dividend Equivalents to any Eligible Person entitling the Eligible Person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44" w:lineRule="exact"/>
        <w:rPr>
          <w:rFonts w:ascii="Arial" w:cs="Arial" w:eastAsia="Arial" w:hAnsi="Arial"/>
          <w:sz w:val="18"/>
          <w:szCs w:val="18"/>
          <w:color w:val="auto"/>
        </w:rPr>
      </w:pPr>
    </w:p>
    <w:p>
      <w:pPr>
        <w:ind w:right="20" w:firstLine="921"/>
        <w:spacing w:after="0" w:line="287" w:lineRule="auto"/>
        <w:tabs>
          <w:tab w:leader="none" w:pos="1161"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22" w:lineRule="exact"/>
        <w:rPr>
          <w:rFonts w:ascii="Arial" w:cs="Arial" w:eastAsia="Arial" w:hAnsi="Arial"/>
          <w:sz w:val="16"/>
          <w:szCs w:val="16"/>
          <w:color w:val="auto"/>
        </w:rPr>
      </w:pPr>
    </w:p>
    <w:p>
      <w:pPr>
        <w:ind w:right="40" w:firstLine="921"/>
        <w:spacing w:after="0" w:line="268" w:lineRule="auto"/>
        <w:tabs>
          <w:tab w:leader="none" w:pos="112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The Committee is authorized, subject to limitations under applicable law, to grant to any Eligible Person such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that may be denominated or payable in, valued in whole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46" w:name="page47"/>
    <w:bookmarkEnd w:id="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18"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171" w:lineRule="exact"/>
        <w:rPr>
          <w:rFonts w:ascii="Arial" w:cs="Arial" w:eastAsia="Arial" w:hAnsi="Arial"/>
          <w:sz w:val="18"/>
          <w:szCs w:val="18"/>
          <w:color w:val="auto"/>
        </w:rPr>
      </w:pPr>
    </w:p>
    <w:p>
      <w:pPr>
        <w:ind w:firstLine="921"/>
        <w:spacing w:after="0" w:line="286" w:lineRule="auto"/>
        <w:tabs>
          <w:tab w:leader="none" w:pos="1152"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Stand-Alone, Additional, Tandem, and Substitute Awards. </w:t>
      </w:r>
      <w:r>
        <w:rPr>
          <w:rFonts w:ascii="Arial" w:cs="Arial" w:eastAsia="Arial" w:hAnsi="Arial"/>
          <w:sz w:val="16"/>
          <w:szCs w:val="16"/>
          <w:color w:val="auto"/>
        </w:rPr>
        <w:t>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27" w:lineRule="exact"/>
        <w:rPr>
          <w:rFonts w:ascii="Arial" w:cs="Arial" w:eastAsia="Arial" w:hAnsi="Arial"/>
          <w:sz w:val="16"/>
          <w:szCs w:val="16"/>
          <w:color w:val="auto"/>
        </w:rPr>
      </w:pPr>
    </w:p>
    <w:p>
      <w:pPr>
        <w:ind w:right="120" w:firstLine="921"/>
        <w:spacing w:after="0" w:line="259" w:lineRule="auto"/>
        <w:tabs>
          <w:tab w:leader="none" w:pos="1161"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of Awards. </w:t>
      </w:r>
      <w:r>
        <w:rPr>
          <w:rFonts w:ascii="Arial" w:cs="Arial" w:eastAsia="Arial" w:hAnsi="Arial"/>
          <w:sz w:val="18"/>
          <w:szCs w:val="18"/>
          <w:color w:val="auto"/>
        </w:rPr>
        <w:t>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40" w:lineRule="exact"/>
        <w:rPr>
          <w:rFonts w:ascii="Arial" w:cs="Arial" w:eastAsia="Arial" w:hAnsi="Arial"/>
          <w:sz w:val="18"/>
          <w:szCs w:val="18"/>
          <w:color w:val="auto"/>
        </w:rPr>
      </w:pPr>
    </w:p>
    <w:p>
      <w:pPr>
        <w:ind w:firstLine="921"/>
        <w:spacing w:after="0" w:line="286" w:lineRule="auto"/>
        <w:tabs>
          <w:tab w:leader="none" w:pos="1152"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 and Timing of Payment Under Awards; Deferrals. </w:t>
      </w:r>
      <w:r>
        <w:rPr>
          <w:rFonts w:ascii="Arial" w:cs="Arial" w:eastAsia="Arial" w:hAnsi="Arial"/>
          <w:sz w:val="16"/>
          <w:szCs w:val="16"/>
          <w:color w:val="auto"/>
        </w:rPr>
        <w:t>Subject to the terms of the Plan and any applicable Award Agreement, payments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47" w:name="page48"/>
    <w:bookmarkEnd w:id="47"/>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installment or deferred payments or the grant or crediting of Dividend Equivalents or other amounts in respect of installment or deferred payments denominated in Shares.</w:t>
      </w:r>
    </w:p>
    <w:p>
      <w:pPr>
        <w:spacing w:after="0" w:line="132" w:lineRule="exact"/>
        <w:rPr>
          <w:sz w:val="20"/>
          <w:szCs w:val="20"/>
          <w:color w:val="auto"/>
        </w:rPr>
      </w:pPr>
    </w:p>
    <w:p>
      <w:pPr>
        <w:ind w:right="180" w:firstLine="921"/>
        <w:spacing w:after="0" w:line="294" w:lineRule="auto"/>
        <w:tabs>
          <w:tab w:leader="none" w:pos="1161"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Exemptions from Section 16(b) Liability. </w:t>
      </w:r>
      <w:r>
        <w:rPr>
          <w:rFonts w:ascii="Arial" w:cs="Arial" w:eastAsia="Arial" w:hAnsi="Arial"/>
          <w:sz w:val="16"/>
          <w:szCs w:val="16"/>
          <w:color w:val="auto"/>
        </w:rPr>
        <w:t>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p>
    <w:p>
      <w:pPr>
        <w:spacing w:after="0" w:line="171" w:lineRule="exact"/>
        <w:rPr>
          <w:rFonts w:ascii="Arial" w:cs="Arial" w:eastAsia="Arial" w:hAnsi="Arial"/>
          <w:sz w:val="18"/>
          <w:szCs w:val="18"/>
          <w:color w:val="auto"/>
        </w:rPr>
      </w:pPr>
    </w:p>
    <w:p>
      <w:pPr>
        <w:ind w:right="100" w:firstLine="1492"/>
        <w:spacing w:after="0" w:line="298" w:lineRule="auto"/>
        <w:tabs>
          <w:tab w:leader="none" w:pos="16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12" w:lineRule="exact"/>
        <w:rPr>
          <w:rFonts w:ascii="Arial" w:cs="Arial" w:eastAsia="Arial" w:hAnsi="Arial"/>
          <w:sz w:val="16"/>
          <w:szCs w:val="16"/>
          <w:color w:val="auto"/>
        </w:rPr>
      </w:pPr>
    </w:p>
    <w:p>
      <w:pPr>
        <w:ind w:right="40" w:firstLine="1492"/>
        <w:spacing w:after="0" w:line="332" w:lineRule="auto"/>
        <w:tabs>
          <w:tab w:leader="none" w:pos="1742"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85" w:lineRule="exact"/>
        <w:rPr>
          <w:rFonts w:ascii="Arial" w:cs="Arial" w:eastAsia="Arial" w:hAnsi="Arial"/>
          <w:sz w:val="16"/>
          <w:szCs w:val="16"/>
          <w:color w:val="auto"/>
        </w:rPr>
      </w:pPr>
    </w:p>
    <w:p>
      <w:pPr>
        <w:ind w:right="60" w:firstLine="1948"/>
        <w:spacing w:after="0" w:line="298" w:lineRule="auto"/>
        <w:tabs>
          <w:tab w:leader="none" w:pos="2228" w:val="left"/>
        </w:tabs>
        <w:numPr>
          <w:ilvl w:val="2"/>
          <w:numId w:val="47"/>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12" w:lineRule="exact"/>
        <w:rPr>
          <w:rFonts w:ascii="Arial" w:cs="Arial" w:eastAsia="Arial" w:hAnsi="Arial"/>
          <w:sz w:val="16"/>
          <w:szCs w:val="16"/>
          <w:color w:val="auto"/>
        </w:rPr>
      </w:pPr>
    </w:p>
    <w:p>
      <w:pPr>
        <w:ind w:right="460" w:firstLine="1948"/>
        <w:spacing w:after="0" w:line="268" w:lineRule="auto"/>
        <w:tabs>
          <w:tab w:leader="none" w:pos="2218"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31" w:lineRule="exact"/>
        <w:rPr>
          <w:rFonts w:ascii="Arial" w:cs="Arial" w:eastAsia="Arial" w:hAnsi="Arial"/>
          <w:sz w:val="18"/>
          <w:szCs w:val="18"/>
          <w:color w:val="auto"/>
        </w:rPr>
      </w:pPr>
    </w:p>
    <w:p>
      <w:pPr>
        <w:ind w:right="1000" w:firstLine="1948"/>
        <w:spacing w:after="0" w:line="268" w:lineRule="auto"/>
        <w:tabs>
          <w:tab w:leader="none" w:pos="2218"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31" w:lineRule="exact"/>
        <w:rPr>
          <w:rFonts w:ascii="Arial" w:cs="Arial" w:eastAsia="Arial" w:hAnsi="Arial"/>
          <w:sz w:val="18"/>
          <w:szCs w:val="18"/>
          <w:color w:val="auto"/>
        </w:rPr>
      </w:pPr>
    </w:p>
    <w:p>
      <w:pPr>
        <w:ind w:firstLine="1948"/>
        <w:spacing w:after="0" w:line="282" w:lineRule="auto"/>
        <w:tabs>
          <w:tab w:leader="none" w:pos="2228" w:val="left"/>
        </w:tabs>
        <w:numPr>
          <w:ilvl w:val="2"/>
          <w:numId w:val="47"/>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 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48" w:name="page49"/>
    <w:bookmarkEnd w:id="48"/>
    <w:p>
      <w:pPr>
        <w:ind w:left="-20" w:right="40" w:firstLine="1492"/>
        <w:spacing w:after="0" w:line="255" w:lineRule="auto"/>
        <w:tabs>
          <w:tab w:leader="none" w:pos="1771" w:val="left"/>
        </w:tabs>
        <w:numPr>
          <w:ilvl w:val="2"/>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42" w:lineRule="exact"/>
        <w:rPr>
          <w:rFonts w:ascii="Arial" w:cs="Arial" w:eastAsia="Arial" w:hAnsi="Arial"/>
          <w:sz w:val="18"/>
          <w:szCs w:val="18"/>
          <w:color w:val="auto"/>
        </w:rPr>
      </w:pPr>
    </w:p>
    <w:p>
      <w:pPr>
        <w:ind w:left="620" w:hanging="176"/>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p>
    <w:p>
      <w:pPr>
        <w:spacing w:after="0" w:line="171" w:lineRule="exact"/>
        <w:rPr>
          <w:rFonts w:ascii="Arial" w:cs="Arial" w:eastAsia="Arial" w:hAnsi="Arial"/>
          <w:sz w:val="18"/>
          <w:szCs w:val="18"/>
          <w:color w:val="auto"/>
        </w:rPr>
      </w:pPr>
    </w:p>
    <w:p>
      <w:pPr>
        <w:ind w:left="-20" w:right="60" w:firstLine="921"/>
        <w:spacing w:after="0" w:line="259" w:lineRule="auto"/>
        <w:tabs>
          <w:tab w:leader="none" w:pos="1132"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Employees. </w:t>
      </w:r>
      <w:r>
        <w:rPr>
          <w:rFonts w:ascii="Arial" w:cs="Arial" w:eastAsia="Arial" w:hAnsi="Arial"/>
          <w:sz w:val="18"/>
          <w:szCs w:val="18"/>
          <w:color w:val="auto"/>
        </w:rPr>
        <w:t>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140" w:lineRule="exact"/>
        <w:rPr>
          <w:rFonts w:ascii="Arial" w:cs="Arial" w:eastAsia="Arial" w:hAnsi="Arial"/>
          <w:sz w:val="18"/>
          <w:szCs w:val="18"/>
          <w:color w:val="auto"/>
        </w:rPr>
      </w:pPr>
    </w:p>
    <w:p>
      <w:pPr>
        <w:ind w:left="-20" w:firstLine="921"/>
        <w:spacing w:after="0" w:line="284" w:lineRule="auto"/>
        <w:tabs>
          <w:tab w:leader="none" w:pos="1141"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If a Performance Award is subject to this Section 8, then the payment or distribution thereof or the lapsing of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31" w:lineRule="exact"/>
        <w:rPr>
          <w:rFonts w:ascii="Arial" w:cs="Arial" w:eastAsia="Arial" w:hAnsi="Arial"/>
          <w:sz w:val="16"/>
          <w:szCs w:val="16"/>
          <w:color w:val="auto"/>
        </w:rPr>
      </w:pPr>
    </w:p>
    <w:p>
      <w:pPr>
        <w:ind w:left="-20" w:right="40" w:firstLine="921"/>
        <w:spacing w:after="0" w:line="298" w:lineRule="auto"/>
        <w:tabs>
          <w:tab w:leader="none" w:pos="1132"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Period; Timing For Establishing Performance Goals. </w:t>
      </w:r>
      <w:r>
        <w:rPr>
          <w:rFonts w:ascii="Arial" w:cs="Arial" w:eastAsia="Arial" w:hAnsi="Arial"/>
          <w:sz w:val="16"/>
          <w:szCs w:val="16"/>
          <w:color w:val="auto"/>
        </w:rPr>
        <w:t>Achievement of performance goals in respect of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12" w:lineRule="exact"/>
        <w:rPr>
          <w:rFonts w:ascii="Arial" w:cs="Arial" w:eastAsia="Arial" w:hAnsi="Arial"/>
          <w:sz w:val="16"/>
          <w:szCs w:val="16"/>
          <w:color w:val="auto"/>
        </w:rPr>
      </w:pPr>
    </w:p>
    <w:p>
      <w:pPr>
        <w:ind w:left="-20" w:right="40" w:firstLine="921"/>
        <w:spacing w:after="0" w:line="268" w:lineRule="auto"/>
        <w:tabs>
          <w:tab w:leader="none" w:pos="1141"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The Committee may, in its discretion, reduce the amount of a settlement otherwise to be made in connection with Awards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this Section 8, but may not exercise discretion to increase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60" w:top="280" w:right="259" w:bottom="1440" w:gutter="0" w:footer="0" w:header="0"/>
        </w:sectPr>
      </w:pPr>
    </w:p>
    <w:bookmarkStart w:id="49" w:name="page50"/>
    <w:bookmarkEnd w:id="49"/>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40" w:lineRule="exact"/>
        <w:rPr>
          <w:sz w:val="20"/>
          <w:szCs w:val="20"/>
          <w:color w:val="auto"/>
        </w:rPr>
      </w:pPr>
    </w:p>
    <w:p>
      <w:pPr>
        <w:ind w:right="120" w:firstLine="921"/>
        <w:spacing w:after="0" w:line="306" w:lineRule="auto"/>
        <w:tabs>
          <w:tab w:leader="none" w:pos="1152" w:val="left"/>
        </w:tabs>
        <w:numPr>
          <w:ilvl w:val="1"/>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Committee Certification. </w:t>
      </w:r>
      <w:r>
        <w:rPr>
          <w:rFonts w:ascii="Arial" w:cs="Arial" w:eastAsia="Arial" w:hAnsi="Arial"/>
          <w:sz w:val="16"/>
          <w:szCs w:val="16"/>
          <w:color w:val="auto"/>
        </w:rPr>
        <w:t>No Participant shall receive any payment under the Plan that is subject to this Section 8 unless the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171" w:lineRule="exact"/>
        <w:rPr>
          <w:rFonts w:ascii="Arial" w:cs="Arial" w:eastAsia="Arial" w:hAnsi="Arial"/>
          <w:sz w:val="18"/>
          <w:szCs w:val="18"/>
          <w:color w:val="auto"/>
        </w:rPr>
      </w:pPr>
    </w:p>
    <w:p>
      <w:pPr>
        <w:jc w:val="both"/>
        <w:ind w:right="480" w:firstLine="921"/>
        <w:spacing w:after="0" w:line="306" w:lineRule="auto"/>
        <w:tabs>
          <w:tab w:leader="none" w:pos="1152"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106" w:lineRule="exact"/>
        <w:rPr>
          <w:rFonts w:ascii="Arial" w:cs="Arial" w:eastAsia="Arial" w:hAnsi="Arial"/>
          <w:sz w:val="16"/>
          <w:szCs w:val="16"/>
          <w:color w:val="auto"/>
        </w:rPr>
      </w:pPr>
    </w:p>
    <w:p>
      <w:pPr>
        <w:ind w:right="360" w:firstLine="1492"/>
        <w:spacing w:after="0" w:line="268" w:lineRule="auto"/>
        <w:tabs>
          <w:tab w:leader="none" w:pos="1693"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31" w:lineRule="exact"/>
        <w:rPr>
          <w:rFonts w:ascii="Arial" w:cs="Arial" w:eastAsia="Arial" w:hAnsi="Arial"/>
          <w:sz w:val="18"/>
          <w:szCs w:val="18"/>
          <w:color w:val="auto"/>
        </w:rPr>
      </w:pPr>
    </w:p>
    <w:p>
      <w:pPr>
        <w:ind w:right="200" w:firstLine="1492"/>
        <w:spacing w:after="0" w:line="306" w:lineRule="auto"/>
        <w:tabs>
          <w:tab w:leader="none" w:pos="1742" w:val="left"/>
        </w:tabs>
        <w:numPr>
          <w:ilvl w:val="2"/>
          <w:numId w:val="51"/>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06" w:lineRule="exact"/>
        <w:rPr>
          <w:rFonts w:ascii="Arial" w:cs="Arial" w:eastAsia="Arial" w:hAnsi="Arial"/>
          <w:sz w:val="16"/>
          <w:szCs w:val="16"/>
          <w:color w:val="auto"/>
        </w:rPr>
      </w:pPr>
    </w:p>
    <w:p>
      <w:pPr>
        <w:ind w:right="60" w:firstLine="1492"/>
        <w:spacing w:after="0" w:line="268" w:lineRule="auto"/>
        <w:tabs>
          <w:tab w:leader="none" w:pos="1791"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31" w:lineRule="exact"/>
        <w:rPr>
          <w:rFonts w:ascii="Arial" w:cs="Arial" w:eastAsia="Arial" w:hAnsi="Arial"/>
          <w:sz w:val="18"/>
          <w:szCs w:val="18"/>
          <w:color w:val="auto"/>
        </w:rPr>
      </w:pPr>
    </w:p>
    <w:p>
      <w:pPr>
        <w:ind w:firstLine="921"/>
        <w:spacing w:after="0" w:line="268" w:lineRule="auto"/>
        <w:tabs>
          <w:tab w:leader="none" w:pos="1161"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Unless otherwise specified in any employment agreement between the Participant and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Entity, or in an Award Agreement, a “Change in Control” shall mean the occurrence of any of the following:</w:t>
      </w:r>
    </w:p>
    <w:p>
      <w:pPr>
        <w:spacing w:after="0" w:line="131" w:lineRule="exact"/>
        <w:rPr>
          <w:rFonts w:ascii="Arial" w:cs="Arial" w:eastAsia="Arial" w:hAnsi="Arial"/>
          <w:sz w:val="18"/>
          <w:szCs w:val="18"/>
          <w:color w:val="auto"/>
        </w:rPr>
      </w:pPr>
    </w:p>
    <w:p>
      <w:pPr>
        <w:ind w:right="20" w:firstLine="1492"/>
        <w:spacing w:after="0" w:line="283" w:lineRule="auto"/>
        <w:tabs>
          <w:tab w:leader="none" w:pos="1693"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w:t>
      </w:r>
    </w:p>
    <w:p>
      <w:pPr>
        <w:spacing w:after="0" w:line="2" w:lineRule="exact"/>
        <w:rPr>
          <w:rFonts w:ascii="Arial" w:cs="Arial" w:eastAsia="Arial" w:hAnsi="Arial"/>
          <w:sz w:val="16"/>
          <w:szCs w:val="16"/>
          <w:color w:val="auto"/>
        </w:rPr>
      </w:pP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143" w:lineRule="exact"/>
        <w:rPr>
          <w:rFonts w:ascii="Arial" w:cs="Arial" w:eastAsia="Arial" w:hAnsi="Arial"/>
          <w:sz w:val="16"/>
          <w:szCs w:val="16"/>
          <w:color w:val="auto"/>
        </w:rPr>
      </w:pPr>
    </w:p>
    <w:p>
      <w:pPr>
        <w:ind w:right="240" w:firstLine="1492"/>
        <w:spacing w:after="0" w:line="256" w:lineRule="auto"/>
        <w:tabs>
          <w:tab w:leader="none" w:pos="1742" w:val="left"/>
        </w:tabs>
        <w:numPr>
          <w:ilvl w:val="2"/>
          <w:numId w:val="51"/>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50" w:name="page51"/>
    <w:bookmarkEnd w:id="5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40" w:lineRule="exact"/>
        <w:rPr>
          <w:sz w:val="20"/>
          <w:szCs w:val="20"/>
          <w:color w:val="auto"/>
        </w:rPr>
      </w:pPr>
    </w:p>
    <w:p>
      <w:pPr>
        <w:ind w:firstLine="1492"/>
        <w:spacing w:after="0" w:line="285" w:lineRule="auto"/>
        <w:tabs>
          <w:tab w:leader="none" w:pos="1791" w:val="left"/>
        </w:tabs>
        <w:numPr>
          <w:ilvl w:val="2"/>
          <w:numId w:val="52"/>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23" w:lineRule="exact"/>
        <w:rPr>
          <w:rFonts w:ascii="Arial" w:cs="Arial" w:eastAsia="Arial" w:hAnsi="Arial"/>
          <w:sz w:val="16"/>
          <w:szCs w:val="16"/>
          <w:color w:val="auto"/>
        </w:rPr>
      </w:pPr>
    </w:p>
    <w:p>
      <w:pPr>
        <w:ind w:left="1780" w:hanging="288"/>
        <w:spacing w:after="0"/>
        <w:tabs>
          <w:tab w:leader="none" w:pos="1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171" w:lineRule="exact"/>
        <w:rPr>
          <w:rFonts w:ascii="Arial" w:cs="Arial" w:eastAsia="Arial" w:hAnsi="Arial"/>
          <w:sz w:val="18"/>
          <w:szCs w:val="18"/>
          <w:color w:val="auto"/>
        </w:rPr>
      </w:pPr>
    </w:p>
    <w:p>
      <w:pPr>
        <w:ind w:right="100" w:firstLine="921"/>
        <w:spacing w:after="0" w:line="291"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Compliance With Legal and Other Requirements. </w:t>
      </w:r>
      <w:r>
        <w:rPr>
          <w:rFonts w:ascii="Arial" w:cs="Arial" w:eastAsia="Arial" w:hAnsi="Arial"/>
          <w:sz w:val="16"/>
          <w:szCs w:val="16"/>
          <w:color w:val="auto"/>
        </w:rPr>
        <w:t>The Company may, to the extent deemed necessary or advisable by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20" w:lineRule="exact"/>
        <w:rPr>
          <w:rFonts w:ascii="Arial" w:cs="Arial" w:eastAsia="Arial" w:hAnsi="Arial"/>
          <w:sz w:val="16"/>
          <w:szCs w:val="16"/>
          <w:color w:val="auto"/>
        </w:rPr>
      </w:pPr>
    </w:p>
    <w:p>
      <w:pPr>
        <w:ind w:right="80" w:firstLine="921"/>
        <w:spacing w:after="0" w:line="291" w:lineRule="auto"/>
        <w:tabs>
          <w:tab w:leader="none" w:pos="1161"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Limits on Transferability; Beneficiaries. </w:t>
      </w:r>
      <w:r>
        <w:rPr>
          <w:rFonts w:ascii="Arial" w:cs="Arial" w:eastAsia="Arial" w:hAnsi="Arial"/>
          <w:sz w:val="16"/>
          <w:szCs w:val="16"/>
          <w:color w:val="auto"/>
        </w:rPr>
        <w:t>No Award or other right or interest granted under the Plan shall be pledged, hypothecated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80" w:right="259" w:bottom="1440" w:gutter="0" w:footer="0" w:header="0"/>
        </w:sectPr>
      </w:pPr>
    </w:p>
    <w:bookmarkStart w:id="51" w:name="page52"/>
    <w:bookmarkEnd w:id="5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13" w:lineRule="exact"/>
        <w:rPr>
          <w:sz w:val="20"/>
          <w:szCs w:val="20"/>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171" w:lineRule="exact"/>
        <w:rPr>
          <w:rFonts w:ascii="Arial" w:cs="Arial" w:eastAsia="Arial" w:hAnsi="Arial"/>
          <w:sz w:val="18"/>
          <w:szCs w:val="18"/>
          <w:color w:val="auto"/>
        </w:rPr>
      </w:pPr>
    </w:p>
    <w:p>
      <w:pPr>
        <w:ind w:right="80" w:firstLine="1492"/>
        <w:spacing w:after="0" w:line="289" w:lineRule="auto"/>
        <w:tabs>
          <w:tab w:leader="none" w:pos="1693"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to Awards. </w:t>
      </w:r>
      <w:r>
        <w:rPr>
          <w:rFonts w:ascii="Arial" w:cs="Arial" w:eastAsia="Arial" w:hAnsi="Arial"/>
          <w:sz w:val="16"/>
          <w:szCs w:val="16"/>
          <w:color w:val="auto"/>
        </w:rPr>
        <w:t>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18" w:lineRule="exact"/>
        <w:rPr>
          <w:rFonts w:ascii="Arial" w:cs="Arial" w:eastAsia="Arial" w:hAnsi="Arial"/>
          <w:sz w:val="16"/>
          <w:szCs w:val="16"/>
          <w:color w:val="auto"/>
        </w:rPr>
      </w:pPr>
    </w:p>
    <w:p>
      <w:pPr>
        <w:ind w:firstLine="1492"/>
        <w:spacing w:after="0" w:line="286" w:lineRule="auto"/>
        <w:tabs>
          <w:tab w:leader="none" w:pos="1742"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in Case of Certain Transactions. </w:t>
      </w:r>
      <w:r>
        <w:rPr>
          <w:rFonts w:ascii="Arial" w:cs="Arial" w:eastAsia="Arial" w:hAnsi="Arial"/>
          <w:sz w:val="16"/>
          <w:szCs w:val="16"/>
          <w:color w:val="auto"/>
        </w:rPr>
        <w:t>In the event of any merger, consolidation or other reorganization in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20" w:lineRule="exact"/>
        <w:rPr>
          <w:rFonts w:ascii="Arial" w:cs="Arial" w:eastAsia="Arial" w:hAnsi="Arial"/>
          <w:sz w:val="16"/>
          <w:szCs w:val="16"/>
          <w:color w:val="auto"/>
        </w:rPr>
      </w:pPr>
    </w:p>
    <w:p>
      <w:pPr>
        <w:ind w:right="80" w:firstLine="1492"/>
        <w:spacing w:after="0" w:line="289" w:lineRule="auto"/>
        <w:tabs>
          <w:tab w:leader="none" w:pos="179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Adjustments. </w:t>
      </w:r>
      <w:r>
        <w:rPr>
          <w:rFonts w:ascii="Arial" w:cs="Arial" w:eastAsia="Arial" w:hAnsi="Arial"/>
          <w:sz w:val="16"/>
          <w:szCs w:val="16"/>
          <w:color w:val="auto"/>
        </w:rPr>
        <w:t>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280" w:right="239" w:bottom="1440" w:gutter="0" w:footer="0" w:header="0"/>
        </w:sectPr>
      </w:pPr>
    </w:p>
    <w:bookmarkStart w:id="52" w:name="page53"/>
    <w:bookmarkEnd w:id="52"/>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98" w:lineRule="exact"/>
        <w:rPr>
          <w:sz w:val="20"/>
          <w:szCs w:val="20"/>
          <w:color w:val="auto"/>
        </w:rPr>
      </w:pPr>
    </w:p>
    <w:p>
      <w:pPr>
        <w:ind w:right="120" w:firstLine="921"/>
        <w:spacing w:after="0" w:line="291" w:lineRule="auto"/>
        <w:tabs>
          <w:tab w:leader="none" w:pos="1161"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20" w:lineRule="exact"/>
        <w:rPr>
          <w:rFonts w:ascii="Arial" w:cs="Arial" w:eastAsia="Arial" w:hAnsi="Arial"/>
          <w:sz w:val="16"/>
          <w:szCs w:val="16"/>
          <w:color w:val="auto"/>
        </w:rPr>
      </w:pPr>
    </w:p>
    <w:p>
      <w:pPr>
        <w:ind w:right="120" w:firstLine="921"/>
        <w:spacing w:after="0" w:line="287" w:lineRule="auto"/>
        <w:tabs>
          <w:tab w:leader="none" w:pos="1152"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Changes to the Plan and Awards. </w:t>
      </w:r>
      <w:r>
        <w:rPr>
          <w:rFonts w:ascii="Arial" w:cs="Arial" w:eastAsia="Arial" w:hAnsi="Arial"/>
          <w:sz w:val="16"/>
          <w:szCs w:val="16"/>
          <w:color w:val="auto"/>
        </w:rPr>
        <w:t>The Board may amend, alter, suspend, discontinue or terminate the Plan, or the Committee’s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22" w:lineRule="exact"/>
        <w:rPr>
          <w:rFonts w:ascii="Arial" w:cs="Arial" w:eastAsia="Arial" w:hAnsi="Arial"/>
          <w:sz w:val="16"/>
          <w:szCs w:val="16"/>
          <w:color w:val="auto"/>
        </w:rPr>
      </w:pPr>
    </w:p>
    <w:p>
      <w:pPr>
        <w:ind w:left="1140" w:hanging="219"/>
        <w:spacing w:after="0"/>
        <w:tabs>
          <w:tab w:leader="none" w:pos="1140"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on Rights Conferred Under Plan.  </w:t>
      </w:r>
      <w:r>
        <w:rPr>
          <w:rFonts w:ascii="Arial" w:cs="Arial" w:eastAsia="Arial" w:hAnsi="Arial"/>
          <w:sz w:val="16"/>
          <w:szCs w:val="16"/>
          <w:color w:val="auto"/>
        </w:rPr>
        <w:t>Neither the Plan nor any action taken hereunder or under any Award shall be construed as</w:t>
      </w:r>
    </w:p>
    <w:p>
      <w:pPr>
        <w:spacing w:after="0" w:line="38" w:lineRule="exact"/>
        <w:rPr>
          <w:rFonts w:ascii="Arial" w:cs="Arial" w:eastAsia="Arial" w:hAnsi="Arial"/>
          <w:sz w:val="16"/>
          <w:szCs w:val="16"/>
          <w:color w:val="auto"/>
        </w:rPr>
      </w:pPr>
    </w:p>
    <w:p>
      <w:pPr>
        <w:ind w:firstLine="8"/>
        <w:spacing w:after="0" w:line="286" w:lineRule="auto"/>
        <w:tabs>
          <w:tab w:leader="none" w:pos="21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24" w:lineRule="exact"/>
        <w:rPr>
          <w:rFonts w:ascii="Arial" w:cs="Arial" w:eastAsia="Arial" w:hAnsi="Arial"/>
          <w:sz w:val="16"/>
          <w:szCs w:val="16"/>
          <w:color w:val="auto"/>
        </w:rPr>
      </w:pPr>
    </w:p>
    <w:p>
      <w:pPr>
        <w:ind w:right="160" w:firstLine="921"/>
        <w:spacing w:after="0" w:line="306" w:lineRule="auto"/>
        <w:tabs>
          <w:tab w:leader="none" w:pos="1161"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Unfunded Status of Awards; Creation of Trusts. </w:t>
      </w:r>
      <w:r>
        <w:rPr>
          <w:rFonts w:ascii="Arial" w:cs="Arial" w:eastAsia="Arial" w:hAnsi="Arial"/>
          <w:sz w:val="16"/>
          <w:szCs w:val="16"/>
          <w:color w:val="auto"/>
        </w:rPr>
        <w:t>The Plan is intended to constitute an “unfunded” plan for incentive and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80" w:right="239" w:bottom="1440" w:gutter="0" w:footer="0" w:header="0"/>
        </w:sectPr>
      </w:pPr>
    </w:p>
    <w:bookmarkStart w:id="53" w:name="page54"/>
    <w:bookmarkEnd w:id="5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13" w:lineRule="exact"/>
        <w:rPr>
          <w:sz w:val="20"/>
          <w:szCs w:val="20"/>
          <w:color w:val="auto"/>
        </w:rPr>
      </w:pPr>
    </w:p>
    <w:p>
      <w:pPr>
        <w:ind w:right="60" w:firstLine="921"/>
        <w:spacing w:after="0" w:line="306" w:lineRule="auto"/>
        <w:tabs>
          <w:tab w:leader="none" w:pos="1161"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Non-exclusivity of the Plan. </w:t>
      </w:r>
      <w:r>
        <w:rPr>
          <w:rFonts w:ascii="Arial" w:cs="Arial" w:eastAsia="Arial" w:hAnsi="Arial"/>
          <w:sz w:val="16"/>
          <w:szCs w:val="16"/>
          <w:color w:val="auto"/>
        </w:rPr>
        <w:t>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06" w:lineRule="exact"/>
        <w:rPr>
          <w:rFonts w:ascii="Arial" w:cs="Arial" w:eastAsia="Arial" w:hAnsi="Arial"/>
          <w:sz w:val="16"/>
          <w:szCs w:val="16"/>
          <w:color w:val="auto"/>
        </w:rPr>
      </w:pPr>
    </w:p>
    <w:p>
      <w:pPr>
        <w:ind w:right="280" w:firstLine="921"/>
        <w:spacing w:after="0" w:line="323" w:lineRule="auto"/>
        <w:tabs>
          <w:tab w:leader="none" w:pos="1122" w:val="left"/>
        </w:tabs>
        <w:numPr>
          <w:ilvl w:val="1"/>
          <w:numId w:val="5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Payments in the Event of Forfeitures; Fractional Shares. </w:t>
      </w:r>
      <w:r>
        <w:rPr>
          <w:rFonts w:ascii="Arial" w:cs="Arial" w:eastAsia="Arial" w:hAnsi="Arial"/>
          <w:sz w:val="15"/>
          <w:szCs w:val="15"/>
          <w:color w:val="auto"/>
        </w:rPr>
        <w:t>Unless otherwise determined by the Committee, in the event of a forfeiture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97" w:lineRule="exact"/>
        <w:rPr>
          <w:rFonts w:ascii="Arial" w:cs="Arial" w:eastAsia="Arial" w:hAnsi="Arial"/>
          <w:sz w:val="15"/>
          <w:szCs w:val="15"/>
          <w:color w:val="auto"/>
        </w:rPr>
      </w:pPr>
    </w:p>
    <w:p>
      <w:pPr>
        <w:ind w:right="20" w:firstLine="921"/>
        <w:spacing w:after="0" w:line="332" w:lineRule="auto"/>
        <w:tabs>
          <w:tab w:leader="none" w:pos="1122"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Governing Law. </w:t>
      </w:r>
      <w:r>
        <w:rPr>
          <w:rFonts w:ascii="Arial" w:cs="Arial" w:eastAsia="Arial" w:hAnsi="Arial"/>
          <w:sz w:val="16"/>
          <w:szCs w:val="16"/>
          <w:color w:val="auto"/>
        </w:rPr>
        <w:t>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Commonwealth of Massachusetts without giving effect to principles of conflict of laws, and applicable federal law.</w:t>
      </w:r>
    </w:p>
    <w:p>
      <w:pPr>
        <w:spacing w:after="0" w:line="85" w:lineRule="exact"/>
        <w:rPr>
          <w:rFonts w:ascii="Arial" w:cs="Arial" w:eastAsia="Arial" w:hAnsi="Arial"/>
          <w:sz w:val="16"/>
          <w:szCs w:val="16"/>
          <w:color w:val="auto"/>
        </w:rPr>
      </w:pPr>
    </w:p>
    <w:p>
      <w:pPr>
        <w:jc w:val="both"/>
        <w:ind w:right="520" w:firstLine="921"/>
        <w:spacing w:after="0" w:line="306" w:lineRule="auto"/>
        <w:tabs>
          <w:tab w:leader="none" w:pos="1161"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Non-U.S. Laws. </w:t>
      </w:r>
      <w:r>
        <w:rPr>
          <w:rFonts w:ascii="Arial" w:cs="Arial" w:eastAsia="Arial" w:hAnsi="Arial"/>
          <w:sz w:val="16"/>
          <w:szCs w:val="16"/>
          <w:color w:val="auto"/>
        </w:rPr>
        <w:t>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06" w:lineRule="exact"/>
        <w:rPr>
          <w:rFonts w:ascii="Arial" w:cs="Arial" w:eastAsia="Arial" w:hAnsi="Arial"/>
          <w:sz w:val="16"/>
          <w:szCs w:val="16"/>
          <w:color w:val="auto"/>
        </w:rPr>
      </w:pPr>
    </w:p>
    <w:p>
      <w:pPr>
        <w:ind w:right="40" w:firstLine="921"/>
        <w:spacing w:after="0" w:line="283" w:lineRule="auto"/>
        <w:tabs>
          <w:tab w:leader="none" w:pos="1122"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Plan Effective Date and Shareholder Approval; Termination of Plan. </w:t>
      </w:r>
      <w:r>
        <w:rPr>
          <w:rFonts w:ascii="Arial" w:cs="Arial" w:eastAsia="Arial" w:hAnsi="Arial"/>
          <w:sz w:val="16"/>
          <w:szCs w:val="16"/>
          <w:color w:val="auto"/>
        </w:rPr>
        <w:t>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w:t>
      </w:r>
    </w:p>
    <w:p>
      <w:pPr>
        <w:spacing w:after="0" w:line="1" w:lineRule="exact"/>
        <w:rPr>
          <w:rFonts w:ascii="Arial" w:cs="Arial" w:eastAsia="Arial" w:hAnsi="Arial"/>
          <w:sz w:val="16"/>
          <w:szCs w:val="16"/>
          <w:color w:val="auto"/>
        </w:rPr>
      </w:pPr>
    </w:p>
    <w:p>
      <w:pPr>
        <w:ind w:right="80" w:firstLine="8"/>
        <w:spacing w:after="0" w:line="261"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termination of this Plan by the Board, or (c) the tenth anniversary of the Effective Date. Awards outstanding upon expiration of the Plan shall remain in effect until they have been exercised or terminated, or have expired.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80"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Explanatory Note: </w:t>
      </w:r>
      <w:r>
        <w:rPr>
          <w:rFonts w:ascii="Arial" w:cs="Arial" w:eastAsia="Arial" w:hAnsi="Arial"/>
          <w:sz w:val="18"/>
          <w:szCs w:val="18"/>
          <w:color w:val="auto"/>
        </w:rPr>
        <w:t>This Exhibit B contains a copy of the Certificate of Amendment, to be filed with the Secretary of State of the State of Nevada,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Proposals 3 and 4 described in the Proxy Statement to which this Exhibit B is attached. In the event either Proposal 3 or 4 is not approved by our stockholders, the Certificate of Amendment will be revised and filed accordingly.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Certificate of Amendment to Articles of Incorporation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 Nevada Profit Corporations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NRS 78.385 and 78.390—After Issuance of Stock)</w:t>
      </w:r>
    </w:p>
    <w:p>
      <w:pPr>
        <w:spacing w:after="0" w:line="20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Name of corporation: Pro-Pharmaceuticals,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171"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Article III of the Articles of Incorporation of Pro-Pharmaceuticals, Inc. has been amended to increase the number of authorized common voting shares to 300,000,000 and the number of authorized undesignated shares of preferred stock from 10,000,000 to 20,000,000, and shall read in its entirety as follows: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Authorized Shares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corporation shall have authority to issue an aggregate of 300,000,000 shares, which shall be common voting shares having a par value of $0.001 per share, and 20,000,000 undesignated shares having a par value of $0.01 per share. The Board of Directors may, from time to time, prescribe by resolution different classes or series of the undesignated shares, the number of shares of such class or series within the limit of the authorized undesignated shares, and the voting powers, designations, rights, preferences, restrictions and the relative rights of said shares in each such class or series.</w:t>
      </w:r>
    </w:p>
    <w:p>
      <w:pPr>
        <w:spacing w:after="0" w:line="32" w:lineRule="exact"/>
        <w:rPr>
          <w:sz w:val="20"/>
          <w:szCs w:val="20"/>
          <w:color w:val="auto"/>
        </w:rPr>
      </w:pPr>
    </w:p>
    <w:p>
      <w:pPr>
        <w:ind w:left="460" w:right="42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[to be completed]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-13970</wp:posOffset>
            </wp:positionV>
            <wp:extent cx="4041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41140"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8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Officer Signature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-13970</wp:posOffset>
            </wp:positionV>
            <wp:extent cx="4264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6402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Theodore D. Zucconi, Chief Executive Officer and President</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PRO-PHARMACEUTICALS, INC.</w:t>
      </w:r>
    </w:p>
    <w:p>
      <w:pPr>
        <w:spacing w:after="0" w:line="231" w:lineRule="exact"/>
        <w:rPr>
          <w:sz w:val="20"/>
          <w:szCs w:val="20"/>
          <w:color w:val="auto"/>
        </w:rPr>
      </w:pPr>
    </w:p>
    <w:p>
      <w:pPr>
        <w:jc w:val="both"/>
        <w:ind w:firstLine="479"/>
        <w:spacing w:after="0" w:line="282" w:lineRule="auto"/>
        <w:rPr>
          <w:sz w:val="20"/>
          <w:szCs w:val="20"/>
          <w:color w:val="auto"/>
        </w:rPr>
      </w:pPr>
      <w:r>
        <w:rPr>
          <w:rFonts w:ascii="Arial" w:cs="Arial" w:eastAsia="Arial" w:hAnsi="Arial"/>
          <w:sz w:val="19"/>
          <w:szCs w:val="19"/>
          <w:color w:val="auto"/>
        </w:rPr>
        <w:t>The undersigned appoints Theodore Zucconi, Ph.D., Anthony D. Squeglia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9, 2009 at the 2009 Annual Meeting of Stockholders of Pro-Pharmaceuticals, Inc. to be held on May 21, 2009 or at any adjournment thereof.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9580"/>
          </w:cols>
          <w:pgMar w:left="1160" w:top="1440" w:right="1159" w:bottom="1440" w:gutter="0" w:footer="0" w:header="0"/>
        </w:sectPr>
      </w:pPr>
    </w:p>
    <w:bookmarkStart w:id="56" w:name="page57"/>
    <w:bookmarkEnd w:id="56"/>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PRO-PHARMACEUTICALS, INC.</w:t>
      </w:r>
    </w:p>
    <w:p>
      <w:pPr>
        <w:spacing w:after="0" w:line="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Important Notice Regarding the Availability of Proxy Materials for the Annual Meeting of Stockholders to be held May 21, 2009. This proxy statement and our 2008 Annual Report to Stockholders are available at: </w:t>
      </w:r>
      <w:r>
        <w:rPr>
          <w:rFonts w:ascii="Arial" w:cs="Arial" w:eastAsia="Arial" w:hAnsi="Arial"/>
          <w:sz w:val="22"/>
          <w:szCs w:val="22"/>
          <w:u w:val="single" w:color="auto"/>
          <w:color w:val="auto"/>
        </w:rPr>
        <w:t>http://www.cstproxy.com/pro-pharmaceuticals/2009</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 FOLD AND DETACH HERE AND READ THE REVERSE SIDE 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760" w:type="dxa"/>
            <w:vAlign w:val="bottom"/>
          </w:tcPr>
          <w:p>
            <w:pPr>
              <w:ind w:left="5580"/>
              <w:spacing w:after="0"/>
              <w:rPr>
                <w:sz w:val="20"/>
                <w:szCs w:val="20"/>
                <w:color w:val="auto"/>
              </w:rPr>
            </w:pPr>
            <w:r>
              <w:rPr>
                <w:rFonts w:ascii="Arial" w:cs="Arial" w:eastAsia="Arial" w:hAnsi="Arial"/>
                <w:sz w:val="18"/>
                <w:szCs w:val="18"/>
                <w:b w:val="1"/>
                <w:bCs w:val="1"/>
                <w:color w:val="auto"/>
              </w:rPr>
              <w:t>PROXY</w:t>
            </w: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rPr>
              <w:t>Please mark</w:t>
            </w:r>
          </w:p>
        </w:tc>
        <w:tc>
          <w:tcPr>
            <w:tcW w:w="52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285"/>
        </w:trPr>
        <w:tc>
          <w:tcPr>
            <w:tcW w:w="9760" w:type="dxa"/>
            <w:vAlign w:val="bottom"/>
          </w:tcPr>
          <w:p>
            <w:pPr>
              <w:spacing w:after="0"/>
              <w:rPr>
                <w:sz w:val="20"/>
                <w:szCs w:val="20"/>
                <w:color w:val="auto"/>
              </w:rPr>
            </w:pPr>
            <w:r>
              <w:rPr>
                <w:rFonts w:ascii="Arial" w:cs="Arial" w:eastAsia="Arial" w:hAnsi="Arial"/>
                <w:sz w:val="14"/>
                <w:szCs w:val="14"/>
                <w:b w:val="1"/>
                <w:bCs w:val="1"/>
                <w:color w:val="auto"/>
              </w:rPr>
              <w:t>THIS PROXY WILL BE VOTED AS DIRECTED. IF NO DIRECTION IS INDICATED FOR PROPOSALS 1, 2, 3, 4 &amp; 5, EACH WILL BE VOTED “FOR” THE</w:t>
            </w:r>
          </w:p>
        </w:tc>
        <w:tc>
          <w:tcPr>
            <w:tcW w:w="660" w:type="dxa"/>
            <w:vAlign w:val="bottom"/>
          </w:tcPr>
          <w:p>
            <w:pPr>
              <w:ind w:left="80"/>
              <w:spacing w:after="0"/>
              <w:rPr>
                <w:sz w:val="20"/>
                <w:szCs w:val="20"/>
                <w:color w:val="auto"/>
              </w:rPr>
            </w:pPr>
            <w:r>
              <w:rPr>
                <w:rFonts w:ascii="Arial" w:cs="Arial" w:eastAsia="Arial" w:hAnsi="Arial"/>
                <w:sz w:val="12"/>
                <w:szCs w:val="12"/>
                <w:color w:val="auto"/>
                <w:w w:val="70"/>
              </w:rPr>
              <w:t>your votes</w:t>
            </w:r>
            <w:r>
              <w:rPr>
                <w:rFonts w:ascii="Arial" w:cs="Arial" w:eastAsia="Arial" w:hAnsi="Arial"/>
                <w:sz w:val="23"/>
                <w:szCs w:val="23"/>
                <w:color w:val="auto"/>
                <w:w w:val="70"/>
                <w:vertAlign w:val="subscript"/>
              </w:rPr>
              <w:t>this</w:t>
            </w:r>
          </w:p>
        </w:tc>
        <w:tc>
          <w:tcPr>
            <w:tcW w:w="340" w:type="dxa"/>
            <w:vAlign w:val="bottom"/>
          </w:tcPr>
          <w:p>
            <w:pPr>
              <w:ind w:left="20"/>
              <w:spacing w:after="0"/>
              <w:rPr>
                <w:sz w:val="20"/>
                <w:szCs w:val="20"/>
                <w:color w:val="auto"/>
              </w:rPr>
            </w:pPr>
            <w:r>
              <w:rPr>
                <w:rFonts w:ascii="Arial" w:cs="Arial" w:eastAsia="Arial" w:hAnsi="Arial"/>
                <w:sz w:val="14"/>
                <w:szCs w:val="14"/>
                <w:color w:val="auto"/>
              </w:rPr>
              <w:t>like</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b w:val="1"/>
          <w:bCs w:val="1"/>
          <w:color w:val="auto"/>
        </w:rPr>
        <w:t>PROPOSAL.</w:t>
      </w:r>
    </w:p>
    <w:p>
      <w:pPr>
        <w:sectPr>
          <w:pgSz w:w="11900" w:h="16838" w:orient="portrait"/>
          <w:cols w:equalWidth="0" w:num="1">
            <w:col w:w="11420"/>
          </w:cols>
          <w:pgMar w:left="240" w:top="1440" w:right="239" w:bottom="1440" w:gutter="0" w:footer="0" w:header="0"/>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VOTE FOR ALL</w:t>
            </w:r>
          </w:p>
        </w:tc>
        <w:tc>
          <w:tcPr>
            <w:tcW w:w="0" w:type="dxa"/>
            <w:vAlign w:val="bottom"/>
          </w:tcPr>
          <w:p>
            <w:pPr>
              <w:spacing w:after="0"/>
              <w:rPr>
                <w:sz w:val="1"/>
                <w:szCs w:val="1"/>
                <w:color w:val="auto"/>
              </w:rPr>
            </w:pPr>
          </w:p>
        </w:tc>
      </w:tr>
      <w:tr>
        <w:trPr>
          <w:trHeight w:val="172"/>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1. ELECTION OF DIRECTORS</w:t>
            </w:r>
          </w:p>
        </w:tc>
        <w:tc>
          <w:tcPr>
            <w:tcW w:w="1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NOMINEES</w:t>
            </w:r>
          </w:p>
        </w:tc>
        <w:tc>
          <w:tcPr>
            <w:tcW w:w="0" w:type="dxa"/>
            <w:vAlign w:val="bottom"/>
          </w:tcPr>
          <w:p>
            <w:pPr>
              <w:spacing w:after="0"/>
              <w:rPr>
                <w:sz w:val="1"/>
                <w:szCs w:val="1"/>
                <w:color w:val="auto"/>
              </w:rPr>
            </w:pPr>
          </w:p>
        </w:tc>
      </w:tr>
      <w:tr>
        <w:trPr>
          <w:trHeight w:val="28"/>
        </w:trPr>
        <w:tc>
          <w:tcPr>
            <w:tcW w:w="27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The Board of Directors recommends a vote “FOR” the listed</w:t>
            </w:r>
          </w:p>
        </w:tc>
        <w:tc>
          <w:tcPr>
            <w:tcW w:w="940" w:type="dxa"/>
            <w:vAlign w:val="bottom"/>
            <w:vMerge w:val="restart"/>
          </w:tcPr>
          <w:p>
            <w:pPr>
              <w:jc w:val="center"/>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b w:val="1"/>
                <w:bCs w:val="1"/>
                <w:color w:val="auto"/>
              </w:rPr>
              <w:t>nominees.</w:t>
            </w: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b w:val="1"/>
                <w:bCs w:val="1"/>
                <w:color w:val="auto"/>
              </w:rPr>
              <w:t>To   withhold   authority</w:t>
            </w:r>
          </w:p>
        </w:tc>
        <w:tc>
          <w:tcPr>
            <w:tcW w:w="11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   vote   for</w:t>
            </w:r>
          </w:p>
        </w:tc>
        <w:tc>
          <w:tcPr>
            <w:tcW w:w="11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any   individual</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nominee, strike a line through that nominee’s name below:</w:t>
            </w: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Arial" w:cs="Arial" w:eastAsia="Arial" w:hAnsi="Arial"/>
                <w:sz w:val="14"/>
                <w:szCs w:val="14"/>
                <w:color w:val="auto"/>
              </w:rPr>
              <w:t>Gilbert Amelio, Ph.D.</w:t>
            </w:r>
          </w:p>
        </w:tc>
        <w:tc>
          <w:tcPr>
            <w:tcW w:w="1140" w:type="dxa"/>
            <w:vAlign w:val="bottom"/>
          </w:tcPr>
          <w:p>
            <w:pPr>
              <w:ind w:left="60"/>
              <w:spacing w:after="0"/>
              <w:rPr>
                <w:sz w:val="20"/>
                <w:szCs w:val="20"/>
                <w:color w:val="auto"/>
              </w:rPr>
            </w:pPr>
            <w:r>
              <w:rPr>
                <w:rFonts w:ascii="Arial" w:cs="Arial" w:eastAsia="Arial" w:hAnsi="Arial"/>
                <w:sz w:val="14"/>
                <w:szCs w:val="14"/>
                <w:color w:val="auto"/>
              </w:rPr>
              <w:t>S. Colin Neill</w:t>
            </w:r>
          </w:p>
        </w:tc>
        <w:tc>
          <w:tcPr>
            <w:tcW w:w="1180" w:type="dxa"/>
            <w:vAlign w:val="bottom"/>
          </w:tcPr>
          <w:p>
            <w:pPr>
              <w:ind w:left="380"/>
              <w:spacing w:after="0"/>
              <w:rPr>
                <w:sz w:val="20"/>
                <w:szCs w:val="20"/>
                <w:color w:val="auto"/>
              </w:rPr>
            </w:pPr>
            <w:r>
              <w:rPr>
                <w:rFonts w:ascii="Arial" w:cs="Arial" w:eastAsia="Arial" w:hAnsi="Arial"/>
                <w:sz w:val="14"/>
                <w:szCs w:val="14"/>
                <w:color w:val="auto"/>
                <w:w w:val="82"/>
              </w:rPr>
              <w:t>Steven Prelack</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Gerald K. Rome</w:t>
            </w:r>
          </w:p>
        </w:tc>
        <w:tc>
          <w:tcPr>
            <w:tcW w:w="1140" w:type="dxa"/>
            <w:vAlign w:val="bottom"/>
          </w:tcPr>
          <w:p>
            <w:pPr>
              <w:ind w:left="60"/>
              <w:spacing w:after="0"/>
              <w:rPr>
                <w:sz w:val="20"/>
                <w:szCs w:val="20"/>
                <w:color w:val="auto"/>
              </w:rPr>
            </w:pPr>
            <w:r>
              <w:rPr>
                <w:rFonts w:ascii="Arial" w:cs="Arial" w:eastAsia="Arial" w:hAnsi="Arial"/>
                <w:sz w:val="14"/>
                <w:szCs w:val="14"/>
                <w:color w:val="auto"/>
                <w:w w:val="91"/>
              </w:rPr>
              <w:t>Peter Traber, M.D.</w:t>
            </w:r>
          </w:p>
        </w:tc>
        <w:tc>
          <w:tcPr>
            <w:tcW w:w="2120" w:type="dxa"/>
            <w:vAlign w:val="bottom"/>
            <w:gridSpan w:val="2"/>
          </w:tcPr>
          <w:p>
            <w:pPr>
              <w:ind w:left="360"/>
              <w:spacing w:after="0"/>
              <w:rPr>
                <w:sz w:val="20"/>
                <w:szCs w:val="20"/>
                <w:color w:val="auto"/>
              </w:rPr>
            </w:pPr>
            <w:r>
              <w:rPr>
                <w:rFonts w:ascii="Arial" w:cs="Arial" w:eastAsia="Arial" w:hAnsi="Arial"/>
                <w:sz w:val="14"/>
                <w:szCs w:val="14"/>
                <w:color w:val="auto"/>
              </w:rPr>
              <w:t>Theodore D. Zucconi,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firstLine="30"/>
        <w:spacing w:after="0" w:line="311" w:lineRule="auto"/>
        <w:rPr>
          <w:sz w:val="20"/>
          <w:szCs w:val="20"/>
          <w:color w:val="auto"/>
        </w:rPr>
      </w:pPr>
      <w:r>
        <w:rPr>
          <w:rFonts w:ascii="Arial" w:cs="Arial" w:eastAsia="Arial" w:hAnsi="Arial"/>
          <w:sz w:val="12"/>
          <w:szCs w:val="12"/>
          <w:color w:val="auto"/>
        </w:rPr>
        <w:t>WITHHOLD AUTHORITY</w:t>
      </w:r>
    </w:p>
    <w:p>
      <w:pPr>
        <w:spacing w:after="0" w:line="1" w:lineRule="exact"/>
        <w:rPr>
          <w:sz w:val="20"/>
          <w:szCs w:val="20"/>
          <w:color w:val="auto"/>
        </w:rPr>
      </w:pPr>
    </w:p>
    <w:p>
      <w:pPr>
        <w:jc w:val="center"/>
        <w:spacing w:after="0" w:line="431" w:lineRule="exact"/>
        <w:rPr>
          <w:sz w:val="20"/>
          <w:szCs w:val="20"/>
          <w:color w:val="auto"/>
        </w:rPr>
      </w:pPr>
      <w:r>
        <w:rPr>
          <w:rFonts w:ascii="MS PGothic" w:cs="MS PGothic" w:eastAsia="MS PGothic" w:hAnsi="MS PGothic"/>
          <w:sz w:val="43"/>
          <w:szCs w:val="43"/>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ind w:left="224" w:hanging="224"/>
        <w:spacing w:after="0" w:line="288" w:lineRule="auto"/>
        <w:tabs>
          <w:tab w:leader="none" w:pos="275"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A PROPOSAL TO APPROVE THE 2009 INCENTIVE COMPENSATION PLAN. </w:t>
      </w:r>
      <w:r>
        <w:rPr>
          <w:rFonts w:ascii="Arial" w:cs="Arial" w:eastAsia="Arial" w:hAnsi="Arial"/>
          <w:sz w:val="12"/>
          <w:szCs w:val="12"/>
          <w:b w:val="1"/>
          <w:bCs w:val="1"/>
          <w:color w:val="auto"/>
        </w:rPr>
        <w:t>The Board of Directors</w:t>
      </w:r>
      <w:r>
        <w:rPr>
          <w:rFonts w:ascii="Arial" w:cs="Arial" w:eastAsia="Arial" w:hAnsi="Arial"/>
          <w:sz w:val="12"/>
          <w:szCs w:val="12"/>
          <w:color w:val="auto"/>
        </w:rPr>
        <w:t xml:space="preserve"> </w:t>
      </w:r>
      <w:r>
        <w:rPr>
          <w:rFonts w:ascii="Arial" w:cs="Arial" w:eastAsia="Arial" w:hAnsi="Arial"/>
          <w:sz w:val="12"/>
          <w:szCs w:val="12"/>
          <w:b w:val="1"/>
          <w:bCs w:val="1"/>
          <w:color w:val="auto"/>
        </w:rPr>
        <w:t>recommends a vote “FOR” this proposal.</w:t>
      </w:r>
    </w:p>
    <w:p>
      <w:pPr>
        <w:spacing w:after="0" w:line="200" w:lineRule="exact"/>
        <w:rPr>
          <w:rFonts w:ascii="Arial" w:cs="Arial" w:eastAsia="Arial" w:hAnsi="Arial"/>
          <w:sz w:val="12"/>
          <w:szCs w:val="12"/>
          <w:color w:val="auto"/>
        </w:rPr>
      </w:pPr>
    </w:p>
    <w:p>
      <w:pPr>
        <w:spacing w:after="0" w:line="302" w:lineRule="exact"/>
        <w:rPr>
          <w:rFonts w:ascii="Arial" w:cs="Arial" w:eastAsia="Arial" w:hAnsi="Arial"/>
          <w:sz w:val="12"/>
          <w:szCs w:val="12"/>
          <w:color w:val="auto"/>
        </w:rPr>
      </w:pPr>
    </w:p>
    <w:p>
      <w:pPr>
        <w:jc w:val="both"/>
        <w:ind w:left="224" w:right="20" w:hanging="224"/>
        <w:spacing w:after="0" w:line="263" w:lineRule="auto"/>
        <w:tabs>
          <w:tab w:leader="none" w:pos="275" w:val="left"/>
        </w:tabs>
        <w:numPr>
          <w:ilvl w:val="0"/>
          <w:numId w:val="62"/>
        </w:numPr>
        <w:rPr>
          <w:rFonts w:ascii="Arial" w:cs="Arial" w:eastAsia="Arial" w:hAnsi="Arial"/>
          <w:sz w:val="12"/>
          <w:szCs w:val="12"/>
          <w:color w:val="auto"/>
        </w:rPr>
      </w:pPr>
      <w:r>
        <w:rPr>
          <w:rFonts w:ascii="Arial" w:cs="Arial" w:eastAsia="Arial" w:hAnsi="Arial"/>
          <w:sz w:val="12"/>
          <w:szCs w:val="12"/>
          <w:color w:val="auto"/>
        </w:rPr>
        <w:t>A PROPOSAL TO APPROVE AN AMENDMENT TO THE ARTICLES OF INCORPORATION INCREASING THE NUMBER OF AUTHORIZED SHARES OF COMMON STOCK FROM 200,000,000 TO 300,000,000.</w:t>
      </w:r>
    </w:p>
    <w:p>
      <w:pPr>
        <w:spacing w:after="0" w:line="1" w:lineRule="exact"/>
        <w:rPr>
          <w:rFonts w:ascii="Arial" w:cs="Arial" w:eastAsia="Arial" w:hAnsi="Arial"/>
          <w:sz w:val="12"/>
          <w:szCs w:val="12"/>
          <w:color w:val="auto"/>
        </w:rPr>
      </w:pPr>
    </w:p>
    <w:p>
      <w:pPr>
        <w:ind w:left="224" w:right="20"/>
        <w:spacing w:after="0" w:line="230" w:lineRule="auto"/>
        <w:rPr>
          <w:rFonts w:ascii="Arial" w:cs="Arial" w:eastAsia="Arial" w:hAnsi="Arial"/>
          <w:sz w:val="12"/>
          <w:szCs w:val="12"/>
          <w:color w:val="auto"/>
        </w:rPr>
      </w:pPr>
      <w:r>
        <w:rPr>
          <w:rFonts w:ascii="Arial" w:cs="Arial" w:eastAsia="Arial" w:hAnsi="Arial"/>
          <w:sz w:val="14"/>
          <w:szCs w:val="14"/>
          <w:b w:val="1"/>
          <w:bCs w:val="1"/>
          <w:color w:val="auto"/>
        </w:rPr>
        <w:t>The Board of Directors recommends a vote “FOR” this proposal.</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0"/>
        <w:spacing w:after="0"/>
        <w:tabs>
          <w:tab w:leader="none" w:pos="580" w:val="left"/>
          <w:tab w:leader="none" w:pos="12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2"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292"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663" w:lineRule="exact"/>
        <w:rPr>
          <w:sz w:val="20"/>
          <w:szCs w:val="20"/>
          <w:color w:val="auto"/>
        </w:rPr>
      </w:pPr>
    </w:p>
    <w:p>
      <w:pPr>
        <w:sectPr>
          <w:pgSz w:w="11900" w:h="16838" w:orient="portrait"/>
          <w:cols w:equalWidth="0" w:num="4">
            <w:col w:w="4880" w:space="120"/>
            <w:col w:w="780" w:space="116"/>
            <w:col w:w="3464" w:space="180"/>
            <w:col w:w="1880"/>
          </w:cols>
          <w:pgMar w:left="240" w:top="1440" w:right="239" w:bottom="1440" w:gutter="0" w:footer="0" w:header="0"/>
          <w:type w:val="continuous"/>
        </w:sectPr>
      </w:pPr>
    </w:p>
    <w:p>
      <w:pPr>
        <w:spacing w:after="0" w:line="87" w:lineRule="exact"/>
        <w:rPr>
          <w:sz w:val="20"/>
          <w:szCs w:val="20"/>
          <w:color w:val="auto"/>
        </w:rPr>
      </w:pPr>
    </w:p>
    <w:p>
      <w:pPr>
        <w:jc w:val="both"/>
        <w:ind w:left="6120" w:right="20" w:hanging="224"/>
        <w:spacing w:after="0" w:line="273" w:lineRule="auto"/>
        <w:tabs>
          <w:tab w:leader="none" w:pos="6171" w:val="left"/>
        </w:tabs>
        <w:numPr>
          <w:ilvl w:val="0"/>
          <w:numId w:val="63"/>
        </w:numPr>
        <w:rPr>
          <w:rFonts w:ascii="Arial" w:cs="Arial" w:eastAsia="Arial" w:hAnsi="Arial"/>
          <w:sz w:val="12"/>
          <w:szCs w:val="12"/>
          <w:color w:val="auto"/>
        </w:rPr>
      </w:pPr>
      <w:r>
        <w:rPr>
          <w:rFonts w:ascii="Arial" w:cs="Arial" w:eastAsia="Arial" w:hAnsi="Arial"/>
          <w:sz w:val="12"/>
          <w:szCs w:val="12"/>
          <w:color w:val="auto"/>
        </w:rPr>
        <w:t xml:space="preserve">A PROPOSAL TO APPROVE AN AMENDMENT TO THE ARTICLES OF INCORPORATION INCREASING THE NUMBER OF AUTHORIZED UNDESIGNATED SHARES FROM 10,000,000 TO 20,000,000. </w:t>
      </w:r>
      <w:r>
        <w:rPr>
          <w:rFonts w:ascii="Arial" w:cs="Arial" w:eastAsia="Arial" w:hAnsi="Arial"/>
          <w:sz w:val="12"/>
          <w:szCs w:val="12"/>
          <w:b w:val="1"/>
          <w:bCs w:val="1"/>
          <w:color w:val="auto"/>
        </w:rPr>
        <w:t>The Board</w:t>
      </w:r>
      <w:r>
        <w:rPr>
          <w:rFonts w:ascii="Arial" w:cs="Arial" w:eastAsia="Arial" w:hAnsi="Arial"/>
          <w:sz w:val="12"/>
          <w:szCs w:val="12"/>
          <w:color w:val="auto"/>
        </w:rPr>
        <w:t xml:space="preserve"> </w:t>
      </w:r>
      <w:r>
        <w:rPr>
          <w:rFonts w:ascii="Arial" w:cs="Arial" w:eastAsia="Arial" w:hAnsi="Arial"/>
          <w:sz w:val="12"/>
          <w:szCs w:val="12"/>
          <w:b w:val="1"/>
          <w:bCs w:val="1"/>
          <w:color w:val="auto"/>
        </w:rPr>
        <w:t>of Directors recommends a vote “FOR” this proposal.</w:t>
      </w:r>
    </w:p>
    <w:p>
      <w:pPr>
        <w:spacing w:after="0" w:line="66" w:lineRule="exact"/>
        <w:rPr>
          <w:rFonts w:ascii="Arial" w:cs="Arial" w:eastAsia="Arial" w:hAnsi="Arial"/>
          <w:sz w:val="12"/>
          <w:szCs w:val="12"/>
          <w:color w:val="auto"/>
        </w:rPr>
      </w:pPr>
    </w:p>
    <w:p>
      <w:pPr>
        <w:jc w:val="both"/>
        <w:ind w:left="6120" w:hanging="224"/>
        <w:spacing w:after="0" w:line="270" w:lineRule="auto"/>
        <w:tabs>
          <w:tab w:leader="none" w:pos="6176" w:val="left"/>
        </w:tabs>
        <w:numPr>
          <w:ilvl w:val="0"/>
          <w:numId w:val="63"/>
        </w:numPr>
        <w:rPr>
          <w:rFonts w:ascii="Arial" w:cs="Arial" w:eastAsia="Arial" w:hAnsi="Arial"/>
          <w:sz w:val="12"/>
          <w:szCs w:val="12"/>
          <w:color w:val="auto"/>
        </w:rPr>
      </w:pPr>
      <w:r>
        <w:rPr>
          <w:rFonts w:ascii="Arial" w:cs="Arial" w:eastAsia="Arial" w:hAnsi="Arial"/>
          <w:sz w:val="12"/>
          <w:szCs w:val="12"/>
          <w:color w:val="auto"/>
        </w:rPr>
        <w:t xml:space="preserve">A PROPOSAL TO RATIFY THE APPOINTMENT OF VITALE, CATURANO &amp; COMPANY, P.C. AS THE INDEPENDENT REGISTERED PUBLIC ACCOUNTING FIRM TO AUDIT THE FINANCIAL STATEMENTS FOR THE 2009 FISCAL YEAR. </w:t>
      </w:r>
      <w:r>
        <w:rPr>
          <w:rFonts w:ascii="Arial" w:cs="Arial" w:eastAsia="Arial" w:hAnsi="Arial"/>
          <w:sz w:val="12"/>
          <w:szCs w:val="12"/>
          <w:b w:val="1"/>
          <w:bCs w:val="1"/>
          <w:color w:val="auto"/>
        </w:rPr>
        <w:t>The Board of Directors</w:t>
      </w:r>
      <w:r>
        <w:rPr>
          <w:rFonts w:ascii="Arial" w:cs="Arial" w:eastAsia="Arial" w:hAnsi="Arial"/>
          <w:sz w:val="12"/>
          <w:szCs w:val="12"/>
          <w:color w:val="auto"/>
        </w:rPr>
        <w:t xml:space="preserve"> </w:t>
      </w:r>
      <w:r>
        <w:rPr>
          <w:rFonts w:ascii="Arial" w:cs="Arial" w:eastAsia="Arial" w:hAnsi="Arial"/>
          <w:sz w:val="12"/>
          <w:szCs w:val="12"/>
          <w:b w:val="1"/>
          <w:bCs w:val="1"/>
          <w:color w:val="auto"/>
        </w:rPr>
        <w:t>recommends a vote “FOR” this proposal.</w:t>
      </w:r>
    </w:p>
    <w:p>
      <w:pPr>
        <w:spacing w:after="0" w:line="67" w:lineRule="exact"/>
        <w:rPr>
          <w:rFonts w:ascii="Arial" w:cs="Arial" w:eastAsia="Arial" w:hAnsi="Arial"/>
          <w:sz w:val="12"/>
          <w:szCs w:val="12"/>
          <w:color w:val="auto"/>
        </w:rPr>
      </w:pPr>
    </w:p>
    <w:p>
      <w:pPr>
        <w:jc w:val="both"/>
        <w:ind w:left="6120" w:right="20" w:hanging="224"/>
        <w:spacing w:after="0" w:line="233" w:lineRule="auto"/>
        <w:tabs>
          <w:tab w:leader="none" w:pos="6134"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20" w:lineRule="exact"/>
        <w:rPr>
          <w:sz w:val="20"/>
          <w:szCs w:val="20"/>
          <w:color w:val="auto"/>
        </w:rPr>
      </w:pPr>
      <w:r>
        <w:rPr>
          <w:sz w:val="20"/>
          <w:szCs w:val="20"/>
          <w:color w:val="auto"/>
        </w:rPr>
        <w:br w:type="column"/>
      </w:r>
    </w:p>
    <w:p>
      <w:pPr>
        <w:spacing w:after="0" w:line="411" w:lineRule="exact"/>
        <w:rPr>
          <w:sz w:val="20"/>
          <w:szCs w:val="20"/>
          <w:color w:val="auto"/>
        </w:rPr>
      </w:pPr>
      <w:r>
        <w:rPr>
          <w:rFonts w:ascii="MS PGothic" w:cs="MS PGothic" w:eastAsia="MS PGothic" w:hAnsi="MS PGothic"/>
          <w:sz w:val="43"/>
          <w:szCs w:val="43"/>
          <w:color w:val="auto"/>
        </w:rPr>
        <w:t>☐ ☐ ☐</w:t>
      </w:r>
    </w:p>
    <w:p>
      <w:pPr>
        <w:spacing w:after="0" w:line="200" w:lineRule="exact"/>
        <w:rPr>
          <w:sz w:val="20"/>
          <w:szCs w:val="20"/>
          <w:color w:val="auto"/>
        </w:rPr>
      </w:pPr>
    </w:p>
    <w:p>
      <w:pPr>
        <w:spacing w:after="0" w:line="221"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1314" w:lineRule="exact"/>
        <w:rPr>
          <w:sz w:val="20"/>
          <w:szCs w:val="20"/>
          <w:color w:val="auto"/>
        </w:rPr>
      </w:pPr>
    </w:p>
    <w:p>
      <w:pPr>
        <w:sectPr>
          <w:pgSz w:w="11900" w:h="16838" w:orient="portrait"/>
          <w:cols w:equalWidth="0" w:num="2">
            <w:col w:w="9360" w:space="180"/>
            <w:col w:w="1880"/>
          </w:cols>
          <w:pgMar w:left="240" w:top="1440" w:right="239" w:bottom="1440" w:gutter="0" w:footer="0" w:header="0"/>
          <w:type w:val="continuous"/>
        </w:sectPr>
      </w:pPr>
    </w:p>
    <w:p>
      <w:pPr>
        <w:ind w:left="8860"/>
        <w:spacing w:after="0"/>
        <w:rPr>
          <w:sz w:val="20"/>
          <w:szCs w:val="20"/>
          <w:color w:val="auto"/>
        </w:rPr>
      </w:pPr>
      <w:r>
        <w:rPr>
          <w:rFonts w:ascii="Arial" w:cs="Arial" w:eastAsia="Arial" w:hAnsi="Arial"/>
          <w:sz w:val="18"/>
          <w:szCs w:val="18"/>
          <w:b w:val="1"/>
          <w:bCs w:val="1"/>
          <w:color w:val="auto"/>
        </w:rPr>
        <w:t>COMPANY ID:</w:t>
      </w:r>
    </w:p>
    <w:p>
      <w:pPr>
        <w:spacing w:after="0" w:line="374"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PROXY NUMBER:</w:t>
      </w:r>
    </w:p>
    <w:p>
      <w:pPr>
        <w:spacing w:after="0" w:line="374"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ACCOUNT NUMBER:</w:t>
      </w:r>
    </w:p>
    <w:p>
      <w:pPr>
        <w:spacing w:after="0" w:line="200" w:lineRule="exact"/>
        <w:rPr>
          <w:sz w:val="20"/>
          <w:szCs w:val="20"/>
          <w:color w:val="auto"/>
        </w:rPr>
      </w:pPr>
    </w:p>
    <w:p>
      <w:pPr>
        <w:spacing w:after="0" w:line="243" w:lineRule="exact"/>
        <w:rPr>
          <w:sz w:val="20"/>
          <w:szCs w:val="20"/>
          <w:color w:val="auto"/>
        </w:rPr>
      </w:pPr>
    </w:p>
    <w:p>
      <w:pPr>
        <w:spacing w:after="0"/>
        <w:tabs>
          <w:tab w:leader="none" w:pos="4380" w:val="left"/>
          <w:tab w:leader="none" w:pos="9380" w:val="left"/>
          <w:tab w:leader="none" w:pos="11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Signature (if joint):</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2"/>
          <w:szCs w:val="12"/>
          <w:b w:val="1"/>
          <w:bCs w:val="1"/>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0</wp:posOffset>
            </wp:positionV>
            <wp:extent cx="6569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37" w:lineRule="exact"/>
        <w:rPr>
          <w:sz w:val="20"/>
          <w:szCs w:val="20"/>
          <w:color w:val="auto"/>
        </w:rPr>
      </w:pPr>
    </w:p>
    <w:p>
      <w:pPr>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emdash "/>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2"/>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lowerRoman"/>
      <w:start w:val="2"/>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3"/>
    </w:lvl>
  </w:abstractNum>
  <w:abstractNum w:abstractNumId="12">
    <w:nsid w:val="5C482A97"/>
    <w:multiLevelType w:val="hybridMultilevel"/>
    <w:lvl w:ilvl="0">
      <w:lvlJc w:val="left"/>
      <w:lvlText w:val="(%1)"/>
      <w:numFmt w:val="decimal"/>
      <w:start w:val="7"/>
    </w:lvl>
  </w:abstractNum>
  <w:abstractNum w:abstractNumId="13">
    <w:nsid w:val="2463B9EA"/>
    <w:multiLevelType w:val="hybridMultilevel"/>
    <w:lvl w:ilvl="0">
      <w:lvlJc w:val="left"/>
      <w:lvlText w:val="%1"/>
      <w:numFmt w:val="decimal"/>
      <w:start w:val="1"/>
    </w:lvl>
    <w:lvl w:ilvl="1">
      <w:lvlJc w:val="left"/>
      <w:lvlText w:val="(%2)"/>
      <w:numFmt w:val="lowerRoman"/>
      <w:start w:val="6"/>
    </w:lvl>
  </w:abstractNum>
  <w:abstractNum w:abstractNumId="14">
    <w:nsid w:val="5E884ADC"/>
    <w:multiLevelType w:val="hybridMultilevel"/>
    <w:lvl w:ilvl="0">
      <w:lvlJc w:val="left"/>
      <w:lvlText w:val="(%1)"/>
      <w:numFmt w:val="decimal"/>
      <w:start w:val="9"/>
    </w:lvl>
    <w:lvl w:ilvl="1">
      <w:lvlJc w:val="left"/>
      <w:lvlText w:val="(%2)"/>
      <w:numFmt w:val="lowerRoman"/>
      <w:start w:val="3"/>
    </w:lvl>
  </w:abstractNum>
  <w:abstractNum w:abstractNumId="15">
    <w:nsid w:val="51EAD36B"/>
    <w:multiLevelType w:val="hybridMultilevel"/>
    <w:lvl w:ilvl="0">
      <w:lvlJc w:val="left"/>
      <w:lvlText w:val="(%1)"/>
      <w:numFmt w:val="decimal"/>
      <w:start w:val="12"/>
    </w:lvl>
  </w:abstractNum>
  <w:abstractNum w:abstractNumId="16">
    <w:nsid w:val="2D517796"/>
    <w:multiLevelType w:val="hybridMultilevel"/>
    <w:lvl w:ilvl="0">
      <w:lvlJc w:val="left"/>
      <w:lvlText w:val="(%1)"/>
      <w:numFmt w:val="lowerRoman"/>
      <w:start w:val="3"/>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lowerRoman"/>
      <w:start w:val="1"/>
    </w:lvl>
  </w:abstractNum>
  <w:abstractNum w:abstractNumId="19">
    <w:nsid w:val="3855585C"/>
    <w:multiLevelType w:val="hybridMultilevel"/>
    <w:lvl w:ilvl="0">
      <w:lvlJc w:val="left"/>
      <w:lvlText w:val="(%1)"/>
      <w:numFmt w:val="lowerRoman"/>
      <w:start w:val="3"/>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lowerRoman"/>
      <w:start w:val="2"/>
    </w:lvl>
  </w:abstractNum>
  <w:abstractNum w:abstractNumId="22">
    <w:nsid w:val="2A487CB0"/>
    <w:multiLevelType w:val="hybridMultilevel"/>
    <w:lvl w:ilvl="0">
      <w:lvlJc w:val="left"/>
      <w:lvlText w:val="(%1)"/>
      <w:numFmt w:val="decimal"/>
      <w:start w:val="12"/>
    </w:lvl>
  </w:abstractNum>
  <w:abstractNum w:abstractNumId="23">
    <w:nsid w:val="1D4ED43B"/>
    <w:multiLevelType w:val="hybridMultilevel"/>
    <w:lvl w:ilvl="0">
      <w:lvlJc w:val="left"/>
      <w:lvlText w:val="(%1)"/>
      <w:numFmt w:val="lowerRoman"/>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lvl w:ilvl="1">
      <w:lvlJc w:val="left"/>
      <w:lvlText w:val="(%2)"/>
      <w:numFmt w:val="lowerLetter"/>
      <w:start w:val="1"/>
    </w:lvl>
  </w:abstractNum>
  <w:abstractNum w:abstractNumId="29">
    <w:nsid w:val="542289EC"/>
    <w:multiLevelType w:val="hybridMultilevel"/>
    <w:lvl w:ilvl="0">
      <w:lvlJc w:val="left"/>
      <w:lvlText w:val="%1"/>
      <w:numFmt w:val="lowerRoman"/>
      <w:start w:val="1"/>
    </w:lvl>
    <w:lvl w:ilvl="1">
      <w:lvlJc w:val="left"/>
      <w:lvlText w:val="(%2)"/>
      <w:numFmt w:val="lowerLetter"/>
      <w:start w:val="8"/>
    </w:lvl>
  </w:abstractNum>
  <w:abstractNum w:abstractNumId="30">
    <w:nsid w:val="6DE91B18"/>
    <w:multiLevelType w:val="hybridMultilevel"/>
    <w:lvl w:ilvl="0">
      <w:lvlJc w:val="left"/>
      <w:lvlText w:val="(%1)"/>
      <w:numFmt w:val="lowerRoman"/>
      <w:start w:val="2"/>
    </w:lvl>
    <w:lvl w:ilvl="1">
      <w:lvlJc w:val="left"/>
      <w:lvlText w:val="(%2)"/>
      <w:numFmt w:val="lowerLetter"/>
      <w:start w:val="12"/>
    </w:lvl>
  </w:abstractNum>
  <w:abstractNum w:abstractNumId="31">
    <w:nsid w:val="38437FDB"/>
    <w:multiLevelType w:val="hybridMultilevel"/>
    <w:lvl w:ilvl="0">
      <w:lvlJc w:val="left"/>
      <w:lvlText w:val="(%1)"/>
      <w:numFmt w:val="lowerLetter"/>
      <w:start w:val="20"/>
    </w:lvl>
  </w:abstractNum>
  <w:abstractNum w:abstractNumId="32">
    <w:nsid w:val="7644A45C"/>
    <w:multiLevelType w:val="hybridMultilevel"/>
    <w:lvl w:ilvl="0">
      <w:lvlJc w:val="left"/>
      <w:lvlText w:val="(%1)"/>
      <w:numFmt w:val="lowerLetter"/>
      <w:start w:val="27"/>
    </w:lvl>
  </w:abstractNum>
  <w:abstractNum w:abstractNumId="33">
    <w:nsid w:val="32FFF902"/>
    <w:multiLevelType w:val="hybridMultilevel"/>
    <w:lvl w:ilvl="0">
      <w:lvlJc w:val="left"/>
      <w:lvlText w:val="(%1)"/>
      <w:numFmt w:val="lowerLetter"/>
      <w:start w:val="30"/>
    </w:lvl>
  </w:abstractNum>
  <w:abstractNum w:abstractNumId="34">
    <w:nsid w:val="684A481A"/>
    <w:multiLevelType w:val="hybridMultilevel"/>
    <w:lvl w:ilvl="0">
      <w:lvlJc w:val="left"/>
      <w:lvlText w:val="%1"/>
      <w:numFmt w:val="decimal"/>
      <w:start w:val="1"/>
    </w:lvl>
    <w:lvl w:ilvl="1">
      <w:lvlJc w:val="left"/>
      <w:lvlText w:val="(%2)"/>
      <w:numFmt w:val="lowerLetter"/>
      <w:start w:val="44"/>
    </w:lvl>
  </w:abstractNum>
  <w:abstractNum w:abstractNumId="35">
    <w:nsid w:val="579478FE"/>
    <w:multiLevelType w:val="hybridMultilevel"/>
    <w:lvl w:ilvl="0">
      <w:lvlJc w:val="left"/>
      <w:lvlText w:val="%1."/>
      <w:numFmt w:val="decimal"/>
      <w:start w:val="3"/>
    </w:lvl>
    <w:lvl w:ilvl="1">
      <w:lvlJc w:val="left"/>
      <w:lvlText w:val="(%2)"/>
      <w:numFmt w:val="lowerLetter"/>
      <w:start w:val="1"/>
    </w:lvl>
  </w:abstractNum>
  <w:abstractNum w:abstractNumId="36">
    <w:nsid w:val="749ABB43"/>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7">
    <w:nsid w:val="3DC240FB"/>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lvl w:ilvl="3">
      <w:lvlJc w:val="left"/>
      <w:lvlText w:val="(%4)"/>
      <w:numFmt w:val="lowerRoman"/>
      <w:start w:val="2"/>
    </w:lvl>
  </w:abstractNum>
  <w:abstractNum w:abstractNumId="38">
    <w:nsid w:val="1BA026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
    <w:nsid w:val="79A1DE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0">
    <w:nsid w:val="75C6C33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1">
    <w:nsid w:val="12E685FB"/>
    <w:multiLevelType w:val="hybridMultilevel"/>
    <w:lvl w:ilvl="0">
      <w:lvlJc w:val="left"/>
      <w:lvlText w:val="%1"/>
      <w:numFmt w:val="lowerLetter"/>
      <w:start w:val="1"/>
    </w:lvl>
    <w:lvl w:ilvl="1">
      <w:lvlJc w:val="left"/>
      <w:lvlText w:val="(%2)"/>
      <w:numFmt w:val="lowerRoman"/>
      <w:start w:val="2"/>
    </w:lvl>
  </w:abstractNum>
  <w:abstractNum w:abstractNumId="42">
    <w:nsid w:val="70C6A529"/>
    <w:multiLevelType w:val="hybridMultilevel"/>
    <w:lvl w:ilvl="0">
      <w:lvlJc w:val="left"/>
      <w:lvlText w:val="(%1)"/>
      <w:numFmt w:val="lowerLetter"/>
      <w:start w:val="5"/>
    </w:lvl>
    <w:lvl w:ilvl="1">
      <w:lvlJc w:val="left"/>
      <w:lvlText w:val="(%2)"/>
      <w:numFmt w:val="lowerRoman"/>
      <w:start w:val="1"/>
    </w:lvl>
  </w:abstractNum>
  <w:abstractNum w:abstractNumId="43">
    <w:nsid w:val="520EEDD1"/>
    <w:multiLevelType w:val="hybridMultilevel"/>
    <w:lvl w:ilvl="0">
      <w:lvlJc w:val="left"/>
      <w:lvlText w:val="%1"/>
      <w:numFmt w:val="lowerLetter"/>
      <w:start w:val="1"/>
    </w:lvl>
    <w:lvl w:ilvl="1">
      <w:lvlJc w:val="left"/>
      <w:lvlText w:val="(%2)"/>
      <w:numFmt w:val="lowerLetter"/>
      <w:start w:val="61"/>
    </w:lvl>
  </w:abstractNum>
  <w:abstractNum w:abstractNumId="44">
    <w:nsid w:val="374A3FE6"/>
    <w:multiLevelType w:val="hybridMultilevel"/>
    <w:lvl w:ilvl="0">
      <w:lvlJc w:val="left"/>
      <w:lvlText w:val="(%1)"/>
      <w:numFmt w:val="lowerLetter"/>
      <w:start w:val="6"/>
    </w:lvl>
    <w:lvl w:ilvl="1">
      <w:lvlJc w:val="left"/>
      <w:lvlText w:val="%2"/>
      <w:numFmt w:val="lowerLetter"/>
      <w:start w:val="1"/>
    </w:lvl>
  </w:abstractNum>
  <w:abstractNum w:abstractNumId="45">
    <w:nsid w:val="4F4EF005"/>
    <w:multiLevelType w:val="hybridMultilevel"/>
    <w:lvl w:ilvl="0">
      <w:lvlJc w:val="left"/>
      <w:lvlText w:val="%1."/>
      <w:numFmt w:val="decimal"/>
      <w:start w:val="7"/>
    </w:lvl>
    <w:lvl w:ilvl="1">
      <w:lvlJc w:val="left"/>
      <w:lvlText w:val="(%2)"/>
      <w:numFmt w:val="lowerLetter"/>
      <w:start w:val="1"/>
    </w:lvl>
  </w:abstractNum>
  <w:abstractNum w:abstractNumId="46">
    <w:nsid w:val="23F9C13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7">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8">
    <w:nsid w:val="275AC79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9">
    <w:nsid w:val="3938657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0">
    <w:nsid w:val="1CF10FD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1">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2">
    <w:nsid w:val="235BA86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
    <w:nsid w:val="47398C89"/>
    <w:multiLevelType w:val="hybridMultilevel"/>
    <w:lvl w:ilvl="0">
      <w:lvlJc w:val="left"/>
      <w:lvlText w:val="(%1)"/>
      <w:numFmt w:val="lowerLetter"/>
      <w:start w:val="3"/>
    </w:lvl>
    <w:lvl w:ilvl="1">
      <w:lvlJc w:val="left"/>
      <w:lvlText w:val="(%2)"/>
      <w:numFmt w:val="lowerRoman"/>
      <w:start w:val="1"/>
    </w:lvl>
  </w:abstractNum>
  <w:abstractNum w:abstractNumId="54">
    <w:nsid w:val="354FE9F9"/>
    <w:multiLevelType w:val="hybridMultilevel"/>
    <w:lvl w:ilvl="0">
      <w:lvlJc w:val="left"/>
      <w:lvlText w:val="%1"/>
      <w:numFmt w:val="lowerLetter"/>
      <w:start w:val="1"/>
    </w:lvl>
    <w:lvl w:ilvl="1">
      <w:lvlJc w:val="left"/>
      <w:lvlText w:val="(%2)"/>
      <w:numFmt w:val="lowerLetter"/>
      <w:start w:val="4"/>
    </w:lvl>
  </w:abstractNum>
  <w:abstractNum w:abstractNumId="55">
    <w:nsid w:val="15B5AF5C"/>
    <w:multiLevelType w:val="hybridMultilevel"/>
    <w:lvl w:ilvl="0">
      <w:lvlJc w:val="left"/>
      <w:lvlText w:val="(%1)"/>
      <w:numFmt w:val="lowerLetter"/>
      <w:start w:val="9"/>
    </w:lvl>
    <w:lvl w:ilvl="1">
      <w:lvlJc w:val="left"/>
      <w:lvlText w:val="(%2)"/>
      <w:numFmt w:val="lowerLetter"/>
      <w:start w:val="7"/>
    </w:lvl>
  </w:abstractNum>
  <w:abstractNum w:abstractNumId="56">
    <w:nsid w:val="741226BB"/>
    <w:multiLevelType w:val="hybridMultilevel"/>
    <w:lvl w:ilvl="0">
      <w:lvlJc w:val="left"/>
      <w:lvlText w:val="%1"/>
      <w:numFmt w:val="lowerLetter"/>
      <w:start w:val="1"/>
    </w:lvl>
    <w:lvl w:ilvl="1">
      <w:lvlJc w:val="left"/>
      <w:lvlText w:val="(%2)"/>
      <w:numFmt w:val="lowerLetter"/>
      <w:start w:val="8"/>
    </w:lvl>
  </w:abstractNum>
  <w:abstractNum w:abstractNumId="57">
    <w:nsid w:val="D34B6A8"/>
    <w:multiLevelType w:val="hybridMultilevel"/>
    <w:lvl w:ilvl="0">
      <w:lvlJc w:val="left"/>
      <w:lvlText w:val="(%1)"/>
      <w:numFmt w:val="lowerLetter"/>
      <w:start w:val="2"/>
    </w:lvl>
    <w:lvl w:ilvl="1">
      <w:lvlJc w:val="left"/>
      <w:lvlText w:val="%2"/>
      <w:numFmt w:val="lowerLetter"/>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3"/>
    </w:lvl>
  </w:abstractNum>
  <w:abstractNum w:abstractNumId="60">
    <w:nsid w:val="61574095"/>
    <w:multiLevelType w:val="hybridMultilevel"/>
    <w:lvl w:ilvl="0">
      <w:lvlJc w:val="left"/>
      <w:lvlText w:val="%1."/>
      <w:numFmt w:val="decimal"/>
      <w:start w:val="5"/>
    </w:lvl>
  </w:abstractNum>
  <w:abstractNum w:abstractNumId="61">
    <w:nsid w:val="7E0C57B1"/>
    <w:multiLevelType w:val="hybridMultilevel"/>
    <w:lvl w:ilvl="0">
      <w:lvlJc w:val="left"/>
      <w:lvlText w:val="%1."/>
      <w:numFmt w:val="decimal"/>
      <w:start w:val="2"/>
    </w:lvl>
  </w:abstractNum>
  <w:abstractNum w:abstractNumId="62">
    <w:nsid w:val="77AE35E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2019-12-10T19:44:51Z</dcterms:created>
  <dcterms:modified xsi:type="dcterms:W3CDTF">2019-12-10T19:44:51Z</dcterms:modified>
</cp:coreProperties>
</file>