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The number of shares outstanding of the registrant’s common stock as of November 7, 2014 was 22,123,583.</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2014 and December 31, 2013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September 30, 2014 and 2013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2014 and 2013 (unaudited)</w:t>
              </w:r>
            </w:hyperlink>
          </w:p>
        </w:tc>
        <w:tc>
          <w:tcPr>
            <w:tcW w:w="7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1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4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364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5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6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81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6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in Galectin Sciences,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4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838</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Series B-1 12% redeemable convertible preferred stock; 900,000 shares authorized, issued and outstanding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w w:val="95"/>
              </w:rPr>
              <w:t>September 30, 2014 and December 31, 2013, redemption and liquidation value $1,800,000 at September 30,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1,727</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Series B-2 12% redeemable convertible preferred stock; 2,100,000 shares authorized, issued and outstanding at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September 30, 2014 and December 31, 2013, redemption and liquidation value $4,200,000 at September 30, 2014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3,272</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spacing w:after="0" w:line="201" w:lineRule="exact"/>
              <w:rPr>
                <w:sz w:val="20"/>
                <w:szCs w:val="20"/>
                <w:color w:val="auto"/>
              </w:rPr>
            </w:pPr>
            <w:r>
              <w:rPr>
                <w:rFonts w:ascii="Arial" w:cs="Arial" w:eastAsia="Arial" w:hAnsi="Arial"/>
                <w:sz w:val="18"/>
                <w:szCs w:val="18"/>
                <w:color w:val="auto"/>
              </w:rPr>
              <w:t>Series C super dividend convertible preferred stock; 1,000 shares authorized, 176 and 196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outstanding at September 30, 2014 and December 31, 2013, respectively, redemption value: $4,806,000,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liquidation value: $1,760,000 at September 30,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700"/>
              <w:spacing w:after="0" w:line="201" w:lineRule="exact"/>
              <w:rPr>
                <w:sz w:val="20"/>
                <w:szCs w:val="20"/>
                <w:color w:val="auto"/>
              </w:rPr>
            </w:pPr>
            <w:r>
              <w:rPr>
                <w:rFonts w:ascii="Arial" w:cs="Arial" w:eastAsia="Arial" w:hAnsi="Arial"/>
                <w:sz w:val="18"/>
                <w:szCs w:val="18"/>
                <w:color w:val="auto"/>
              </w:rPr>
              <w:t>Undesignated stock, $0.01 par value; 20,000,000 shares authorized, 8,001,000 designated at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September 30, 2014 and December 31, 2013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1,402,500 and 1,452,500 issued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outstanding at September 30, 2014 and December 31, 2013, respectively; liquidation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$1,402,500 at September 30, 2014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700"/>
              <w:spacing w:after="0" w:line="201" w:lineRule="exact"/>
              <w:rPr>
                <w:sz w:val="20"/>
                <w:szCs w:val="20"/>
                <w:color w:val="auto"/>
              </w:rPr>
            </w:pPr>
            <w:r>
              <w:rPr>
                <w:rFonts w:ascii="Arial" w:cs="Arial" w:eastAsia="Arial" w:hAnsi="Arial"/>
                <w:sz w:val="18"/>
                <w:szCs w:val="18"/>
                <w:color w:val="auto"/>
                <w:w w:val="96"/>
              </w:rPr>
              <w:t>Common stock, $0.001 par value; 50,000,000 shares authorized at September 30, 2014 and December 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2013, 22,123,583 and 18,386,900 issued and outstanding at September 30, 2014 and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2013,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(114,890)</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gridSpan w:val="10"/>
          </w:tcPr>
          <w:p>
            <w:pPr>
              <w:jc w:val="right"/>
              <w:ind w:right="391"/>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4,293</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5,007</w:t>
            </w:r>
          </w:p>
        </w:tc>
      </w:tr>
      <w:tr>
        <w:trPr>
          <w:trHeight w:val="230"/>
        </w:trPr>
        <w:tc>
          <w:tcPr>
            <w:tcW w:w="20" w:type="dxa"/>
            <w:vAlign w:val="bottom"/>
          </w:tcPr>
          <w:p>
            <w:pPr>
              <w:spacing w:after="0"/>
              <w:rPr>
                <w:sz w:val="20"/>
                <w:szCs w:val="20"/>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11,696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(3,477)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(3,545)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(11,696)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Loss from equity method investment in Galectin Sciences, LLC</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(3,518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(3,542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(12,057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(8,763)</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(3,723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(12,992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(18,836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22,051</w:t>
            </w: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16,988</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21,732</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16,438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166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$(12,057)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color w:val="auto"/>
              </w:rPr>
              <w:t>Loss from equity method investment in Galectin Sciences LLC</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 (Notes 2 and 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 in Galectin Sciences LLC</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28,238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 and options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20,712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$ 31,201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$ 9,715</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preferred stock dividends in common stock</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and cancer. These drug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2014 and the results of its operations for the three and nine months ended September 30, 2014 and 2013 and its cash flows for the nine months ended September 30, 2014 and 2013. All adjustments made to the interim financial statements are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as of and for the year ended December 31, 2013.</w:t>
      </w:r>
    </w:p>
    <w:p>
      <w:pPr>
        <w:spacing w:after="0" w:line="16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September 30, 2014, the Company had $31.2 million of unrestricted cash and cash equivalents available to fund future operations. The Company believes that with the cash on hand at September 30, 2014, there is sufficient cash to fund currently planned operations through mid-2016.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risks associated with litigation,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7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Company adopted Financial Accounting Standards Board, Accounting Standards Update No. 2014-10 “Development Stage Entities (Topic 915)” as of June 30, 2014. This new standard modifies financial statement presentation to eliminate the requirement to include inception-to-date information in the statements of operations and cash flows, among other provisions.</w:t>
      </w:r>
    </w:p>
    <w:p>
      <w:pPr>
        <w:spacing w:after="0" w:line="3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780" w:type="dxa"/>
            <w:vAlign w:val="bottom"/>
            <w:gridSpan w:val="3"/>
          </w:tcPr>
          <w:p>
            <w:pPr>
              <w:ind w:left="2940"/>
              <w:spacing w:after="0"/>
              <w:rPr>
                <w:sz w:val="20"/>
                <w:szCs w:val="20"/>
                <w:color w:val="auto"/>
              </w:rPr>
            </w:pPr>
            <w:r>
              <w:rPr>
                <w:rFonts w:ascii="Arial" w:cs="Arial" w:eastAsia="Arial" w:hAnsi="Arial"/>
                <w:sz w:val="14"/>
                <w:szCs w:val="14"/>
                <w:color w:val="auto"/>
                <w:w w:val="89"/>
              </w:rPr>
              <w:t>September 30,</w:t>
            </w:r>
          </w:p>
        </w:tc>
        <w:tc>
          <w:tcPr>
            <w:tcW w:w="1660" w:type="dxa"/>
            <w:vAlign w:val="bottom"/>
            <w:gridSpan w:val="4"/>
          </w:tcPr>
          <w:p>
            <w:pPr>
              <w:ind w:left="7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ind w:left="6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Accrued compensation</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8)</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40" w:type="dxa"/>
            <w:vAlign w:val="bottom"/>
            <w:vMerge w:val="restart"/>
          </w:tcPr>
          <w:p>
            <w:pPr>
              <w:jc w:val="right"/>
              <w:ind w:right="1714"/>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color w:val="auto"/>
                <w:w w:val="97"/>
              </w:rPr>
              <w:t>Three Months Ended</w:t>
            </w:r>
          </w:p>
        </w:tc>
        <w:tc>
          <w:tcPr>
            <w:tcW w:w="20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color w:val="auto"/>
              </w:rPr>
              <w:t>Nine Months Ended</w:t>
            </w:r>
          </w:p>
        </w:tc>
      </w:tr>
      <w:tr>
        <w:trPr>
          <w:trHeight w:val="167"/>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5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ind w:left="2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2,411</w:t>
            </w:r>
          </w:p>
        </w:tc>
      </w:tr>
      <w:tr>
        <w:trPr>
          <w:trHeight w:val="27"/>
        </w:trPr>
        <w:tc>
          <w:tcPr>
            <w:tcW w:w="5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$ 877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1,808</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3,276</w:t>
            </w:r>
          </w:p>
        </w:tc>
      </w:tr>
      <w:tr>
        <w:trPr>
          <w:trHeight w:val="20"/>
        </w:trPr>
        <w:tc>
          <w:tcPr>
            <w:tcW w:w="5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2013 through September 30, 2014:</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3,348,705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354,823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(24,283)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3,328,517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September 30, 2014, there was $5,063,000 of unrecognized compensation related to 1,103,474 unvested options, which is expected to be recognized over a weighted–average period of approximately 2 years. The weighted-average grant date fair value for options granted during the nine months ended September 30, 2014 and 2013 was $10.75 and $3.17, respectively.</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93" w:lineRule="exact"/>
        <w:rPr>
          <w:sz w:val="20"/>
          <w:szCs w:val="20"/>
          <w:color w:val="auto"/>
        </w:rPr>
      </w:pPr>
    </w:p>
    <w:p>
      <w:pPr>
        <w:jc w:val="center"/>
        <w:ind w:left="6320"/>
        <w:spacing w:after="0"/>
        <w:rPr>
          <w:sz w:val="20"/>
          <w:szCs w:val="20"/>
          <w:color w:val="auto"/>
        </w:rPr>
      </w:pPr>
      <w:r>
        <w:rPr>
          <w:rFonts w:ascii="Arial" w:cs="Arial" w:eastAsia="Arial" w:hAnsi="Arial"/>
          <w:sz w:val="14"/>
          <w:szCs w:val="14"/>
          <w:color w:val="auto"/>
        </w:rPr>
        <w:t>Nine Months Ended</w:t>
      </w:r>
    </w:p>
    <w:p>
      <w:pPr>
        <w:jc w:val="center"/>
        <w:ind w:left="632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6.0 years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5.3 years</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2014, the Company entered into an agreement with a consultant that provided for the grant of common stock as part of the compensation to the consultant. During the three months ended September 30, 2014, the Company issued 3,873 shares of its common stock valued at $50,000 under the agreement. During the nine months ended September 30, 2014, the Company issued 8,966 shares of its common stock valued at $100,000 under the agreement. This agreement ended in October 2014.</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common stock warrant activity from December 31, 2013 through September 30, 2014:</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6,035,229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5,450,995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at the time of grant as they were vested upon issuance.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Modification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6, 2013, the Company modified the terms of the Class A-2 and Class B warrants that were originally issued to the 10X Fund with the Series 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offering. The Class B warrants were modified to allow for the cashless exercise of all 4,000,000 outstanding Class B warrants.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half of the Class B warrants allowed for cashless exercise. The Class A-2 warrants for the purchase of 1,000,000 shares of common and all of the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had their exercisable life extended by an additional five years. In exchange for these modifications, the 10X Fund agreed to a future amendment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Series B certificate of designation to remove the redemption provision such that the Series B Preferred Stock will no longer be redeemable,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when the Company will no longer be required to issue Dr. Platt a promissory note as may currently be required under the separation agreement (see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Should the Company amend their Series B certificate of designation in the future as described above, the Company will be required at that time to evaluate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whether such amendment is to be accounted for as a modification or an extinguishment of the Company’s Series B Preferred Stock. 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accounted for the modified terms of the Class A-2 and Class B warrants pursuant to ASC 718, Stock Compensation, whereby the Company has recognized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 for the change in fair value of the warrants immediately before and immediately after the modification. The Company recognized a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$8,763,000 related to the extension of the 5,000,000 warrants in the quarter ended June 30, 2013. The following assumptions were used to value the extension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warrants immediately before and immediately after the modification: a) immediately before the modification—an expected life range of 0.77 to 2.01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volatility range of 77% to 96%, risk free interest rate range of 0.11% to 0.22% and zero dividends and; b) immediately following the modification—an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life range of 5.78 to 7.02 years, volatility range of 113% to 122%, risk free interest rate range of 0.74% to 1.19% and zero dividends.</w:t>
      </w:r>
    </w:p>
    <w:p>
      <w:pPr>
        <w:spacing w:after="0" w:line="35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and cash equivalents, accounts payable and accrued expenses approximates their carrying value due to their short-term nature. There were no level 2 or level 3 assets held at fair value at September 30, 2014 or December 31, 2013.</w:t>
      </w:r>
    </w:p>
    <w:p>
      <w:pPr>
        <w:spacing w:after="0" w:line="33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September 30, 2014</w:t>
            </w:r>
          </w:p>
        </w:tc>
        <w:tc>
          <w:tcPr>
            <w:tcW w:w="1980" w:type="dxa"/>
            <w:vAlign w:val="bottom"/>
            <w:gridSpan w:val="3"/>
          </w:tcPr>
          <w:p>
            <w:pPr>
              <w:jc w:val="center"/>
              <w:ind w:left="536"/>
              <w:spacing w:after="0"/>
              <w:rPr>
                <w:sz w:val="20"/>
                <w:szCs w:val="20"/>
                <w:color w:val="auto"/>
              </w:rPr>
            </w:pPr>
            <w:r>
              <w:rPr>
                <w:rFonts w:ascii="Arial" w:cs="Arial" w:eastAsia="Arial" w:hAnsi="Arial"/>
                <w:sz w:val="14"/>
                <w:szCs w:val="14"/>
                <w:color w:val="auto"/>
                <w:w w:val="91"/>
              </w:rPr>
              <w:t>September 30, 2013</w:t>
            </w:r>
          </w:p>
        </w:tc>
      </w:tr>
      <w:tr>
        <w:trPr>
          <w:trHeight w:val="167"/>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(shares)</w:t>
            </w:r>
          </w:p>
        </w:tc>
        <w:tc>
          <w:tcPr>
            <w:tcW w:w="7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(shares)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5,450,995</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3,328,517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3,507,005</w:t>
            </w:r>
          </w:p>
        </w:tc>
        <w:tc>
          <w:tcPr>
            <w:tcW w:w="100" w:type="dxa"/>
            <w:vAlign w:val="bottom"/>
          </w:tcPr>
          <w:p>
            <w:pPr>
              <w:spacing w:after="0"/>
              <w:rPr>
                <w:sz w:val="18"/>
                <w:szCs w:val="18"/>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of common stock issuable upon conversion of preferred</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2,527,103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2,618,772</w:t>
            </w:r>
          </w:p>
        </w:tc>
        <w:tc>
          <w:tcPr>
            <w:tcW w:w="100" w:type="dxa"/>
            <w:vAlign w:val="bottom"/>
            <w:shd w:val="clear" w:color="auto" w:fill="CCEEFF"/>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11,306,615</w:t>
            </w:r>
          </w:p>
        </w:tc>
        <w:tc>
          <w:tcPr>
            <w:tcW w:w="7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12,673,806</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Market Issuance of Common Stock</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October 25, 2013, the Company entered into an At Market Issuance Sales Agreement (the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At Market Agreement. As of December 31, 2013, the Company had issued 99,942 shares of its common stock through its At Market issuance program at an average price of $9.02 per share resulting in gross proceeds of approximately $944,000. The Company incurred one time, initial legal and accounting costs of approximately $82,000 and commissions of $29,000 resulting in net proceeds of $833,000 as of December 31, 2013. During the nine months ended September 30, 2014, the Company issued 2,674,500 shares of common stock for net proceeds of approximately $28,238,000.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Private Placement of Common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August 16, 2013, the Company issued 500,000 unregistered shares of its common stock for proceeds of $3,000,000 to a single investor pursuant to a private placement. There were no warrants or placement fees associated with this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Issuances of Common Stock</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For the nine-month periods ended September 30, 2014 and 2013 the Company issued shares of common stock in exchange for cash proceeds of $2,187,000 and $3,189,000, respectively, related to the exercise of stock options and warrants.</w:t>
      </w:r>
    </w:p>
    <w:p>
      <w:pPr>
        <w:spacing w:after="0" w:line="3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which was included in accrued expenses at December 31, 2013.</w:t>
      </w:r>
    </w:p>
    <w:p>
      <w:pPr>
        <w:spacing w:after="0" w:line="17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arbitration regarding the payment of the $1.0 million separation payment under the Separation Agreement, and other unspecified “wages”. The statute provides that a successful claimant may be entitled to multiple damages, interest and attorney’s fees. On April 29, 2013, the Superior Court allowed</w:t>
      </w:r>
    </w:p>
    <w:p>
      <w:pPr>
        <w:ind w:right="260"/>
        <w:spacing w:after="0" w:line="261" w:lineRule="auto"/>
        <w:rPr>
          <w:sz w:val="20"/>
          <w:szCs w:val="20"/>
          <w:color w:val="auto"/>
        </w:rPr>
      </w:pPr>
      <w:r>
        <w:rPr>
          <w:rFonts w:ascii="Arial" w:cs="Arial" w:eastAsia="Arial" w:hAnsi="Arial"/>
          <w:sz w:val="18"/>
          <w:szCs w:val="18"/>
          <w:color w:val="auto"/>
        </w:rPr>
        <w:t>Dr. Traber’s and Mr. McGauley’s motion to dismiss. On May 28, 2013, Dr. Platt filed a Notice of Appeal to appeal the Superior Court’s order allowing the defendants’ motion to dismiss. On April 14, 2014, the Appeals Court denied Dr. Platt’s appeal of the dismissal in full.</w:t>
      </w:r>
    </w:p>
    <w:p>
      <w:pPr>
        <w:spacing w:after="0" w:line="18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claimed that Dr. Platt fraudulently induced the Company to enter into the Separation Agreement, breached his fiduciary duty to the Company, and was unduly enriched from his conduct. Along with removal of the $1.0 million milestone payment under the Separation Agreement, the Company sought repayment of all separation benefits paid to Dr. Platt to date.</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delayed payment pending the outcome of this arbitration. In June 2014, the arbitrator issued a judgment in favor of Dr. Platt. In July 2014, the Company paid the $1 million severance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Actions and Derivative Lawsuits</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Between July 30, 2014, and August 6, 2014, three putative class action complaints were filed in the United States District Court for the District of Nevada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The complaints seek class certification, unspecified monetary damages, costs, and attorneys’ fees. The Company disputes the allegations in the complaints and intends to vigorously defend against the claims. By order entered August 22, 2014, the Court consolidated the three putative class actions. The Court’s consolidation order relieves the defendants of any obligation to respond to the complaints currently on file and provides that defendants may respond to a consolidated amended complaint once it is filed by the lead plaintiff(s) to be appointed by the Court. Defendants’ motion to transfer the consolidated putative securities class action to the United States District Court for the Northern District of Georgia is currently fully briefed and pending.</w:t>
      </w:r>
    </w:p>
    <w:p>
      <w:pPr>
        <w:spacing w:after="0" w:line="182"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On August 1 and 25, 2014, persons claiming to be Galectin shareholders filed putative shareholder derivative complaints in the United States District Court for the District of Nevada, seeking recovery on behalf of the Company against certain of the Company’s directors and officers. The putative derivative complaints allege that the defendants breached their fiduciary duties to the Company’s shareholders by causing or permitting the Company to make allegedly false and misleading public statements concerning the Company’s financial results, prospects, and internal controls over financial reporting, and by allegedly failing to ensure that the Company had adequate internal controls over financial reporting. Collectively, the complaints also allege that defendants were unjustly enriched, aided and abetted breaches of fiduciary duties, abused their control of and grossly mismanaged the Company, and violated the federal securities laws by allegedly making false or misleading statements of material fact in the Company’s proxy filings. One of the complaints also alleges that certain defendants breached their fiduciary duties through allegedly improper sales of Galectin stock. The complaints seek unspecified monetary damages on behalf of the Company, corporate governance reforms, disgorgement of profits, benefits and compensation by the defendants, costs, and attorneys’ and experts’ fees. By order entered September 10, 2014, the Court consolidated the putative derivative actions. The Court’s consolidation order relieves the defendants of any obligation to respond to the complaints currently on file and provides that defendants may respond to a consolidated amended complaint once it is filed by the plaintiffs. Defendants’ motion to transfer the consolidated putative derivative litigation to the United States District Court for the Northern District of Georgia is currently fully briefed and pending.</w:t>
      </w:r>
    </w:p>
    <w:p>
      <w:pPr>
        <w:spacing w:after="0" w:line="18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On August 29, 2014, another alleged Galectin shareholder filed a putative shareholder derivative complaint in state court in Las Vegas, Nevada, seeking recovery on behalf of the Company against the same directors and officers who are named as defendants in the derivative litigation pending in the United States District Court for the District of Nevada. The state court derivative complaint alleges claims for breach of fiduciary duties, unjust enrichment, and waste of corporate assets, based on allegations that are substantially similar to those in the derivative complaints pending in the United States District Court for the District of Nevada, and seeks unspecified monetary damages on behalf of the Company, corporate governance reforms, disgorgement of profits, benefits and compensation by the defendants, costs, and attorneys’ and experts’ fees. The defendants in the state court derivative litigation have not yet been required to respond to the allegations of the complaint and therefore have not yet done so.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except as noted above. There are no other pending legal proceedings except as noted above.</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Both the Company and SBH have a 50% equity ownership interest in the LLC, with neither party having control over the LLC. Accordingly, the Company has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Company’s portion of the LLC’s net loss for the nine month period ending September 30, 2014 was $390,000, which includes the Company’s proportionate share of the non-cash charge associated with the contributed IPR&amp;D of $200,000.</w:t>
      </w:r>
    </w:p>
    <w:p>
      <w:pPr>
        <w:sectPr>
          <w:pgSz w:w="11900" w:h="16838" w:orient="portrait"/>
          <w:cols w:equalWidth="0" w:num="1">
            <w:col w:w="11400"/>
          </w:cols>
          <w:pgMar w:left="240" w:top="459" w:right="259" w:bottom="30" w:gutter="0" w:footer="0" w:header="0"/>
        </w:sectPr>
      </w:pPr>
    </w:p>
    <w:p>
      <w:pPr>
        <w:spacing w:after="0" w:line="32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ectPr>
          <w:pgSz w:w="11900" w:h="16838" w:orient="portrait"/>
          <w:cols w:equalWidth="0" w:num="1">
            <w:col w:w="11400"/>
          </w:cols>
          <w:pgMar w:left="240" w:top="459" w:right="259" w:bottom="30" w:gutter="0" w:footer="0" w:header="0"/>
          <w:type w:val="continuous"/>
        </w:sectPr>
      </w:pPr>
    </w:p>
    <w:bookmarkStart w:id="10" w:name="page11"/>
    <w:bookmarkEnd w:id="10"/>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September 30,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expectations regarding any litigation;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mid-2016;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outside capital,</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a shareholder class actions and derivative lawsuits filed,</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 intellectual property protection, and we may be unable to improve upon, protect and/or enforce our intellectual property,</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other risks detailed herein and from time to time in our SEC reports, including our Annual Report on Form 10-K filed with the SEC for the fiscal year ended December 31, 2013, and our subsequent SEC filings.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synthetic carbohydrate molecules which bind galectin proteins and offer alternative options to larger market segments in our primary disease targets. This effort is conducted with the Center for Complex Carbohydrate Research at the University of Georgia. Several synthetic compounds have been made and attached to various scaffolds and tested for galectin binding activity. We also have established through Galectin Sciences, LLC, a joint venture created in January 2014, a discovery program aimed at the targeted development of small molecules (non-carbohydrate) which bind galectin proteins and may afford options for alternative means of drug delivery including oral and as a result expand the potential uses of our compounds. This effort involves in silico modeling using a proprietary molecular model built based on existing crystal structures of galectin, especially galectin-3. Chemical libraries have been screened for compounds with oral ‘drugability’ and hits evaluated for galectin-3 binding. Pharmacophores for hit compounds are then synthesized and optimized via medicinal chemistry approaches. In addition to these efforts we are also pursuing derivatives of GR-MD-02, our lead compound, for subcutaneous administration which is focused on reductions in molecular weight and other potential modifications. We are pursuing a development pathway to clinical enhancement and commercialization for our lead compounds in immune enhancement for cancer therapy as well as in both liver fibrosis and fatty liver disease. We are also pursuing additional preclinical studies related to further characterizing the potential mechanisms of actions of our galectin inhibitors including further studies in cancer immunotherapy at the Earl A. Childs Research Institute of the Providence Portland Medical Center and in fibrosis cellular mechanisms of action studies at Mt. Sinai School of Medicine. All of our proposed products are presently in development, including pre-clinical and clinical trials.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w:t>
      </w:r>
    </w:p>
    <w:p>
      <w:pPr>
        <w:spacing w:after="0" w:line="17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two compounds, GR-MD-02 and GM-CT-01, both of which have shown promise in preclinical studies in treatment of fibrosis and in cancer therapy. However, we are currently focusing on development of GR-MD-02 intended to be used in the treatment of liver fibrosis and fatty liver disease and in cancer therapy in combination with immune-system modifying agent(s). Both of our proprietary compounds are produced from completely different, natural, readily available, starting materials, which, following chemical processing, both exhibit the property of binding to and inhibiting galectin proteins.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780" w:type="dxa"/>
            <w:vAlign w:val="bottom"/>
            <w:gridSpan w:val="3"/>
          </w:tcPr>
          <w:p>
            <w:pPr>
              <w:ind w:left="1060"/>
              <w:spacing w:after="0"/>
              <w:rPr>
                <w:sz w:val="20"/>
                <w:szCs w:val="20"/>
                <w:color w:val="auto"/>
              </w:rPr>
            </w:pPr>
            <w:r>
              <w:rPr>
                <w:rFonts w:ascii="Arial" w:cs="Arial" w:eastAsia="Arial" w:hAnsi="Arial"/>
                <w:sz w:val="14"/>
                <w:szCs w:val="14"/>
                <w:b w:val="1"/>
                <w:bCs w:val="1"/>
                <w:color w:val="auto"/>
              </w:rPr>
              <w:t>Drug</w:t>
            </w:r>
          </w:p>
        </w:tc>
        <w:tc>
          <w:tcPr>
            <w:tcW w:w="6680" w:type="dxa"/>
            <w:vAlign w:val="bottom"/>
            <w:gridSpan w:val="3"/>
          </w:tcPr>
          <w:p>
            <w:pPr>
              <w:ind w:left="3240"/>
              <w:spacing w:after="0"/>
              <w:rPr>
                <w:sz w:val="20"/>
                <w:szCs w:val="20"/>
                <w:color w:val="auto"/>
              </w:rPr>
            </w:pPr>
            <w:r>
              <w:rPr>
                <w:rFonts w:ascii="Arial" w:cs="Arial" w:eastAsia="Arial" w:hAnsi="Arial"/>
                <w:sz w:val="14"/>
                <w:szCs w:val="14"/>
                <w:b w:val="1"/>
                <w:bCs w:val="1"/>
                <w:color w:val="auto"/>
              </w:rPr>
              <w:t>Status</w:t>
            </w:r>
          </w:p>
        </w:tc>
      </w:tr>
      <w:tr>
        <w:trPr>
          <w:trHeight w:val="182"/>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2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60" w:type="dxa"/>
            <w:vAlign w:val="bottom"/>
          </w:tcPr>
          <w:p>
            <w:pPr>
              <w:spacing w:after="0"/>
              <w:rPr>
                <w:sz w:val="15"/>
                <w:szCs w:val="15"/>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GR-MD-02</w:t>
            </w: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w w:val="91"/>
              </w:rPr>
              <w:t>IND submitted January 2013, FDA indicated on March 1, 2013 that we could proceed with</w:t>
            </w:r>
          </w:p>
        </w:tc>
      </w:tr>
      <w:tr>
        <w:trPr>
          <w:trHeight w:val="216"/>
        </w:trPr>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w w:val="91"/>
              </w:rPr>
              <w:t>a Phase 1 US clinical trial. Phase 1 clinical trial started Q2-2013. Results from the first and</w:t>
            </w:r>
          </w:p>
        </w:tc>
      </w:tr>
      <w:tr>
        <w:trPr>
          <w:trHeight w:val="216"/>
        </w:trPr>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w w:val="90"/>
              </w:rPr>
              <w:t>second cohorts of the Phase 1 clinical trial were presented on March 31, 2014 and July 28,</w:t>
            </w:r>
          </w:p>
        </w:tc>
      </w:tr>
      <w:tr>
        <w:trPr>
          <w:trHeight w:val="216"/>
        </w:trPr>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w w:val="91"/>
              </w:rPr>
              <w:t>2014, respectively. Enrollment of the third cohort of the Phase 1 clinical trial began in July</w:t>
            </w:r>
          </w:p>
        </w:tc>
      </w:tr>
      <w:tr>
        <w:trPr>
          <w:trHeight w:val="216"/>
        </w:trPr>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w w:val="94"/>
              </w:rPr>
              <w:t>2014. Interim results from the third cohort of the Phase 1 clinical trial were presented in</w:t>
            </w:r>
          </w:p>
        </w:tc>
      </w:tr>
      <w:tr>
        <w:trPr>
          <w:trHeight w:val="216"/>
        </w:trPr>
        <w:tc>
          <w:tcPr>
            <w:tcW w:w="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rPr>
              <w:t>November 2014 with the final report of cohort 3 expected in January 2015.</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GR-MD-02</w:t>
            </w: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rPr>
              <w:t>In pre-clinical development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GR-MD-02</w:t>
            </w: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rPr>
              <w:t>In pre-clinical development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Cardiac Fibrosis</w:t>
            </w: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GM-CT-01 &amp;</w:t>
            </w: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44"/>
        </w:trPr>
        <w:tc>
          <w:tcPr>
            <w:tcW w:w="6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GR-MD-02</w:t>
            </w: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rPr>
              <w:t>In pre-clinical development</w:t>
            </w: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780" w:type="dxa"/>
            <w:vAlign w:val="bottom"/>
            <w:gridSpan w:val="3"/>
          </w:tcPr>
          <w:p>
            <w:pPr>
              <w:ind w:left="660"/>
              <w:spacing w:after="0"/>
              <w:rPr>
                <w:sz w:val="20"/>
                <w:szCs w:val="20"/>
                <w:color w:val="auto"/>
              </w:rPr>
            </w:pPr>
            <w:r>
              <w:rPr>
                <w:rFonts w:ascii="Arial" w:cs="Arial" w:eastAsia="Arial" w:hAnsi="Arial"/>
                <w:sz w:val="18"/>
                <w:szCs w:val="18"/>
                <w:color w:val="auto"/>
              </w:rPr>
              <w:t>GR-MD-02</w:t>
            </w:r>
          </w:p>
        </w:tc>
        <w:tc>
          <w:tcPr>
            <w:tcW w:w="6680" w:type="dxa"/>
            <w:vAlign w:val="bottom"/>
            <w:gridSpan w:val="3"/>
          </w:tcPr>
          <w:p>
            <w:pPr>
              <w:ind w:left="120"/>
              <w:spacing w:after="0"/>
              <w:rPr>
                <w:sz w:val="20"/>
                <w:szCs w:val="20"/>
                <w:color w:val="auto"/>
              </w:rPr>
            </w:pPr>
            <w:r>
              <w:rPr>
                <w:rFonts w:ascii="Arial" w:cs="Arial" w:eastAsia="Arial" w:hAnsi="Arial"/>
                <w:sz w:val="18"/>
                <w:szCs w:val="18"/>
                <w:color w:val="auto"/>
              </w:rPr>
              <w:t>Investigator IND filed in December 2013. Phase 1B study in process.</w:t>
            </w:r>
          </w:p>
        </w:tc>
      </w:tr>
    </w:tbl>
    <w:p>
      <w:pPr>
        <w:spacing w:after="0" w:line="2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GR-MD-02 is our lead product candidate for intravenous treatment of fibrotic disease. Our preclinical data show that GR-MD-02 has a</w:t>
      </w:r>
      <w:r>
        <w:rPr>
          <w:rFonts w:ascii="Arial" w:cs="Arial" w:eastAsia="Arial" w:hAnsi="Arial"/>
          <w:sz w:val="18"/>
          <w:szCs w:val="18"/>
          <w:i w:val="1"/>
          <w:iCs w:val="1"/>
          <w:color w:val="auto"/>
        </w:rPr>
        <w:t xml:space="preserve"> </w:t>
      </w:r>
      <w:r>
        <w:rPr>
          <w:rFonts w:ascii="Arial" w:cs="Arial" w:eastAsia="Arial" w:hAnsi="Arial"/>
          <w:sz w:val="18"/>
          <w:szCs w:val="18"/>
          <w:color w:val="auto"/>
        </w:rPr>
        <w:t>powerful therapeutic effect on liver fibrosis as shown in several relevant animal models.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exploratory pharmacodynamics biomarkers of disease. On March 1, 2013, the FDA indicated we could proceed with a US Phase 1 clinical trial for GR-MD-02 with a development program aimed at obtaining support for a proposed indication of GR-MD-02 for treatment of NASH with advanced fibrosis.</w:t>
      </w:r>
    </w:p>
    <w:p>
      <w:pPr>
        <w:sectPr>
          <w:pgSz w:w="11900" w:h="16838" w:orient="portrait"/>
          <w:cols w:equalWidth="0" w:num="1">
            <w:col w:w="11400"/>
          </w:cols>
          <w:pgMar w:left="240" w:top="459" w:right="259" w:bottom="501"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501"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example, there have been three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 </w:t>
      </w:r>
      <w:r>
        <w:rPr>
          <w:rFonts w:ascii="Arial" w:cs="Arial" w:eastAsia="Arial" w:hAnsi="Arial"/>
          <w:sz w:val="14"/>
          <w:szCs w:val="14"/>
          <w:color w:val="auto"/>
        </w:rPr>
        <w:t>®</w:t>
      </w:r>
      <w:r>
        <w:rPr>
          <w:rFonts w:ascii="Arial" w:cs="Arial" w:eastAsia="Arial" w:hAnsi="Arial"/>
          <w:sz w:val="17"/>
          <w:szCs w:val="17"/>
          <w:color w:val="auto"/>
        </w:rPr>
        <w:t xml:space="preserve"> (ipilimumab) in a Phase 1B study of patients with metastatic melanoma. This study is being conducted under the sponsorship of Providence Portland Medical Center’s Earle A. Chiles Research Institute (EACRI) and is being supported by the Company.</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2014 Compared to Three and Nine Months Ended September 30,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Nine Months Ended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7"/>
              </w:rPr>
              <w:t>2014 as Compared to 2013</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w w:val="91"/>
              </w:rPr>
              <w:t>September 30,</w:t>
            </w:r>
          </w:p>
        </w:tc>
        <w:tc>
          <w:tcPr>
            <w:tcW w:w="156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2"/>
                <w:szCs w:val="12"/>
                <w:color w:val="auto"/>
              </w:rPr>
            </w:pPr>
          </w:p>
        </w:tc>
        <w:tc>
          <w:tcPr>
            <w:tcW w:w="1740" w:type="dxa"/>
            <w:vAlign w:val="bottom"/>
            <w:gridSpan w:val="3"/>
          </w:tcPr>
          <w:p>
            <w:pPr>
              <w:jc w:val="right"/>
              <w:ind w:right="70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0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2014</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color w:val="auto"/>
              </w:rPr>
              <w:t>2014</w:t>
            </w:r>
          </w:p>
        </w:tc>
        <w:tc>
          <w:tcPr>
            <w:tcW w:w="6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9"/>
              </w:rPr>
              <w:t>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3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$ 1,192</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$6,345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787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$ 2,052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two product candidates, GR-MD-02 and GM-CT-01.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expected in January 2015. Depending on the results of the Phase 1 study, we expect to initiate a Phase 2 clinical trial in the first half of 2015 to assess the efficacy of GR-MD-02 in patients with NASH and advanced liver fibrosis. The timing of initial results from the Phase 2 trial are dependent upon the trial design which has not been finalized. Our Phase 2 clinical program is likely to include additional clinical trials to fully characterize human response to GR-MD-02 and to better position the Company for a successful Phase 3 clinical trial program.</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4"/>
                <w:szCs w:val="14"/>
                <w:color w:val="auto"/>
              </w:rPr>
              <w:t>Nine Months Ended</w:t>
            </w:r>
          </w:p>
        </w:tc>
      </w:tr>
      <w:tr>
        <w:trPr>
          <w:trHeight w:val="167"/>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$2,462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$1,734</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1,827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1,192</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6,345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4,293</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Clinical programs expenses increased primarily due to costs related to our Phase 1 clinical trial and compound manufacturing costs in anticipation of a Phase 2 clinical trial during the three and nine months ended September 30, 2014 over 2013. As we continue enrolling patients in the Phase I trial we expect our clinical activities costs will increase and may fluctuate from quarter to quarter as the trial progresses to its expected completion in the fourth quarter of 2014. Pre-clinical activities increased primarily due to pre-clinical work related preparation for our anticipated Phase 2 clinical trial program including, amongst other items, toxicology studies, manufacturing of active pharmaceutical ingredient and finished product and additional supporting studies. Other research and development expense increased in the nine months ended September 30, 2014 over 2013 primarily due to increased stock-based compensation of $218,000.</w:t>
      </w:r>
    </w:p>
    <w:p>
      <w:pPr>
        <w:spacing w:after="0" w:line="18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color w:val="auto"/>
                <w:w w:val="96"/>
              </w:rPr>
              <w:t>Nine Months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w w:val="95"/>
              </w:rPr>
              <w:t>2014 as Compared to 2013</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1"/>
              </w:rPr>
              <w:t>Ended September 30,</w:t>
            </w:r>
          </w:p>
        </w:tc>
        <w:tc>
          <w:tcPr>
            <w:tcW w:w="140" w:type="dxa"/>
            <w:vAlign w:val="bottom"/>
          </w:tcPr>
          <w:p>
            <w:pPr>
              <w:spacing w:after="0"/>
              <w:rPr>
                <w:sz w:val="12"/>
                <w:szCs w:val="12"/>
                <w:color w:val="auto"/>
              </w:rPr>
            </w:pPr>
          </w:p>
        </w:tc>
        <w:tc>
          <w:tcPr>
            <w:tcW w:w="148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1"/>
              </w:rPr>
              <w:t>Ended 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right"/>
              <w:ind w:right="76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Nine Months</w:t>
            </w:r>
          </w:p>
        </w:tc>
        <w:tc>
          <w:tcPr>
            <w:tcW w:w="2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2014</w:t>
            </w:r>
          </w:p>
        </w:tc>
        <w:tc>
          <w:tcPr>
            <w:tcW w:w="7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2014</w:t>
            </w:r>
          </w:p>
        </w:tc>
        <w:tc>
          <w:tcPr>
            <w:tcW w:w="7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5"/>
              </w:rPr>
              <w:t>Change</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w w:val="85"/>
              </w:rPr>
              <w:t>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$1,498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$ 2,353</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$5,351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$ 5,007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(945)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decrease for the three months ended September 30, 2014 as compared to the same period in 2013 is due to decreased stock-based compensation ($817,000) primarily due to a modification in September 2013 of certain vested options held by a former board member to extend the contractual exercise period through the original expiration dates as opposed to 90 days after service on the board ended. The primary reason for the increase for the nine months ended September 30, 2014 as compared to the same period in 2013 was increased legal expenses ($280,000) primarily related to litigation with Dr. Platt which was settled in the third quarter of 2014.</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described above in the Overview and elsewhere in this Quarterly Report on Form 10-Q, we are a clinical development stage company and have not generated any revenues.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September 30, 2014, we raised a net total of $107.5 million from these offerings. We have operated at a loss since our inception and have had no significant revenues. We anticipate that losses will continue for the foreseeable future. At September 30, 2014, we had $31.2 million of unrestricted cash and cash equivalents available to fund future operations. We believe that with the cash on hand at September 30, 2014, there is sufficient cash to fund currently planned operations through mid-2016.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used in operations increased by $3,475,000 to $9,313,000 for the nine months ended September 30, 2014, as compared to $5,838,000 for the nine months ended September 30, 2013. Cash operating expenses increased principally due to increased research and development activities related to our clinical activity with GR-MD-02 and the payment of the severance obligation to Dr. Platt.</w:t>
      </w:r>
    </w:p>
    <w:p>
      <w:pPr>
        <w:spacing w:after="0" w:line="18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Net cash provided by financing activities was $30,425,000 for the nine months ending September 30, 2014, consisting of $28,238,000 from sale of common stock and $2,187,000 from the proceeds from the exercise of stock options and warrants. During the nine months ended September 30, 2013, $3,189,000 was received from the exercise of stock options and warrants and $3,000,000 from a private placement of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December 31, 2013.</w:t>
      </w:r>
    </w:p>
    <w:p>
      <w:pPr>
        <w:spacing w:after="0" w:line="1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On April 29, 2013, the Superior Court allowed Dr. Traber’s and Mr. McGauley’s motion to dismiss. On May 28, 2013, Dr. Platt filed a Notice of Appeal to appeal the Superior Court’s order allowing the defendants’ motion to dismiss. On April 14, 2014, the Appeals Court denied Dr. Platt’s appeal of the dismissal in full.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claimed that Dr. Platt fraudulently induced the Company to enter into the Separation Agreement, breached his fiduciary duty to the Company, and was unduly enriched from his conduct. Along with removal of the $1.0 million milestone payment under the Separation Agreement, the Company sought repayment of all separation benefits paid to Dr. Platt to date.</w:t>
      </w:r>
    </w:p>
    <w:p>
      <w:pPr>
        <w:spacing w:after="0" w:line="18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delayed payment pending the outcome of this arbitration. In June 2014, the arbitrator issued a judgment in favor of Dr. Platt. In July 2014, the Company paid the $1 million severance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Actions and Derivative Lawsuits</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Between July 30, 2014, and August 6, 2014, three putative class action complaints were filed in the United States District Court for the District of Nevada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The complaints seek class certification, unspecified monetary damages, costs, and attorneys’ fees. The Company disputes the allegations in the complaints and intends to vigorously defend against the claims. By order entered August 22, 2014, the Court consolidated the three putative class actions. The Court’s consolidation order relieves the defendants of any obligation to respond to the complaints currently on file and provides that defendants may respond to a consolidated amended complaint once it is filed by the lead plaintiff(s) to be appointed by the Court. Defendants’ motion to transfer the consolidated putative securities class action to the United States District Court for the Northern District of Georgia is currently fully briefed and pending.</w:t>
      </w:r>
    </w:p>
    <w:p>
      <w:pPr>
        <w:spacing w:after="0" w:line="18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On August 1 and 25, 2014, persons claiming to be Galectin shareholders filed putative shareholder derivative complaints in the United States District Court for the District of Nevada, seeking recovery on behalf of the Company against certain of the Company’s directors and officers. The putative derivative complaints allege that the defendants breached their fiduciary duties to the Company’s shareholders by causing or permitting the Company to make allegedly false and misleading public statements concerning the Company’s financial results, prospects, and internal controls over financial reporting, and by allegedly failing to ensure that the Company had adequate internal controls over financial reporting. Collectively, the complaints also allege that defendants were unjustly enriched, aided and abetted breaches of fiduciary duties, abused their control of and grossly mismanaged the Company, and violated the federal securities laws by allegedly making false or misleading statements of material fact in the Company’s proxy filings. One of the complaints also alleges that certain defendants breached their fiduciary duties through allegedly improper sales of Galectin stock. The complaints seek unspecified monetary damages on behalf of the Company, corporate governance reforms, disgorgement of profits, benefits and compensation by the defendants, costs, and attorneys’ and experts’ fees. By order entered September 10, 2014, the Court consolidated the putative derivative actions. The Court’s consolidation order relieves the defendants of any obligation to respond to the complaints currently on file and provides that defendants may respond to a consolidated amended complaint once it is filed by the plaintiffs. Defendants’ motion to transfer the consolidated putative derivative litigation to the United States District Court for the Northern District of Georgia is currently fully briefed and pending.</w:t>
      </w:r>
    </w:p>
    <w:p>
      <w:pPr>
        <w:spacing w:after="0" w:line="18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On August 29, 2014, another alleged Galectin shareholder filed a putative shareholder derivative complaint in state court in Las Vegas, Nevada, seeking recovery on behalf of the Company against the same directors and officers who are named as defendants in the derivative litigation pending in the United States District Court for the District of Nevada. The state court derivative complaint alleges claims for breach of fiduciary duties, unjust enrichment, and waste of corporate assets, based on allegations that are substantially similar to those in the derivative complaints pending in the United States District Court for the District of Nevada, and seeks unspecified monetary damages on behalf of the Company, corporate governance reforms, disgorgement of profits, benefits and compensation by the defendants, costs, and attorneys’ and experts’ fees. The defendants in the state court derivative litigation have not yet been required to respond to the allegations of the complaint and therefore have not yet done so.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ectPr>
          <w:pgSz w:w="11900" w:h="16838" w:orient="portrait"/>
          <w:cols w:equalWidth="0" w:num="1">
            <w:col w:w="11380"/>
          </w:cols>
          <w:pgMar w:left="240" w:top="459" w:right="279" w:bottom="1440" w:gutter="0" w:footer="0" w:header="0"/>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2013 Annual Report on Form 10-K.</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2014, our disclosure controls and procedures were effective at a reasonable assurance level. During the quarter ended September 30, 2014,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disclosed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2013, which could materially impact our business, financial condition or future results.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July 2014, the Company issued 3,873 shares of common stock to Acorn Management Partners, LLC in connection with a consulting agreement, at a price of $12.91 per share. In issuing the shares the Company relied on an exemption from registration under the Securities Act of 1933 provided by Section 4(a)(2) and Regulation D promulgated thereunder.</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38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120" w:type="dxa"/>
            <w:vAlign w:val="bottom"/>
          </w:tcPr>
          <w:p>
            <w:pPr>
              <w:spacing w:after="0"/>
              <w:rPr>
                <w:sz w:val="24"/>
                <w:szCs w:val="24"/>
                <w:color w:val="auto"/>
              </w:rPr>
            </w:pPr>
          </w:p>
        </w:tc>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2"/>
        </w:trPr>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412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Amended and Restated Bylaws of Galectin Therapeutics Inc.</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Restated Articles of Incorporation of Galectin Therapeutics Inc.</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48"/>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Galectin Therapeutics Inc. Amended and Restated 2009 Incentive Compensation Plan</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tcPr>
          <w:p>
            <w:pPr>
              <w:ind w:left="540"/>
              <w:spacing w:after="0"/>
              <w:rPr>
                <w:sz w:val="20"/>
                <w:szCs w:val="20"/>
                <w:color w:val="auto"/>
              </w:rPr>
            </w:pPr>
            <w:r>
              <w:rPr>
                <w:rFonts w:ascii="Arial" w:cs="Arial" w:eastAsia="Arial" w:hAnsi="Arial"/>
                <w:sz w:val="18"/>
                <w:szCs w:val="18"/>
                <w:color w:val="auto"/>
              </w:rPr>
              <w:t>2002</w:t>
            </w:r>
          </w:p>
        </w:tc>
        <w:tc>
          <w:tcPr>
            <w:tcW w:w="1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tcPr>
          <w:p>
            <w:pPr>
              <w:ind w:left="540"/>
              <w:spacing w:after="0"/>
              <w:rPr>
                <w:sz w:val="20"/>
                <w:szCs w:val="20"/>
                <w:color w:val="auto"/>
              </w:rPr>
            </w:pPr>
            <w:r>
              <w:rPr>
                <w:rFonts w:ascii="Arial" w:cs="Arial" w:eastAsia="Arial" w:hAnsi="Arial"/>
                <w:sz w:val="18"/>
                <w:szCs w:val="18"/>
                <w:color w:val="auto"/>
              </w:rPr>
              <w:t>2002</w:t>
            </w:r>
          </w:p>
        </w:tc>
        <w:tc>
          <w:tcPr>
            <w:tcW w:w="1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Instance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Taxonomy Extension Schema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Taxonomy Calculation Linkbase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Taxonomy Extension Definition Linkbase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Taxonomy Label Linkbase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380" w:type="dxa"/>
            <w:vAlign w:val="bottom"/>
            <w:gridSpan w:val="3"/>
          </w:tcPr>
          <w:p>
            <w:pPr>
              <w:ind w:left="540"/>
              <w:spacing w:after="0"/>
              <w:rPr>
                <w:sz w:val="20"/>
                <w:szCs w:val="20"/>
                <w:color w:val="auto"/>
              </w:rPr>
            </w:pPr>
            <w:r>
              <w:rPr>
                <w:rFonts w:ascii="Arial" w:cs="Arial" w:eastAsia="Arial" w:hAnsi="Arial"/>
                <w:sz w:val="18"/>
                <w:szCs w:val="18"/>
                <w:color w:val="auto"/>
              </w:rPr>
              <w:t>XBRL Taxonomy Presentation Linkbase Document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A of the Company’s Definitive Proxy Statement filed on March 21, 2014.</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10, 2014.</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2014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2014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10,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2019-12-07T01:21:00Z</dcterms:created>
  <dcterms:modified xsi:type="dcterms:W3CDTF">2019-12-07T01:21:00Z</dcterms:modified>
</cp:coreProperties>
</file>