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254000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Nevada</w:t>
            </w:r>
          </w:p>
        </w:tc>
        <w:tc>
          <w:tcPr>
            <w:tcW w:w="1480" w:type="dxa"/>
            <w:vAlign w:val="bottom"/>
          </w:tcPr>
          <w:p>
            <w:pPr>
              <w:jc w:val="right"/>
              <w:ind w:right="61"/>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7020" w:type="dxa"/>
            <w:vAlign w:val="bottom"/>
          </w:tcPr>
          <w:p>
            <w:pPr>
              <w:jc w:val="center"/>
              <w:ind w:right="258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4"/>
              </w:rPr>
              <w:t>of incorporation)</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7020" w:type="dxa"/>
            <w:vAlign w:val="bottom"/>
          </w:tcPr>
          <w:p>
            <w:pPr>
              <w:jc w:val="center"/>
              <w:ind w:right="260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7020" w:type="dxa"/>
            <w:vAlign w:val="bottom"/>
          </w:tcPr>
          <w:p>
            <w:pPr>
              <w:jc w:val="center"/>
              <w:ind w:right="26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8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7020" w:type="dxa"/>
            <w:vAlign w:val="bottom"/>
          </w:tcPr>
          <w:p>
            <w:pPr>
              <w:jc w:val="right"/>
              <w:ind w:right="1380"/>
              <w:spacing w:after="0"/>
              <w:rPr>
                <w:sz w:val="20"/>
                <w:szCs w:val="20"/>
                <w:color w:val="auto"/>
              </w:rPr>
            </w:pPr>
            <w:r>
              <w:rPr>
                <w:rFonts w:ascii="Arial" w:cs="Arial" w:eastAsia="Arial" w:hAnsi="Arial"/>
                <w:sz w:val="18"/>
                <w:szCs w:val="18"/>
                <w:b w:val="1"/>
                <w:bCs w:val="1"/>
                <w:color w:val="auto"/>
              </w:rPr>
              <w:t>(678) 620-3186</w:t>
            </w:r>
          </w:p>
        </w:tc>
        <w:tc>
          <w:tcPr>
            <w:tcW w:w="1480" w:type="dxa"/>
            <w:vAlign w:val="bottom"/>
          </w:tcPr>
          <w:p>
            <w:pPr>
              <w:spacing w:after="0"/>
              <w:rPr>
                <w:sz w:val="24"/>
                <w:szCs w:val="24"/>
                <w:color w:val="auto"/>
              </w:rPr>
            </w:pPr>
          </w:p>
        </w:tc>
      </w:tr>
      <w:tr>
        <w:trPr>
          <w:trHeight w:val="186"/>
        </w:trPr>
        <w:tc>
          <w:tcPr>
            <w:tcW w:w="7020" w:type="dxa"/>
            <w:vAlign w:val="bottom"/>
          </w:tcPr>
          <w:p>
            <w:pPr>
              <w:jc w:val="center"/>
              <w:ind w:left="290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6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6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7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640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26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780" w:type="dxa"/>
            <w:vAlign w:val="bottom"/>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c>
          <w:tcPr>
            <w:tcW w:w="380" w:type="dxa"/>
            <w:vAlign w:val="bottom"/>
          </w:tcPr>
          <w:p>
            <w:pPr>
              <w:spacing w:after="0"/>
              <w:rPr>
                <w:sz w:val="24"/>
                <w:szCs w:val="24"/>
                <w:color w:val="auto"/>
              </w:rPr>
            </w:pPr>
          </w:p>
        </w:tc>
      </w:tr>
      <w:tr>
        <w:trPr>
          <w:trHeight w:val="412"/>
        </w:trPr>
        <w:tc>
          <w:tcPr>
            <w:tcW w:w="8260" w:type="dxa"/>
            <w:vAlign w:val="bottom"/>
            <w:gridSpan w:val="2"/>
          </w:tcPr>
          <w:p>
            <w:pPr>
              <w:spacing w:after="0"/>
              <w:rPr>
                <w:sz w:val="20"/>
                <w:szCs w:val="20"/>
                <w:color w:val="auto"/>
              </w:rPr>
            </w:pPr>
            <w:r>
              <w:rPr>
                <w:rFonts w:ascii="Arial" w:cs="Arial" w:eastAsia="Arial" w:hAnsi="Arial"/>
                <w:sz w:val="18"/>
                <w:szCs w:val="18"/>
                <w:color w:val="auto"/>
                <w:w w:val="97"/>
              </w:rPr>
              <w:t>The number of shares outstanding of the registrant’s common stock as of August 5, 2014 was 22,043,435.</w:t>
            </w:r>
          </w:p>
        </w:tc>
        <w:tc>
          <w:tcPr>
            <w:tcW w:w="27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860" w:type="dxa"/>
            <w:vAlign w:val="bottom"/>
            <w:tcBorders>
              <w:bottom w:val="single" w:sz="8" w:color="auto"/>
            </w:tcBorders>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86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 ENDED JUNE 30,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80" w:type="dxa"/>
            <w:vAlign w:val="bottom"/>
            <w:gridSpan w:val="8"/>
            <w:vMerge w:val="restart"/>
          </w:tcPr>
          <w:p>
            <w:pPr>
              <w:jc w:val="center"/>
              <w:ind w:right="2680"/>
              <w:spacing w:after="0"/>
              <w:rPr>
                <w:sz w:val="20"/>
                <w:szCs w:val="20"/>
                <w:color w:val="auto"/>
              </w:rPr>
            </w:pPr>
            <w:r>
              <w:rPr>
                <w:rFonts w:ascii="Arial" w:cs="Arial" w:eastAsia="Arial" w:hAnsi="Arial"/>
                <w:sz w:val="18"/>
                <w:szCs w:val="18"/>
                <w:b w:val="1"/>
                <w:bCs w:val="1"/>
                <w:color w:val="auto"/>
              </w:rPr>
              <w:t>PART I – FINANCIAL INFORMATION</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80" w:type="dxa"/>
            <w:vAlign w:val="bottom"/>
            <w:gridSpan w:val="8"/>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4"/>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4"/>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2014 and December 31, 2013 (unaudited)</w:t>
              </w:r>
            </w:hyperlink>
          </w:p>
        </w:tc>
        <w:tc>
          <w:tcPr>
            <w:tcW w:w="3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June 30, 2014 and 2013 (unaudited)</w:t>
              </w:r>
            </w:hyperlink>
          </w:p>
        </w:tc>
        <w:tc>
          <w:tcPr>
            <w:tcW w:w="8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Three and Six Months Ended June 30, 2014 and 2013 (unaudited)</w:t>
              </w:r>
            </w:hyperlink>
          </w:p>
        </w:tc>
        <w:tc>
          <w:tcPr>
            <w:tcW w:w="78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Unaudited Condensed Consolidated Financial Statements</w:t>
              </w:r>
            </w:hyperlink>
          </w:p>
        </w:tc>
        <w:tc>
          <w:tcPr>
            <w:tcW w:w="502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1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1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336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669"/>
        </w:trPr>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480" w:type="dxa"/>
            <w:vAlign w:val="bottom"/>
            <w:gridSpan w:val="8"/>
          </w:tcPr>
          <w:p>
            <w:pPr>
              <w:jc w:val="center"/>
              <w:ind w:right="2660"/>
              <w:spacing w:after="0"/>
              <w:rPr>
                <w:sz w:val="20"/>
                <w:szCs w:val="20"/>
                <w:color w:val="auto"/>
              </w:rPr>
            </w:pPr>
            <w:r>
              <w:rPr>
                <w:rFonts w:ascii="Arial" w:cs="Arial" w:eastAsia="Arial" w:hAnsi="Arial"/>
                <w:sz w:val="18"/>
                <w:szCs w:val="18"/>
                <w:b w:val="1"/>
                <w:bCs w:val="1"/>
                <w:color w:val="auto"/>
              </w:rPr>
              <w:t>PART II – OTHER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4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Unregistered Sales of Equity Securities and Use of Proceeds</w:t>
              </w:r>
            </w:hyperlink>
          </w:p>
        </w:tc>
        <w:tc>
          <w:tcPr>
            <w:tcW w:w="54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Defaults Upon Senior Securities</w:t>
              </w:r>
            </w:hyperlink>
          </w:p>
        </w:tc>
        <w:tc>
          <w:tcPr>
            <w:tcW w:w="748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Mine Safety Disclosures</w:t>
              </w:r>
            </w:hyperlink>
          </w:p>
        </w:tc>
        <w:tc>
          <w:tcPr>
            <w:tcW w:w="804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820" w:type="dxa"/>
            <w:vAlign w:val="bottom"/>
            <w:gridSpan w:val="1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850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SIGNATURES</w:t>
              </w:r>
            </w:hyperlink>
          </w:p>
        </w:tc>
        <w:tc>
          <w:tcPr>
            <w:tcW w:w="6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07"/>
        </w:trPr>
        <w:tc>
          <w:tcPr>
            <w:tcW w:w="1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gridSpan w:val="9"/>
          </w:tcPr>
          <w:p>
            <w:pPr>
              <w:ind w:left="454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511"/>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34,423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in Galectin Sciences, LLC</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34,594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10,713</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665</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240" w:type="dxa"/>
            <w:vAlign w:val="bottom"/>
            <w:gridSpan w:val="2"/>
          </w:tcPr>
          <w:p>
            <w:pPr>
              <w:spacing w:after="0"/>
              <w:rPr>
                <w:sz w:val="20"/>
                <w:szCs w:val="20"/>
                <w:color w:val="auto"/>
              </w:rPr>
            </w:pPr>
            <w:r>
              <w:rPr>
                <w:rFonts w:ascii="Arial" w:cs="Arial" w:eastAsia="Arial" w:hAnsi="Arial"/>
                <w:sz w:val="18"/>
                <w:szCs w:val="18"/>
                <w:color w:val="auto"/>
                <w:w w:val="96"/>
              </w:rPr>
              <w:t>Series B-1 12% redeemable convertible preferred stock; 900,000 shares authorized, issued and outstanding at June 30,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rPr>
              <w:t>2014 and December 31, 2013, redemption and liquidation value $1,800,000 at June 30, 2014</w:t>
            </w: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1,723</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B-2 12% redeemable convertible preferred stock; 2,100,000 shares authorized, issued and outstanding at June 30,</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2014 and December 31, 2013, redemption and liquidation value $4,200,000 at June 30, 2013</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3,219</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spacing w:after="0" w:line="201" w:lineRule="exact"/>
              <w:rPr>
                <w:sz w:val="20"/>
                <w:szCs w:val="20"/>
                <w:color w:val="auto"/>
              </w:rPr>
            </w:pPr>
            <w:r>
              <w:rPr>
                <w:rFonts w:ascii="Arial" w:cs="Arial" w:eastAsia="Arial" w:hAnsi="Arial"/>
                <w:sz w:val="18"/>
                <w:szCs w:val="18"/>
                <w:color w:val="auto"/>
                <w:w w:val="94"/>
              </w:rPr>
              <w:t>Series C super dividend convertible preferred stock; 1,000 shares authorized, 182 and 196 shares issued and outstanding</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w w:val="95"/>
              </w:rPr>
              <w:t>at June 30, 2014 and December 31, 2013, respectively, redemption value: $5,067,000, liquidation value: $1,847,000 at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160"/>
              <w:spacing w:after="0"/>
              <w:rPr>
                <w:sz w:val="20"/>
                <w:szCs w:val="20"/>
                <w:color w:val="auto"/>
              </w:rPr>
            </w:pPr>
            <w:r>
              <w:rPr>
                <w:rFonts w:ascii="Arial" w:cs="Arial" w:eastAsia="Arial" w:hAnsi="Arial"/>
                <w:sz w:val="18"/>
                <w:szCs w:val="18"/>
                <w:color w:val="auto"/>
              </w:rPr>
              <w:t>June 30, 2014</w:t>
            </w: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1,781</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700"/>
              <w:spacing w:after="0" w:line="201" w:lineRule="exact"/>
              <w:rPr>
                <w:sz w:val="20"/>
                <w:szCs w:val="20"/>
                <w:color w:val="auto"/>
              </w:rPr>
            </w:pPr>
            <w:r>
              <w:rPr>
                <w:rFonts w:ascii="Arial" w:cs="Arial" w:eastAsia="Arial" w:hAnsi="Arial"/>
                <w:sz w:val="18"/>
                <w:szCs w:val="18"/>
                <w:color w:val="auto"/>
                <w:w w:val="98"/>
              </w:rPr>
              <w:t>Undesignated stock, $0.01 par value; 20,000,000 shares authorized, 8,001,000 designated at June 30, 2014</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80"/>
              <w:spacing w:after="0"/>
              <w:rPr>
                <w:sz w:val="20"/>
                <w:szCs w:val="20"/>
                <w:color w:val="auto"/>
              </w:rPr>
            </w:pPr>
            <w:r>
              <w:rPr>
                <w:rFonts w:ascii="Arial" w:cs="Arial" w:eastAsia="Arial" w:hAnsi="Arial"/>
                <w:sz w:val="18"/>
                <w:szCs w:val="18"/>
                <w:color w:val="auto"/>
              </w:rPr>
              <w:t>and December 31, 2013</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8"/>
              </w:rPr>
              <w:t>Series A 12% convertible preferred stock; 5,000,000 shares authorized, 1,402,500 issued and outstanding at</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June 30, 2014 and December 31, 2013, liquidation value $1,444,500 at June 30, 2014</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700"/>
              <w:spacing w:after="0" w:line="201" w:lineRule="exact"/>
              <w:rPr>
                <w:sz w:val="20"/>
                <w:szCs w:val="20"/>
                <w:color w:val="auto"/>
              </w:rPr>
            </w:pPr>
            <w:r>
              <w:rPr>
                <w:rFonts w:ascii="Arial" w:cs="Arial" w:eastAsia="Arial" w:hAnsi="Arial"/>
                <w:sz w:val="18"/>
                <w:szCs w:val="18"/>
                <w:color w:val="auto"/>
                <w:w w:val="99"/>
              </w:rPr>
              <w:t>Common stock, $0.001 par value; 50,000,000 shares authorized at June 30, 2014 and December 31, 2013,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880"/>
              <w:spacing w:after="0"/>
              <w:rPr>
                <w:sz w:val="20"/>
                <w:szCs w:val="20"/>
                <w:color w:val="auto"/>
              </w:rPr>
            </w:pPr>
            <w:r>
              <w:rPr>
                <w:rFonts w:ascii="Arial" w:cs="Arial" w:eastAsia="Arial" w:hAnsi="Arial"/>
                <w:sz w:val="18"/>
                <w:szCs w:val="18"/>
                <w:color w:val="auto"/>
                <w:w w:val="97"/>
              </w:rPr>
              <w:t>22,034,792 and 18,386,900 issued and outstanding at June 30, 2014 and December 31, 2013, respectively</w:t>
            </w: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136,239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70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9"/>
                <w:szCs w:val="19"/>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(111,104)</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25,724</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40" w:type="dxa"/>
            <w:vAlign w:val="bottom"/>
            <w:gridSpan w:val="12"/>
          </w:tcPr>
          <w:p>
            <w:pPr>
              <w:jc w:val="right"/>
              <w:ind w:right="371"/>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3,101</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2,654</w:t>
            </w:r>
          </w:p>
        </w:tc>
      </w:tr>
      <w:tr>
        <w:trPr>
          <w:trHeight w:val="230"/>
        </w:trPr>
        <w:tc>
          <w:tcPr>
            <w:tcW w:w="20" w:type="dxa"/>
            <w:vAlign w:val="bottom"/>
          </w:tcPr>
          <w:p>
            <w:pPr>
              <w:spacing w:after="0"/>
              <w:rPr>
                <w:sz w:val="20"/>
                <w:szCs w:val="20"/>
                <w:color w:val="auto"/>
              </w:rPr>
            </w:pPr>
          </w:p>
        </w:tc>
        <w:tc>
          <w:tcPr>
            <w:tcW w:w="64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loss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(3,375)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(8,219)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(5,755)</w:t>
            </w: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Loss from equity method investment in Galectin Sciences, LLC</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income (expense)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(3,429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(8,539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Preferred stock accretion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(8,763)</w:t>
            </w: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(3,731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(11,641</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(9,139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(15,113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(0.94)</w:t>
            </w: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21,983</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16,236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21,570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16,158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48" w:lineRule="exact"/>
        <w:rPr>
          <w:sz w:val="20"/>
          <w:szCs w:val="20"/>
          <w:color w:val="auto"/>
        </w:rPr>
      </w:pPr>
    </w:p>
    <w:p>
      <w:pPr>
        <w:jc w:val="center"/>
        <w:ind w:left="9760"/>
        <w:spacing w:after="0"/>
        <w:rPr>
          <w:sz w:val="20"/>
          <w:szCs w:val="20"/>
          <w:color w:val="auto"/>
        </w:rPr>
      </w:pPr>
      <w:r>
        <w:rPr>
          <w:rFonts w:ascii="Arial" w:cs="Arial" w:eastAsia="Arial" w:hAnsi="Arial"/>
          <w:sz w:val="14"/>
          <w:szCs w:val="14"/>
          <w:b w:val="1"/>
          <w:bCs w:val="1"/>
          <w:color w:val="auto"/>
        </w:rPr>
        <w:t>Six Months Ended</w:t>
      </w:r>
    </w:p>
    <w:p>
      <w:pPr>
        <w:jc w:val="center"/>
        <w:ind w:left="97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40" w:type="dxa"/>
            <w:vAlign w:val="bottom"/>
          </w:tcPr>
          <w:p>
            <w:pPr>
              <w:spacing w:after="0"/>
              <w:rPr>
                <w:sz w:val="12"/>
                <w:szCs w:val="12"/>
                <w:color w:val="auto"/>
              </w:rPr>
            </w:pPr>
          </w:p>
        </w:tc>
        <w:tc>
          <w:tcPr>
            <w:tcW w:w="1460" w:type="dxa"/>
            <w:vAlign w:val="bottom"/>
            <w:gridSpan w:val="4"/>
          </w:tcPr>
          <w:p>
            <w:pPr>
              <w:jc w:val="right"/>
              <w:ind w:right="21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 (8,539)</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520"/>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Stock-based compensation expense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520"/>
              <w:spacing w:after="0"/>
              <w:rPr>
                <w:sz w:val="20"/>
                <w:szCs w:val="20"/>
                <w:color w:val="auto"/>
              </w:rPr>
            </w:pPr>
            <w:r>
              <w:rPr>
                <w:rFonts w:ascii="Arial" w:cs="Arial" w:eastAsia="Arial" w:hAnsi="Arial"/>
                <w:sz w:val="18"/>
                <w:szCs w:val="18"/>
                <w:color w:val="auto"/>
              </w:rPr>
              <w:t>Loss from equity method investment in Galectin Sciences LLC</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accrued expenses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(6,031)</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(4,355)</w:t>
            </w:r>
          </w:p>
        </w:tc>
        <w:tc>
          <w:tcPr>
            <w:tcW w:w="0" w:type="dxa"/>
            <w:vAlign w:val="bottom"/>
          </w:tcPr>
          <w:p>
            <w:pPr>
              <w:spacing w:after="0"/>
              <w:rPr>
                <w:sz w:val="1"/>
                <w:szCs w:val="1"/>
                <w:color w:val="auto"/>
              </w:rPr>
            </w:pPr>
          </w:p>
        </w:tc>
      </w:tr>
      <w:tr>
        <w:trPr>
          <w:trHeight w:val="223"/>
        </w:trPr>
        <w:tc>
          <w:tcPr>
            <w:tcW w:w="98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method investment in Galectin Sciences LLC</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ind w:left="160"/>
              <w:spacing w:after="0"/>
              <w:rPr>
                <w:sz w:val="20"/>
                <w:szCs w:val="20"/>
                <w:color w:val="auto"/>
              </w:rPr>
            </w:pPr>
            <w:r>
              <w:rPr>
                <w:rFonts w:ascii="Arial" w:cs="Arial" w:eastAsia="Arial" w:hAnsi="Arial"/>
                <w:sz w:val="18"/>
                <w:szCs w:val="18"/>
                <w:color w:val="auto"/>
              </w:rPr>
              <w:t>Net proceeds from issuance of common stock and warrants</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28,178</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common stock warrants and options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4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30,365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23,934</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10,489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34,423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60" w:type="dxa"/>
            <w:vAlign w:val="bottom"/>
            <w:gridSpan w:val="2"/>
            <w:vMerge w:val="restart"/>
          </w:tcPr>
          <w:p>
            <w:pPr>
              <w:spacing w:after="0"/>
              <w:rPr>
                <w:sz w:val="20"/>
                <w:szCs w:val="20"/>
                <w:color w:val="auto"/>
              </w:rPr>
            </w:pPr>
            <w:r>
              <w:rPr>
                <w:rFonts w:ascii="Arial" w:cs="Arial" w:eastAsia="Arial" w:hAnsi="Arial"/>
                <w:sz w:val="18"/>
                <w:szCs w:val="18"/>
                <w:color w:val="auto"/>
              </w:rPr>
              <w:t>NONCASH FINANCING ACTIVITIES: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6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preferred stock dividends in common stock</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3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Galectin Therapeutics Inc. (the “Company”) is a clinical stage biopharmaceutical company that is applying its leadership in galectin science and drug development to create new therapies for fibrotic disease and cancer. These drug candidates are based on the Company’s targeting of galectin proteins which are key mediators of biologic and pathologic function. These compounds also may have application for drugs to treat other diseases and chronic health conditions.</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June 30, 2014 and the results of its operations for the three and six months ended June 30, 2014 and 2013 and its cash flows for the six months ended June 30, 2014 and 2013. All adjustments made to the interim financial statements are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2013.</w:t>
      </w:r>
    </w:p>
    <w:p>
      <w:pPr>
        <w:spacing w:after="0" w:line="166"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Company has operated at a loss since its inception and has had no significant revenues. The Company anticipates that losses will continue for the foreseeable future. At June 30, 2014, the Company had $34.4 million of unrestricted cash and cash equivalents available to fund future operations. The Company believes that with the cash on hand at June 30, 2014, there is sufficient cash to fund currently planned operations through mid-2016. The Company’s ability to fund operations after its current cash resources are exhausted depends on its ability to obtain additional financing or achieve profitable operations, as to which no assurances can be given. Accordingly, based on the forecasts and estimates underlying the Company’s current operating plan, the financial statements do not currently include any adjustments that might be necessary if the Company is unable to continue as a going concern.</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Immediately prior to March 23, 2012, the Company was traded on the Over-the Counter Bulletin Board (“OTCBB”) under the symbol GALT.OB.</w:t>
      </w:r>
    </w:p>
    <w:p>
      <w:pPr>
        <w:spacing w:after="0" w:line="18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Company is subject to a number of risks similar to those of other development-stage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risks associated with litigation,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7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adopted Financial Accounting Standards Board, Accounting Standards Update No. 2014-10 “Development Stage Entities (Topic 915)” as of June 30, 2014. This new standard modifies financial statement presentation to eliminate the requirement to include inception-to-date information in the statements of operations and cash flows, among other provisions.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17"/>
              <w:spacing w:after="0"/>
              <w:rPr>
                <w:sz w:val="20"/>
                <w:szCs w:val="20"/>
                <w:color w:val="auto"/>
              </w:rPr>
            </w:pPr>
            <w:r>
              <w:rPr>
                <w:rFonts w:ascii="Arial" w:cs="Arial" w:eastAsia="Arial" w:hAnsi="Arial"/>
                <w:sz w:val="14"/>
                <w:szCs w:val="14"/>
                <w:color w:val="auto"/>
                <w:w w:val="93"/>
              </w:rPr>
              <w:t>June 30,</w:t>
            </w:r>
          </w:p>
        </w:tc>
        <w:tc>
          <w:tcPr>
            <w:tcW w:w="1560" w:type="dxa"/>
            <w:vAlign w:val="bottom"/>
            <w:gridSpan w:val="4"/>
          </w:tcPr>
          <w:p>
            <w:pPr>
              <w:ind w:left="640"/>
              <w:spacing w:after="0"/>
              <w:rPr>
                <w:sz w:val="20"/>
                <w:szCs w:val="20"/>
                <w:color w:val="auto"/>
              </w:rPr>
            </w:pPr>
            <w:r>
              <w:rPr>
                <w:rFonts w:ascii="Arial" w:cs="Arial" w:eastAsia="Arial" w:hAnsi="Arial"/>
                <w:sz w:val="14"/>
                <w:szCs w:val="14"/>
                <w:color w:val="auto"/>
              </w:rPr>
              <w:t>December 31,</w:t>
            </w: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color w:val="auto"/>
              </w:rPr>
              <w:t>2014</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3"/>
          </w:tcPr>
          <w:p>
            <w:pPr>
              <w:ind w:left="600"/>
              <w:spacing w:after="0" w:line="142" w:lineRule="exact"/>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Accrued compensation</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Severance agreement (Note 8)</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Arial" w:cs="Arial" w:eastAsia="Arial" w:hAnsi="Arial"/>
                <w:sz w:val="14"/>
                <w:szCs w:val="14"/>
                <w:color w:val="auto"/>
                <w:w w:val="93"/>
              </w:rPr>
              <w:t>Three Months Ended</w:t>
            </w:r>
          </w:p>
        </w:tc>
        <w:tc>
          <w:tcPr>
            <w:tcW w:w="80" w:type="dxa"/>
            <w:vAlign w:val="bottom"/>
          </w:tcPr>
          <w:p>
            <w:pPr>
              <w:spacing w:after="0"/>
              <w:rPr>
                <w:sz w:val="14"/>
                <w:szCs w:val="14"/>
                <w:color w:val="auto"/>
              </w:rPr>
            </w:pPr>
          </w:p>
        </w:tc>
        <w:tc>
          <w:tcPr>
            <w:tcW w:w="1440" w:type="dxa"/>
            <w:vAlign w:val="bottom"/>
            <w:gridSpan w:val="5"/>
          </w:tcPr>
          <w:p>
            <w:pPr>
              <w:jc w:val="right"/>
              <w:ind w:right="280"/>
              <w:spacing w:after="0"/>
              <w:rPr>
                <w:sz w:val="20"/>
                <w:szCs w:val="20"/>
                <w:color w:val="auto"/>
              </w:rPr>
            </w:pPr>
            <w:r>
              <w:rPr>
                <w:rFonts w:ascii="Arial" w:cs="Arial" w:eastAsia="Arial" w:hAnsi="Arial"/>
                <w:sz w:val="14"/>
                <w:szCs w:val="14"/>
                <w:color w:val="auto"/>
              </w:rPr>
              <w:t>Six Months Ended</w:t>
            </w:r>
          </w:p>
        </w:tc>
      </w:tr>
      <w:tr>
        <w:trPr>
          <w:trHeight w:val="167"/>
        </w:trPr>
        <w:tc>
          <w:tcPr>
            <w:tcW w:w="6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5"/>
              </w:rPr>
              <w:t>June 30,</w:t>
            </w:r>
          </w:p>
        </w:tc>
        <w:tc>
          <w:tcPr>
            <w:tcW w:w="4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2014</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color w:val="auto"/>
                <w:w w:val="89"/>
              </w:rPr>
              <w:t>2013</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w w:val="89"/>
              </w:rPr>
              <w:t>2014</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r>
      <w:tr>
        <w:trPr>
          <w:trHeight w:val="27"/>
        </w:trPr>
        <w:tc>
          <w:tcPr>
            <w:tcW w:w="6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2,394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1,467</w:t>
            </w:r>
          </w:p>
        </w:tc>
      </w:tr>
      <w:tr>
        <w:trPr>
          <w:trHeight w:val="20"/>
        </w:trPr>
        <w:tc>
          <w:tcPr>
            <w:tcW w:w="6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summarizes the stock option activity in the Company’s equity incentive plans, including non-plan grants to Company executives, from December 31, 2013 through June 30, 2014:</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4"/>
          </w:tcPr>
          <w:p>
            <w:pPr>
              <w:ind w:left="300"/>
              <w:spacing w:after="0"/>
              <w:rPr>
                <w:sz w:val="20"/>
                <w:szCs w:val="20"/>
                <w:color w:val="auto"/>
              </w:rPr>
            </w:pPr>
            <w:r>
              <w:rPr>
                <w:rFonts w:ascii="Arial" w:cs="Arial" w:eastAsia="Arial" w:hAnsi="Arial"/>
                <w:sz w:val="14"/>
                <w:szCs w:val="14"/>
                <w:color w:val="auto"/>
                <w:w w:val="98"/>
              </w:rPr>
              <w:t>Weighted Average</w:t>
            </w: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3,348,705</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326,500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(342,085)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Options forfeited/cancelled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(22,091)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3,311,029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June 30, 2014, there was $5,753,000 of unrecognized compensation related to 1,229,141 unvested options, which is expected to be recognized over a weighted–average period of approximately 1.95 years. The weighted-average grant date fair value for options granted during the six months ended June 30, 2014 and 2013 was $11.38 and $3.64, respectively. The Company granted 326,500 stock options in January 2014, of which 81,625 options vested upon grant with the remaining 244,875 options vesting over 3 years. Approximately $921,000 of non-cash, stock-based compensation expense was recorded during the six months ended June 30, 2014 related to the options granted during the first quarter that were vested upon the grant date.</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fair value of all other options granted is determined using the Black-Scholes option-pricing model. The following weighted average assumptions were used:</w:t>
      </w:r>
    </w:p>
    <w:p>
      <w:pPr>
        <w:spacing w:after="0" w:line="193" w:lineRule="exact"/>
        <w:rPr>
          <w:sz w:val="20"/>
          <w:szCs w:val="20"/>
          <w:color w:val="auto"/>
        </w:rPr>
      </w:pPr>
    </w:p>
    <w:p>
      <w:pPr>
        <w:jc w:val="center"/>
        <w:ind w:left="7020"/>
        <w:spacing w:after="0"/>
        <w:rPr>
          <w:sz w:val="20"/>
          <w:szCs w:val="20"/>
          <w:color w:val="auto"/>
        </w:rPr>
      </w:pPr>
      <w:r>
        <w:rPr>
          <w:rFonts w:ascii="Arial" w:cs="Arial" w:eastAsia="Arial" w:hAnsi="Arial"/>
          <w:sz w:val="14"/>
          <w:szCs w:val="14"/>
          <w:color w:val="auto"/>
        </w:rPr>
        <w:t>Six Months Ended</w:t>
      </w:r>
    </w:p>
    <w:p>
      <w:pPr>
        <w:jc w:val="center"/>
        <w:ind w:left="7020"/>
        <w:spacing w:after="0" w:line="231" w:lineRule="auto"/>
        <w:rPr>
          <w:sz w:val="20"/>
          <w:szCs w:val="20"/>
          <w:color w:val="auto"/>
        </w:rPr>
      </w:pPr>
      <w:r>
        <w:rPr>
          <w:rFonts w:ascii="Arial" w:cs="Arial" w:eastAsia="Arial" w:hAnsi="Arial"/>
          <w:sz w:val="14"/>
          <w:szCs w:val="14"/>
          <w:color w:val="auto"/>
        </w:rPr>
        <w:t>June 30,</w:t>
      </w:r>
    </w:p>
    <w:tbl>
      <w:tblPr>
        <w:tblLayout w:type="fixed"/>
        <w:tblInd w:w="1380" w:type="dxa"/>
        <w:tblCellMar>
          <w:top w:w="0" w:type="dxa"/>
          <w:left w:w="0" w:type="dxa"/>
          <w:bottom w:w="0" w:type="dxa"/>
          <w:right w:w="0" w:type="dxa"/>
        </w:tblCellMar>
      </w:tblPr>
      <w:tr>
        <w:trPr>
          <w:trHeight w:val="142"/>
        </w:trPr>
        <w:tc>
          <w:tcPr>
            <w:tcW w:w="36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2014</w:t>
            </w:r>
          </w:p>
        </w:tc>
        <w:tc>
          <w:tcPr>
            <w:tcW w:w="1000" w:type="dxa"/>
            <w:vAlign w:val="bottom"/>
            <w:tcBorders>
              <w:top w:val="single" w:sz="8" w:color="auto"/>
            </w:tcBorders>
            <w:gridSpan w:val="2"/>
          </w:tcPr>
          <w:p>
            <w:pPr>
              <w:jc w:val="center"/>
              <w:ind w:left="234"/>
              <w:spacing w:after="0" w:line="142" w:lineRule="exact"/>
              <w:rPr>
                <w:sz w:val="20"/>
                <w:szCs w:val="20"/>
                <w:color w:val="auto"/>
              </w:rPr>
            </w:pPr>
            <w:r>
              <w:rPr>
                <w:rFonts w:ascii="Arial" w:cs="Arial" w:eastAsia="Arial" w:hAnsi="Arial"/>
                <w:sz w:val="14"/>
                <w:szCs w:val="14"/>
                <w:color w:val="auto"/>
                <w:w w:val="89"/>
              </w:rPr>
              <w:t>2013</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1.58%</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0.97%</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4000" w:type="dxa"/>
            <w:vAlign w:val="bottom"/>
            <w:gridSpan w:val="2"/>
          </w:tcPr>
          <w:p>
            <w:pPr>
              <w:ind w:left="3340"/>
              <w:spacing w:after="0"/>
              <w:rPr>
                <w:sz w:val="20"/>
                <w:szCs w:val="20"/>
                <w:color w:val="auto"/>
              </w:rPr>
            </w:pPr>
            <w:r>
              <w:rPr>
                <w:rFonts w:ascii="Arial" w:cs="Arial" w:eastAsia="Arial" w:hAnsi="Arial"/>
                <w:sz w:val="18"/>
                <w:szCs w:val="18"/>
                <w:color w:val="auto"/>
                <w:w w:val="86"/>
              </w:rPr>
              <w:t>6.0 years</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w w:val="86"/>
              </w:rPr>
              <w:t>5.5 years</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4000" w:type="dxa"/>
            <w:vAlign w:val="bottom"/>
            <w:gridSpan w:val="2"/>
            <w:shd w:val="clear" w:color="auto" w:fill="CCEEFF"/>
          </w:tcPr>
          <w:p>
            <w:pPr>
              <w:jc w:val="center"/>
              <w:ind w:left="3230"/>
              <w:spacing w:after="0"/>
              <w:rPr>
                <w:sz w:val="20"/>
                <w:szCs w:val="20"/>
                <w:color w:val="auto"/>
              </w:rPr>
            </w:pPr>
            <w:r>
              <w:rPr>
                <w:rFonts w:ascii="Arial" w:cs="Arial" w:eastAsia="Arial" w:hAnsi="Arial"/>
                <w:sz w:val="18"/>
                <w:szCs w:val="18"/>
                <w:color w:val="auto"/>
                <w:w w:val="86"/>
              </w:rPr>
              <w:t>114%</w:t>
            </w:r>
          </w:p>
        </w:tc>
        <w:tc>
          <w:tcPr>
            <w:tcW w:w="1000" w:type="dxa"/>
            <w:vAlign w:val="bottom"/>
            <w:gridSpan w:val="2"/>
            <w:shd w:val="clear" w:color="auto" w:fill="CCEEFF"/>
          </w:tcPr>
          <w:p>
            <w:pPr>
              <w:jc w:val="center"/>
              <w:ind w:left="234"/>
              <w:spacing w:after="0"/>
              <w:rPr>
                <w:sz w:val="20"/>
                <w:szCs w:val="20"/>
                <w:color w:val="auto"/>
              </w:rPr>
            </w:pPr>
            <w:r>
              <w:rPr>
                <w:rFonts w:ascii="Arial" w:cs="Arial" w:eastAsia="Arial" w:hAnsi="Arial"/>
                <w:sz w:val="18"/>
                <w:szCs w:val="18"/>
                <w:color w:val="auto"/>
                <w:w w:val="86"/>
              </w:rPr>
              <w:t>116%</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Expected dividend rate</w:t>
            </w:r>
          </w:p>
        </w:tc>
        <w:tc>
          <w:tcPr>
            <w:tcW w:w="4000" w:type="dxa"/>
            <w:vAlign w:val="bottom"/>
            <w:gridSpan w:val="2"/>
          </w:tcPr>
          <w:p>
            <w:pPr>
              <w:jc w:val="center"/>
              <w:ind w:left="3230"/>
              <w:spacing w:after="0"/>
              <w:rPr>
                <w:sz w:val="20"/>
                <w:szCs w:val="20"/>
                <w:color w:val="auto"/>
              </w:rPr>
            </w:pPr>
            <w:r>
              <w:rPr>
                <w:rFonts w:ascii="Arial" w:cs="Arial" w:eastAsia="Arial" w:hAnsi="Arial"/>
                <w:sz w:val="18"/>
                <w:szCs w:val="18"/>
                <w:color w:val="auto"/>
                <w:w w:val="92"/>
              </w:rPr>
              <w:t>0%</w:t>
            </w:r>
          </w:p>
        </w:tc>
        <w:tc>
          <w:tcPr>
            <w:tcW w:w="1000" w:type="dxa"/>
            <w:vAlign w:val="bottom"/>
            <w:gridSpan w:val="2"/>
          </w:tcPr>
          <w:p>
            <w:pPr>
              <w:jc w:val="center"/>
              <w:ind w:left="234"/>
              <w:spacing w:after="0"/>
              <w:rPr>
                <w:sz w:val="20"/>
                <w:szCs w:val="20"/>
                <w:color w:val="auto"/>
              </w:rPr>
            </w:pPr>
            <w:r>
              <w:rPr>
                <w:rFonts w:ascii="Arial" w:cs="Arial" w:eastAsia="Arial" w:hAnsi="Arial"/>
                <w:sz w:val="18"/>
                <w:szCs w:val="18"/>
                <w:color w:val="auto"/>
                <w:w w:val="92"/>
              </w:rPr>
              <w:t>0%</w:t>
            </w:r>
          </w:p>
        </w:tc>
      </w:tr>
      <w:tr>
        <w:trPr>
          <w:trHeight w:val="350"/>
        </w:trPr>
        <w:tc>
          <w:tcPr>
            <w:tcW w:w="3680" w:type="dxa"/>
            <w:vAlign w:val="bottom"/>
          </w:tcPr>
          <w:p>
            <w:pPr>
              <w:spacing w:after="0"/>
              <w:rPr>
                <w:sz w:val="24"/>
                <w:szCs w:val="24"/>
                <w:color w:val="auto"/>
              </w:rPr>
            </w:pPr>
          </w:p>
        </w:tc>
        <w:tc>
          <w:tcPr>
            <w:tcW w:w="3340" w:type="dxa"/>
            <w:vAlign w:val="bottom"/>
          </w:tcPr>
          <w:p>
            <w:pPr>
              <w:jc w:val="right"/>
              <w:ind w:right="2550"/>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January 2014, the Company entered into an agreement with a consultant that provided for the grant of 3,000 shares of common stock. The Company recognized an expense of $25,000, representing the market value of the common stock, during the three months ended March 31, 2014. Pursuant to this same consulting agreement, the Company recognized an expense of $25,000 representing the grant of an additional 2,093 shares to the consultant during the three months ended June 30, 2014.</w:t>
      </w:r>
    </w:p>
    <w:p>
      <w:pPr>
        <w:spacing w:after="0" w:line="3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common stock warrant activity from December 31, 2013 through June 30, 2014:</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4"/>
          </w:tcPr>
          <w:p>
            <w:pPr>
              <w:ind w:left="300"/>
              <w:spacing w:after="0"/>
              <w:rPr>
                <w:sz w:val="20"/>
                <w:szCs w:val="20"/>
                <w:color w:val="auto"/>
              </w:rPr>
            </w:pPr>
            <w:r>
              <w:rPr>
                <w:rFonts w:ascii="Arial" w:cs="Arial" w:eastAsia="Arial" w:hAnsi="Arial"/>
                <w:sz w:val="14"/>
                <w:szCs w:val="14"/>
                <w:color w:val="auto"/>
                <w:w w:val="98"/>
              </w:rPr>
              <w:t>Weighted Average</w:t>
            </w:r>
          </w:p>
        </w:tc>
      </w:tr>
      <w:tr>
        <w:trPr>
          <w:trHeight w:val="167"/>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Exercise Price</w:t>
            </w: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2013</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6,035,229</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576,734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Forfeited/cancelled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(7,500)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5,450,995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Consultant Warrants</w:t>
      </w:r>
    </w:p>
    <w:p>
      <w:pPr>
        <w:spacing w:after="0" w:line="11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January 2013, the Company entered into an agreement with a consultant that provided for the grant of warrants for the purchase of 5,000 shares of common stock at an exercise price of $2.65 per share. The following assumptions were used to value the warrants: an expected life of 3 years, volatility of 87%, risk free interest rate of 0.42% and zero dividends. The Company recognized an expense of $7,000 related to these warrants during the three months ended June 30,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Modification</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May 6, 2013, the Company modified the terms of the Class A-2 and Class B warrants that were originally issued to the 10X Fund with the Series B Preferred Stock offering. The Class B warrants were modified to allow for the cashless exercise of all 4,000,000 outstanding Class B warrants. Previously, only half of the Class B warrants allowed for cashless exercise. The Class A-2 warrants for the purchase of 1,000,000 shares of common and all of the Class B warrants had their exercisable life extended by an additional five years. In exchange for these modifications, the 10X Fund agreed to a future amendment of the Company’s Series B certificate of designation to remove the redemption provision such that the Series B Preferred Stock will no longer be redeemable, if and when the Company will no longer be required to issue Dr. Platt a promissory note as may currently be required under the separation agreement (see Note 8). Should the Company amend their Series B certificate of designation in the future as described above, the Company will be required at that time to evaluate whether such amendment is to be accounted for as a modification or an extinguishment of the Company’s Series B Preferred Stock. The Company has accounted for the modified terms of the Class A-2 and Class B warrants pursuant to ASC 718, Stock Compensation, whereby the Company has recognized a charge for the change in fair value of the warrants immediately before and immediately after the modification. For the three and six month period ended June 30, 2013, the Company recognized a charge of $8,763,000 related to the extension of the 5,000,000 warrants. The following assumptions were used to value the extension of the warrants immediately before and immediately after the modification: a) immediately before the modification—an expected life range of 0.77 to 2.01 years, volatility range of 77% to 96%, risk free interest rate range of 0.11% to 0.22% and zero dividends and; b) immediately following the modification—an expected life range of 5.78 to 7.02 years, volatility range of 113% to 122%, risk free interest rate range of 0.74% to 1.19% and zero dividends.</w:t>
      </w:r>
    </w:p>
    <w:p>
      <w:pPr>
        <w:spacing w:after="0" w:line="32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 has certain financial assets and liabilities recorded at fair value. Fair values determined by Level 1 inputs 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carrying amounts reflected in the consolidated balance sheets for cash equivalents, accounts payable and accrued expenses approximates their carrying value due to their short-term nature. There were no level 2 or level 3 assets held at fair value at June 30, 2014 or December 31, 2013.</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in-the-money stock options and warrants and potential common shares related to the conversion of the preferred stock. The computation of diluted net loss per share does not assume the issuance of common shares that have an anti-dilutive effect on net loss per share.</w:t>
      </w:r>
    </w:p>
    <w:p>
      <w:pPr>
        <w:spacing w:after="0" w:line="15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0"/>
              </w:rPr>
              <w:t>June 30, 2014</w:t>
            </w:r>
          </w:p>
        </w:tc>
        <w:tc>
          <w:tcPr>
            <w:tcW w:w="3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June 30, 2013</w:t>
            </w:r>
          </w:p>
        </w:tc>
      </w:tr>
      <w:tr>
        <w:trPr>
          <w:trHeight w:val="167"/>
        </w:trPr>
        <w:tc>
          <w:tcPr>
            <w:tcW w:w="650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(shares)</w:t>
            </w: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5,450,995</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7,395,908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3,311,029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3,552,840</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2,537,103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2,618,772</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11,299,127</w:t>
            </w:r>
          </w:p>
        </w:tc>
        <w:tc>
          <w:tcPr>
            <w:tcW w:w="3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13,567,520</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 Market Issuance of Common Stock</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October 25, 2013, the Company entered into an At Market Issuance Sales Agreement (the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At Market Agreement. As of December 31, 2013, the Company had issued 99,942 shares of its common stock through its At Market issuance program at an average price of $9.02 per share resulting in gross proceeds of approximately $944,000. The Company incurred one time, initial legal and accounting costs of approximately $82,000 and commissions of $29,000 resulting in net proceeds of $833,000 as of December 31, 2013. In January and February 2014, the Company issued 2,663,647 shares of common stock for net proceeds of approximately $28,178,000.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June 30, 2014 and December 31, 2013.</w:t>
      </w:r>
    </w:p>
    <w:p>
      <w:pPr>
        <w:spacing w:after="0" w:line="17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18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October 12, 2012, Dr. Platt commenced a lawsuit under the Massachusetts Wage Act against Dr. Traber and Mr. McGauley who in their capacities as the Company’s Chief Executive Officer and the Company’s former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On April 29, 2013, the Superior Court allowed Dr. Traber’s and Mr. McGauley’s motion to dismiss. On May 28, 2013, Dr. Platt filed a Notice of Appeal to appeal the Superior Court’s order allowing the defendants’ motion to dismiss. On April 14, 2014, the Appeals Court denied Dr. Platt’s appeal of the dismissal in full.</w:t>
      </w:r>
    </w:p>
    <w:p>
      <w:pPr>
        <w:spacing w:after="0" w:line="18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claimed that Dr. Platt fraudulently induced the Company to enter into the Separation Agreement, breached his fiduciary duty to the Company, and was unduly enriched from his conduct. Along with removal of the $1.0 million milestone payment under the Separation Agreement, the Company sought repayment of all separation benefits paid to Dr. Platt to date.</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On August 1, 2013, the market capitalization of the Company’s common stock exceeded $100 million and the Company received a letter dated October 1, 2013, demanding payment of the $1 million. As described in the preceding paragraph, the Company had previously instituted an arbitration proceeding against Dr. Platt seeking to rescind the Separation Agreement, including the milestone payment provision, and the Company delayed payment pending the outcome of this arbitration. In June 2014, the arbitrator issued a judgment in favor of Dr. Platt. In July 2014, the Company paid the $1 million severance obligation.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lawsuit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30, 2014, the Company became aware that a class action lawsuit has been filed against Galectin Therapeutics and certain officers of the Company alleging violations of United States federal securities laws. The Company disputes the allegations in the complaint and intends to vigorously defend this lawsuit.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except as noted above. There are no other pending legal proceedings except as noted above.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Both the Company and SBH have a 50% equity ownership interest in the LLC, with neither party having control over the LLC. Accordingly, the Company has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wells the Company’s share of the Investee’s earnings, losses and/or changes in capital. The estimated fair value of the IPR&amp;D contributed to the LLC was immediately expensed upon contribution as there was no alternative future use available at the point of contribution. The Company’s portion of the LLC’s net loss for the six month period ending June 30, 2014 was $337,000, which includes the Company’s proportionate share of the non-cash charge associated with the contributed IPR&amp;D of $200,000.</w:t>
      </w:r>
    </w:p>
    <w:p>
      <w:pPr>
        <w:spacing w:after="0" w:line="337"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has evaluated all events or transactions that occurred through the date on which the financial statements were issued, with no items noted for disclosure or recording in the consolidated financial statements as of June 30, 2014 other than as described in Note 8.</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expectations regarding any litigation;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mid-2016;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7"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cannot assure you that we will generate revenue or profit,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dependence on outside capital,</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a class action lawsuit filed against us,</w:t>
      </w:r>
    </w:p>
    <w:p>
      <w:pPr>
        <w:spacing w:after="0" w:line="130"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 intellectual property protection, and we may be unable to improve upon, protect and/or enforce our intellectual property,</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other risks detailed herein and from time to time in our SEC reports, including our Annual Report on Form 10-K filed with the SEC for the fiscal year ended December 31, 2013, and our subsequent SEC filings.</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following discussion should be read in conjunction with the accompanying consolidated financial statements and notes thereto of Galectin Therapeutics appearing elsewhere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and cancer. Our drug candidates are based on our method of targeting galectin proteins, which are key mediators of biologic and pathologic functions. We use naturally occurring, readily-available plant materials as starting material in manufacturing processes to create proprietary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and to seek strategic partners when a program becomes advanced and requires additional resources.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endeavor to leverage our scientific and product development expertise as well as established relationships with outside sources to achieve cost-effective and efficient development. These outside sources, amongst others, provide us with expertise in preclinical models, pharmaceutical development, toxicology, clinical development, pharmaceutical manufacturing, sophisticated physical and chemical characterization, and commercial development. We also have established a collaborative scientific discovery program with leading experts in carbohydrate chemistry and characterization. This discovery program is aimed at the targeted development of new synthetic carbohydrate molecules which bind galectin proteins and offer alternative options to larger market segments in our primary disease targets. This effort is conducted with the Center for Complex Carbohydrate Research at the University of Georgia. Several synthetic compounds have been made and attached to various scaffolds and tested for galectin binding activity. We also have established through Galectin Sciences, LLC, a joint venture created in January 2014, a discovery program aimed at the targeted development of small molecules (non-carbohydrate) which bind galectin proteins and may afford options for alternative means of drug delivery including oral and as a result expand the potential uses of our compounds. This effort involves in silico modeling using a proprietary molecular model built based on existing crystal structures of galectin, especially galectin-3. Chemical libraries have been screened for compounds with oral ‘drugability’ and hits evaluated for galectin-3 binding. Pharmacophores for hit compounds are then synthesized and optimized via medicinal chemistry approaches. In addition to these efforts we are also pursuing derivatives of GR-MD-02, our lead compound, for subcutaneous administration which is focused on reductions in molecular weight and other potential modifications.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Galectins are a class of proteins that are made by many cells in the body. As a group, these proteins are able to bind to sugar molecules that are part of other proteins in and on the cells of our body. Galectin proteins act as a kind of molecular glue, bringing together molecules that have sugars on them. Galectin proteins, in particular galectin-3, are known to be markedly increased in a number of important diseases including scarring of organs (e.g. liver, lung, kidney, and heart) and cancers of many kinds. The increase in galectin protein promotes the disease and is detrimental to the patient.</w:t>
      </w:r>
    </w:p>
    <w:p>
      <w:pPr>
        <w:spacing w:after="0" w:line="17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two compounds in development, GR-MD-02 and GM-CT-01, both of which have shown promise in preclinical studies in treatment of fibrosis and in cancer therapy. However, we are currently focusing on development of GR-MD-02 intended to be used in the treatment of liver fibrosis and fatty liver disease and in cancer therapy in combination with immune-system modifying agent(s). Both of our proprietary compounds are produced from completely different, natural, readily available, starting materials, which, following chemical processing, both exhibit the property of binding to and inhibiting galectin proteins.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pipeline is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Indication</w:t>
            </w: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Drug</w:t>
            </w:r>
          </w:p>
        </w:tc>
        <w:tc>
          <w:tcPr>
            <w:tcW w:w="6620" w:type="dxa"/>
            <w:vAlign w:val="bottom"/>
          </w:tcPr>
          <w:p>
            <w:pPr>
              <w:ind w:left="3120"/>
              <w:spacing w:after="0"/>
              <w:rPr>
                <w:sz w:val="20"/>
                <w:szCs w:val="20"/>
                <w:color w:val="auto"/>
              </w:rPr>
            </w:pPr>
            <w:r>
              <w:rPr>
                <w:rFonts w:ascii="Arial" w:cs="Arial" w:eastAsia="Arial" w:hAnsi="Arial"/>
                <w:sz w:val="14"/>
                <w:szCs w:val="14"/>
                <w:b w:val="1"/>
                <w:bCs w:val="1"/>
                <w:color w:val="auto"/>
              </w:rPr>
              <w:t>Status</w:t>
            </w:r>
          </w:p>
        </w:tc>
      </w:tr>
      <w:tr>
        <w:trPr>
          <w:trHeight w:val="182"/>
        </w:trPr>
        <w:tc>
          <w:tcPr>
            <w:tcW w:w="6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w w:val="88"/>
              </w:rPr>
              <w:t>Fibrosis</w:t>
            </w:r>
          </w:p>
        </w:tc>
        <w:tc>
          <w:tcPr>
            <w:tcW w:w="290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20" w:type="dxa"/>
            <w:vAlign w:val="bottom"/>
            <w:tcBorders>
              <w:top w:val="single" w:sz="8" w:color="auto"/>
            </w:tcBorders>
          </w:tcPr>
          <w:p>
            <w:pPr>
              <w:spacing w:after="0"/>
              <w:rPr>
                <w:sz w:val="15"/>
                <w:szCs w:val="15"/>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NASH with Advanced Fibrosis</w:t>
            </w:r>
          </w:p>
        </w:tc>
        <w:tc>
          <w:tcPr>
            <w:tcW w:w="1260" w:type="dxa"/>
            <w:vAlign w:val="bottom"/>
            <w:gridSpan w:val="2"/>
          </w:tcPr>
          <w:p>
            <w:pPr>
              <w:spacing w:after="0"/>
              <w:rPr>
                <w:sz w:val="20"/>
                <w:szCs w:val="20"/>
                <w:color w:val="auto"/>
              </w:rPr>
            </w:pPr>
            <w:r>
              <w:rPr>
                <w:rFonts w:ascii="Arial" w:cs="Arial" w:eastAsia="Arial" w:hAnsi="Arial"/>
                <w:sz w:val="18"/>
                <w:szCs w:val="18"/>
                <w:color w:val="auto"/>
              </w:rPr>
              <w:t>GR-MD-02</w:t>
            </w:r>
          </w:p>
        </w:tc>
        <w:tc>
          <w:tcPr>
            <w:tcW w:w="6620" w:type="dxa"/>
            <w:vAlign w:val="bottom"/>
          </w:tcPr>
          <w:p>
            <w:pPr>
              <w:spacing w:after="0"/>
              <w:rPr>
                <w:sz w:val="20"/>
                <w:szCs w:val="20"/>
                <w:color w:val="auto"/>
              </w:rPr>
            </w:pPr>
            <w:r>
              <w:rPr>
                <w:rFonts w:ascii="Arial" w:cs="Arial" w:eastAsia="Arial" w:hAnsi="Arial"/>
                <w:sz w:val="18"/>
                <w:szCs w:val="18"/>
                <w:color w:val="auto"/>
                <w:w w:val="92"/>
              </w:rPr>
              <w:t>IND submitted January 2013, FDA indicated on March 1, 2013 that we could proceed with</w:t>
            </w: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1"/>
              </w:rPr>
              <w:t>a Phase 1 US clinical trial. Phase 1 clinical trial started Q2-2013. Results from the first and</w:t>
            </w: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1"/>
              </w:rPr>
              <w:t>second cohorts of the Phase 1 clinical trial were presented on March 31, 2014 and July 28,</w:t>
            </w: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2"/>
              </w:rPr>
              <w:t>2014, respectively. Enrollment of the third cohort of the Phase 1 clinical trial began in July</w:t>
            </w: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3"/>
              </w:rPr>
              <w:t>2014. Results from the third cohort of the Phase 1 clinical trial are expected in November</w:t>
            </w:r>
          </w:p>
        </w:tc>
      </w:tr>
      <w:tr>
        <w:trPr>
          <w:trHeight w:val="216"/>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2014.</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Lung Fibrosis</w:t>
            </w:r>
          </w:p>
        </w:tc>
        <w:tc>
          <w:tcPr>
            <w:tcW w:w="1260" w:type="dxa"/>
            <w:vAlign w:val="bottom"/>
            <w:gridSpan w:val="2"/>
          </w:tcPr>
          <w:p>
            <w:pPr>
              <w:spacing w:after="0"/>
              <w:rPr>
                <w:sz w:val="20"/>
                <w:szCs w:val="20"/>
                <w:color w:val="auto"/>
              </w:rPr>
            </w:pPr>
            <w:r>
              <w:rPr>
                <w:rFonts w:ascii="Arial" w:cs="Arial" w:eastAsia="Arial" w:hAnsi="Arial"/>
                <w:sz w:val="18"/>
                <w:szCs w:val="18"/>
                <w:color w:val="auto"/>
              </w:rPr>
              <w:t>GR-MD-02</w:t>
            </w:r>
          </w:p>
        </w:tc>
        <w:tc>
          <w:tcPr>
            <w:tcW w:w="6620" w:type="dxa"/>
            <w:vAlign w:val="bottom"/>
          </w:tcPr>
          <w:p>
            <w:pPr>
              <w:spacing w:after="0"/>
              <w:rPr>
                <w:sz w:val="20"/>
                <w:szCs w:val="20"/>
                <w:color w:val="auto"/>
              </w:rPr>
            </w:pPr>
            <w:r>
              <w:rPr>
                <w:rFonts w:ascii="Arial" w:cs="Arial" w:eastAsia="Arial" w:hAnsi="Arial"/>
                <w:sz w:val="18"/>
                <w:szCs w:val="18"/>
                <w:color w:val="auto"/>
              </w:rPr>
              <w:t>In pre-clinical development</w:t>
            </w: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Kidney Fibrosis</w:t>
            </w:r>
          </w:p>
        </w:tc>
        <w:tc>
          <w:tcPr>
            <w:tcW w:w="1260" w:type="dxa"/>
            <w:vAlign w:val="bottom"/>
            <w:gridSpan w:val="2"/>
          </w:tcPr>
          <w:p>
            <w:pPr>
              <w:spacing w:after="0"/>
              <w:rPr>
                <w:sz w:val="20"/>
                <w:szCs w:val="20"/>
                <w:color w:val="auto"/>
              </w:rPr>
            </w:pPr>
            <w:r>
              <w:rPr>
                <w:rFonts w:ascii="Arial" w:cs="Arial" w:eastAsia="Arial" w:hAnsi="Arial"/>
                <w:sz w:val="18"/>
                <w:szCs w:val="18"/>
                <w:color w:val="auto"/>
              </w:rPr>
              <w:t>GR-MD-02</w:t>
            </w:r>
          </w:p>
        </w:tc>
        <w:tc>
          <w:tcPr>
            <w:tcW w:w="6620" w:type="dxa"/>
            <w:vAlign w:val="bottom"/>
          </w:tcPr>
          <w:p>
            <w:pPr>
              <w:spacing w:after="0"/>
              <w:rPr>
                <w:sz w:val="20"/>
                <w:szCs w:val="20"/>
                <w:color w:val="auto"/>
              </w:rPr>
            </w:pPr>
            <w:r>
              <w:rPr>
                <w:rFonts w:ascii="Arial" w:cs="Arial" w:eastAsia="Arial" w:hAnsi="Arial"/>
                <w:sz w:val="18"/>
                <w:szCs w:val="18"/>
                <w:color w:val="auto"/>
              </w:rPr>
              <w:t>In pre-clinical development</w:t>
            </w: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color w:val="auto"/>
              </w:rPr>
              <w:t>Cardiac Fibrosis</w:t>
            </w:r>
          </w:p>
        </w:tc>
        <w:tc>
          <w:tcPr>
            <w:tcW w:w="1260" w:type="dxa"/>
            <w:vAlign w:val="bottom"/>
            <w:gridSpan w:val="2"/>
          </w:tcPr>
          <w:p>
            <w:pPr>
              <w:spacing w:after="0"/>
              <w:rPr>
                <w:sz w:val="20"/>
                <w:szCs w:val="20"/>
                <w:color w:val="auto"/>
              </w:rPr>
            </w:pPr>
            <w:r>
              <w:rPr>
                <w:rFonts w:ascii="Arial" w:cs="Arial" w:eastAsia="Arial" w:hAnsi="Arial"/>
                <w:sz w:val="18"/>
                <w:szCs w:val="18"/>
                <w:color w:val="auto"/>
              </w:rPr>
              <w:t>GM-CT-01 &amp;</w:t>
            </w:r>
          </w:p>
        </w:tc>
        <w:tc>
          <w:tcPr>
            <w:tcW w:w="6620" w:type="dxa"/>
            <w:vAlign w:val="bottom"/>
          </w:tcPr>
          <w:p>
            <w:pPr>
              <w:spacing w:after="0"/>
              <w:rPr>
                <w:sz w:val="24"/>
                <w:szCs w:val="24"/>
                <w:color w:val="auto"/>
              </w:rPr>
            </w:pPr>
          </w:p>
        </w:tc>
      </w:tr>
      <w:tr>
        <w:trPr>
          <w:trHeight w:val="244"/>
        </w:trPr>
        <w:tc>
          <w:tcPr>
            <w:tcW w:w="6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GR-MD-02</w:t>
            </w:r>
          </w:p>
        </w:tc>
        <w:tc>
          <w:tcPr>
            <w:tcW w:w="6620" w:type="dxa"/>
            <w:vAlign w:val="bottom"/>
          </w:tcPr>
          <w:p>
            <w:pPr>
              <w:spacing w:after="0"/>
              <w:rPr>
                <w:sz w:val="20"/>
                <w:szCs w:val="20"/>
                <w:color w:val="auto"/>
              </w:rPr>
            </w:pPr>
            <w:r>
              <w:rPr>
                <w:rFonts w:ascii="Arial" w:cs="Arial" w:eastAsia="Arial" w:hAnsi="Arial"/>
                <w:sz w:val="18"/>
                <w:szCs w:val="18"/>
                <w:color w:val="auto"/>
              </w:rPr>
              <w:t>In pre-clinical development</w:t>
            </w:r>
          </w:p>
        </w:tc>
      </w:tr>
      <w:tr>
        <w:trPr>
          <w:trHeight w:val="310"/>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Cancer Immunotherapy</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Melanoma</w:t>
            </w:r>
          </w:p>
        </w:tc>
        <w:tc>
          <w:tcPr>
            <w:tcW w:w="1260" w:type="dxa"/>
            <w:vAlign w:val="bottom"/>
            <w:gridSpan w:val="2"/>
          </w:tcPr>
          <w:p>
            <w:pPr>
              <w:spacing w:after="0"/>
              <w:rPr>
                <w:sz w:val="20"/>
                <w:szCs w:val="20"/>
                <w:color w:val="auto"/>
              </w:rPr>
            </w:pPr>
            <w:r>
              <w:rPr>
                <w:rFonts w:ascii="Arial" w:cs="Arial" w:eastAsia="Arial" w:hAnsi="Arial"/>
                <w:sz w:val="18"/>
                <w:szCs w:val="18"/>
                <w:color w:val="auto"/>
              </w:rPr>
              <w:t>GR-MD-02</w:t>
            </w:r>
          </w:p>
        </w:tc>
        <w:tc>
          <w:tcPr>
            <w:tcW w:w="6620" w:type="dxa"/>
            <w:vAlign w:val="bottom"/>
          </w:tcPr>
          <w:p>
            <w:pPr>
              <w:spacing w:after="0"/>
              <w:rPr>
                <w:sz w:val="20"/>
                <w:szCs w:val="20"/>
                <w:color w:val="auto"/>
              </w:rPr>
            </w:pPr>
            <w:r>
              <w:rPr>
                <w:rFonts w:ascii="Arial" w:cs="Arial" w:eastAsia="Arial" w:hAnsi="Arial"/>
                <w:sz w:val="18"/>
                <w:szCs w:val="18"/>
                <w:color w:val="auto"/>
              </w:rPr>
              <w:t>Investigator IND filed in December 2013. Phase 1B study in process.</w:t>
            </w:r>
          </w:p>
        </w:tc>
      </w:tr>
    </w:tbl>
    <w:p>
      <w:pPr>
        <w:spacing w:after="0" w:line="202"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Fibrosis. </w:t>
      </w:r>
      <w:r>
        <w:rPr>
          <w:rFonts w:ascii="Arial" w:cs="Arial" w:eastAsia="Arial" w:hAnsi="Arial"/>
          <w:sz w:val="18"/>
          <w:szCs w:val="18"/>
          <w:color w:val="auto"/>
        </w:rPr>
        <w:t>GR-MD-02 is our lead product candidate for treatment of fibrotic disease. Our preclinical data show that GR-MD-02 has a powerful</w:t>
      </w:r>
      <w:r>
        <w:rPr>
          <w:rFonts w:ascii="Arial" w:cs="Arial" w:eastAsia="Arial" w:hAnsi="Arial"/>
          <w:sz w:val="18"/>
          <w:szCs w:val="18"/>
          <w:i w:val="1"/>
          <w:iCs w:val="1"/>
          <w:color w:val="auto"/>
        </w:rPr>
        <w:t xml:space="preserve"> </w:t>
      </w:r>
      <w:r>
        <w:rPr>
          <w:rFonts w:ascii="Arial" w:cs="Arial" w:eastAsia="Arial" w:hAnsi="Arial"/>
          <w:sz w:val="18"/>
          <w:szCs w:val="18"/>
          <w:color w:val="auto"/>
        </w:rPr>
        <w:t>therapeutic effect on liver fibrosis as shown in several relevant animal models.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exploratory pharmacodynamics biomarkers of disease. On March 1, 2013, the FDA indicated we could proceed with a US Phase 1 clinical trial for GR-MD-02 with a development program aimed at obtaining support for a proposed indication of GR-MD-02 for treatment of NASH with advanced fibrosis.</w:t>
      </w:r>
    </w:p>
    <w:p>
      <w:pPr>
        <w:spacing w:after="0" w:line="124"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example, there have been two recent approvals of drugs that enhance a patient’s immune system to fight cancer. With many additional vaccines and immune stimulatory agents in development, industry analysts forecast that this market could generate over $35 billion in sales over the next 10 years. It is our goal to use a galectin inhibitor to enhance the immune system function to fight cancer in a way that complements other approaches to this type of therapy. Our drug candidates provide a promising new therapeutic approach to enhance the activity of the immune system against cancer cells. Preclinical studies have indicated that GR-MD-02 enhances the immune response to and more specifically increased tumor shrinkage and enhanced survival in immune competent mice with prostate, breast, melanoma and sarcoma cancers when combined with one of the immune checkpoint inhibitors, anti-CTLA-4 or anti-PD-1. These preclinical data have led to the filing of an Investigator-sponsored IND and the initiation of a study of GR-MD-02 in combination with Yervoy </w:t>
      </w:r>
      <w:r>
        <w:rPr>
          <w:rFonts w:ascii="Arial" w:cs="Arial" w:eastAsia="Arial" w:hAnsi="Arial"/>
          <w:sz w:val="14"/>
          <w:szCs w:val="14"/>
          <w:color w:val="auto"/>
        </w:rPr>
        <w:t>®</w:t>
      </w:r>
      <w:r>
        <w:rPr>
          <w:rFonts w:ascii="Arial" w:cs="Arial" w:eastAsia="Arial" w:hAnsi="Arial"/>
          <w:sz w:val="17"/>
          <w:szCs w:val="17"/>
          <w:color w:val="auto"/>
        </w:rPr>
        <w:t xml:space="preserve"> (ipilimumab) in a Phase 1B study of patients with metastatic melanoma. This study is being conducted under the sponsorship of Providence Portland Medical Center’s Earle A. Chiles Research Institute (EACRI) and is being supported by the Company.</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2014 Compared to Three and Six Months Ended June 30,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3500" w:type="dxa"/>
            <w:vAlign w:val="bottom"/>
          </w:tcPr>
          <w:p>
            <w:pPr>
              <w:spacing w:after="0"/>
              <w:rPr>
                <w:sz w:val="14"/>
                <w:szCs w:val="14"/>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14"/>
                <w:szCs w:val="1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color w:val="auto"/>
                <w:w w:val="95"/>
              </w:rPr>
              <w:t>Six Months Ended</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rPr>
              <w:t>2014 as Compared to 2013</w:t>
            </w: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1520" w:type="dxa"/>
            <w:vAlign w:val="bottom"/>
            <w:gridSpan w:val="3"/>
          </w:tcPr>
          <w:p>
            <w:pPr>
              <w:jc w:val="center"/>
              <w:ind w:right="160"/>
              <w:spacing w:after="0" w:line="142" w:lineRule="exact"/>
              <w:rPr>
                <w:sz w:val="20"/>
                <w:szCs w:val="20"/>
                <w:color w:val="auto"/>
              </w:rPr>
            </w:pPr>
            <w:r>
              <w:rPr>
                <w:rFonts w:ascii="Arial" w:cs="Arial" w:eastAsia="Arial" w:hAnsi="Arial"/>
                <w:sz w:val="14"/>
                <w:szCs w:val="14"/>
                <w:color w:val="auto"/>
                <w:w w:val="89"/>
              </w:rPr>
              <w:t>June 30,</w:t>
            </w:r>
          </w:p>
        </w:tc>
        <w:tc>
          <w:tcPr>
            <w:tcW w:w="180" w:type="dxa"/>
            <w:vAlign w:val="bottom"/>
          </w:tcPr>
          <w:p>
            <w:pPr>
              <w:spacing w:after="0"/>
              <w:rPr>
                <w:sz w:val="12"/>
                <w:szCs w:val="12"/>
                <w:color w:val="auto"/>
              </w:rPr>
            </w:pPr>
          </w:p>
        </w:tc>
        <w:tc>
          <w:tcPr>
            <w:tcW w:w="150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89"/>
              </w:rPr>
              <w:t>June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3"/>
          </w:tcPr>
          <w:p>
            <w:pPr>
              <w:jc w:val="right"/>
              <w:ind w:right="780"/>
              <w:spacing w:after="0" w:line="142" w:lineRule="exact"/>
              <w:rPr>
                <w:sz w:val="20"/>
                <w:szCs w:val="20"/>
                <w:color w:val="auto"/>
              </w:rPr>
            </w:pPr>
            <w:r>
              <w:rPr>
                <w:rFonts w:ascii="Arial" w:cs="Arial" w:eastAsia="Arial" w:hAnsi="Arial"/>
                <w:sz w:val="14"/>
                <w:szCs w:val="14"/>
                <w:color w:val="auto"/>
              </w:rPr>
              <w:t>Three Months</w:t>
            </w:r>
          </w:p>
        </w:tc>
        <w:tc>
          <w:tcPr>
            <w:tcW w:w="1500" w:type="dxa"/>
            <w:vAlign w:val="bottom"/>
            <w:gridSpan w:val="2"/>
          </w:tcPr>
          <w:p>
            <w:pPr>
              <w:ind w:left="420"/>
              <w:spacing w:after="0" w:line="142" w:lineRule="exact"/>
              <w:rPr>
                <w:sz w:val="20"/>
                <w:szCs w:val="20"/>
                <w:color w:val="auto"/>
              </w:rPr>
            </w:pPr>
            <w:r>
              <w:rPr>
                <w:rFonts w:ascii="Arial" w:cs="Arial" w:eastAsia="Arial" w:hAnsi="Arial"/>
                <w:sz w:val="14"/>
                <w:szCs w:val="14"/>
                <w:color w:val="auto"/>
              </w:rPr>
              <w:t>Six Months</w:t>
            </w:r>
          </w:p>
        </w:tc>
        <w:tc>
          <w:tcPr>
            <w:tcW w:w="20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Arial" w:cs="Arial" w:eastAsia="Arial" w:hAnsi="Arial"/>
                <w:sz w:val="14"/>
                <w:szCs w:val="14"/>
                <w:color w:val="auto"/>
              </w:rPr>
              <w:t>2014</w:t>
            </w:r>
          </w:p>
        </w:tc>
        <w:tc>
          <w:tcPr>
            <w:tcW w:w="7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rPr>
              <w:t>2014</w:t>
            </w:r>
          </w:p>
        </w:tc>
        <w:tc>
          <w:tcPr>
            <w:tcW w:w="68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color w:val="auto"/>
              </w:rPr>
              <w:t>2013</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color w:val="auto"/>
                <w:w w:val="89"/>
              </w:rPr>
              <w:t>Change</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 Change</w:t>
            </w:r>
          </w:p>
        </w:tc>
        <w:tc>
          <w:tcPr>
            <w:tcW w:w="4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8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42"/>
        </w:trPr>
        <w:tc>
          <w:tcPr>
            <w:tcW w:w="3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2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87"/>
              </w:rPr>
              <w:t>$1,594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$ 1,349</w:t>
            </w:r>
          </w:p>
        </w:tc>
        <w:tc>
          <w:tcPr>
            <w:tcW w:w="8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$4,366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245</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$ 1,265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r>
    </w:tbl>
    <w:p>
      <w:pPr>
        <w:spacing w:after="0" w:line="20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two product candidates, GR-MD-02 and GM-CT-01. We filed for an IND for GR-MD-02 in January 2013 and in February 2013 we entered into an agreement with CTI to conduct a Phase 1 clinical trial of GR-MD-02. In March 2013, the FDA indicated we could proceed with a Phase 1 human clinical trial of GR-MD-02, and we began enrolling patients in the third quarter of 2013. In January 2014, we completed the enrollment of the first cohort of patients in the Phase 1 trial with no serious adverse events being reported. We reported initial safety and tolerability results from the first cohort of patients on June 30, 2014. The second cohort of this Phase 1 trial began and enrollment was completed in April 2014. In July 2014, we reported the results from the second cohort of patients. Enrollment of the third cohort of Phase 1 began in July 2014 with results expected in November 2014. Depending on the results of the Phase 1 study, we expect to initiate a Phase 2 clinical trial in early 2015 to assess the efficacy of GR-MD-02 in patients with NASH and advanced liver fibrosis. The timing of initial results from the Phase 2 trial are dependent upon the trial design which has not been finalized. Our Phase 2 clinical program is likely to include additional clinical trials to fully characterize human response to GR-MD-02 and to better position the Company for a successful Phase 3 clinical trial program.</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80" w:type="dxa"/>
            <w:vAlign w:val="bottom"/>
            <w:gridSpan w:val="4"/>
          </w:tcPr>
          <w:p>
            <w:pPr>
              <w:jc w:val="right"/>
              <w:ind w:right="260"/>
              <w:spacing w:after="0"/>
              <w:rPr>
                <w:sz w:val="20"/>
                <w:szCs w:val="20"/>
                <w:color w:val="auto"/>
              </w:rPr>
            </w:pPr>
            <w:r>
              <w:rPr>
                <w:rFonts w:ascii="Arial" w:cs="Arial" w:eastAsia="Arial" w:hAnsi="Arial"/>
                <w:sz w:val="14"/>
                <w:szCs w:val="14"/>
                <w:color w:val="auto"/>
              </w:rPr>
              <w:t>Six Months Ended</w:t>
            </w:r>
          </w:p>
        </w:tc>
      </w:tr>
      <w:tr>
        <w:trPr>
          <w:trHeight w:val="167"/>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ind w:left="380"/>
              <w:spacing w:after="0"/>
              <w:rPr>
                <w:sz w:val="20"/>
                <w:szCs w:val="20"/>
                <w:color w:val="auto"/>
              </w:rPr>
            </w:pPr>
            <w:r>
              <w:rPr>
                <w:rFonts w:ascii="Arial" w:cs="Arial" w:eastAsia="Arial" w:hAnsi="Arial"/>
                <w:sz w:val="14"/>
                <w:szCs w:val="14"/>
                <w:color w:val="auto"/>
                <w:w w:val="93"/>
              </w:rPr>
              <w:t>June 30,</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4"/>
          </w:tcPr>
          <w:p>
            <w:pPr>
              <w:jc w:val="right"/>
              <w:ind w:right="540"/>
              <w:spacing w:after="0"/>
              <w:rPr>
                <w:sz w:val="20"/>
                <w:szCs w:val="20"/>
                <w:color w:val="auto"/>
              </w:rPr>
            </w:pPr>
            <w:r>
              <w:rPr>
                <w:rFonts w:ascii="Arial" w:cs="Arial" w:eastAsia="Arial" w:hAnsi="Arial"/>
                <w:sz w:val="14"/>
                <w:szCs w:val="14"/>
                <w:color w:val="auto"/>
              </w:rPr>
              <w:t>June 30,</w:t>
            </w:r>
          </w:p>
        </w:tc>
      </w:tr>
      <w:tr>
        <w:trPr>
          <w:trHeight w:val="142"/>
        </w:trPr>
        <w:tc>
          <w:tcPr>
            <w:tcW w:w="7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2014</w:t>
            </w:r>
          </w:p>
        </w:tc>
        <w:tc>
          <w:tcPr>
            <w:tcW w:w="20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w w:val="89"/>
              </w:rPr>
              <w:t>2013</w:t>
            </w: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2014</w:t>
            </w:r>
          </w:p>
        </w:tc>
        <w:tc>
          <w:tcPr>
            <w:tcW w:w="3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2013</w:t>
            </w:r>
          </w:p>
        </w:tc>
        <w:tc>
          <w:tcPr>
            <w:tcW w:w="100" w:type="dxa"/>
            <w:vAlign w:val="bottom"/>
          </w:tcPr>
          <w:p>
            <w:pPr>
              <w:spacing w:after="0"/>
              <w:rPr>
                <w:sz w:val="12"/>
                <w:szCs w:val="12"/>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651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511</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$1,813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$1,254</w:t>
            </w: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1,252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1,301</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1,594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1,349</w:t>
            </w: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4,366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3,101</w:t>
            </w:r>
          </w:p>
        </w:tc>
      </w:tr>
      <w:tr>
        <w:trPr>
          <w:trHeight w:val="20"/>
        </w:trPr>
        <w:tc>
          <w:tcPr>
            <w:tcW w:w="7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Clinical programs expenses increased primarily due to costs related to our Phase 1 clinical trial and compound manufacturing costs in anticipation of a Phase 2 clinical trial during the three and six months ended June 30, 2014 over 2013. As we continue enrolling patients in the Phase I trial we expect our clinical activities costs will increase and may fluctuate from quarter to quarter as the trial progresses. Pre-clinical activities increased primarily due to pre-clinical work related preparation for our anticipated Phase 2 clinical trial program. Other research and development expense increased in the six months ended June 30, 2014 over 2013 primarily due to increased stock-based compensation of $329,000.</w:t>
      </w:r>
    </w:p>
    <w:p>
      <w:pPr>
        <w:spacing w:after="0" w:line="17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w:t>
      </w:r>
    </w:p>
    <w:p>
      <w:pPr>
        <w:spacing w:after="0" w:line="2"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1560" w:type="dxa"/>
            <w:vAlign w:val="bottom"/>
            <w:gridSpan w:val="3"/>
          </w:tcPr>
          <w:p>
            <w:pPr>
              <w:jc w:val="center"/>
              <w:ind w:right="280"/>
              <w:spacing w:after="0"/>
              <w:rPr>
                <w:sz w:val="20"/>
                <w:szCs w:val="20"/>
                <w:color w:val="auto"/>
              </w:rPr>
            </w:pPr>
            <w:r>
              <w:rPr>
                <w:rFonts w:ascii="Arial" w:cs="Arial" w:eastAsia="Arial" w:hAnsi="Arial"/>
                <w:sz w:val="14"/>
                <w:szCs w:val="14"/>
                <w:color w:val="auto"/>
                <w:w w:val="92"/>
              </w:rPr>
              <w:t>Three Months</w:t>
            </w:r>
          </w:p>
        </w:tc>
        <w:tc>
          <w:tcPr>
            <w:tcW w:w="1560" w:type="dxa"/>
            <w:vAlign w:val="bottom"/>
            <w:gridSpan w:val="3"/>
          </w:tcPr>
          <w:p>
            <w:pPr>
              <w:jc w:val="center"/>
              <w:ind w:right="260"/>
              <w:spacing w:after="0"/>
              <w:rPr>
                <w:sz w:val="20"/>
                <w:szCs w:val="20"/>
                <w:color w:val="auto"/>
              </w:rPr>
            </w:pPr>
            <w:r>
              <w:rPr>
                <w:rFonts w:ascii="Arial" w:cs="Arial" w:eastAsia="Arial" w:hAnsi="Arial"/>
                <w:sz w:val="14"/>
                <w:szCs w:val="14"/>
                <w:color w:val="auto"/>
                <w:w w:val="95"/>
              </w:rPr>
              <w:t>Six Months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w w:val="97"/>
              </w:rPr>
              <w:t>2014 as Compared to 2013</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1560" w:type="dxa"/>
            <w:vAlign w:val="bottom"/>
            <w:gridSpan w:val="3"/>
          </w:tcPr>
          <w:p>
            <w:pPr>
              <w:jc w:val="center"/>
              <w:ind w:right="280"/>
              <w:spacing w:after="0" w:line="142" w:lineRule="exact"/>
              <w:rPr>
                <w:sz w:val="20"/>
                <w:szCs w:val="20"/>
                <w:color w:val="auto"/>
              </w:rPr>
            </w:pPr>
            <w:r>
              <w:rPr>
                <w:rFonts w:ascii="Arial" w:cs="Arial" w:eastAsia="Arial" w:hAnsi="Arial"/>
                <w:sz w:val="14"/>
                <w:szCs w:val="14"/>
                <w:color w:val="auto"/>
                <w:w w:val="89"/>
              </w:rPr>
              <w:t>Ended June 30,</w:t>
            </w:r>
          </w:p>
        </w:tc>
        <w:tc>
          <w:tcPr>
            <w:tcW w:w="1560" w:type="dxa"/>
            <w:vAlign w:val="bottom"/>
            <w:gridSpan w:val="3"/>
          </w:tcPr>
          <w:p>
            <w:pPr>
              <w:jc w:val="center"/>
              <w:ind w:right="280"/>
              <w:spacing w:after="0" w:line="142" w:lineRule="exact"/>
              <w:rPr>
                <w:sz w:val="20"/>
                <w:szCs w:val="20"/>
                <w:color w:val="auto"/>
              </w:rPr>
            </w:pPr>
            <w:r>
              <w:rPr>
                <w:rFonts w:ascii="Arial" w:cs="Arial" w:eastAsia="Arial" w:hAnsi="Arial"/>
                <w:sz w:val="14"/>
                <w:szCs w:val="14"/>
                <w:color w:val="auto"/>
                <w:w w:val="89"/>
              </w:rPr>
              <w:t>Ended June 30,</w:t>
            </w:r>
          </w:p>
        </w:tc>
        <w:tc>
          <w:tcPr>
            <w:tcW w:w="100" w:type="dxa"/>
            <w:vAlign w:val="bottom"/>
          </w:tcPr>
          <w:p>
            <w:pPr>
              <w:spacing w:after="0"/>
              <w:rPr>
                <w:sz w:val="12"/>
                <w:szCs w:val="12"/>
                <w:color w:val="auto"/>
              </w:rPr>
            </w:pPr>
          </w:p>
        </w:tc>
        <w:tc>
          <w:tcPr>
            <w:tcW w:w="1740" w:type="dxa"/>
            <w:vAlign w:val="bottom"/>
            <w:gridSpan w:val="3"/>
          </w:tcPr>
          <w:p>
            <w:pPr>
              <w:jc w:val="right"/>
              <w:ind w:right="700"/>
              <w:spacing w:after="0" w:line="142" w:lineRule="exact"/>
              <w:rPr>
                <w:sz w:val="20"/>
                <w:szCs w:val="20"/>
                <w:color w:val="auto"/>
              </w:rPr>
            </w:pPr>
            <w:r>
              <w:rPr>
                <w:rFonts w:ascii="Arial" w:cs="Arial" w:eastAsia="Arial" w:hAnsi="Arial"/>
                <w:sz w:val="14"/>
                <w:szCs w:val="14"/>
                <w:color w:val="auto"/>
              </w:rPr>
              <w:t>Three Months</w:t>
            </w:r>
          </w:p>
        </w:tc>
        <w:tc>
          <w:tcPr>
            <w:tcW w:w="1440" w:type="dxa"/>
            <w:vAlign w:val="bottom"/>
            <w:gridSpan w:val="2"/>
          </w:tcPr>
          <w:p>
            <w:pPr>
              <w:ind w:left="380"/>
              <w:spacing w:after="0" w:line="142" w:lineRule="exact"/>
              <w:rPr>
                <w:sz w:val="20"/>
                <w:szCs w:val="20"/>
                <w:color w:val="auto"/>
              </w:rPr>
            </w:pPr>
            <w:r>
              <w:rPr>
                <w:rFonts w:ascii="Arial" w:cs="Arial" w:eastAsia="Arial" w:hAnsi="Arial"/>
                <w:sz w:val="14"/>
                <w:szCs w:val="14"/>
                <w:color w:val="auto"/>
              </w:rPr>
              <w:t>Six Months</w:t>
            </w:r>
          </w:p>
        </w:tc>
        <w:tc>
          <w:tcPr>
            <w:tcW w:w="20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color w:val="auto"/>
              </w:rPr>
              <w:t>2014</w:t>
            </w:r>
          </w:p>
        </w:tc>
        <w:tc>
          <w:tcPr>
            <w:tcW w:w="6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64"/>
              <w:spacing w:after="0" w:line="142" w:lineRule="exact"/>
              <w:rPr>
                <w:sz w:val="20"/>
                <w:szCs w:val="20"/>
                <w:color w:val="auto"/>
              </w:rPr>
            </w:pPr>
            <w:r>
              <w:rPr>
                <w:rFonts w:ascii="Arial" w:cs="Arial" w:eastAsia="Arial" w:hAnsi="Arial"/>
                <w:sz w:val="14"/>
                <w:szCs w:val="14"/>
                <w:color w:val="auto"/>
              </w:rPr>
              <w:t>2014</w:t>
            </w:r>
          </w:p>
        </w:tc>
        <w:tc>
          <w:tcPr>
            <w:tcW w:w="64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color w:val="auto"/>
                <w:w w:val="89"/>
              </w:rPr>
              <w:t>Change</w:t>
            </w: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88"/>
              </w:rPr>
              <w:t>% Change</w:t>
            </w:r>
          </w:p>
        </w:tc>
        <w:tc>
          <w:tcPr>
            <w:tcW w:w="38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 Change</w:t>
            </w:r>
          </w:p>
        </w:tc>
        <w:tc>
          <w:tcPr>
            <w:tcW w:w="7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color w:val="auto"/>
                <w:w w:val="88"/>
              </w:rPr>
              <w:t>% Change</w:t>
            </w:r>
          </w:p>
        </w:tc>
        <w:tc>
          <w:tcPr>
            <w:tcW w:w="200" w:type="dxa"/>
            <w:vAlign w:val="bottom"/>
          </w:tcPr>
          <w:p>
            <w:pPr>
              <w:spacing w:after="0"/>
              <w:rPr>
                <w:sz w:val="12"/>
                <w:szCs w:val="12"/>
                <w:color w:val="auto"/>
              </w:rPr>
            </w:pPr>
          </w:p>
        </w:tc>
      </w:tr>
      <w:tr>
        <w:trPr>
          <w:trHeight w:val="142"/>
        </w:trPr>
        <w:tc>
          <w:tcPr>
            <w:tcW w:w="4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4"/>
          </w:tcPr>
          <w:p>
            <w:pPr>
              <w:jc w:val="right"/>
              <w:spacing w:after="0" w:line="142" w:lineRule="exact"/>
              <w:rPr>
                <w:sz w:val="20"/>
                <w:szCs w:val="20"/>
                <w:color w:val="auto"/>
              </w:rPr>
            </w:pPr>
            <w:r>
              <w:rPr>
                <w:rFonts w:ascii="Arial" w:cs="Arial" w:eastAsia="Arial" w:hAnsi="Arial"/>
                <w:sz w:val="14"/>
                <w:szCs w:val="14"/>
                <w:color w:val="auto"/>
              </w:rPr>
              <w:t>(In thousands, except %)</w:t>
            </w: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7"/>
              </w:rPr>
              <w:t>$1,781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$1,198</w:t>
            </w:r>
          </w:p>
        </w:tc>
        <w:tc>
          <w:tcPr>
            <w:tcW w:w="64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87"/>
              </w:rPr>
              <w:t>$3,853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583</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w:t>
            </w: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$ 1,199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608"/>
        </w:trPr>
        <w:tc>
          <w:tcPr>
            <w:tcW w:w="4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jc w:val="right"/>
              <w:ind w:right="216"/>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General and administrative expenses consist primarily of salaries including stock based compensation, legal and accounting fees, insurance, investor relations, business development and other office related expenses. The primary reasons for the increase for the three months ended June 30, 2014 as compared to the same period in 2013 is due to increased stock-based compensation ($120,000) and increased legal expenses ($289,000) primarily related to litigation with the Company’s former CEO, Dr. Platt. The primary reasons for the increase for the six months ended June 30, 2014 as compared to the same period in 2013 is due to increased stock-based compensation ($599,000) and increased legal expenses ($393,000) primarily related to litigation with Dr. Platt.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As described above in the Overview and elsewhere in this Quarterly Report on Form 10-Q, we are a clinical development stage company and have not generated any revenues.</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Since our inception on July 10, 2000, we have financed our operations from proceeds of public and private offerings of debt and equity. As of June 30, 2014, we raised a net total of $107.5 million from these offerings. We have operated at a loss since our inception and have had no significant revenues. We anticipate that losses will continue for the foreseeable future. At June 30, 2014, we had $34.4 million of unrestricted cash and cash equivalents available to fund future operations. We believe that with the cash on hand at June 30, 2014, there is sufficient cash to fund currently planned operations through mid-2016. Our ability to fund operations after our current cash resources are exhausted depends on our ability to obtain additional financing or achieve profitable operations, as to which no assurances can be given. Accordingly, based on the forecasts and estimates underlying our current operating plan, the financial statements do not currently include any adjustments that might be necessary if we are unable to continue as a going concern.</w:t>
      </w:r>
    </w:p>
    <w:p>
      <w:pPr>
        <w:spacing w:after="0" w:line="16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Net cash used in operations increased by $1,676,000 to $6,031,000 for the six months ended June 30, 2014, as compared to $4,355,000 for the six months ended June 30, 2013. Cash operating expenses increased principally due to increased research and development activities related to our clinical activity with GR-MD-02.</w:t>
      </w:r>
    </w:p>
    <w:p>
      <w:pPr>
        <w:spacing w:after="0" w:line="181"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Net cash provided by financing activities was $30,365,000 for the six months ending June 30, 2014, consisting of $28,178,000 from sale of common stock and $2,187,000 from the proceeds from the exercise of stock options and warrants. During the six months ended June 30, 2013, $90,000 was received from the exercise of stock options.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separation payment due to Dr. Platt upon the earlier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June 30, 2014 and December 31, 2013.</w:t>
      </w:r>
    </w:p>
    <w:p>
      <w:pPr>
        <w:spacing w:after="0" w:line="17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May 2, 2012, Dr. Platt instituted an arbitration with the American Arbitration Association seeking the $1 million payment based on a claim that the milestone event in the Separation Agreement described in clause (iii) above had occurred. Although the Company had listed its common stock on the Nasdaq Capital Markets as of March 22, 2012, the market capitalization since the listing had not reached $100 million when the arbitration was heard in October 2012. On November 1, 2012, the arbitrator denied Dr. Platt’s demand in all respects.</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On October 12, 2012, Dr. Platt commenced a lawsuit under the Massachusetts Wage Act against Dr. Traber and Mr. McGauley who in their capacities as the Company’s Chief Executive Officer and the Company’s former Chief Financial Officer, respectively, can be held individually liable under the Wage Act for non-payment of wages. The lawsuit is based on the facts and issues raised in the arbitration regarding the payment of the $1.0 million separation payment under the Separation Agreement, and other unspecified “wages”. The statute provides that a successful claimant may be entitled to multiple damages, interest and attorney’s fees. On April 29, 2013, the Superior Court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allowed Dr. Traber’s and Mr. McGauley’s motion to dismiss. On May 28, 2013, Dr. Platt filed a Notice of Appeal to appeal the Superior Court’s order allowing the defendants’ motion to dismiss. On April 14, 2014, the Appeals Court denied Dr. Platt’s appeal of the dismissal in full.</w:t>
      </w:r>
    </w:p>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March 29, 2013, the Company instituted arbitration before the American Arbitration Association, seeking to rescind or reform the Separation Agreement discussed above. The Company claimed that Dr. Platt fraudulently induced the Company to enter into the Separation Agreement, breached his fiduciary duty to the Company, and was unduly enriched from his conduct. Along with removal of the $1.0 million milestone payment under the Separation Agreement, the Company sought repayment of all separation benefits paid to Dr. Platt to date.</w:t>
      </w:r>
    </w:p>
    <w:p>
      <w:pPr>
        <w:spacing w:after="0" w:line="187"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On August 1, 2013, the market capitalization of the Company’s common stock exceeded $100 million and the Company received a letter dated October 1, 2013, demanding payment of the $1 million. As described in the preceding paragraph, the Company had previously instituted an arbitration proceeding against Dr. Platt seeking to rescind the Separation Agreement, including the milestone payment provision, and the Company delayed payment pending the outcome of this arbitration. In June 2014, the arbitrator issued a judgment in favor of Dr. Platt. In July 2014, the Company paid the $1 million severance obligation.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lawsuit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30, 2014, the Company became aware that a class action lawsuit has been filed against Galectin Therapeutics and certain officers of the Company alleging violations of United States federal securities laws. The Company disputes the allegations in the complaint and intends to vigorously defend this lawsuit.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12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2013 Annual Report on Form 10-K.</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(as defined in Rule 13a-15(e) promulgated under the Securities Exchange Act of 1934) and concluded that, as of June 30, 2014, our disclosure controls and procedures were effective at a reasonable assurance level. During the quarter ended June 30, 2014, no change in our internal control over financial reporting has materially affected, or is reasonably likely to materially affect, our internal control over financial reporting.</w:t>
      </w:r>
    </w:p>
    <w:p>
      <w:pPr>
        <w:sectPr>
          <w:pgSz w:w="11900" w:h="16838" w:orient="portrait"/>
          <w:cols w:equalWidth="0" w:num="1">
            <w:col w:w="11400"/>
          </w:cols>
          <w:pgMar w:left="240" w:top="459" w:right="259" w:bottom="1440"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0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except as disclosed above.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information set forth in this report should be read in conjunction with the risk factors set forth in Item 1A, “Risk Factors,” of Part I of our Annual Report on Form 10-K for the year ended December 31, 2013, which could materially impact our business, financial condition or future results.</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2014, the Company issued 2,093 shares of common stock to Acorn Management Partners, LLC in connection with a consulting agreement, at a price of $11.94 per share. In issuing the shares the Company relied on an exemption from registration under the Securities Act of 1933 provided by Section 4(a)(2) and Regulation D promulgated thereunder.</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160" w:type="dxa"/>
            <w:vAlign w:val="bottom"/>
            <w:gridSpan w:val="2"/>
          </w:tcPr>
          <w:p>
            <w:pPr>
              <w:ind w:left="140"/>
              <w:spacing w:after="0"/>
              <w:rPr>
                <w:sz w:val="20"/>
                <w:szCs w:val="20"/>
                <w:color w:val="auto"/>
              </w:rPr>
            </w:pPr>
            <w:r>
              <w:rPr>
                <w:rFonts w:ascii="Arial" w:cs="Arial" w:eastAsia="Arial" w:hAnsi="Arial"/>
                <w:sz w:val="18"/>
                <w:szCs w:val="18"/>
                <w:b w:val="1"/>
                <w:bCs w:val="1"/>
                <w:color w:val="auto"/>
              </w:rPr>
              <w:t>Exhibits</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0" w:type="dxa"/>
            <w:vAlign w:val="bottom"/>
          </w:tcPr>
          <w:p>
            <w:pPr>
              <w:spacing w:after="0"/>
              <w:rPr>
                <w:sz w:val="24"/>
                <w:szCs w:val="24"/>
                <w:color w:val="auto"/>
              </w:rPr>
            </w:pPr>
          </w:p>
        </w:tc>
        <w:tc>
          <w:tcPr>
            <w:tcW w:w="868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1260" w:type="dxa"/>
            <w:vAlign w:val="bottom"/>
          </w:tcPr>
          <w:p>
            <w:pPr>
              <w:jc w:val="right"/>
              <w:ind w:right="77"/>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162"/>
        </w:trPr>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80" w:type="dxa"/>
            <w:vAlign w:val="bottom"/>
          </w:tcPr>
          <w:p>
            <w:pPr>
              <w:spacing w:after="0"/>
              <w:rPr>
                <w:sz w:val="14"/>
                <w:szCs w:val="14"/>
                <w:color w:val="auto"/>
              </w:rPr>
            </w:pPr>
          </w:p>
        </w:tc>
        <w:tc>
          <w:tcPr>
            <w:tcW w:w="8680" w:type="dxa"/>
            <w:vAlign w:val="bottom"/>
            <w:vMerge w:val="continue"/>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Reference</w:t>
            </w: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Amended and Restated Bylaws of Galectin Therapeutics Inc.</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Restated Articles of Incorporation of Galectin Therapeutics Inc.</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Galectin Therapeutics Inc. Amended and Restated 2009 Incentive Compensation Plan</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32.1**</w:t>
            </w: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160" w:type="dxa"/>
            <w:vAlign w:val="bottom"/>
            <w:gridSpan w:val="2"/>
          </w:tcPr>
          <w:p>
            <w:pPr>
              <w:ind w:left="480"/>
              <w:spacing w:after="0"/>
              <w:rPr>
                <w:sz w:val="20"/>
                <w:szCs w:val="20"/>
                <w:color w:val="auto"/>
              </w:rPr>
            </w:pPr>
            <w:r>
              <w:rPr>
                <w:rFonts w:ascii="Arial" w:cs="Arial" w:eastAsia="Arial" w:hAnsi="Arial"/>
                <w:sz w:val="18"/>
                <w:szCs w:val="18"/>
                <w:color w:val="auto"/>
              </w:rPr>
              <w:t>2002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32.2**</w:t>
            </w: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160" w:type="dxa"/>
            <w:vAlign w:val="bottom"/>
            <w:gridSpan w:val="2"/>
          </w:tcPr>
          <w:p>
            <w:pPr>
              <w:ind w:left="480"/>
              <w:spacing w:after="0"/>
              <w:rPr>
                <w:sz w:val="20"/>
                <w:szCs w:val="20"/>
                <w:color w:val="auto"/>
              </w:rPr>
            </w:pPr>
            <w:r>
              <w:rPr>
                <w:rFonts w:ascii="Arial" w:cs="Arial" w:eastAsia="Arial" w:hAnsi="Arial"/>
                <w:sz w:val="18"/>
                <w:szCs w:val="18"/>
                <w:color w:val="auto"/>
              </w:rPr>
              <w:t>2002</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XBRL Instance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XBRL Taxonomy Calculation Linkbase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XBRL Taxonomy Label Linkbase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80" w:type="dxa"/>
            <w:vAlign w:val="bottom"/>
          </w:tcPr>
          <w:p>
            <w:pPr>
              <w:spacing w:after="0"/>
              <w:rPr>
                <w:sz w:val="24"/>
                <w:szCs w:val="24"/>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XBRL Taxonomy Presentation Linkbase Document</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May 30, 2012.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Exhibit A of the Company’s Definitive Proxy Statement filed on March 21,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7, 2014.</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333"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G. Traber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Peter G. Traber, M.D.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bl>
    <w:p>
      <w:pPr>
        <w:spacing w:after="0" w:line="31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Jack W. Callicutt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-130810</wp:posOffset>
            </wp:positionV>
            <wp:extent cx="25558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13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7,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 Traber</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Peter G. Traber, M.D.</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Date: August 7, 2014</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W. Callicutt</w:t>
            </w:r>
          </w:p>
        </w:tc>
      </w:tr>
      <w:tr>
        <w:trPr>
          <w:trHeight w:val="209"/>
        </w:trPr>
        <w:tc>
          <w:tcPr>
            <w:tcW w:w="6400" w:type="dxa"/>
            <w:vAlign w:val="bottom"/>
          </w:tcPr>
          <w:p>
            <w:pPr>
              <w:ind w:left="58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Jack W. Callicutt</w:t>
            </w:r>
          </w:p>
        </w:tc>
      </w:tr>
      <w:tr>
        <w:trPr>
          <w:trHeight w:val="216"/>
        </w:trPr>
        <w:tc>
          <w:tcPr>
            <w:tcW w:w="6400" w:type="dxa"/>
            <w:vAlign w:val="bottom"/>
          </w:tcPr>
          <w:p>
            <w:pPr>
              <w:ind w:left="58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4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2014 as filed with the Securities and Exchange Commission on the date hereof (the “Report”), I, Peter G. Traber, Chief Executive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August 7, 2014</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G. Traber</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2014 as filed with the Securities and Exchange Commission on the date hereof (the “Report”), I, Jack W. Callicutt, Chief Financial Officer of the Company, certify, pursuant to 18 U.S.C. § 1350, as adopted pursuant to § 906 of the Sarbanes-Oxley Act of 2002, that, to my knowledge:</w:t>
      </w:r>
    </w:p>
    <w:p>
      <w:pPr>
        <w:spacing w:after="0" w:line="8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August 7, 2014</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Jack W. Callicutt</w:t>
            </w:r>
          </w:p>
        </w:tc>
      </w:tr>
      <w:tr>
        <w:trPr>
          <w:trHeight w:val="195"/>
        </w:trPr>
        <w:tc>
          <w:tcPr>
            <w:tcW w:w="6300" w:type="dxa"/>
            <w:vAlign w:val="bottom"/>
          </w:tcPr>
          <w:p>
            <w:pPr>
              <w:ind w:left="5820"/>
              <w:spacing w:after="0" w:line="195"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Jack W. Callicutt</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30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ind w:right="480" w:firstLine="456"/>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9"/>
    </w:lvl>
  </w:abstractNum>
  <w:abstractNum w:abstractNumId="11">
    <w:nsid w:val="6B68079A"/>
    <w:multiLevelType w:val="hybridMultilevel"/>
    <w:lvl w:ilvl="0">
      <w:lvlJc w:val="left"/>
      <w:lvlText w:val="%1."/>
      <w:numFmt w:val="decimal"/>
      <w:start w:val="10"/>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2019-12-07T01:21:15Z</dcterms:created>
  <dcterms:modified xsi:type="dcterms:W3CDTF">2019-12-07T01:21:15Z</dcterms:modified>
</cp:coreProperties>
</file>