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396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3700780</wp:posOffset>
            </wp:positionH>
            <wp:positionV relativeFrom="paragraph">
              <wp:posOffset>-1270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340" w:type="dxa"/>
            <w:vAlign w:val="bottom"/>
          </w:tcPr>
          <w:p>
            <w:pPr>
              <w:spacing w:after="0"/>
              <w:rPr>
                <w:sz w:val="16"/>
                <w:szCs w:val="16"/>
                <w:color w:val="auto"/>
              </w:rPr>
            </w:pPr>
          </w:p>
        </w:tc>
        <w:tc>
          <w:tcPr>
            <w:tcW w:w="4900" w:type="dxa"/>
            <w:vAlign w:val="bottom"/>
            <w:gridSpan w:val="4"/>
          </w:tcPr>
          <w:p>
            <w:pPr>
              <w:jc w:val="center"/>
              <w:ind w:right="3780"/>
              <w:spacing w:after="0"/>
              <w:rPr>
                <w:sz w:val="20"/>
                <w:szCs w:val="20"/>
                <w:color w:val="auto"/>
              </w:rPr>
            </w:pPr>
            <w:r>
              <w:rPr>
                <w:rFonts w:ascii="Arial" w:cs="Arial" w:eastAsia="Arial" w:hAnsi="Arial"/>
                <w:sz w:val="16"/>
                <w:szCs w:val="16"/>
                <w:b w:val="1"/>
                <w:bCs w:val="1"/>
                <w:color w:val="auto"/>
                <w:w w:val="91"/>
              </w:rPr>
              <w:t>Nevada</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80" w:type="dxa"/>
            <w:vAlign w:val="bottom"/>
          </w:tcPr>
          <w:p>
            <w:pPr>
              <w:jc w:val="right"/>
              <w:ind w:right="865"/>
              <w:spacing w:after="0"/>
              <w:rPr>
                <w:sz w:val="20"/>
                <w:szCs w:val="20"/>
                <w:color w:val="auto"/>
              </w:rPr>
            </w:pPr>
            <w:r>
              <w:rPr>
                <w:rFonts w:ascii="Arial" w:cs="Arial" w:eastAsia="Arial" w:hAnsi="Arial"/>
                <w:sz w:val="16"/>
                <w:szCs w:val="16"/>
                <w:b w:val="1"/>
                <w:bCs w:val="1"/>
                <w:color w:val="auto"/>
              </w:rPr>
              <w:t>04-3562325</w:t>
            </w:r>
          </w:p>
        </w:tc>
        <w:tc>
          <w:tcPr>
            <w:tcW w:w="0" w:type="dxa"/>
            <w:vAlign w:val="bottom"/>
          </w:tcPr>
          <w:p>
            <w:pPr>
              <w:spacing w:after="0"/>
              <w:rPr>
                <w:sz w:val="1"/>
                <w:szCs w:val="1"/>
                <w:color w:val="auto"/>
              </w:rPr>
            </w:pPr>
          </w:p>
        </w:tc>
      </w:tr>
      <w:tr>
        <w:trPr>
          <w:trHeight w:val="149"/>
        </w:trPr>
        <w:tc>
          <w:tcPr>
            <w:tcW w:w="7240" w:type="dxa"/>
            <w:vAlign w:val="bottom"/>
            <w:gridSpan w:val="5"/>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4900" w:type="dxa"/>
            <w:vAlign w:val="bottom"/>
            <w:gridSpan w:val="4"/>
          </w:tcPr>
          <w:p>
            <w:pPr>
              <w:jc w:val="center"/>
              <w:ind w:right="3800"/>
              <w:spacing w:after="0"/>
              <w:rPr>
                <w:sz w:val="20"/>
                <w:szCs w:val="20"/>
                <w:color w:val="auto"/>
              </w:rPr>
            </w:pPr>
            <w:r>
              <w:rPr>
                <w:rFonts w:ascii="Arial" w:cs="Arial" w:eastAsia="Arial" w:hAnsi="Arial"/>
                <w:sz w:val="14"/>
                <w:szCs w:val="14"/>
                <w:b w:val="1"/>
                <w:bCs w:val="1"/>
                <w:color w:val="auto"/>
                <w:w w:val="94"/>
              </w:rPr>
              <w:t>of incorporation)</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80" w:type="dxa"/>
            <w:vAlign w:val="bottom"/>
          </w:tcPr>
          <w:p>
            <w:pPr>
              <w:jc w:val="center"/>
              <w:ind w:right="405"/>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94"/>
        </w:trPr>
        <w:tc>
          <w:tcPr>
            <w:tcW w:w="7240" w:type="dxa"/>
            <w:vAlign w:val="bottom"/>
            <w:gridSpan w:val="5"/>
          </w:tcPr>
          <w:p>
            <w:pPr>
              <w:jc w:val="center"/>
              <w:ind w:right="1440"/>
              <w:spacing w:after="0"/>
              <w:rPr>
                <w:sz w:val="20"/>
                <w:szCs w:val="20"/>
                <w:color w:val="auto"/>
              </w:rPr>
            </w:pPr>
            <w:r>
              <w:rPr>
                <w:rFonts w:ascii="Arial" w:cs="Arial" w:eastAsia="Arial" w:hAnsi="Arial"/>
                <w:sz w:val="16"/>
                <w:szCs w:val="16"/>
                <w:b w:val="1"/>
                <w:bCs w:val="1"/>
                <w:color w:val="auto"/>
                <w:w w:val="91"/>
              </w:rPr>
              <w:t>4960 Peachtree Industrial Blvd., Suite 240, Norcross, GA</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jc w:val="right"/>
              <w:ind w:right="1045"/>
              <w:spacing w:after="0"/>
              <w:rPr>
                <w:sz w:val="20"/>
                <w:szCs w:val="20"/>
                <w:color w:val="auto"/>
              </w:rPr>
            </w:pPr>
            <w:r>
              <w:rPr>
                <w:rFonts w:ascii="Arial" w:cs="Arial" w:eastAsia="Arial" w:hAnsi="Arial"/>
                <w:sz w:val="16"/>
                <w:szCs w:val="16"/>
                <w:b w:val="1"/>
                <w:bCs w:val="1"/>
                <w:color w:val="auto"/>
              </w:rPr>
              <w:t>30071</w:t>
            </w:r>
          </w:p>
        </w:tc>
        <w:tc>
          <w:tcPr>
            <w:tcW w:w="0" w:type="dxa"/>
            <w:vAlign w:val="bottom"/>
          </w:tcPr>
          <w:p>
            <w:pPr>
              <w:spacing w:after="0"/>
              <w:rPr>
                <w:sz w:val="1"/>
                <w:szCs w:val="1"/>
                <w:color w:val="auto"/>
              </w:rPr>
            </w:pPr>
          </w:p>
        </w:tc>
      </w:tr>
      <w:tr>
        <w:trPr>
          <w:trHeight w:val="186"/>
        </w:trPr>
        <w:tc>
          <w:tcPr>
            <w:tcW w:w="7240" w:type="dxa"/>
            <w:vAlign w:val="bottom"/>
            <w:gridSpan w:val="5"/>
          </w:tcPr>
          <w:p>
            <w:pPr>
              <w:jc w:val="center"/>
              <w:ind w:right="14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80" w:type="dxa"/>
            <w:vAlign w:val="bottom"/>
          </w:tcPr>
          <w:p>
            <w:pPr>
              <w:jc w:val="center"/>
              <w:ind w:right="40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7"/>
        </w:trPr>
        <w:tc>
          <w:tcPr>
            <w:tcW w:w="6900" w:type="dxa"/>
            <w:vAlign w:val="bottom"/>
            <w:gridSpan w:val="4"/>
          </w:tcPr>
          <w:p>
            <w:pPr>
              <w:jc w:val="center"/>
              <w:ind w:left="4443"/>
              <w:spacing w:after="0"/>
              <w:rPr>
                <w:sz w:val="20"/>
                <w:szCs w:val="20"/>
                <w:color w:val="auto"/>
              </w:rPr>
            </w:pPr>
            <w:r>
              <w:rPr>
                <w:rFonts w:ascii="Arial" w:cs="Arial" w:eastAsia="Arial" w:hAnsi="Arial"/>
                <w:sz w:val="16"/>
                <w:szCs w:val="16"/>
                <w:b w:val="1"/>
                <w:bCs w:val="1"/>
                <w:color w:val="auto"/>
                <w:w w:val="93"/>
              </w:rPr>
              <w:t>(678) 620-3186</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0" w:type="dxa"/>
            <w:vAlign w:val="bottom"/>
            <w:gridSpan w:val="3"/>
          </w:tcPr>
          <w:p>
            <w:pPr>
              <w:jc w:val="center"/>
              <w:ind w:left="671"/>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360" w:type="dxa"/>
            <w:vAlign w:val="bottom"/>
            <w:gridSpan w:val="5"/>
          </w:tcPr>
          <w:p>
            <w:pPr>
              <w:jc w:val="center"/>
              <w:ind w:left="131"/>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w w:val="91"/>
              </w:rPr>
              <w:t>Common Stock, $0.001 Par Value</w:t>
            </w:r>
          </w:p>
        </w:tc>
        <w:tc>
          <w:tcPr>
            <w:tcW w:w="4900" w:type="dxa"/>
            <w:vAlign w:val="bottom"/>
            <w:gridSpan w:val="4"/>
          </w:tcPr>
          <w:p>
            <w:pPr>
              <w:jc w:val="center"/>
              <w:ind w:right="3780"/>
              <w:spacing w:after="0"/>
              <w:rPr>
                <w:sz w:val="20"/>
                <w:szCs w:val="20"/>
                <w:color w:val="auto"/>
              </w:rPr>
            </w:pPr>
            <w:r>
              <w:rPr>
                <w:rFonts w:ascii="Arial" w:cs="Arial" w:eastAsia="Arial" w:hAnsi="Arial"/>
                <w:sz w:val="14"/>
                <w:szCs w:val="14"/>
                <w:b w:val="1"/>
                <w:bCs w:val="1"/>
                <w:color w:val="auto"/>
                <w:w w:val="89"/>
              </w:rPr>
              <w:t>Title of each class</w:t>
            </w:r>
          </w:p>
        </w:tc>
        <w:tc>
          <w:tcPr>
            <w:tcW w:w="80" w:type="dxa"/>
            <w:vAlign w:val="bottom"/>
          </w:tcPr>
          <w:p>
            <w:pPr>
              <w:spacing w:after="0"/>
              <w:rPr>
                <w:sz w:val="22"/>
                <w:szCs w:val="22"/>
                <w:color w:val="auto"/>
              </w:rPr>
            </w:pPr>
          </w:p>
        </w:tc>
        <w:tc>
          <w:tcPr>
            <w:tcW w:w="2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2"/>
        </w:trPr>
        <w:tc>
          <w:tcPr>
            <w:tcW w:w="2340" w:type="dxa"/>
            <w:vAlign w:val="bottom"/>
            <w:vMerge w:val="continue"/>
          </w:tcPr>
          <w:p>
            <w:pPr>
              <w:spacing w:after="0"/>
              <w:rPr>
                <w:sz w:val="15"/>
                <w:szCs w:val="15"/>
                <w:color w:val="auto"/>
              </w:rPr>
            </w:pPr>
          </w:p>
        </w:tc>
        <w:tc>
          <w:tcPr>
            <w:tcW w:w="11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6"/>
                <w:szCs w:val="16"/>
                <w:b w:val="1"/>
                <w:bCs w:val="1"/>
                <w:color w:val="auto"/>
              </w:rPr>
              <w:t>Per Share</w:t>
            </w:r>
          </w:p>
        </w:tc>
        <w:tc>
          <w:tcPr>
            <w:tcW w:w="38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6"/>
                <w:szCs w:val="16"/>
                <w:b w:val="1"/>
                <w:bCs w:val="1"/>
                <w:color w:val="auto"/>
                <w:w w:val="97"/>
              </w:rPr>
              <w:t>The NASDAQ Capital Market</w:t>
            </w:r>
          </w:p>
        </w:tc>
        <w:tc>
          <w:tcPr>
            <w:tcW w:w="0" w:type="dxa"/>
            <w:vAlign w:val="bottom"/>
          </w:tcPr>
          <w:p>
            <w:pPr>
              <w:spacing w:after="0"/>
              <w:rPr>
                <w:sz w:val="1"/>
                <w:szCs w:val="1"/>
                <w:color w:val="auto"/>
              </w:rPr>
            </w:pPr>
          </w:p>
        </w:tc>
      </w:tr>
      <w:tr>
        <w:trPr>
          <w:trHeight w:val="203"/>
        </w:trPr>
        <w:tc>
          <w:tcPr>
            <w:tcW w:w="7240" w:type="dxa"/>
            <w:vAlign w:val="bottom"/>
            <w:gridSpan w:val="5"/>
          </w:tcPr>
          <w:p>
            <w:pPr>
              <w:spacing w:after="0"/>
              <w:rPr>
                <w:sz w:val="20"/>
                <w:szCs w:val="20"/>
                <w:color w:val="auto"/>
              </w:rPr>
            </w:pPr>
            <w:r>
              <w:rPr>
                <w:rFonts w:ascii="Arial" w:cs="Arial" w:eastAsia="Arial" w:hAnsi="Arial"/>
                <w:sz w:val="16"/>
                <w:szCs w:val="16"/>
                <w:b w:val="1"/>
                <w:bCs w:val="1"/>
                <w:color w:val="auto"/>
              </w:rPr>
              <w:t>Units, each consisting of two shares of Common Stock and one Warrant to</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5"/>
          </w:tcPr>
          <w:p>
            <w:pPr>
              <w:spacing w:after="0"/>
              <w:rPr>
                <w:sz w:val="20"/>
                <w:szCs w:val="20"/>
                <w:color w:val="auto"/>
              </w:rPr>
            </w:pPr>
            <w:r>
              <w:rPr>
                <w:rFonts w:ascii="Arial" w:cs="Arial" w:eastAsia="Arial" w:hAnsi="Arial"/>
                <w:sz w:val="16"/>
                <w:szCs w:val="16"/>
                <w:b w:val="1"/>
                <w:bCs w:val="1"/>
                <w:color w:val="auto"/>
              </w:rPr>
              <w:t>purchase one share of Common Stock</w:t>
            </w:r>
          </w:p>
        </w:tc>
        <w:tc>
          <w:tcPr>
            <w:tcW w:w="80" w:type="dxa"/>
            <w:vAlign w:val="bottom"/>
          </w:tcPr>
          <w:p>
            <w:pPr>
              <w:spacing w:after="0"/>
              <w:rPr>
                <w:sz w:val="17"/>
                <w:szCs w:val="17"/>
                <w:color w:val="auto"/>
              </w:rPr>
            </w:pPr>
          </w:p>
        </w:tc>
        <w:tc>
          <w:tcPr>
            <w:tcW w:w="2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The NASDAQ Capital Market</w:t>
            </w:r>
          </w:p>
        </w:tc>
        <w:tc>
          <w:tcPr>
            <w:tcW w:w="0" w:type="dxa"/>
            <w:vAlign w:val="bottom"/>
          </w:tcPr>
          <w:p>
            <w:pPr>
              <w:spacing w:after="0"/>
              <w:rPr>
                <w:sz w:val="1"/>
                <w:szCs w:val="1"/>
                <w:color w:val="auto"/>
              </w:rPr>
            </w:pPr>
          </w:p>
        </w:tc>
      </w:tr>
      <w:tr>
        <w:trPr>
          <w:trHeight w:val="210"/>
        </w:trPr>
        <w:tc>
          <w:tcPr>
            <w:tcW w:w="7240" w:type="dxa"/>
            <w:vAlign w:val="bottom"/>
            <w:gridSpan w:val="5"/>
          </w:tcPr>
          <w:p>
            <w:pPr>
              <w:spacing w:after="0"/>
              <w:rPr>
                <w:sz w:val="20"/>
                <w:szCs w:val="20"/>
                <w:color w:val="auto"/>
              </w:rPr>
            </w:pPr>
            <w:r>
              <w:rPr>
                <w:rFonts w:ascii="Arial" w:cs="Arial" w:eastAsia="Arial" w:hAnsi="Arial"/>
                <w:sz w:val="16"/>
                <w:szCs w:val="16"/>
                <w:b w:val="1"/>
                <w:bCs w:val="1"/>
                <w:color w:val="auto"/>
              </w:rPr>
              <w:t>Common Stock Purchase Warrants</w:t>
            </w:r>
          </w:p>
        </w:tc>
        <w:tc>
          <w:tcPr>
            <w:tcW w:w="80" w:type="dxa"/>
            <w:vAlign w:val="bottom"/>
          </w:tcPr>
          <w:p>
            <w:pPr>
              <w:spacing w:after="0"/>
              <w:rPr>
                <w:sz w:val="18"/>
                <w:szCs w:val="18"/>
                <w:color w:val="auto"/>
              </w:rPr>
            </w:pPr>
          </w:p>
        </w:tc>
        <w:tc>
          <w:tcPr>
            <w:tcW w:w="2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The NASDAQ Capital Market</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360" w:type="dxa"/>
            <w:vAlign w:val="bottom"/>
            <w:gridSpan w:val="5"/>
          </w:tcPr>
          <w:p>
            <w:pPr>
              <w:jc w:val="center"/>
              <w:ind w:left="131"/>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None</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20" w:type="dxa"/>
            <w:vAlign w:val="bottom"/>
            <w:gridSpan w:val="3"/>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18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5"/>
        </w:trPr>
        <w:tc>
          <w:tcPr>
            <w:tcW w:w="7240" w:type="dxa"/>
            <w:vAlign w:val="bottom"/>
            <w:gridSpan w:val="5"/>
          </w:tcPr>
          <w:p>
            <w:pPr>
              <w:ind w:left="36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40" w:type="dxa"/>
            <w:vAlign w:val="bottom"/>
            <w:gridSpan w:val="5"/>
          </w:tcPr>
          <w:p>
            <w:pPr>
              <w:ind w:left="36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80" w:type="dxa"/>
            <w:vAlign w:val="bottom"/>
          </w:tcPr>
          <w:p>
            <w:pPr>
              <w:spacing w:after="0"/>
              <w:rPr>
                <w:sz w:val="24"/>
                <w:szCs w:val="24"/>
                <w:color w:val="auto"/>
              </w:rPr>
            </w:pPr>
          </w:p>
        </w:tc>
        <w:tc>
          <w:tcPr>
            <w:tcW w:w="480" w:type="dxa"/>
            <w:vAlign w:val="bottom"/>
          </w:tcPr>
          <w:p>
            <w:pPr>
              <w:ind w:left="4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218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firstLine="34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342"/>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320" w:firstLine="34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180" w:firstLine="34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65" w:lineRule="exact"/>
        <w:rPr>
          <w:sz w:val="24"/>
          <w:szCs w:val="24"/>
          <w:color w:val="auto"/>
        </w:rPr>
      </w:pPr>
    </w:p>
    <w:p>
      <w:pPr>
        <w:spacing w:after="0" w:line="161" w:lineRule="exact"/>
        <w:tabs>
          <w:tab w:leader="none" w:pos="1700" w:val="left"/>
          <w:tab w:leader="none" w:pos="92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23" w:lineRule="exact"/>
        <w:rPr>
          <w:sz w:val="24"/>
          <w:szCs w:val="24"/>
          <w:color w:val="auto"/>
        </w:rPr>
      </w:pPr>
    </w:p>
    <w:p>
      <w:pPr>
        <w:spacing w:after="0" w:line="161" w:lineRule="exact"/>
        <w:tabs>
          <w:tab w:leader="none" w:pos="1700" w:val="left"/>
          <w:tab w:leader="none" w:pos="9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23" w:lineRule="exact"/>
        <w:rPr>
          <w:sz w:val="24"/>
          <w:szCs w:val="24"/>
          <w:color w:val="auto"/>
        </w:rPr>
      </w:pPr>
    </w:p>
    <w:p>
      <w:pPr>
        <w:ind w:left="360"/>
        <w:spacing w:after="0" w:line="161" w:lineRule="exact"/>
        <w:tabs>
          <w:tab w:leader="none" w:pos="7000" w:val="left"/>
          <w:tab w:leader="none" w:pos="75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firstLine="342"/>
        <w:spacing w:after="0" w:line="253"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sold, or the average bid and asked price of such common equity, as of June 30, 2016 was $35.6 million.</w:t>
      </w:r>
    </w:p>
    <w:p>
      <w:pPr>
        <w:spacing w:after="0" w:line="66"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 number of shares outstanding of the registrant’s common stock as of March 9, 2017 was 34,064,787.</w:t>
      </w:r>
    </w:p>
    <w:p>
      <w:pPr>
        <w:spacing w:after="0" w:line="9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Portions of the definitive Proxy Statement for the 2017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1180" w:space="100"/>
            <w:col w:w="14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gridSpan w:val="8"/>
          </w:tcPr>
          <w:p>
            <w:pPr>
              <w:jc w:val="center"/>
              <w:ind w:right="4200"/>
              <w:spacing w:after="0"/>
              <w:rPr>
                <w:sz w:val="20"/>
                <w:szCs w:val="20"/>
                <w:color w:val="auto"/>
              </w:rPr>
            </w:pPr>
            <w:r>
              <w:rPr>
                <w:rFonts w:ascii="Arial" w:cs="Arial" w:eastAsia="Arial" w:hAnsi="Arial"/>
                <w:sz w:val="18"/>
                <w:szCs w:val="18"/>
                <w:b w:val="1"/>
                <w:bCs w:val="1"/>
                <w:color w:val="auto"/>
              </w:rPr>
              <w:t>INDEX TO FORM 10-K</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20" w:type="dxa"/>
            <w:vAlign w:val="bottom"/>
            <w:gridSpan w:val="11"/>
          </w:tcPr>
          <w:p>
            <w:pPr>
              <w:jc w:val="center"/>
              <w:ind w:right="2900"/>
              <w:spacing w:after="0"/>
              <w:rPr>
                <w:sz w:val="20"/>
                <w:szCs w:val="20"/>
                <w:color w:val="auto"/>
              </w:rPr>
            </w:pPr>
            <w:r>
              <w:rPr>
                <w:rFonts w:ascii="Arial" w:cs="Arial" w:eastAsia="Arial" w:hAnsi="Arial"/>
                <w:sz w:val="18"/>
                <w:szCs w:val="18"/>
                <w:b w:val="1"/>
                <w:bCs w:val="1"/>
                <w:color w:val="auto"/>
                <w:w w:val="98"/>
              </w:rPr>
              <w:t>FOR THE YEAR ENDED DECEMBER 31, 2016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1</w:t>
              </w:r>
            </w:hyperlink>
          </w:p>
        </w:tc>
        <w:tc>
          <w:tcPr>
            <w:tcW w:w="70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620" w:type="dxa"/>
            <w:vAlign w:val="bottom"/>
            <w:tcBorders>
              <w:bottom w:val="single" w:sz="8" w:color="0000EE"/>
            </w:tcBorders>
            <w:vMerge w:val="continue"/>
          </w:tcPr>
          <w:p>
            <w:pPr>
              <w:spacing w:after="0"/>
              <w:rPr>
                <w:sz w:val="13"/>
                <w:szCs w:val="13"/>
                <w:color w:val="auto"/>
              </w:rPr>
            </w:pPr>
          </w:p>
        </w:tc>
        <w:tc>
          <w:tcPr>
            <w:tcW w:w="70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02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66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96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76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832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660" w:type="dxa"/>
            <w:vAlign w:val="bottom"/>
            <w:gridSpan w:val="4"/>
          </w:tcPr>
          <w:p>
            <w:pPr>
              <w:spacing w:after="0"/>
              <w:rPr>
                <w:sz w:val="24"/>
                <w:szCs w:val="24"/>
                <w:color w:val="auto"/>
              </w:rPr>
            </w:pPr>
          </w:p>
        </w:tc>
        <w:tc>
          <w:tcPr>
            <w:tcW w:w="80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Market for Registrant’s Common Equity, Related Stockholder Matters and Issuer Purchases of Equity Securities</w:t>
              </w:r>
            </w:hyperlink>
          </w:p>
        </w:tc>
        <w:tc>
          <w:tcPr>
            <w:tcW w:w="1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Discussions About Market Risk</w:t>
              </w:r>
            </w:hyperlink>
          </w:p>
        </w:tc>
        <w:tc>
          <w:tcPr>
            <w:tcW w:w="52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8.</w:t>
            </w:r>
          </w:p>
        </w:tc>
        <w:tc>
          <w:tcPr>
            <w:tcW w:w="966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31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9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III</w:t>
              </w:r>
            </w:hyperlink>
          </w:p>
        </w:tc>
        <w:tc>
          <w:tcPr>
            <w:tcW w:w="5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Directors, Executive Officers and Corporate Governance</w:t>
              </w:r>
            </w:hyperlink>
          </w:p>
        </w:tc>
        <w:tc>
          <w:tcPr>
            <w:tcW w:w="55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966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Security Ownership of Certain Beneficial Owners and Management and Related Stockholder Matters</w:t>
              </w:r>
            </w:hyperlink>
          </w:p>
        </w:tc>
        <w:tc>
          <w:tcPr>
            <w:tcW w:w="236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966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Certain Relationships, Related Transactions and Director Independence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140" w:type="dxa"/>
            <w:vAlign w:val="bottom"/>
            <w:tcBorders>
              <w:top w:val="single" w:sz="8" w:color="0000EE"/>
            </w:tcBorders>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Principal Accountant Fees and Services</w:t>
              </w:r>
            </w:hyperlink>
          </w:p>
        </w:tc>
        <w:tc>
          <w:tcPr>
            <w:tcW w:w="452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5"/>
              </w:rPr>
              <w:t>ITEM 15.</w:t>
            </w:r>
          </w:p>
        </w:tc>
        <w:tc>
          <w:tcPr>
            <w:tcW w:w="600" w:type="dxa"/>
            <w:vAlign w:val="bottom"/>
            <w:gridSpan w:val="3"/>
          </w:tcPr>
          <w:p>
            <w:pPr>
              <w:spacing w:after="0"/>
              <w:rPr>
                <w:sz w:val="24"/>
                <w:szCs w:val="24"/>
                <w:color w:val="auto"/>
              </w:rPr>
            </w:pPr>
          </w:p>
        </w:tc>
        <w:tc>
          <w:tcPr>
            <w:tcW w:w="966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8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 using this inhibitor to treat advanced liver fibrosis and liver cirrhosis in NASH (non-alcoholic steatohepatitis) patients. We have completed two Phase 1 clinical studies, one Phase 2 clinical study in NASH patients with advanced fibrosis (NASH-FX) and have one ongoing Phase 2 clinical study in NASH patients with cirrhosis (NASH-CX).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6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a discovery program aimed at the targeted development of small molecules (non-carbohydrate) that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and severe skin disease including moderate to severe plaque psoriasis and severe atopic dermatitis. Our clinical development efforts are focused on both liver fibrosis and fatty liver disease as represented by a Phase 2 clinical trial in NASH-cirrhosis which will report top line data in December, 2017. All of our proposed products are presently in development, including pre-clinical and clinical trials.</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on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p>
      <w:pPr>
        <w:spacing w:after="0"/>
        <w:tabs>
          <w:tab w:leader="none" w:pos="4400" w:val="left"/>
          <w:tab w:leader="none" w:pos="8120" w:val="left"/>
        </w:tabs>
        <w:rPr>
          <w:sz w:val="20"/>
          <w:szCs w:val="20"/>
          <w:color w:val="auto"/>
        </w:rPr>
      </w:pPr>
      <w:r>
        <w:rPr>
          <w:rFonts w:ascii="Arial" w:cs="Arial" w:eastAsia="Arial" w:hAnsi="Arial"/>
          <w:sz w:val="14"/>
          <w:szCs w:val="14"/>
          <w:b w:val="1"/>
          <w:bCs w:val="1"/>
          <w:color w:val="auto"/>
        </w:rPr>
        <w:t>Indication</w:t>
      </w:r>
      <w:r>
        <w:rPr>
          <w:sz w:val="20"/>
          <w:szCs w:val="20"/>
          <w:color w:val="auto"/>
        </w:rPr>
        <w:tab/>
      </w:r>
      <w:r>
        <w:rPr>
          <w:rFonts w:ascii="Arial" w:cs="Arial" w:eastAsia="Arial" w:hAnsi="Arial"/>
          <w:sz w:val="14"/>
          <w:szCs w:val="14"/>
          <w:b w:val="1"/>
          <w:bCs w:val="1"/>
          <w:color w:val="auto"/>
        </w:rPr>
        <w:t>Drug</w:t>
      </w:r>
      <w:r>
        <w:rPr>
          <w:sz w:val="20"/>
          <w:szCs w:val="20"/>
          <w:color w:val="auto"/>
        </w:rPr>
        <w:tab/>
      </w:r>
      <w:r>
        <w:rPr>
          <w:rFonts w:ascii="Arial" w:cs="Arial" w:eastAsia="Arial" w:hAnsi="Arial"/>
          <w:sz w:val="12"/>
          <w:szCs w:val="12"/>
          <w:b w:val="1"/>
          <w:bCs w:val="1"/>
          <w:color w:val="auto"/>
        </w:rPr>
        <w:t>Status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Fibrosis</w:t>
      </w:r>
    </w:p>
    <w:p>
      <w:pPr>
        <w:sectPr>
          <w:pgSz w:w="11900" w:h="16838" w:orient="portrait"/>
          <w:cols w:equalWidth="0" w:num="1">
            <w:col w:w="11400"/>
          </w:cols>
          <w:pgMar w:left="240" w:top="459" w:right="259" w:bottom="1440" w:gutter="0" w:footer="0" w:header="0"/>
        </w:sectPr>
      </w:pPr>
    </w:p>
    <w:p>
      <w:pPr>
        <w:spacing w:after="0" w:line="101"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NASH with Advanced Fibrosis: NASH-CX trial and</w:t>
      </w:r>
      <w:r>
        <w:rPr>
          <w:sz w:val="20"/>
          <w:szCs w:val="20"/>
          <w:color w:val="auto"/>
        </w:rPr>
        <w:tab/>
      </w:r>
      <w:r>
        <w:rPr>
          <w:rFonts w:ascii="Arial" w:cs="Arial" w:eastAsia="Arial" w:hAnsi="Arial"/>
          <w:sz w:val="17"/>
          <w:szCs w:val="17"/>
          <w:color w:val="auto"/>
        </w:rPr>
        <w:t>GR-MD-02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NASH-FX trial</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IND submitted January 2013. Results from the Phase 1 clinical trial were reported in 2014, with final results reported in January 2015. End of Phase 1 meeting held with FDA in 2014. Two Phase 2 clinical trials were designed. The NASH CX trial, was designed for patients with cirrhosis, and the NASH FX trial was designed for patients with advanced fibrosis but not cirrhosis. The NASH FX trial top line data was reported in September 2016 and the NASH CX trial top line data is expected in December 2017.</w:t>
      </w:r>
    </w:p>
    <w:p>
      <w:pPr>
        <w:spacing w:after="0" w:line="61" w:lineRule="exact"/>
        <w:rPr>
          <w:sz w:val="20"/>
          <w:szCs w:val="20"/>
          <w:color w:val="auto"/>
        </w:rPr>
      </w:pPr>
    </w:p>
    <w:p>
      <w:pPr>
        <w:sectPr>
          <w:pgSz w:w="11900" w:h="16838" w:orient="portrait"/>
          <w:cols w:equalWidth="0" w:num="2">
            <w:col w:w="7420" w:space="720"/>
            <w:col w:w="3260"/>
          </w:cols>
          <w:pgMar w:left="240" w:top="459" w:right="259" w:bottom="1440" w:gutter="0" w:footer="0" w:header="0"/>
          <w:type w:val="continuous"/>
        </w:sectPr>
      </w:pPr>
    </w:p>
    <w:p>
      <w:pPr>
        <w:spacing w:after="0"/>
        <w:tabs>
          <w:tab w:leader="none" w:pos="4400" w:val="left"/>
          <w:tab w:leader="none" w:pos="8120" w:val="left"/>
        </w:tabs>
        <w:rPr>
          <w:sz w:val="20"/>
          <w:szCs w:val="20"/>
          <w:color w:val="auto"/>
        </w:rPr>
      </w:pPr>
      <w:r>
        <w:rPr>
          <w:rFonts w:ascii="Arial" w:cs="Arial" w:eastAsia="Arial" w:hAnsi="Arial"/>
          <w:sz w:val="18"/>
          <w:szCs w:val="18"/>
          <w:color w:val="auto"/>
        </w:rPr>
        <w:t>Lung Fibrosis</w:t>
      </w:r>
      <w:r>
        <w:rPr>
          <w:sz w:val="20"/>
          <w:szCs w:val="20"/>
          <w:color w:val="auto"/>
        </w:rPr>
        <w:tab/>
      </w:r>
      <w:r>
        <w:rPr>
          <w:rFonts w:ascii="Arial" w:cs="Arial" w:eastAsia="Arial" w:hAnsi="Arial"/>
          <w:sz w:val="18"/>
          <w:szCs w:val="18"/>
          <w:color w:val="auto"/>
        </w:rPr>
        <w:t>GR-MD-02</w:t>
      </w:r>
      <w:r>
        <w:rPr>
          <w:sz w:val="20"/>
          <w:szCs w:val="20"/>
          <w:color w:val="auto"/>
        </w:rPr>
        <w:tab/>
      </w:r>
      <w:r>
        <w:rPr>
          <w:rFonts w:ascii="Arial" w:cs="Arial" w:eastAsia="Arial" w:hAnsi="Arial"/>
          <w:sz w:val="16"/>
          <w:szCs w:val="16"/>
          <w:color w:val="auto"/>
        </w:rPr>
        <w:t>In pre-clinical development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3740" w:type="dxa"/>
            <w:vAlign w:val="bottom"/>
          </w:tcPr>
          <w:p>
            <w:pPr>
              <w:ind w:left="880"/>
              <w:spacing w:after="0"/>
              <w:rPr>
                <w:sz w:val="20"/>
                <w:szCs w:val="20"/>
                <w:color w:val="auto"/>
              </w:rPr>
            </w:pPr>
            <w:r>
              <w:rPr>
                <w:rFonts w:ascii="Arial" w:cs="Arial" w:eastAsia="Arial" w:hAnsi="Arial"/>
                <w:sz w:val="14"/>
                <w:szCs w:val="14"/>
                <w:b w:val="1"/>
                <w:bCs w:val="1"/>
                <w:color w:val="auto"/>
              </w:rPr>
              <w:t>Drug</w:t>
            </w:r>
          </w:p>
        </w:tc>
        <w:tc>
          <w:tcPr>
            <w:tcW w:w="4100" w:type="dxa"/>
            <w:vAlign w:val="bottom"/>
          </w:tcPr>
          <w:p>
            <w:pPr>
              <w:ind w:left="860"/>
              <w:spacing w:after="0"/>
              <w:rPr>
                <w:sz w:val="20"/>
                <w:szCs w:val="20"/>
                <w:color w:val="auto"/>
              </w:rPr>
            </w:pPr>
            <w:r>
              <w:rPr>
                <w:rFonts w:ascii="Arial" w:cs="Arial" w:eastAsia="Arial" w:hAnsi="Arial"/>
                <w:sz w:val="14"/>
                <w:szCs w:val="14"/>
                <w:b w:val="1"/>
                <w:bCs w:val="1"/>
                <w:color w:val="auto"/>
              </w:rPr>
              <w:t>Status</w:t>
            </w:r>
          </w:p>
        </w:tc>
      </w:tr>
      <w:tr>
        <w:trPr>
          <w:trHeight w:val="309"/>
        </w:trPr>
        <w:tc>
          <w:tcPr>
            <w:tcW w:w="3540" w:type="dxa"/>
            <w:vAlign w:val="bottom"/>
          </w:tcPr>
          <w:p>
            <w:pPr>
              <w:spacing w:after="0"/>
              <w:rPr>
                <w:sz w:val="20"/>
                <w:szCs w:val="20"/>
                <w:color w:val="auto"/>
              </w:rPr>
            </w:pPr>
            <w:r>
              <w:rPr>
                <w:rFonts w:ascii="Arial" w:cs="Arial" w:eastAsia="Arial" w:hAnsi="Arial"/>
                <w:sz w:val="18"/>
                <w:szCs w:val="18"/>
                <w:color w:val="auto"/>
              </w:rPr>
              <w:t>Kidney Fibrosis</w:t>
            </w:r>
          </w:p>
        </w:tc>
        <w:tc>
          <w:tcPr>
            <w:tcW w:w="3740" w:type="dxa"/>
            <w:vAlign w:val="bottom"/>
          </w:tcPr>
          <w:p>
            <w:pPr>
              <w:ind w:left="880"/>
              <w:spacing w:after="0"/>
              <w:rPr>
                <w:sz w:val="20"/>
                <w:szCs w:val="20"/>
                <w:color w:val="auto"/>
              </w:rPr>
            </w:pPr>
            <w:r>
              <w:rPr>
                <w:rFonts w:ascii="Arial" w:cs="Arial" w:eastAsia="Arial" w:hAnsi="Arial"/>
                <w:sz w:val="18"/>
                <w:szCs w:val="18"/>
                <w:color w:val="auto"/>
              </w:rPr>
              <w:t>GR-MD-02</w:t>
            </w:r>
          </w:p>
        </w:tc>
        <w:tc>
          <w:tcPr>
            <w:tcW w:w="4100" w:type="dxa"/>
            <w:vAlign w:val="bottom"/>
          </w:tcPr>
          <w:p>
            <w:pPr>
              <w:ind w:left="860"/>
              <w:spacing w:after="0"/>
              <w:rPr>
                <w:sz w:val="20"/>
                <w:szCs w:val="20"/>
                <w:color w:val="auto"/>
              </w:rPr>
            </w:pPr>
            <w:r>
              <w:rPr>
                <w:rFonts w:ascii="Arial" w:cs="Arial" w:eastAsia="Arial" w:hAnsi="Arial"/>
                <w:sz w:val="18"/>
                <w:szCs w:val="18"/>
                <w:color w:val="auto"/>
              </w:rPr>
              <w:t>In pre-clinical development</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3740" w:type="dxa"/>
            <w:vAlign w:val="bottom"/>
          </w:tcPr>
          <w:p>
            <w:pPr>
              <w:ind w:left="880"/>
              <w:spacing w:after="0"/>
              <w:rPr>
                <w:sz w:val="20"/>
                <w:szCs w:val="20"/>
                <w:color w:val="auto"/>
              </w:rPr>
            </w:pPr>
            <w:r>
              <w:rPr>
                <w:rFonts w:ascii="Arial" w:cs="Arial" w:eastAsia="Arial" w:hAnsi="Arial"/>
                <w:sz w:val="18"/>
                <w:szCs w:val="18"/>
                <w:color w:val="auto"/>
              </w:rPr>
              <w:t>GR-MD-02 and GM-CT-01</w:t>
            </w:r>
          </w:p>
        </w:tc>
        <w:tc>
          <w:tcPr>
            <w:tcW w:w="4100" w:type="dxa"/>
            <w:vAlign w:val="bottom"/>
          </w:tcPr>
          <w:p>
            <w:pPr>
              <w:ind w:left="860"/>
              <w:spacing w:after="0"/>
              <w:rPr>
                <w:sz w:val="20"/>
                <w:szCs w:val="20"/>
                <w:color w:val="auto"/>
              </w:rPr>
            </w:pPr>
            <w:r>
              <w:rPr>
                <w:rFonts w:ascii="Arial" w:cs="Arial" w:eastAsia="Arial" w:hAnsi="Arial"/>
                <w:sz w:val="18"/>
                <w:szCs w:val="18"/>
                <w:color w:val="auto"/>
              </w:rPr>
              <w:t>In pre-clinical development</w:t>
            </w:r>
          </w:p>
        </w:tc>
      </w:tr>
      <w:tr>
        <w:trPr>
          <w:trHeight w:val="324"/>
        </w:trPr>
        <w:tc>
          <w:tcPr>
            <w:tcW w:w="354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37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10"/>
        </w:trPr>
        <w:tc>
          <w:tcPr>
            <w:tcW w:w="3540" w:type="dxa"/>
            <w:vAlign w:val="bottom"/>
          </w:tcPr>
          <w:p>
            <w:pPr>
              <w:spacing w:after="0"/>
              <w:rPr>
                <w:sz w:val="20"/>
                <w:szCs w:val="20"/>
                <w:color w:val="auto"/>
              </w:rPr>
            </w:pPr>
            <w:r>
              <w:rPr>
                <w:rFonts w:ascii="Arial" w:cs="Arial" w:eastAsia="Arial" w:hAnsi="Arial"/>
                <w:sz w:val="18"/>
                <w:szCs w:val="18"/>
                <w:color w:val="auto"/>
              </w:rPr>
              <w:t>Melanoma</w:t>
            </w:r>
          </w:p>
        </w:tc>
        <w:tc>
          <w:tcPr>
            <w:tcW w:w="3740" w:type="dxa"/>
            <w:vAlign w:val="bottom"/>
          </w:tcPr>
          <w:p>
            <w:pPr>
              <w:ind w:left="880"/>
              <w:spacing w:after="0"/>
              <w:rPr>
                <w:sz w:val="20"/>
                <w:szCs w:val="20"/>
                <w:color w:val="auto"/>
              </w:rPr>
            </w:pPr>
            <w:r>
              <w:rPr>
                <w:rFonts w:ascii="Arial" w:cs="Arial" w:eastAsia="Arial" w:hAnsi="Arial"/>
                <w:sz w:val="18"/>
                <w:szCs w:val="18"/>
                <w:color w:val="auto"/>
              </w:rPr>
              <w:t>GR-MD-02</w:t>
            </w:r>
          </w:p>
        </w:tc>
        <w:tc>
          <w:tcPr>
            <w:tcW w:w="4100" w:type="dxa"/>
            <w:vAlign w:val="bottom"/>
          </w:tcPr>
          <w:p>
            <w:pPr>
              <w:ind w:left="860"/>
              <w:spacing w:after="0"/>
              <w:rPr>
                <w:sz w:val="20"/>
                <w:szCs w:val="20"/>
                <w:color w:val="auto"/>
              </w:rPr>
            </w:pPr>
            <w:r>
              <w:rPr>
                <w:rFonts w:ascii="Arial" w:cs="Arial" w:eastAsia="Arial" w:hAnsi="Arial"/>
                <w:sz w:val="18"/>
                <w:szCs w:val="18"/>
                <w:color w:val="auto"/>
              </w:rPr>
              <w:t>Investigator IND submitted in December</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2"/>
              </w:rPr>
              <w:t>2013. Phase 1B study in process. A second</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Phase 1B study began in Q-1 2016.</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4"/>
              </w:rPr>
              <w:t>Investigator IND for that study submitted in</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1"/>
              </w:rPr>
              <w:t>September 2015. Early data was reported in</w:t>
            </w:r>
          </w:p>
        </w:tc>
      </w:tr>
      <w:tr>
        <w:trPr>
          <w:trHeight w:val="230"/>
        </w:trPr>
        <w:tc>
          <w:tcPr>
            <w:tcW w:w="3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9"/>
              </w:rPr>
              <w:t>February 2017 and studies will continue.</w:t>
            </w:r>
          </w:p>
        </w:tc>
      </w:tr>
      <w:tr>
        <w:trPr>
          <w:trHeight w:val="324"/>
        </w:trPr>
        <w:tc>
          <w:tcPr>
            <w:tcW w:w="3540" w:type="dxa"/>
            <w:vAlign w:val="bottom"/>
          </w:tcPr>
          <w:p>
            <w:pPr>
              <w:spacing w:after="0"/>
              <w:rPr>
                <w:sz w:val="20"/>
                <w:szCs w:val="20"/>
                <w:color w:val="auto"/>
              </w:rPr>
            </w:pPr>
            <w:r>
              <w:rPr>
                <w:rFonts w:ascii="Arial" w:cs="Arial" w:eastAsia="Arial" w:hAnsi="Arial"/>
                <w:sz w:val="18"/>
                <w:szCs w:val="18"/>
                <w:b w:val="1"/>
                <w:bCs w:val="1"/>
                <w:color w:val="auto"/>
              </w:rPr>
              <w:t>Psoriasis</w:t>
            </w:r>
          </w:p>
        </w:tc>
        <w:tc>
          <w:tcPr>
            <w:tcW w:w="37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10"/>
        </w:trPr>
        <w:tc>
          <w:tcPr>
            <w:tcW w:w="354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3740" w:type="dxa"/>
            <w:vAlign w:val="bottom"/>
          </w:tcPr>
          <w:p>
            <w:pPr>
              <w:ind w:left="880"/>
              <w:spacing w:after="0"/>
              <w:rPr>
                <w:sz w:val="20"/>
                <w:szCs w:val="20"/>
                <w:color w:val="auto"/>
              </w:rPr>
            </w:pPr>
            <w:r>
              <w:rPr>
                <w:rFonts w:ascii="Arial" w:cs="Arial" w:eastAsia="Arial" w:hAnsi="Arial"/>
                <w:sz w:val="18"/>
                <w:szCs w:val="18"/>
                <w:color w:val="auto"/>
              </w:rPr>
              <w:t>GR-MD-02</w:t>
            </w:r>
          </w:p>
        </w:tc>
        <w:tc>
          <w:tcPr>
            <w:tcW w:w="4100" w:type="dxa"/>
            <w:vAlign w:val="bottom"/>
          </w:tcPr>
          <w:p>
            <w:pPr>
              <w:ind w:left="860"/>
              <w:spacing w:after="0"/>
              <w:rPr>
                <w:sz w:val="20"/>
                <w:szCs w:val="20"/>
                <w:color w:val="auto"/>
              </w:rPr>
            </w:pPr>
            <w:r>
              <w:rPr>
                <w:rFonts w:ascii="Arial" w:cs="Arial" w:eastAsia="Arial" w:hAnsi="Arial"/>
                <w:sz w:val="18"/>
                <w:szCs w:val="18"/>
                <w:color w:val="auto"/>
                <w:w w:val="92"/>
              </w:rPr>
              <w:t>IND submitted March 2015. A phase 2a trial</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in moderate to severe plaque psoriasis</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0"/>
              </w:rPr>
              <w:t>patients began in January 2016. Interim data</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6"/>
              </w:rPr>
              <w:t>on the first four patients were positive and</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2"/>
              </w:rPr>
              <w:t>were reported in May 2016. Further positive</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data was reported in September 2016.</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Investigator initiated IND submitted for</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89"/>
              </w:rPr>
              <w:t>treatment of three patients with severe atopic</w:t>
            </w:r>
          </w:p>
        </w:tc>
      </w:tr>
      <w:tr>
        <w:trPr>
          <w:trHeight w:val="216"/>
        </w:trPr>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dermatitis, with positive preliminary data</w:t>
            </w:r>
          </w:p>
        </w:tc>
      </w:tr>
      <w:tr>
        <w:trPr>
          <w:trHeight w:val="230"/>
        </w:trPr>
        <w:tc>
          <w:tcPr>
            <w:tcW w:w="3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presented in February 2017.</w:t>
            </w:r>
          </w:p>
        </w:tc>
      </w:tr>
    </w:tbl>
    <w:p>
      <w:pPr>
        <w:spacing w:after="0" w:line="2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7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Galectin to expand the number of patients eligible for its Phase 2 clinical trial. In addition, should GR-MD-02 be approved for marketing, the success of this study supports a broader patient population for the drug label.</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 in future studies. Top line data readout is expected in December 2017.</w:t>
      </w:r>
    </w:p>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second trial, our Phase 2a pilot trial NASH-FX for patients with NASH advanced fibrosis that explored use of three non-invasive imaging technologies, is now complete. It was a shorter,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 score. We, and many experts in the field, now believe that a four month treatment period is not sufficient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variety of animal models.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5"/>
          <w:szCs w:val="15"/>
          <w:color w:val="auto"/>
        </w:rPr>
        <w:t>®</w:t>
      </w:r>
      <w:r>
        <w:rPr>
          <w:rFonts w:ascii="Arial" w:cs="Arial" w:eastAsia="Arial" w:hAnsi="Arial"/>
          <w:sz w:val="18"/>
          <w:szCs w:val="18"/>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9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Severe skin diseases. </w:t>
      </w:r>
      <w:r>
        <w:rPr>
          <w:rFonts w:ascii="Arial" w:cs="Arial" w:eastAsia="Arial" w:hAnsi="Arial"/>
          <w:sz w:val="18"/>
          <w:szCs w:val="18"/>
          <w:color w:val="auto"/>
        </w:rPr>
        <w:t>During our Phase 1 NASH fibrosis trial with GR-MD-02, a clinical effect on plaque psoriasis was observed in a NASH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9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believe the mechanism of action for GR-MD-02 is based upon interaction with, and inhibition of, galectin proteins, particularly galectin-3, which are expressed at high levels in certain pathological states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Fibrosis: New Approach for a Significant Unmet Medical Need</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When an internal organ is exposed to chronic disease one of the responses is that scar tissue is laid down in the organ (this process is called fibrosis). The longer the disease affects the organ, the more fibrous tissue is deposited and this ultimately results in the failure of the organ. This chronic fibrosis of organs may occur in the liver, lung, kidney, and heart, as well as others and, as a result, fibrosis of organs has been estimated to account for as much as 45% of all mortality in the United States. Scientific findings during the last few years indicate that the galectin-3 protein is critically important in this fibrotic process in multiple organs.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liver, fibrosis is the end result of multiple inflammatory conditions and infections. Progressive liver fibrosis leads to cirrhosis, which results in reduction of liver function, multiple medical complications and ultimately death. It is estimated that one to two million patients have cirrhosis in the United States with close to 50,000 losing their lives yearly. Only a fraction of patients’ lives, approximately 6,200 per year, are saved by liver transplantation at a cost of approximately $350,000 per transplantation. 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 of Health estimates that 9 to 15 million Americans are affected by NASH, and other sources suggest it may be as many as 30 million people have NASH, and forecasts that the number of Americans affected by this disease is growing due to obesity and diabetes, with the potential to become the leading cause of liver cirrhosis and liver transplantation in the future. Liver transplantation is currently the only therapeutic approach to NASH or other forms of liver fibrosis as, to the best of our knowledge, there are no drug therapies on the market. Organ transplantation is a difficult, risky and costly procedure as organ availability is scarce. There is also the risk of developing cirrhosis in the transplanted liver from the same disease that damaged the patient’s original liver and therefore, there is a great need for other therapeutic options. All diseases that affect the liver (viral hepatitis, alcoholic liver disease, and fatty liver as examples) lead to the development of scarring of the liver.</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primary focus of the Company is to use galectin inhibitors to block galectin-3 and treat organ scarring or fibrosis in the liver. There are no approved therapies for treatment of liver fibrosis. We believe that our drug candidates have the potential to treat NASH and other forms of liver fibrosis. Scientific evidence suggests that galectin-3 is essential for the development of liver fibrosis in animals. Published data show that mice lacking the galectin-3 gene, and thus unable to produce galectin-3, are essentially incapable of developing liver fibrosis in response to toxic insult to the liver and in fatty liver disease. Moreover, mice that do not have the galectin-3 gene are resistant to lung and kidney fibrosis.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future therapeutic indications.</w:t>
      </w:r>
    </w:p>
    <w:p>
      <w:pPr>
        <w:spacing w:after="0" w:line="178"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evaluated GR-MD-02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1 clinical trials to evaluate safety of GR-MD-02 in patients with NASH. The FDA notified us in March 2013 that we may proceed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with a Phase 1 clinical trial for patients with NASH and we began enrolling patients in the Phase 1 clinical trial in the third quarter of 2013. In August 2013, GR-MD-02 was granted Fast Track designation by the FDA for NASH with hepatic fibrosis, commonly known as fatty liver disease with advanced fibrosis.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w:t>
      </w:r>
    </w:p>
    <w:p>
      <w:pPr>
        <w:spacing w:after="0" w:line="4" w:lineRule="exact"/>
        <w:rPr>
          <w:sz w:val="20"/>
          <w:szCs w:val="20"/>
          <w:color w:val="auto"/>
        </w:rPr>
      </w:pPr>
    </w:p>
    <w:p>
      <w:pPr>
        <w:ind w:right="160" w:firstLine="8"/>
        <w:spacing w:after="0" w:line="274"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Liver Stiffness Effect, as measured by FibroScan</w:t>
      </w:r>
      <w:r>
        <w:rPr>
          <w:rFonts w:ascii="Arial" w:cs="Arial" w:eastAsia="Arial" w:hAnsi="Arial"/>
          <w:sz w:val="14"/>
          <w:szCs w:val="14"/>
          <w:color w:val="auto"/>
        </w:rPr>
        <w:t>®</w:t>
      </w:r>
      <w:r>
        <w:rPr>
          <w:rFonts w:ascii="Arial" w:cs="Arial" w:eastAsia="Arial" w:hAnsi="Arial"/>
          <w:sz w:val="17"/>
          <w:szCs w:val="17"/>
          <w:color w:val="auto"/>
        </w:rPr>
        <w:t xml:space="preserve"> showed that there was a signal of reduced liver stiffness in patients receiving GR-MD-02. The reduction seen in A2M does </w:t>
      </w:r>
      <w:r>
        <w:rPr>
          <w:rFonts w:ascii="Arial" w:cs="Arial" w:eastAsia="Arial" w:hAnsi="Arial"/>
          <w:sz w:val="17"/>
          <w:szCs w:val="17"/>
          <w:i w:val="1"/>
          <w:iCs w:val="1"/>
          <w:color w:val="auto"/>
        </w:rPr>
        <w:t>not</w:t>
      </w:r>
      <w:r>
        <w:rPr>
          <w:rFonts w:ascii="Arial" w:cs="Arial" w:eastAsia="Arial" w:hAnsi="Arial"/>
          <w:sz w:val="17"/>
          <w:szCs w:val="17"/>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in addition to completion of further toxicology and drug-drug interaction studies provided a firm foundation for entry into a Phase 2 development program (described above).</w:t>
      </w:r>
    </w:p>
    <w:p>
      <w:pPr>
        <w:spacing w:after="0" w:line="17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GR-MD-02 is a proprietary, patented galactoarabino-rhamnogalacturonan polysaccharide polymer that is comprised predominantly of galacturonic acid, galactose, arabinose, rhamnose, and smaller amounts of other sugars. Structural studies have shown that GR-MD-02 binds to galectin-1 and to galectin-3 with binding affinity to galectin-3 being significantly greater than binding to galectin-1. With respect to GR-MD-02, we currently have a number of issued US patents including one composition of matter patent, one method of manufacture patent, one method of use patient in patients with NASH, one method of use patent in patients with liver fibrosis, and one method of use patent in patients with diabetic kidney disease. Additional patent applications are pending with respect to, amongst other uses, cancer immunotherapy, lung fibrotic disease, and inflammatory disease associated with increase in inducible nitric oxide synthase. Patents have also been granted with respect to liver fibrosis, NASH, and liver fibrosis in combination with other therapeutic agents. Compounds for subcutaneous administration and oral delivery are currently under pre-clinical development.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Inhibition in Cancer Therapy</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 demonstrating that galectin-3, which is produced by the vast majority of human cancers, binds to and blocks the actions of tumor-infiltrating T-lymphocytes, the major immune cell in the body’s defense against cancers. In addition, Dr. William L. Redmond of Providence Portland Medical Center’s Earl A. Chiles Research Institute (EACRI) has shown that our galectin inhibitors can enhance the anti-tumor immunogenic effect of other immunotherapies based on targeting lymphocyte checkpoints such as CTLA4. Based on these results, we believe that the body’s immune cells may be unable to attack and kill tumor cells in the presence of galectins. Using this approach, the mechanism of action for our drugs seeks to block galectins and, in turn, restore the ability of the T-lymphocytes to kill tumor cells.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preclinical study found that GR-MD-02 increased tumor shrinkage and enhanced survival in immune competent mice with prostate and breast cancers when combined with one of the immune checkpoint inhibitors, anti-CTLA-4 or anti-PD-1. These findings suggest a role for GR-MD-02 in cancer immunotherapy. These preclinical observations by Dr Redmond provided scientific rationale for proceeding and lead to the filing by Providence Portland Medical Center of an Investigator-sponsored IND to conduct a Phase 1B study to determine if GR-MD-02 enhances the probability of melanoma response with ipilimumab by inducing proliferation, activation and memory function of CD8+ T cells in human patients. The company has licensed the underlying invention from Providence Portland Medical Center. This study represents a novel approach for patients with metastatic melanoma. The IND was approved by FDA in February 2014. This study is being conducted under the sponsorship of Providence Portland Medical Center’s Earle A. Chiles Research Institute (EACRI) and is being supported by the Company.</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study employs a dose escalation of GR-MD-02 in conjunction with the standard therapeutic dose of ipilimumab in patients with advanced melanoma for whom ipilimumab would be considered standard of care. In addition to monitoring for toxicity and clinical response by irRECIST criteria on imaging tests, blood samples will be obtained to assess immunologic measures relevant to galectin biology and ipilimumab T-cell check-point inhibition. Galectin Therapeutics is providing its proprietary compound GR-MD-02 to EACRI researchers, as well as supply researchers with supporting analysis of the pharmacokinetics of GR-MD-02 and the right to reference the Company’s open IND on GR-MD-02. To date the first two dosing groups have been completed without serious adverse events that were determined to be related to GR-MD-02. The third dosing group is now enrolling.</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Similar to the agreement set forth for the ipilimumab (Yervoy</w:t>
      </w:r>
      <w:r>
        <w:rPr>
          <w:rFonts w:ascii="Arial" w:cs="Arial" w:eastAsia="Arial" w:hAnsi="Arial"/>
          <w:sz w:val="14"/>
          <w:szCs w:val="14"/>
          <w:color w:val="auto"/>
        </w:rPr>
        <w:t>®</w:t>
      </w:r>
      <w:r>
        <w:rPr>
          <w:rFonts w:ascii="Arial" w:cs="Arial" w:eastAsia="Arial" w:hAnsi="Arial"/>
          <w:sz w:val="17"/>
          <w:szCs w:val="17"/>
          <w:color w:val="auto"/>
        </w:rPr>
        <w:t xml:space="preserve"> )Phase 1B study, Providence Portland Medical Center submitted an IND in September 2015 to conduct a Phase 1B study of GR-MD-02 and pembrolizumab (Keytruda</w:t>
      </w:r>
      <w:r>
        <w:rPr>
          <w:rFonts w:ascii="Arial" w:cs="Arial" w:eastAsia="Arial" w:hAnsi="Arial"/>
          <w:sz w:val="14"/>
          <w:szCs w:val="14"/>
          <w:color w:val="auto"/>
        </w:rPr>
        <w:t>®</w:t>
      </w:r>
      <w:r>
        <w:rPr>
          <w:rFonts w:ascii="Arial" w:cs="Arial" w:eastAsia="Arial" w:hAnsi="Arial"/>
          <w:sz w:val="17"/>
          <w:szCs w:val="17"/>
          <w:color w:val="auto"/>
        </w:rPr>
        <w:t>) in patients with metastatic melanoma. The combination of GR-MD-02 and an anti-PD1 (pembrolizumab) has been shown to enhance T-cell activation, memory, and effector function, and promote better antitumor responses in multiple mouse studies. The study will test the hypothesis that galectin-3 antagonism using GR-MD-02 with enhance the probability of melanoma response using penbrolizumab in patients by inducing proliferation, activation and memory function of CD8+ T cells that recognize melanoma antigens. Similar to the ipilimumab study, the study employs a dose escalation of GR-MD-02 in conjunction with the standard therapeutic dose of pembrolizumab in patients with metastatic melanoma who have had progression of their melanoma after ipilimumab and/or BRAF targeted therapy when a BRAF mutation is present. In addition to monitoring for toxicity and clinical response, blood and tumor samples will be obtained to assess immunologic measures relevant to galectin biology and pembrolizumab T-cell checkpoint inhibition.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compelling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GR-MD-02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GR-MD-02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GR-MD-02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GR-MD-02 for use in patients with liver fibrosis in combination with other potential therapeutic agents. The patent covers use of GR-MD-02 with agents directed at multiple targets, some of which are currently in clinical development for fibrotic disorders including monoclonal antibodies to connective tissue growth factor, integrins, and TGF-ß1. The patent, assigned U.S. Patent No. 8,722,645, was issued May 13, 2014.</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GR-MD-02 is covered by this patent and it provides opportunities for development of additional compounds in the class.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February 14, 2017, we held 15 granted U.S. patents, 24 foreign granted patents (Japan, E.U., New Zealand, and Australia), 49 international patent applications, and 6 U.S. patent applications. Many of our patents and patent applications cover composition of matter for complex carbohydrate drugs and methods of use for reducing toxicity and enhancing chemotherapeutic drugs by co-administering a polysaccharide with a chemotherapeutic agent or for use in treatment of fibrosis. The scheduled expiration dates of our United States patents span from 2020 to 2033. We have corresponding patent applications pending in Europe, Israel, Australia and Brazil.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Our primary focus is on the design and testing of agents that target galectins in various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While we conduct in house research related to our compounds at SBH laboratories in Massachusetts, we do not anticipate building additional in-house research or development facilities or hiring staff other than for purposes of designing and managing our out-sourced research.</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February 2013, the Company established a collaborative drug discovery program with Dr. Geert-Jan Boons’ (“Dr. Boons”) laboratory located in the Complex Carbohydrate Research Center at the University of Georgia. This on-going program is focused on the discovery of new carbohydrate molecules that can be used in the therapy of diseases where galectin proteins play a major role, including cancer, and inflammatory and fibrotic disorders. The aim of this program is to develop a pipeline of drugs that can target galectins. This is an important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goal as follow-on compounds for our drugs currently in development and to extend the potential indications and routes of administration. The Complex Carbohydrate Research Center is a world-class program and Dr. Boons is a world renowned and pre-eminent carbohydrate chemist.</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September, 2014, the Company established a collaborative research program with Dr. William Redmond’s laboratory located at the Providence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Portland Medical Center, Portland, Oregon. This program focuses on combination immunotherapy plus galectin inhibition to augment tumor immunogenicity.</w:t>
      </w:r>
    </w:p>
    <w:p>
      <w:pPr>
        <w:spacing w:after="0" w:line="234"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During the years ended December 31, 2016 and 2015, our expenditures for research and development were $15.3 million and $13.1 million, respectively. We expense all research and development costs as they are incurred.</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Using computer molecular modeling techniques coupled with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screening of a variety of compound libraries, SBH Sciences had identified several small organic molecules with promising galectin-3 inhibitory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disease models of fibrosis and cancer in which galectins play a key role.</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 on compounds to our first in class galectin inhibitors, GR-MD-02 and GM-CT-01. These efforts have identified several potential compounds which are continuing to be explored to identify lead molecules which may be identified for clinical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Marketing</w:t>
      </w:r>
    </w:p>
    <w:p>
      <w:pPr>
        <w:spacing w:after="0" w:line="12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meeting FDA requirements.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and marketers will involve risks relating to our reduced control, and other risks including those discussed in “Risk Factors — Risks Related to our Company — There are risks associated with reliance on third parties for manufacturing, marketing, sales, managed care and distribution infrastructure channels.”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Many biotechnology and pharmaceutical companies are developing new technologies for the treatment of cancer and other diseases. Technologies such as monoclonal antibodies could be competitive with our galectin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Drugs may not be marketed in the U.S. until the FDA has approved them. The steps required before a drug may be marketed in the U.S. include:</w:t>
      </w:r>
    </w:p>
    <w:p>
      <w:pPr>
        <w:spacing w:after="0" w:line="14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each indication,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 NDA,</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the NDA,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a trademark used in connection with a pharmaceutical.</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7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Each trial must be reviewed and approved by an independent Institutional Review Board (“IRB”),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requires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9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Priority Review</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Before our products can be marketed outside of the United States, they are subject to regulatory approval similar to that required in the United States, although the requirements governing the conduct of clinical trials,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currently have seven full-time employees, four of whom are involved primarily in management of our pre-clinical research and development and clinical trials and three who were involved primarily in management and administration of our Company. We also utilize contractors who provide product development, manufacture, analytical testing and clinical trial support.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net losses to date and must raise additional capital in order to continue to operate after December 31, 2017.</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have incurred net losses in each year of operation since our inception in July 2000. Our accumulated deficit as of December 31, 2016 was $163.7 million. We had $15.4 million of unrestricted cash as of December 31, 2016. Additionally, from January 1, 2017 through March 1, 2017, the Company raised $1,247,000 in net proceeds from the issuance of common stock under its At the Market sales arrangement. On February 28, 2017, the Company closed a transactions with individual investors through private placements of common stock and warrants. In total, the Company issued 102,368 shares of common stock for proceeds of $200,000. The Company also issued, to the investors, warrants to purchase 76,776 shares of common stock at $5.00 per share. The Company believes there is sufficient cash to fund currently planned operations through December 31, 2017. We will require more cash to fund our operations after December 31, 2017. However, there can be no assurance that we will be successful in obtaining such new financing or, if available, that such financing will be obtainable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on terms favorable to us. If our current clinical trials are unsuccessful or do not produce positive results, it may be particularly difficult for us to raise additional capital. If we do not raise additional cash for operations after the first quarter of 2017, we may not be able to continue operations.</w:t>
      </w:r>
    </w:p>
    <w:p>
      <w:pPr>
        <w:spacing w:after="0" w:line="12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may raise capital through public or private equity financings, partnerships, debt financings, bank borrowings, or other sources. Additional funding may not be available on favorable terms or at all.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a development stage company and have not yet generated any revenue.</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are a development stage company and have not generated any revenues to date. There is no assurance that we will obtain FDA approval of GR-MD-02, GM-CT-01, or any other of our products in development and, even if we do so, that we will generate revenue sufficient to become profitable. Our failure to generate revenue and profit would likely lead to loss of your investment.</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will depend upon our ability to successfully commercialize products, including any of our current product candidates,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9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necessary clinical trials;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complete all required regulatory agency inspections;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 a commercially viable price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commercial quantities of our products at acceptable cost levels;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and private payers.</w:t>
      </w:r>
    </w:p>
    <w:p>
      <w:pPr>
        <w:spacing w:after="0" w:line="11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we are 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lead product candidate, GR-MD-02, and to a lesser extent GM-CT-01 and we cannot be certain that these product candidates will receive regulatory approval or be successfully commercialized.</w:t>
      </w:r>
    </w:p>
    <w:p>
      <w:pPr>
        <w:spacing w:after="0" w:line="6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73"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GR-MD-02 our lead product candidate for fibrosis has completed Phase 1 of the human clinical trial phase of drug development in the US and is currently in Phase 2 clinical trials in North America. GR-MD-02 is also currently in investigator sponsored, human Phase 1B clinical trials being conducted by Providence Portland Medical Center in combination with Yervoy</w:t>
      </w:r>
      <w:r>
        <w:rPr>
          <w:rFonts w:ascii="Arial" w:cs="Arial" w:eastAsia="Arial" w:hAnsi="Arial"/>
          <w:sz w:val="15"/>
          <w:szCs w:val="15"/>
          <w:color w:val="auto"/>
        </w:rPr>
        <w:t>®</w:t>
      </w:r>
      <w:r>
        <w:rPr>
          <w:rFonts w:ascii="Arial" w:cs="Arial" w:eastAsia="Arial" w:hAnsi="Arial"/>
          <w:sz w:val="18"/>
          <w:szCs w:val="18"/>
          <w:color w:val="auto"/>
        </w:rPr>
        <w:t xml:space="preserve"> (ipilimumab) and Keytruda (pembrolizmab) in patients with metastatic melanoma. We cannot assure you that these trials will yield successful results, that they will lead to the generation of revenue, or that we will obtain regulatory approval in other countries.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currently no FDA clinical trials ongoing for GM-CT-01.</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filed for an IND with the FDA for GR-MD-02 in January 2013 for initiating human clinical trials in patients with NASH, and the FDA notified us in March 2013 that we may proceed with a Phase 1 clinical trial. Our Phase 1 clinical trial began in July 2013 and was completed in 2014. 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our Phase 2a pilot trial NASH-FX for patients with advanced fibrosis, which explored three non-invasive imaging technologies, did not meet its primary endpoint. We will engage others to conduct our clinical trials, including clinical research organizations and, possibly, government-sponsored agencies. Pre-clinical studies and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 if we receive regulatory approval, we may be unable to commercialize our product candidates.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Even if GR-MD-02, GM-CT-01 and other future product candidates achieve positive results in clinical trials, we may be unable to commercialize them. The availability of government and third 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295"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6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As we develop products eligible for clinical trials, we will contract with independent parties to assist us in the design of the trial protocols, arrange for and monitor the clinical trials, collect data and analyze data. For instance, in 2015, we entered into an agreement with PPD Development, L.P. (PPD) for the purpose of assisting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us in the design, development and conduct of one or more clinical research studies from time to time. In accordance with this agreement, PPD is conducting the Phase 2 clinical trial for GR-MD-02 to evaluate the drug’s safety in subjects with NASH with advanced hepatic cirrhosis. In addition, certain clinical trials for our products may be conducted by government-sponsored agencies and will be dependent on governmental participation and funding. Additionally, GR-MD-02 is being studied by Providence Portland Medical Center in Investigator-sponsored INDs to conduct a Phase 1B studies to determine if GR-MD-02 enhances the probability of melanoma response with ipilimumab and pembrolizumab by inducing proliferation, activation and memory function of CD8+ T cells in human patients. This study represents a novel approach for patients with metastatic melanoma.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Our dependence on independent parties and clinical sites involves risks including reduced control over the timing and other aspects of our clinical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trials.</w:t>
      </w:r>
    </w:p>
    <w:p>
      <w:pPr>
        <w:spacing w:after="0" w:line="319"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for manufacturing, marketing, sales, managed care and distribution infrastructure and channels.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do not have, and do not now intend to develop, facilities for the manufacture of any of our products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limited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 those products. Thus, we expect that we will be required to enter into agreements with commercial partners to engage in sales, marketing and distribution efforts around our products in development. We may be unable to establish or maintain third-party relationships on a commercially reasonable basis, if at all. In addition, these third parties may have similar or more established relationships with our competitors. If we do not enter into relationships with third parties for the sales and marketing of our proposed products, we will need to develop our own sales and marketing capabilities.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 if engaged, these distributors may:</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satisfy financial or contractual obligations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adequately market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cease operations with little or no notice to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design, manufacture or promote competing formulations or products.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fail to develop sales, managed care, marketing and distribution channels, we would experience delays in generating sales and incur increased costs, which would harm our financial results.</w:t>
      </w:r>
    </w:p>
    <w:p>
      <w:pPr>
        <w:spacing w:after="0" w:line="279"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We are exposed to product liability, pre-clinical and clinical liability risks, which could place a financial burden upon us, should we be sued, because we do not currently have product liability insurance beyond our general insurance coverage.</w:t>
      </w:r>
    </w:p>
    <w:p>
      <w:pPr>
        <w:spacing w:after="0" w:line="62"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business exposes us to potential product liability and other liability risks that are inherent in the testing, manufacturing and marketing of pharmaceutical formulations and products; accordingly, claims may be asserted against us. We have agreed to reimburse many of our trial sites for certain medical expenses of clinical trial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subjects if they are injured during the trial, and the expenses that could arise from such agreements are not budgeted or provided for and could result in us being able to complete our clinical trials.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Because we do not currently have any FDA-approved products or formulations, we do not currently have any product liability insurance covering commercialized products. We may not be able to obtain or maintain adequate product liability insurance on acceptable terms, if at all, or such insurance may not provide adequate coverage against our potential liabilities. Furthermore,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product liability insurance coverage that may be obtained by us could have a material adverse effect on our business, financial condition and results of operations.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intense competition in the biotechnology and pharmaceutical industries.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274"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which may be developed by others could impair our ability to maintain and grow our business and remain competitive.</w:t>
      </w:r>
    </w:p>
    <w:p>
      <w:pPr>
        <w:spacing w:after="0" w:line="6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As a pre-revenue company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and less costly than our proposed products and, therefore, present a serious competitive threat to us.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proposed products, even if commercialized. Many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lack of operating experience may cause us difficulty in managing our growth.</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have limited experience in manufacturing or procuring products in commercial quantities, conducting other later-stage phases of the regulatory approval process, selling pharmaceutical products, or negotiating, establishing and maintaining strategic relationships. Although we have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key individuals to develop our products and core technologies and pursue collaborative relationships.</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highly dependent on Peter G. Traber, M.D. Dr. Traber is our Chief Executive Officer and our Chief Medical Officer who, among other things, designs and leads our pre-clinical and clinical studies, as well as our U.S. and European regulatory processes. The loss of Dr. Traber or failure to attract or retain other key personnel could prevent us from developing our products and core technologies and pursuing collaborative relationships.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fail to comply with our reporting and other requirements under federal securities laws.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29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Our long term success is dependent not only upon the success of our current trials but also upon us being able to capitalize upon potential positive results of our trials, which is not assured.</w:t>
      </w:r>
    </w:p>
    <w:p>
      <w:pPr>
        <w:spacing w:after="0" w:line="6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marshaled our cash resources in order to increase the likelihood of having sufficient cash resources to complete our current clinical trial. We believe we have sufficient dosages of GR-MD-02 for these purposes. However, we have deferred the manufacture of additional GR-MD-02 that would be required for follow-on trials, and lead times are needed for this manufacturing. Further because of limited resources, we have curtailed most of our expenditures in research focused on the development of an oral galectin inhibitor to replace our current drug candidate that is delivered via infusion. Further, because of financial limits we have not designed follow-on trials for fibrosis, skin disease or cancer. Even if our current trials are successful, we may be adversely affected by the time needed to restart programs curtailed by financial constraints.</w:t>
      </w:r>
    </w:p>
    <w:p>
      <w:pPr>
        <w:spacing w:after="0" w:line="287" w:lineRule="exact"/>
        <w:rPr>
          <w:sz w:val="20"/>
          <w:szCs w:val="20"/>
          <w:color w:val="auto"/>
        </w:rPr>
      </w:pPr>
    </w:p>
    <w:p>
      <w:pPr>
        <w:ind w:right="280" w:firstLine="456"/>
        <w:spacing w:after="0" w:line="375" w:lineRule="auto"/>
        <w:rPr>
          <w:sz w:val="20"/>
          <w:szCs w:val="20"/>
          <w:color w:val="auto"/>
        </w:rPr>
      </w:pPr>
      <w:r>
        <w:rPr>
          <w:rFonts w:ascii="Arial" w:cs="Arial" w:eastAsia="Arial" w:hAnsi="Arial"/>
          <w:sz w:val="15"/>
          <w:szCs w:val="15"/>
          <w:b w:val="1"/>
          <w:bCs w:val="1"/>
          <w:i w:val="1"/>
          <w:iCs w:val="1"/>
          <w:color w:val="auto"/>
        </w:rPr>
        <w:t>We are a defendant in federal consolidated class action, in a consolidated shareholder derivative action, and a state court shareholder derivative action and these lawsuits and any future such lawsuits may adversely affect our business, financial condition, results of operations and cash flows.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certain of our officers and directors are defendants in a consolidated federal securities class action lawsuit, a</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consolidated shareholder derivative action and a state court shareholder derivative action. These lawsuits are described in Part I, Item 3 “Legal Proceedings” in this Form 10-K. These federal lawsuits were dismissed, with prejudice; however, certain rulings have been appealed by the plaintiffs. These lawsuits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Depending on the outcome of the class action lawsuit, we may be required to pay material damages and fines, consent to injunctions on future conduct and/or suffer other penalties, remedies or sanctions. Accordingly, the ultimate resolution of these matters could have a material adverse effect on our business, results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of operations, financial condition, liquidity and ability to meet our debt obligations and, consequently, could negatively impact the trading price of our common stock. In addition, there is the potential for additional shareholder litigation and for governmental investigations and/or enforcement actions. Any existing or future shareholder lawsuits and any future governmental investigations and/or enforcement actions could adversely impact our reputation, our relationships with our customers and our ability to generate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Products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need regulatory approvals to commercialize our products.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288" w:lineRule="exact"/>
        <w:rPr>
          <w:sz w:val="20"/>
          <w:szCs w:val="20"/>
          <w:color w:val="auto"/>
        </w:rPr>
      </w:pPr>
    </w:p>
    <w:p>
      <w:pPr>
        <w:ind w:left="240" w:right="120"/>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or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305"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and timing of clinical trials may vary significantly over the life of a project owing to the following non-exclusive reasons:</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the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trial are conducted;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and ability to enroll eligible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party contractors failing to comply with regulatory requirements or meet their contractual obligations to us in a timely manner;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drug product candidates having different chemical and pharmacological properties in humans than in lab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suspend or terminate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or inadequate supply or quality of drug product candidates or other necessary materials to conduct our trials;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engaging IRBs to oversee trials or in obtaining and maintaining IRB approval of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w:t>
      </w:r>
    </w:p>
    <w:p>
      <w:pPr>
        <w:spacing w:after="0" w:line="11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279"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If users of our proposed products are unable to obtain adequate reimbursement from third-party payers, market acceptance of our proposed products may be limited and we may not achieve revenues or profits.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continuing efforts of governments, insurance companies, health maintenance organizations and other payers of healthcare costs to contain or reduce costs of health care may affect our future revenues and profitability as well as the future revenues and profitability of our potential customers, suppliers and collaborative partners in addition to the availability of capital. In other words, our ability to commercialize our proposed products will depend in large part on the extent to which appropriate reimbursement levels for the cost of our proposed formulations, products and related treatments are obtained by the health care providers of these products and treatments. At this time we cannot predict the precise impact of the Patient Protection and Affordable Care Act of 2010, as amended by the Health Care and Education Affordability Act of 2010, the comprehensive health care reform legislation passed by Congress in March 2010 or potential replacement legislation. It is possible that the adoption of this legislation or replacement legislation could harm our business, financial condition and results of operations.</w:t>
      </w:r>
    </w:p>
    <w:p>
      <w:pPr>
        <w:spacing w:after="0" w:line="300"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Data already obtained, or in the future obtained, from pre-clinical studies and clinical trials do not necessarily predict the results that will be obtained from later pre-clinical studies and clinical trials. Moreover,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having obtained promising results in earlier trials. Despite the results reported in some of our earlier clinical trials for GR-MD-02,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287" w:lineRule="exact"/>
        <w:rPr>
          <w:sz w:val="20"/>
          <w:szCs w:val="20"/>
          <w:color w:val="auto"/>
        </w:rPr>
      </w:pPr>
    </w:p>
    <w:p>
      <w:pPr>
        <w:ind w:left="240" w:right="3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6"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conduct post-market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333"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6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pharmaceutical product cannot be marketed in the U.S. or other countries until it has completed rigorous and extensive regulatory review processes, including approval of a brand name. Any brand names we intend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use for our product candidates will require approval from the FDA regardless of whether we have secured a formal trademark registration from the U.S. Patent and Trademark Office, or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Failure to obtain regulatory approval in international jurisdictions would prevent our product candidates from being marketed abroad.</w:t>
      </w:r>
    </w:p>
    <w:p>
      <w:pPr>
        <w:spacing w:after="0" w:line="12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position is contingent upon the protection of our intellectual property.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9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others may be able to make compounds that are competitive with our product candidates but are not covered by the claims of our patents;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287"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66"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8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failure to secure trademark registration could adversely affect our ability to market our product candidates and our business.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297"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in response to various factors and events, including but not limited to:</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including interim results, as well as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results below expectations;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issuance of additional securities, including debt or equity or a combination thereof, which may be necessary to fund our operating expenses;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any strategic relationship;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industry developments, including, without limitation, changes in healthcare policies or practices or third-party reimbursement policies;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 active trading market in our common stock develops and is maintained;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engagement and retention of senior management needed for our clinical trials.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the market price for securities of pharmaceutical and biotechnology companies historically has been highly volatile, and the securities markets have from time to time experienced significant price and volume fluctuations that are unrelated to the operating performance of particular companies. These broad market fluctuations may cause the market price of our common stock to decline substantially.</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are currently defending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279"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articles of incorporation authorize the issuance of capital stock including 20,000,000 authorized undesignated shares (14,001,000 designated as of December 31, 2016),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281"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we have more than 200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One investor and certain directors, by virtue of ownership of our securities and related rights, may be able to control the Company.</w:t>
      </w:r>
    </w:p>
    <w:p>
      <w:pPr>
        <w:spacing w:after="0" w:line="1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10X Fund owns all of our issued and outstanding Series B Preferred Stock, which are convertible into 3,789,346 shares of our common stock. The 10X Fund owns related warrants exercisable to purchase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aggregate of 6,469,038 shares of our common stock. As of December 31, 2016, we have issued 1,937,998 shares of our common stock as dividends on the Series B Preferred Stock and 2,000,000 shares of our common stock on the exercise of warrants by 10X Fund. In addition, James C. Czirr, a managing member of 10X Capital Management, LLC, the general partner of the 10X Fund and one of our directors, owns or controls approximately 904,000 shares of our common stock, including shares of Series A on an as converted basis, and has the right to acquire 653,250 additional shares of our common stock upon the exercise of outstanding stock options (622,000 of which are exercisable as of December 31, 2016. As of December 31, 2016 on a fully diluted basis, assuming conversion of all Series B Preferred Stock and exercise of all outstanding warrants, the 10X Fund would own approximately 25% of our then outstanding shares of common stock, which, together with the shares of our common stock that would be owned by Mr. Czirr (assuming exercise of all options at that date), would constitute approximately 28% of the then fully diluted shares.</w:t>
      </w:r>
    </w:p>
    <w:p>
      <w:pPr>
        <w:spacing w:after="0" w:line="179"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As holder of Series B Preferred Stock, the 10X Fund is entitled to elect two directors in a separate class vote, nominate three directors for election by all shares entitled to vote, and provide or withhold consent to a range of fundamental corporate actions we may wish to undertake, such as recapitalization, sale of our Company, and other matters. Such concentration of stock ownership and related rights could have the effect of delaying, deterring or preventing corporate events that our other security holders may desire or consider beneficial to the Company, such as sales of additional securities of the Company needed to fund the ongoing clinical trial program of the Company. In addition to the conversion rights and the right to elect and nominate directors noted above, the 10X Fund, as holder of the Series B Preferred Stock, has certain approval rights, including the right to approve certain financing transactions, as well as the right to participate in certain financing transactions. These rights could negatively impact our ability to raise capital in the future, which could materially and adversely affect our business.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issue additional common stock, which might dilute the net tangible book value per share of our common stock.</w:t>
      </w:r>
    </w:p>
    <w:p>
      <w:pPr>
        <w:spacing w:after="0" w:line="117"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are currently contemplating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warrant holders exercise their warrants to purchase shares of our common stock.</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sale of a substantial number of shares of the common stock may cause the price of our common stock to decline.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of up to 9.7 million shares by these shareholders. We may consider additional capital raising transactions within the next twelve months, which would likely result in issuances of additional shares which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not paid cash dividends in the past and do not expect to pay cash dividends in the foreseeable future.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never paid cash dividends on our capital stock and do not anticipate paying cash dividends on our capital stock in the foreseeable future. The payment of dividends on our capital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295" w:lineRule="exact"/>
        <w:rPr>
          <w:sz w:val="20"/>
          <w:szCs w:val="20"/>
          <w:color w:val="auto"/>
        </w:rPr>
      </w:pPr>
    </w:p>
    <w:p>
      <w:pPr>
        <w:ind w:left="240" w:right="380"/>
        <w:spacing w:after="0" w:line="308" w:lineRule="auto"/>
        <w:rPr>
          <w:sz w:val="20"/>
          <w:szCs w:val="20"/>
          <w:color w:val="auto"/>
        </w:rPr>
      </w:pPr>
      <w:r>
        <w:rPr>
          <w:rFonts w:ascii="Arial" w:cs="Arial" w:eastAsia="Arial" w:hAnsi="Arial"/>
          <w:sz w:val="17"/>
          <w:szCs w:val="17"/>
          <w:b w:val="1"/>
          <w:bCs w:val="1"/>
          <w:i w:val="1"/>
          <w:iCs w:val="1"/>
          <w:color w:val="auto"/>
        </w:rPr>
        <w:t>At times, our shares of common stock and warrants have been thinly traded, so you may be unable to sell at or near ask prices or even at all if you need to sell your shares or warrants to raise money or otherwise desire to liquidate your shares or warrants.</w:t>
      </w:r>
    </w:p>
    <w:p>
      <w:pPr>
        <w:spacing w:after="0" w:line="3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cannot predict the extent to which an active public market for our common stock and warrants will develop or be sustained. Our common stock is currently traded on The NASDAQ Capital Market and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290" w:lineRule="exact"/>
        <w:rPr>
          <w:sz w:val="20"/>
          <w:szCs w:val="20"/>
          <w:color w:val="auto"/>
        </w:rPr>
      </w:pPr>
    </w:p>
    <w:p>
      <w:pPr>
        <w:ind w:left="240" w:right="320"/>
        <w:spacing w:after="0" w:line="342" w:lineRule="auto"/>
        <w:rPr>
          <w:sz w:val="20"/>
          <w:szCs w:val="20"/>
          <w:color w:val="auto"/>
        </w:rPr>
      </w:pPr>
      <w:r>
        <w:rPr>
          <w:rFonts w:ascii="Arial" w:cs="Arial" w:eastAsia="Arial" w:hAnsi="Arial"/>
          <w:sz w:val="16"/>
          <w:szCs w:val="16"/>
          <w:b w:val="1"/>
          <w:bCs w:val="1"/>
          <w:i w:val="1"/>
          <w:iCs w:val="1"/>
          <w:color w:val="auto"/>
        </w:rPr>
        <w:t>We may not meet the continued listing standards of The NASDAQ Capital Market, which requires a minimum closing bid price of $1.00 per share, which could result in our delisting and negatively impact the price of our common stock and our ability to access the capital markets.</w:t>
      </w:r>
    </w:p>
    <w:p>
      <w:pPr>
        <w:spacing w:after="0" w:line="16"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We may not meet the continued listing standards of The NASDAQ Capital Market, which requires a minimum closing bid price of $1.00 per share, which could result in our delisting and negatively impact the price of our common stock and our ability to access the capital markets.</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common stock is listed on The NASDAQ Capital Market. NASDAQ provides various continued listing requirements that a company must meet in order for its stock to continue trading on the NASDAQ Capital Market. Among these requirements is the requirement that the Company’s stock trades at a minimum bid price of $1.00 per share. Our stock has recently traded below $1.00 per share, including closing bid prices below $1.00 per share. Between October 7, 2016 and November 11, 2016, our stock closed with a bid price below $1.00 for 26 consecutive trading days. If our stock price closes with a bid price below $1.00 per share for 30 consecutive trading days, we expect to receive a notice from NASDAQ providing us with 180 calendar days to regain compliance with the rule. After this 180 day period is up, if we still do not comply with the minimum $1.00 bid price we may be eligible for an additional 180 day period to regain compliance. However, if we fail to comply with the minimum stock price of $1.00 per share or any other continued listing standards of NASDAQ, our common stock may be delisted. If that were to occur, our stock would be subject to rules that impose additional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sales practice requirements on broker-dealers who sell our securities. The additional burdens imposed upon broker-dealers by these requirements could discourage broker-dealers from effecting transactions in our common stock. This would significantly affect the ability of investors to trade our securities and would significantly negatively affect the value and liquidity of our common stock. These factors could contribute to lower prices and larger spreads in the bid and ask prices for our common stock. Also, if we seek to implement a reverse stock split in order to remain listed on The NASDAQ Capital Market, the announcement and/or implementation of a reverse stock split could significantly negatively affect the price of our common stock.</w:t>
      </w:r>
    </w:p>
    <w:p>
      <w:pPr>
        <w:sectPr>
          <w:pgSz w:w="11900" w:h="16838" w:orient="portrait"/>
          <w:cols w:equalWidth="0" w:num="1">
            <w:col w:w="11400"/>
          </w:cols>
          <w:pgMar w:left="240" w:top="459" w:right="259" w:bottom="1440" w:gutter="0" w:footer="0" w:header="0"/>
        </w:sect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1B. </w:t>
      </w:r>
      <w:r>
        <w:rPr>
          <w:rFonts w:ascii="Arial" w:cs="Arial" w:eastAsia="Arial" w:hAnsi="Arial"/>
          <w:sz w:val="15"/>
          <w:szCs w:val="15"/>
          <w:b w:val="1"/>
          <w:bCs w:val="1"/>
          <w:i w:val="1"/>
          <w:iCs w:val="1"/>
          <w:color w:val="auto"/>
        </w:rPr>
        <w:t>Unresolved Staff Comments</w:t>
      </w:r>
    </w:p>
    <w:p>
      <w:pPr>
        <w:spacing w:after="0" w:line="155" w:lineRule="exact"/>
        <w:rPr>
          <w:sz w:val="20"/>
          <w:szCs w:val="20"/>
          <w:color w:val="auto"/>
        </w:rPr>
      </w:pPr>
    </w:p>
    <w:p>
      <w:pPr>
        <w:sectPr>
          <w:pgSz w:w="11900" w:h="16838" w:orient="portrait"/>
          <w:cols w:equalWidth="0" w:num="2">
            <w:col w:w="360" w:space="680"/>
            <w:col w:w="1036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00"/>
          </w:cols>
          <w:pgMar w:left="240" w:top="459" w:right="2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 </w:t>
      </w:r>
      <w:r>
        <w:rPr>
          <w:rFonts w:ascii="Arial" w:cs="Arial" w:eastAsia="Arial" w:hAnsi="Arial"/>
          <w:sz w:val="15"/>
          <w:szCs w:val="15"/>
          <w:b w:val="1"/>
          <w:bCs w:val="1"/>
          <w:i w:val="1"/>
          <w:iCs w:val="1"/>
          <w:color w:val="auto"/>
        </w:rPr>
        <w:t>Properties</w:t>
      </w:r>
    </w:p>
    <w:p>
      <w:pPr>
        <w:spacing w:after="0" w:line="155" w:lineRule="exact"/>
        <w:rPr>
          <w:sz w:val="20"/>
          <w:szCs w:val="20"/>
          <w:color w:val="auto"/>
        </w:rPr>
      </w:pPr>
    </w:p>
    <w:p>
      <w:pPr>
        <w:sectPr>
          <w:pgSz w:w="11900" w:h="16838" w:orient="portrait"/>
          <w:cols w:equalWidth="0" w:num="2">
            <w:col w:w="360" w:space="680"/>
            <w:col w:w="10360"/>
          </w:cols>
          <w:pgMar w:left="240" w:top="459" w:right="259" w:bottom="1440" w:gutter="0" w:footer="0" w:header="0"/>
          <w:type w:val="continuous"/>
        </w:sectPr>
      </w:pPr>
    </w:p>
    <w:p>
      <w:pPr>
        <w:ind w:right="20" w:firstLine="456"/>
        <w:spacing w:after="0" w:line="264" w:lineRule="auto"/>
        <w:rPr>
          <w:sz w:val="20"/>
          <w:szCs w:val="20"/>
          <w:color w:val="auto"/>
        </w:rPr>
      </w:pPr>
      <w:r>
        <w:rPr>
          <w:rFonts w:ascii="Arial" w:cs="Arial" w:eastAsia="Arial" w:hAnsi="Arial"/>
          <w:sz w:val="18"/>
          <w:szCs w:val="18"/>
          <w:color w:val="auto"/>
        </w:rPr>
        <w:t>We lease 3,610 square feet for our executive offices located at 4960 Peachtree Industrial Blvd., Norcross, GA. We also lease on a month-to-month basis approximately 300 square feet in Natick, MA, for use by research and development consultants and which is collocated with one of our research and development service vendors. We believe these spaces are suitable for our present operations.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 xml:space="preserve">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 except as noted below:</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Shareholder Class Actions and Derivative Lawsuits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Between July 30, 2014, and August 6, 2014, three putative class action complaints were filed in the United States District Court for the District of Nevada (the “Nevada District Court”) alleging claims for purported violations of the federal securities laws against the Company and certain of its officers and directors on behalf of all persons who purchased or otherwise acquired the Company’s stock between January 6, 2014 and July 28, 2014. On August 22, 2014, the Nevada District Court entered an order consolidating the three cases, relieving the defendants of any obligation to respond to the complaints then on file, and providing that defendants may respond to a consolidated amended complaint to be filed by a lead plaintiff(s) to be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On March 24, 2015, the Court appointed a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10(b)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10(b) and Rule 10b-5 violations pursuant to Section 20(a) of the Exchange Act. The Complaint seeks class certification, unspecified monetary damages, costs, and attorneys’ fees. The Company disputes the allegations and filed a motion to dismiss the Complaint on June 26, 2015. On December 30, 2015, the Court dismissed the putative class action with prejudice and entered a final judgment in favor of the defendants. Plaintiff filed a notice of appeal seeking review of the dismissal order and final judgment. Following full briefing and oral argument of the appeal, the United States Court of Appeals for the Eleventh Circuit entered an order on December 15, 2016, affirming the judgment dismissing all claims against the defendants with prejudice.</w:t>
      </w:r>
    </w:p>
    <w:p>
      <w:pPr>
        <w:spacing w:after="0" w:line="17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August 1 and 25, 2014, persons claiming to be Galectin shareholders filed putative shareholder derivative complaints in the Nevada District Court, seeking recovery on behalf of the Company against certain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Following full briefing and a hearing on March 3, 2016, the Nevada State Court granted dismissal of the Nevada State Court litigation. Notice of Entry of the Nevada State Court’s order dismissing the Nevada State Court litigation was docketed on June 21, 2016. The Nevada plaintiff and Intervenor Plaintiffs (“Appellants”) have filed notices of appeal seeking review of the Nevada State Court’s dismissal order. It is expected that the appeal will be fully briefed by May 2017.</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 xml:space="preserve">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Price Range of Common Stock</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common stock began trading on The NASDAQ Capital Market under the symbol GALT effective March 23, 2012. The high and low sale prices for our common stock as reported on the NASDAQ Capital Market, for the periods indicated as shown below. All share prices reflect the one-for-six reverse split, which was effective March 23, 2012.</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56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December 31, 2016</w:t>
            </w:r>
          </w:p>
        </w:tc>
        <w:tc>
          <w:tcPr>
            <w:tcW w:w="2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First Quarter</w:t>
            </w:r>
          </w:p>
        </w:tc>
        <w:tc>
          <w:tcPr>
            <w:tcW w:w="258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$1.82</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$1.08</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8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$1.75</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$1.25</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Third Quarter</w:t>
            </w:r>
          </w:p>
        </w:tc>
        <w:tc>
          <w:tcPr>
            <w:tcW w:w="258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$3.05</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$1.10</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8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$1.18</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$0.49</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2015</w:t>
            </w: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58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$4.50</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$3.08</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Second Quarter</w:t>
            </w:r>
          </w:p>
        </w:tc>
        <w:tc>
          <w:tcPr>
            <w:tcW w:w="2580" w:type="dxa"/>
            <w:vAlign w:val="bottom"/>
            <w:gridSpan w:val="2"/>
          </w:tcPr>
          <w:p>
            <w:pPr>
              <w:jc w:val="center"/>
              <w:ind w:left="2070"/>
              <w:spacing w:after="0"/>
              <w:rPr>
                <w:sz w:val="20"/>
                <w:szCs w:val="20"/>
                <w:color w:val="auto"/>
              </w:rPr>
            </w:pPr>
            <w:r>
              <w:rPr>
                <w:rFonts w:ascii="Arial" w:cs="Arial" w:eastAsia="Arial" w:hAnsi="Arial"/>
                <w:sz w:val="18"/>
                <w:szCs w:val="18"/>
                <w:color w:val="auto"/>
                <w:w w:val="83"/>
              </w:rPr>
              <w:t>$ 4.11</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$2.50</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8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$3.33</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$1.68</w:t>
            </w:r>
          </w:p>
        </w:tc>
        <w:tc>
          <w:tcPr>
            <w:tcW w:w="60" w:type="dxa"/>
            <w:vAlign w:val="bottom"/>
            <w:shd w:val="clear" w:color="auto" w:fill="CCEEFF"/>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Fourth Quarter</w:t>
            </w:r>
          </w:p>
        </w:tc>
        <w:tc>
          <w:tcPr>
            <w:tcW w:w="258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$3.25</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$1.52</w:t>
            </w:r>
          </w:p>
        </w:tc>
        <w:tc>
          <w:tcPr>
            <w:tcW w:w="60" w:type="dxa"/>
            <w:vAlign w:val="bottom"/>
          </w:tcPr>
          <w:p>
            <w:pPr>
              <w:spacing w:after="0"/>
              <w:rPr>
                <w:sz w:val="20"/>
                <w:szCs w:val="20"/>
                <w:color w:val="auto"/>
              </w:rPr>
            </w:pPr>
          </w:p>
        </w:tc>
      </w:tr>
    </w:tbl>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February 28, 2018, there were 248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11,350 non-objecting beneficial owners of our shares of our common stock in addition to the record holders.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have been no cash dividends declared on our common stock since our Company was formed. Dividends are declared at the sole discretion of our Board of Directors. Our intention is not to declare cash dividends and retain all cash for our operations.</w:t>
      </w:r>
    </w:p>
    <w:p>
      <w:pPr>
        <w:sectPr>
          <w:pgSz w:w="11900" w:h="16838" w:orient="portrait"/>
          <w:cols w:equalWidth="0" w:num="1">
            <w:col w:w="11340"/>
          </w:cols>
          <w:pgMar w:left="240" w:top="459" w:right="31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6. </w:t>
      </w:r>
      <w:r>
        <w:rPr>
          <w:rFonts w:ascii="Arial" w:cs="Arial" w:eastAsia="Arial" w:hAnsi="Arial"/>
          <w:sz w:val="15"/>
          <w:szCs w:val="15"/>
          <w:b w:val="1"/>
          <w:bCs w:val="1"/>
          <w:i w:val="1"/>
          <w:iCs w:val="1"/>
          <w:color w:val="auto"/>
        </w:rPr>
        <w:t>Selected Financial Data</w:t>
      </w:r>
    </w:p>
    <w:p>
      <w:pPr>
        <w:spacing w:after="0" w:line="155" w:lineRule="exact"/>
        <w:rPr>
          <w:sz w:val="20"/>
          <w:szCs w:val="20"/>
          <w:color w:val="auto"/>
        </w:rPr>
      </w:pPr>
    </w:p>
    <w:p>
      <w:pPr>
        <w:sectPr>
          <w:pgSz w:w="11900" w:h="16838" w:orient="portrait"/>
          <w:cols w:equalWidth="0" w:num="2">
            <w:col w:w="360" w:space="680"/>
            <w:col w:w="10300"/>
          </w:cols>
          <w:pgMar w:left="240" w:top="459" w:right="3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40"/>
          </w:cols>
          <w:pgMar w:left="240" w:top="459" w:right="31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3440" w:firstLine="570"/>
        <w:spacing w:after="0" w:line="378"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Forward-Looking Statements</w:t>
      </w:r>
    </w:p>
    <w:p>
      <w:pPr>
        <w:spacing w:after="0" w:line="1" w:lineRule="exact"/>
        <w:rPr>
          <w:sz w:val="20"/>
          <w:szCs w:val="20"/>
          <w:color w:val="auto"/>
        </w:rPr>
      </w:pPr>
    </w:p>
    <w:p>
      <w:pPr>
        <w:sectPr>
          <w:pgSz w:w="11900" w:h="16838" w:orient="portrait"/>
          <w:cols w:equalWidth="0" w:num="2">
            <w:col w:w="360" w:space="100"/>
            <w:col w:w="10880"/>
          </w:cols>
          <w:pgMar w:left="240" w:top="459" w:right="319" w:bottom="1440" w:gutter="0" w:footer="0" w:header="0"/>
          <w:type w:val="continuous"/>
        </w:sectPr>
      </w:pPr>
    </w:p>
    <w:p>
      <w:pPr>
        <w:ind w:right="80" w:firstLine="456"/>
        <w:spacing w:after="0" w:line="297"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December 31, 2017;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8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from the Years Ended December 31, 2016 and 2015</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Year ended</w:t>
            </w:r>
          </w:p>
        </w:tc>
        <w:tc>
          <w:tcPr>
            <w:tcW w:w="2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2016 as Compared to 2015</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3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December 31,</w:t>
            </w:r>
          </w:p>
        </w:tc>
        <w:tc>
          <w:tcPr>
            <w:tcW w:w="2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62"/>
              <w:spacing w:after="0" w:line="142" w:lineRule="exact"/>
              <w:rPr>
                <w:sz w:val="20"/>
                <w:szCs w:val="20"/>
                <w:color w:val="auto"/>
              </w:rPr>
            </w:pPr>
            <w:r>
              <w:rPr>
                <w:rFonts w:ascii="Arial" w:cs="Arial" w:eastAsia="Arial" w:hAnsi="Arial"/>
                <w:sz w:val="14"/>
                <w:szCs w:val="14"/>
                <w:b w:val="1"/>
                <w:bCs w:val="1"/>
                <w:color w:val="auto"/>
                <w:w w:val="91"/>
              </w:rPr>
              <w:t>$ Change</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0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6"/>
              </w:rPr>
              <w:t>$15,325</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$13,114</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w w:val="98"/>
              </w:rPr>
              <w:t>$  2,211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 </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held an “End of Phase 1 meeting” with the FDA and, amongst other things, received guidance on the primary endpoints for a Phase 2 trial. 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be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4"/>
          <w:szCs w:val="14"/>
          <w:color w:val="auto"/>
        </w:rPr>
        <w:t>(R)</w:t>
      </w:r>
      <w:r>
        <w:rPr>
          <w:rFonts w:ascii="Arial" w:cs="Arial" w:eastAsia="Arial" w:hAnsi="Arial"/>
          <w:sz w:val="17"/>
          <w:szCs w:val="17"/>
          <w:color w:val="auto"/>
        </w:rPr>
        <w:t>) and assessment of liver metabolism (</w:t>
      </w:r>
      <w:r>
        <w:rPr>
          <w:rFonts w:ascii="Arial" w:cs="Arial" w:eastAsia="Arial" w:hAnsi="Arial"/>
          <w:sz w:val="14"/>
          <w:szCs w:val="14"/>
          <w:color w:val="auto"/>
        </w:rPr>
        <w:t>13</w:t>
      </w:r>
      <w:r>
        <w:rPr>
          <w:rFonts w:ascii="Arial" w:cs="Arial" w:eastAsia="Arial" w:hAnsi="Arial"/>
          <w:sz w:val="17"/>
          <w:szCs w:val="17"/>
          <w:color w:val="auto"/>
        </w:rPr>
        <w:t>C-methacetin breath test, Exalenz), which are non-invasive measures of the liver that may be used in future studies. Data readout is expected in early December 2017.</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trial, our Phase 2a pilot trial NASH-FX for patients with NASH advanced fibrosis which explored use of three non-invasive imaging technologies, is now complete. It was a shorter,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 score. We, and many experts in the field, now believe that a four month treatment period is not sufficient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6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a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Additionally, during the Phase 1 clinical trial, there appeared to be a potential beneficial effect on at least one patient’s moderate to severe psoriasis. 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4 patients with moderate to severe plaque psoriasis were administered GR-MD-02 every two weeks for 12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12 weeks of therapy. The four patients who received 24 weeks of therapy experienced an average of 48% improvement in their plaque psoriasis. However, there are existing drugs on the market in this disease that produce 75% and higher improvements. While we are encouraged that this study has demonstrated clinically meaningful results in a human disease with GR-MD-02, we do not expect to conduct further trials in this area absent a strategic partnership.</w:t>
      </w:r>
    </w:p>
    <w:p>
      <w:pPr>
        <w:spacing w:after="0" w:line="15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as well as other monoclonal specific antibody techniques to map GR oligomer integrity and distribution. The Company has also characterized how the GR molecule behaves under conditions of forced degradation.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Year Ended</w:t>
      </w:r>
    </w:p>
    <w:p>
      <w:pPr>
        <w:jc w:val="center"/>
        <w:ind w:left="68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tcPr>
          <w:p>
            <w:pPr>
              <w:jc w:val="right"/>
              <w:ind w:right="354"/>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$11,994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9,177</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other including stock based compensation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15,325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13,114</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Clinical programs expenses increased primarily due to costs related to our Phase 2 clinical trials during the year ended December 31, 2016 as compared to the same period in 2015. As we have completed enrollment in our NASH-CX Phase 2 trial and complete the patient treatments in 2017, we expect our clinical activities costs will increase and may fluctuate from quarter to quarter as the trial progresses. Pre-clinical activities decreased primarily because we have completed pre-clinical work directly related to our Phase 2 clinical trial program.</w:t>
      </w:r>
    </w:p>
    <w:p>
      <w:pPr>
        <w:spacing w:after="0" w:line="18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products, and uncertainties as to the regulatory agency response to our trial data prior to receipt of marketing approval.</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80" w:type="dxa"/>
            <w:vAlign w:val="bottom"/>
          </w:tcPr>
          <w:p>
            <w:pPr>
              <w:spacing w:after="0"/>
              <w:rPr>
                <w:sz w:val="14"/>
                <w:szCs w:val="14"/>
                <w:color w:val="auto"/>
              </w:rPr>
            </w:pPr>
          </w:p>
        </w:tc>
        <w:tc>
          <w:tcPr>
            <w:tcW w:w="23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2016 as Compared to 2015</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w w:val="95"/>
              </w:rPr>
              <w:t>$ Change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560" w:type="dxa"/>
            <w:vAlign w:val="bottom"/>
            <w:gridSpan w:val="3"/>
          </w:tcPr>
          <w:p>
            <w:pPr>
              <w:jc w:val="right"/>
              <w:ind w:right="348"/>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w w:val="87"/>
              </w:rPr>
              <w:t>$6,156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(809)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General and administrative expenses consist primarily of salaries including stock based compensation, legal and accounting fees, insurance, investor relations, business development and other office related expenses. The primary reasons for the decrease for the year ended December 31, 2016 as compared to the same period for 2015 are due to, decreased accounting expenses of $98,000, decreased stock based compensation of $663,000 and decreased travel related expenses of $130,000 somewhat offset by increases in legal expenses of $122,000.</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2016, other income and expense consisted of interest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from the Years Ended December 31, 2015 and 2014</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0" w:type="dxa"/>
            <w:vAlign w:val="bottom"/>
          </w:tcPr>
          <w:p>
            <w:pPr>
              <w:jc w:val="center"/>
              <w:ind w:left="424"/>
              <w:spacing w:after="0"/>
              <w:rPr>
                <w:sz w:val="20"/>
                <w:szCs w:val="20"/>
                <w:color w:val="auto"/>
              </w:rPr>
            </w:pPr>
            <w:r>
              <w:rPr>
                <w:rFonts w:ascii="Arial" w:cs="Arial" w:eastAsia="Arial" w:hAnsi="Arial"/>
                <w:sz w:val="14"/>
                <w:szCs w:val="14"/>
                <w:b w:val="1"/>
                <w:bCs w:val="1"/>
                <w:color w:val="auto"/>
                <w:w w:val="92"/>
              </w:rPr>
              <w:t>Year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2015 as Compared to 2014</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664"/>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 Change</w:t>
            </w: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20" w:type="dxa"/>
            <w:vAlign w:val="bottom"/>
            <w:gridSpan w:val="6"/>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 except %)</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w w:val="89"/>
              </w:rPr>
              <w:t>$13,114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$8,425</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4,689</w:t>
            </w: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color w:val="auto"/>
              </w:rPr>
              <w:t>Our research and development expenses were as follows:</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3"/>
              </w:rPr>
              <w:t>$ 9,177</w:t>
            </w: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$3,572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other including stock based compensation</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4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13,114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8,425</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programs expenses increased primarily due to costs related to our Phase 2 clinical trials during the year ended December 31, 2015 as compared to the same period in 2014. As we continue enroll patients in the Phase 2 trials we expect our clinical activities costs will increase and may fluctuate from quarter to quarter as the trial progresses. Pre-clinical activities decreased primarily because we have completed pre-clinical work directly related to our Phase 2 clinical trial program. Payroll and other expenses increased in 2015 over 2014 primarily due to the hiring of the executive director of clinical development in 2015 offset by lower stock based compensation expense in 2015.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4"/>
              </w:rPr>
              <w:t>2015 as Compared to 2014</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84"/>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19"/>
              <w:spacing w:after="0" w:line="142" w:lineRule="exact"/>
              <w:rPr>
                <w:sz w:val="20"/>
                <w:szCs w:val="20"/>
                <w:color w:val="auto"/>
              </w:rPr>
            </w:pPr>
            <w:r>
              <w:rPr>
                <w:rFonts w:ascii="Arial" w:cs="Arial" w:eastAsia="Arial" w:hAnsi="Arial"/>
                <w:sz w:val="14"/>
                <w:szCs w:val="14"/>
                <w:b w:val="1"/>
                <w:bCs w:val="1"/>
                <w:color w:val="auto"/>
                <w:w w:val="95"/>
              </w:rPr>
              <w:t>$ Change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520" w:type="dxa"/>
            <w:vAlign w:val="bottom"/>
            <w:gridSpan w:val="4"/>
          </w:tcPr>
          <w:p>
            <w:pPr>
              <w:jc w:val="right"/>
              <w:ind w:right="339"/>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w w:val="87"/>
              </w:rPr>
              <w:t>$6,965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(40)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 based compensation, legal and accounting fees, insurance, investor relations, business development and other office related expenses. The primary reasons for the decrease for the year ended December 31, 2015 as compared to the same period for 2014 are due to, decreased legal expenses of $340,000, decreased stock based compensation of $457,000 offset by increases in investor relations activities of $278,000 and increases in insurance of $194,000.</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2015, other income and expense consisted of interest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2016, we raised a net total of $128.4 million from these offerings. At December 31, 2016, the Company had $15.4 of unrestricted cash and cash equivalents available to fund future operations. Additionally, from January 1, 2017 through March 1, 2017, the Company raised $1,247,000 in net proceeds from the issuance of common stock under its At the Market sales arrangement. On February 28, 2017, the Company closed a transactions with individual investors through private placements of common stock and warrants. In total, the Company issued 102,368 shares of common stock for proceeds of $200,000. The Company also issued, to the investors, warrants to purchase 76,776 shares of common stock at $5.00 per share. The Company believes there is sufficient cash to fund currently planned operations through December 31, 2017. We will require more cash to fund our operations after December 31, 2017 and believe we will be able to obtain additional financing. However, there can be no assurance that we will be successful in obtaining such new financing or, if available, that such financing will be on terms favorable to us. If we are unsuccessful in raising additional capital to fund operations before December 31, 2017, we may be required to cease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cash used in operations decreased by $574,000 to $16,409,000 for 2016, as compared to $16,983,000 for 2015. Cash operating expenses increased principally due to increased research and development activities primarily related to our Phase 2 clinical programs.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equipment purchases or other investing activities in 2016.</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Net cash provided by financing activities was $5,925,000 during 2016 as compared to $13,701,000 during 2015, due primarily to the transactions described below.</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2016, we completed sales of Series B-3 preferred stock with warrants totaling $2,508,000, private placements of common stock and warrants totaling $3,000,000 and sales of common stock through At the Market issuances totaling $416,000. In 2015, we completed an offering of common stock and warrants for net proceeds of $9,129,000 and $4,572,000 from sales of our common stock through At the Market issuances.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Net cash used in operations increased by $4,557,000 to $16,983,000 for 2015, as compared to $12,426,000 for 2014. Cash operating expenses increased principally due to increased research and development activities primarily related to our Phase 2 clinical programs.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equipment purchases or other investing activities in 2015.</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provided by financing activities was $13,701,000 during 2015 as compared to $31,465,000 during 2014, due primarily to the transactions described below.</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In 2015, we completed an offering of common stock and warrants for net proceeds of $9,129,000 and $4,572,000 from sales of our common stock through At the Market issuances. In 2014, we received $2,128,000 from the exercise of stock options and warrants. Additionally, in 2014, we received $29,337,000 from sales of our common stock through At the Market issuances.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September 2012, the Company entered into an operating lease for office space in Norcross, GA for a term of twenty-six months, beginning on October 1, 2012 and ending November 30, 2014 at a rate of approximately $3,000 per month. In June 2014, the Company signed an amendment to the lease extending the term through November 30, 2017 with a base monthly rental of approximately $3,300 through the extended term. The original lease provided for free rent for the first two months of the lease and required a security deposit of $6,000. In addition to base rental payments included in the contractual obligations table above, the Company is responsible for our pro-rata share of the operating expenses for the building.</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October 2012, the Company entered into an operating lease for office space collocated with lab space for research and development activities. The lease is for a period of one year, beginning on October 1, 2012, for a rate of $15,000 for the term, payable in equal monthly increments. This lease was continued on a month to month basis from October 1, 2013.</w:t>
      </w:r>
    </w:p>
    <w:p>
      <w:pPr>
        <w:spacing w:after="0" w:line="177"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engaged outside vendors for certain services associated with our clinical trials. These services are generally available from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and, accordingly, our arrangements are typically cancellable on 30 days notice.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contractual obligations and commitments as of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Payments due by period (in thousands)</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Contractual Obligations</w:t>
            </w:r>
          </w:p>
        </w:tc>
        <w:tc>
          <w:tcPr>
            <w:tcW w:w="2060" w:type="dxa"/>
            <w:vAlign w:val="bottom"/>
            <w:vMerge w:val="restart"/>
          </w:tcPr>
          <w:p>
            <w:pPr>
              <w:spacing w:after="0"/>
              <w:rPr>
                <w:sz w:val="10"/>
                <w:szCs w:val="10"/>
                <w:color w:val="auto"/>
              </w:rPr>
            </w:pPr>
          </w:p>
        </w:tc>
        <w:tc>
          <w:tcPr>
            <w:tcW w:w="3160" w:type="dxa"/>
            <w:vAlign w:val="bottom"/>
          </w:tcPr>
          <w:p>
            <w:pPr>
              <w:spacing w:after="0"/>
              <w:rPr>
                <w:sz w:val="10"/>
                <w:szCs w:val="10"/>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Less than</w:t>
            </w:r>
          </w:p>
        </w:tc>
        <w:tc>
          <w:tcPr>
            <w:tcW w:w="960" w:type="dxa"/>
            <w:vAlign w:val="bottom"/>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1-3</w:t>
            </w: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3-5</w:t>
            </w:r>
          </w:p>
        </w:tc>
        <w:tc>
          <w:tcPr>
            <w:tcW w:w="60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31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w w:val="88"/>
              </w:rPr>
              <w:t>1 year</w:t>
            </w:r>
          </w:p>
        </w:tc>
        <w:tc>
          <w:tcPr>
            <w:tcW w:w="620" w:type="dxa"/>
            <w:vAlign w:val="bottom"/>
          </w:tcPr>
          <w:p>
            <w:pPr>
              <w:spacing w:after="0"/>
              <w:rPr>
                <w:sz w:val="15"/>
                <w:szCs w:val="15"/>
                <w:color w:val="auto"/>
              </w:rPr>
            </w:pPr>
          </w:p>
        </w:tc>
        <w:tc>
          <w:tcPr>
            <w:tcW w:w="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years</w:t>
            </w:r>
          </w:p>
        </w:tc>
        <w:tc>
          <w:tcPr>
            <w:tcW w:w="580" w:type="dxa"/>
            <w:vAlign w:val="bottom"/>
          </w:tcPr>
          <w:p>
            <w:pPr>
              <w:spacing w:after="0"/>
              <w:rPr>
                <w:sz w:val="15"/>
                <w:szCs w:val="15"/>
                <w:color w:val="auto"/>
              </w:rPr>
            </w:pPr>
          </w:p>
        </w:tc>
        <w:tc>
          <w:tcPr>
            <w:tcW w:w="94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7"/>
              </w:rPr>
              <w:t>years</w:t>
            </w:r>
          </w:p>
        </w:tc>
        <w:tc>
          <w:tcPr>
            <w:tcW w:w="7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Leases</w:t>
            </w:r>
          </w:p>
        </w:tc>
        <w:tc>
          <w:tcPr>
            <w:tcW w:w="3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5"/>
              </w:rPr>
              <w:t>$ 41</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$ 41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60" w:type="dxa"/>
            <w:vAlign w:val="bottom"/>
            <w:vMerge w:val="restart"/>
          </w:tcPr>
          <w:p>
            <w:pPr>
              <w:jc w:val="right"/>
              <w:ind w:right="83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and warrant liability valuations and performance vesting features of certain of these instruments, useful lives and potential impairment of property and equipment and intangible assets, accrued liabilities, deferred income taxes and cash flow.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Accrued Expenses</w:t>
      </w:r>
      <w:r>
        <w:rPr>
          <w:rFonts w:ascii="Arial" w:cs="Arial" w:eastAsia="Arial" w:hAnsi="Arial"/>
          <w:sz w:val="16"/>
          <w:szCs w:val="16"/>
          <w:color w:val="auto"/>
        </w:rPr>
        <w:t>. As part of the process of preparing our consolidated financial statements, we are required to estimate accrued expenses. This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pre-clinical and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6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among other costs, salaries and other personnel-related costs, and costs incurred by outside laboratories and other accredited facilities in connection with clinical trials and preclinical studies.</w:t>
      </w:r>
    </w:p>
    <w:p>
      <w:pPr>
        <w:spacing w:after="0" w:line="181" w:lineRule="exact"/>
        <w:rPr>
          <w:sz w:val="20"/>
          <w:szCs w:val="20"/>
          <w:color w:val="auto"/>
        </w:rPr>
      </w:pPr>
    </w:p>
    <w:p>
      <w:pPr>
        <w:ind w:right="220" w:firstLine="456"/>
        <w:spacing w:after="0" w:line="270"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Stock-based compensation cost is measured at the grant date based on the fair value of the award and is recognized as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over the service period, which 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Equity-Based Payments to Non-employees, which requires valuing the stock options using an option pricing model (the Company uses Black-Scholes) and measuring such stock options to their current fair value when they vest.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Due to the nature of our operations, assets and absence of debt, we are not exposed to any significant market risks at December 31, 2016 and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required by this item are attached to this Annual Report on Form 10-K beginning on Page F-1.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2016. Our management has concluded, based on their evaluation, that our disclosure controls and procedures were effective as of December 31, 2016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88" w:lineRule="exact"/>
        <w:rPr>
          <w:sz w:val="20"/>
          <w:szCs w:val="20"/>
          <w:color w:val="auto"/>
        </w:rPr>
      </w:pPr>
    </w:p>
    <w:p>
      <w:pPr>
        <w:ind w:right="520" w:firstLine="464"/>
        <w:spacing w:after="0" w:line="277"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right="160" w:firstLine="464"/>
        <w:spacing w:after="0" w:line="264" w:lineRule="auto"/>
        <w:tabs>
          <w:tab w:leader="none" w:pos="6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81" w:lineRule="exact"/>
        <w:rPr>
          <w:rFonts w:ascii="Arial" w:cs="Arial" w:eastAsia="Arial" w:hAnsi="Arial"/>
          <w:sz w:val="18"/>
          <w:szCs w:val="18"/>
          <w:color w:val="auto"/>
        </w:rPr>
      </w:pPr>
    </w:p>
    <w:p>
      <w:pPr>
        <w:ind w:right="200" w:firstLine="464"/>
        <w:spacing w:after="0" w:line="277"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2016.</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2016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Securities and Exchange Commission, or SEC, in connection with our Annual Meeting of Stockholders (the “2017 Proxy Statement”) under the captions “Election of Directors,” “Board of Directors Meetings and Committees of the Board,” “Executive Officers” and “Section 16(a) Beneficial Ownership Reporting Compliance” and is incorporated herein by reference.</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“Compensation of Named Executive Officers” contained in our 2017 Proxy Statement.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“Security Ownership of Certain Beneficial Owners and Management” contained in our 2017 Proxy Statement.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“Certain Relationships and Related Transactions” contained in our 2017 Proxy Statement.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captions “Audit Fees”, “Audit-Related Fees,” “Tax Fees,” “All Other Fees” and “Pre-Approval Policies and Procedures” contained in our 2017 Proxy Statement.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43"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6"/>
          <w:szCs w:val="16"/>
          <w:color w:val="auto"/>
        </w:rPr>
        <w:t>Consolidated Financial Statement Schedules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Consolidated Financial Statements are filed as part of this report.</w:t>
      </w:r>
    </w:p>
    <w:p>
      <w:pPr>
        <w:spacing w:after="0" w:line="117" w:lineRule="exact"/>
        <w:rPr>
          <w:sz w:val="20"/>
          <w:szCs w:val="20"/>
          <w:color w:val="auto"/>
        </w:rPr>
      </w:pPr>
    </w:p>
    <w:p>
      <w:pPr>
        <w:ind w:left="1500" w:hanging="479"/>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117" w:lineRule="exact"/>
        <w:rPr>
          <w:rFonts w:ascii="Arial" w:cs="Arial" w:eastAsia="Arial" w:hAnsi="Arial"/>
          <w:sz w:val="18"/>
          <w:szCs w:val="18"/>
          <w:color w:val="auto"/>
        </w:rPr>
      </w:pPr>
    </w:p>
    <w:p>
      <w:pPr>
        <w:ind w:left="1500" w:right="42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conditions under which they are required or because the required information is included in the Consolidated Financial Statements or notes thereto.</w:t>
      </w:r>
    </w:p>
    <w:p>
      <w:pPr>
        <w:spacing w:after="0" w:line="62" w:lineRule="exact"/>
        <w:rPr>
          <w:rFonts w:ascii="Arial" w:cs="Arial" w:eastAsia="Arial" w:hAnsi="Arial"/>
          <w:sz w:val="18"/>
          <w:szCs w:val="18"/>
          <w:color w:val="auto"/>
        </w:rPr>
      </w:pPr>
    </w:p>
    <w:p>
      <w:pPr>
        <w:ind w:left="1500" w:hanging="479"/>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900" w:type="dxa"/>
            <w:vAlign w:val="bottom"/>
            <w:gridSpan w:val="3"/>
            <w:vMerge w:val="restart"/>
          </w:tcPr>
          <w:p>
            <w:pPr>
              <w:ind w:left="50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0" w:type="dxa"/>
            <w:vAlign w:val="bottom"/>
            <w:tcBorders>
              <w:top w:val="single" w:sz="8" w:color="auto"/>
            </w:tcBorders>
          </w:tcPr>
          <w:p>
            <w:pPr>
              <w:jc w:val="right"/>
              <w:ind w:right="13"/>
              <w:spacing w:after="0" w:line="195" w:lineRule="exact"/>
              <w:rPr>
                <w:sz w:val="20"/>
                <w:szCs w:val="20"/>
                <w:color w:val="auto"/>
              </w:rPr>
            </w:pPr>
            <w:r>
              <w:rPr>
                <w:rFonts w:ascii="Arial" w:cs="Arial" w:eastAsia="Arial" w:hAnsi="Arial"/>
                <w:sz w:val="18"/>
                <w:szCs w:val="18"/>
                <w:color w:val="auto"/>
              </w:rPr>
              <w:t>3.1</w:t>
            </w:r>
          </w:p>
        </w:tc>
        <w:tc>
          <w:tcPr>
            <w:tcW w:w="5080" w:type="dxa"/>
            <w:vAlign w:val="bottom"/>
          </w:tcPr>
          <w:p>
            <w:pPr>
              <w:ind w:left="780"/>
              <w:spacing w:after="0" w:line="195" w:lineRule="exact"/>
              <w:rPr>
                <w:sz w:val="20"/>
                <w:szCs w:val="20"/>
                <w:color w:val="auto"/>
              </w:rPr>
            </w:pPr>
            <w:r>
              <w:rPr>
                <w:rFonts w:ascii="Arial" w:cs="Arial" w:eastAsia="Arial" w:hAnsi="Arial"/>
                <w:sz w:val="18"/>
                <w:szCs w:val="18"/>
                <w:color w:val="auto"/>
                <w:w w:val="90"/>
              </w:rPr>
              <w:t>Amended and Restated Articles of Incorporation of Galectin</w:t>
            </w:r>
          </w:p>
        </w:tc>
        <w:tc>
          <w:tcPr>
            <w:tcW w:w="1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Therapeutics Inc.</w:t>
            </w:r>
          </w:p>
        </w:tc>
        <w:tc>
          <w:tcPr>
            <w:tcW w:w="4300" w:type="dxa"/>
            <w:vAlign w:val="bottom"/>
          </w:tcPr>
          <w:p>
            <w:pPr>
              <w:spacing w:after="0" w:line="195" w:lineRule="exact"/>
              <w:rPr>
                <w:sz w:val="20"/>
                <w:szCs w:val="20"/>
                <w:color w:val="auto"/>
              </w:rPr>
            </w:pPr>
            <w:r>
              <w:rPr>
                <w:rFonts w:ascii="Arial" w:cs="Arial" w:eastAsia="Arial" w:hAnsi="Arial"/>
                <w:sz w:val="18"/>
                <w:szCs w:val="18"/>
                <w:color w:val="auto"/>
                <w:w w:val="88"/>
              </w:rPr>
              <w:t>(Incorporated by reference to the Company’s Current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on Form 8-K filed with the Commission on May 30, 2012.)</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Amended and Restated Bylaws of Galectin Therapeutics Inc., as amended (Incorporated by reference to the Company’s Current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Form 8-K filed with the Commission on September 27, 2016.)</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Certificate of Designation of Preferences, Rights and Limitations of Series A 12% Convertible Preferred Stock of Pro Pharmaceuticals,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as filed with the Secretary of State of the State of Nevada on October 5, 2007. (Incorporated by reference to the Company’s Current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on Form 8-K filed with the Commission on October 9, 2007.)</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Second Amended and Restated Certificate of Designation of Preferences, Rights and Limitations of Series B-1 Convertible Preferred Stock,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7"/>
              </w:rPr>
              <w:t>Series B-2 Convertible Preferred Stock and Series B-3 Convertible Preferred Stock of Galectin Therapeutics, Inc., as filed with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Secretary of State of the State of Nevada on September 22, 2016. (Incorporated by reference to the Company’s Current Report on Form 8-K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filed with the Commission on September 27, 2016.)</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3"/>
              </w:rPr>
              <w:t>Certificate of Designation of Preferences, Rights and Limitations of Common Stock (Class W) of Galectin Therapeutics, Inc., as filed with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the Secretary of State of the State of Nevada on February 13, 2017. (Incorporated by reference to the Company’s Current Report on Form 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K filed with the Commission on February 17, 2017.)</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Certificate of Designation of Preferences, Rights and Limitation of Series C Super Dividend Convertible Preferred Stock of Pro-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2"/>
              </w:rPr>
              <w:t>Pharmaceuticals, Inc., as filed with the Secretary of State of Nevada on December 30, 2010. (Incorporated by reference to the Company’s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Current Report on Form 8-K as filed with the Commission on January 6, 2011.)</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2"/>
              </w:rPr>
              <w:t>Certificate of Change as filed with the Nevada Secretary of State on March 1, 2012. (Incorporated by reference to the Company’s Current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Report on Form 8-K as filed with the Commission on March 23, 2012.)</w:t>
            </w:r>
          </w:p>
        </w:tc>
        <w:tc>
          <w:tcPr>
            <w:tcW w:w="0" w:type="dxa"/>
            <w:vAlign w:val="bottom"/>
          </w:tcPr>
          <w:p>
            <w:pPr>
              <w:spacing w:after="0"/>
              <w:rPr>
                <w:sz w:val="1"/>
                <w:szCs w:val="1"/>
                <w:color w:val="auto"/>
              </w:rPr>
            </w:pPr>
          </w:p>
        </w:tc>
      </w:tr>
      <w:tr>
        <w:trPr>
          <w:trHeight w:val="216"/>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2"/>
              </w:rPr>
              <w:t>Form of Class A-1 Common Stock Purchase Warrant (Incorporated by reference to the Company’s Current Report on Form 8-K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the Commission on February 18, 2009.)</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2"/>
              </w:rPr>
              <w:t>Form of Class A-2 Common Stock Purchase Warrant (Incorporated by reference to the Company’s Current Report on Form 8-K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the Commission on February 18, 2009.)</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Form of Class B Common Stock Purchase Warrant (Incorporated by reference to the Company’s Current Report on Form 8-K filed with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Commission on February 18, 2009.)</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600" w:type="dxa"/>
            <w:vAlign w:val="bottom"/>
            <w:gridSpan w:val="2"/>
          </w:tcPr>
          <w:p>
            <w:pPr>
              <w:ind w:left="5100"/>
              <w:spacing w:after="0"/>
              <w:rPr>
                <w:sz w:val="20"/>
                <w:szCs w:val="20"/>
                <w:color w:val="auto"/>
              </w:rPr>
            </w:pPr>
            <w:r>
              <w:rPr>
                <w:rFonts w:ascii="Arial" w:cs="Arial" w:eastAsia="Arial" w:hAnsi="Arial"/>
                <w:sz w:val="18"/>
                <w:szCs w:val="18"/>
                <w:color w:val="auto"/>
              </w:rPr>
              <w:t>45</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40" w:type="dxa"/>
            <w:vAlign w:val="bottom"/>
          </w:tcPr>
          <w:p>
            <w:pPr>
              <w:spacing w:after="0"/>
              <w:rPr>
                <w:sz w:val="14"/>
                <w:szCs w:val="14"/>
                <w:color w:val="auto"/>
              </w:rPr>
            </w:pPr>
          </w:p>
        </w:tc>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640" w:type="dxa"/>
            <w:vAlign w:val="bottom"/>
          </w:tcPr>
          <w:p>
            <w:pPr>
              <w:spacing w:after="0"/>
              <w:rPr>
                <w:sz w:val="14"/>
                <w:szCs w:val="14"/>
                <w:color w:val="auto"/>
              </w:rPr>
            </w:pPr>
          </w:p>
        </w:tc>
        <w:tc>
          <w:tcPr>
            <w:tcW w:w="5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w w:val="93"/>
              </w:rPr>
              <w:t>reference to the Company’s Current Report on Form 8-K</w:t>
            </w: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0" w:type="dxa"/>
            <w:vAlign w:val="bottom"/>
          </w:tcPr>
          <w:p>
            <w:pPr>
              <w:jc w:val="center"/>
              <w:ind w:right="39"/>
              <w:spacing w:after="0" w:line="195" w:lineRule="exact"/>
              <w:rPr>
                <w:sz w:val="20"/>
                <w:szCs w:val="20"/>
                <w:color w:val="auto"/>
              </w:rPr>
            </w:pPr>
            <w:r>
              <w:rPr>
                <w:rFonts w:ascii="Arial" w:cs="Arial" w:eastAsia="Arial" w:hAnsi="Arial"/>
                <w:sz w:val="18"/>
                <w:szCs w:val="18"/>
                <w:color w:val="auto"/>
                <w:w w:val="95"/>
              </w:rPr>
              <w:t>4.4</w:t>
            </w:r>
          </w:p>
        </w:tc>
        <w:tc>
          <w:tcPr>
            <w:tcW w:w="340" w:type="dxa"/>
            <w:vAlign w:val="bottom"/>
          </w:tcPr>
          <w:p>
            <w:pPr>
              <w:spacing w:after="0"/>
              <w:rPr>
                <w:sz w:val="16"/>
                <w:szCs w:val="16"/>
                <w:color w:val="auto"/>
              </w:rPr>
            </w:pPr>
          </w:p>
        </w:tc>
        <w:tc>
          <w:tcPr>
            <w:tcW w:w="6180" w:type="dxa"/>
            <w:vAlign w:val="bottom"/>
            <w:gridSpan w:val="2"/>
          </w:tcPr>
          <w:p>
            <w:pPr>
              <w:ind w:left="320"/>
              <w:spacing w:after="0" w:line="195" w:lineRule="exact"/>
              <w:rPr>
                <w:sz w:val="20"/>
                <w:szCs w:val="20"/>
                <w:color w:val="auto"/>
              </w:rPr>
            </w:pPr>
            <w:r>
              <w:rPr>
                <w:rFonts w:ascii="Arial" w:cs="Arial" w:eastAsia="Arial" w:hAnsi="Arial"/>
                <w:sz w:val="18"/>
                <w:szCs w:val="18"/>
                <w:color w:val="auto"/>
                <w:w w:val="91"/>
              </w:rPr>
              <w:t>Amended Form of Class A-1 Common Stock Purchase Warrant (Incorporated by</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as filed with the Commission on January 27,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center"/>
              <w:ind w:right="19"/>
              <w:spacing w:after="0"/>
              <w:rPr>
                <w:sz w:val="20"/>
                <w:szCs w:val="20"/>
                <w:color w:val="auto"/>
              </w:rPr>
            </w:pPr>
            <w:r>
              <w:rPr>
                <w:rFonts w:ascii="Arial" w:cs="Arial" w:eastAsia="Arial" w:hAnsi="Arial"/>
                <w:sz w:val="18"/>
                <w:szCs w:val="18"/>
                <w:color w:val="auto"/>
                <w:w w:val="95"/>
              </w:rPr>
              <w:t>4.5</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Amended Form of Class A-2 Common Stock Purchase Warrant (Incorporated by reference to the Company’s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as filed with the Commission on January 27,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center"/>
              <w:ind w:right="19"/>
              <w:spacing w:after="0"/>
              <w:rPr>
                <w:sz w:val="20"/>
                <w:szCs w:val="20"/>
                <w:color w:val="auto"/>
              </w:rPr>
            </w:pPr>
            <w:r>
              <w:rPr>
                <w:rFonts w:ascii="Arial" w:cs="Arial" w:eastAsia="Arial" w:hAnsi="Arial"/>
                <w:sz w:val="18"/>
                <w:szCs w:val="18"/>
                <w:color w:val="auto"/>
                <w:w w:val="95"/>
              </w:rPr>
              <w:t>4.6</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Amended Form of Class B Common Stock Purchase Warrant (Incorporated by reference to the Company’s Current Report on Form 8-K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filed with the Commission on January 27, 2011.)</w:t>
            </w:r>
          </w:p>
        </w:tc>
        <w:tc>
          <w:tcPr>
            <w:tcW w:w="0" w:type="dxa"/>
            <w:vAlign w:val="bottom"/>
          </w:tcPr>
          <w:p>
            <w:pPr>
              <w:spacing w:after="0"/>
              <w:rPr>
                <w:sz w:val="1"/>
                <w:szCs w:val="1"/>
                <w:color w:val="auto"/>
              </w:rPr>
            </w:pPr>
          </w:p>
        </w:tc>
      </w:tr>
      <w:tr>
        <w:trPr>
          <w:trHeight w:val="310"/>
        </w:trPr>
        <w:tc>
          <w:tcPr>
            <w:tcW w:w="500" w:type="dxa"/>
            <w:vAlign w:val="bottom"/>
            <w:gridSpan w:val="2"/>
          </w:tcPr>
          <w:p>
            <w:pPr>
              <w:jc w:val="center"/>
              <w:ind w:right="19"/>
              <w:spacing w:after="0"/>
              <w:rPr>
                <w:sz w:val="20"/>
                <w:szCs w:val="20"/>
                <w:color w:val="auto"/>
              </w:rPr>
            </w:pPr>
            <w:r>
              <w:rPr>
                <w:rFonts w:ascii="Arial" w:cs="Arial" w:eastAsia="Arial" w:hAnsi="Arial"/>
                <w:sz w:val="18"/>
                <w:szCs w:val="18"/>
                <w:color w:val="auto"/>
                <w:w w:val="95"/>
              </w:rPr>
              <w:t>4.7</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4"/>
              </w:rPr>
              <w:t>Form of Warrant Agreement between Galectin Therapeutics Inc. and Continental Stock Transfer and Trust Company, as warrant agent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9"/>
              </w:rPr>
              <w:t>(including form of warrant certificate) (Incorporated by reference to the Company’s Current Report on Form 8-K as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Commission on March 23, 2012.)</w:t>
            </w:r>
          </w:p>
        </w:tc>
        <w:tc>
          <w:tcPr>
            <w:tcW w:w="0" w:type="dxa"/>
            <w:vAlign w:val="bottom"/>
          </w:tcPr>
          <w:p>
            <w:pPr>
              <w:spacing w:after="0"/>
              <w:rPr>
                <w:sz w:val="1"/>
                <w:szCs w:val="1"/>
                <w:color w:val="auto"/>
              </w:rPr>
            </w:pPr>
          </w:p>
        </w:tc>
      </w:tr>
      <w:tr>
        <w:trPr>
          <w:trHeight w:val="310"/>
        </w:trPr>
        <w:tc>
          <w:tcPr>
            <w:tcW w:w="500" w:type="dxa"/>
            <w:vAlign w:val="bottom"/>
            <w:gridSpan w:val="2"/>
          </w:tcPr>
          <w:p>
            <w:pPr>
              <w:jc w:val="center"/>
              <w:ind w:right="19"/>
              <w:spacing w:after="0"/>
              <w:rPr>
                <w:sz w:val="20"/>
                <w:szCs w:val="20"/>
                <w:color w:val="auto"/>
              </w:rPr>
            </w:pPr>
            <w:r>
              <w:rPr>
                <w:rFonts w:ascii="Arial" w:cs="Arial" w:eastAsia="Arial" w:hAnsi="Arial"/>
                <w:sz w:val="18"/>
                <w:szCs w:val="18"/>
                <w:color w:val="auto"/>
                <w:w w:val="95"/>
              </w:rPr>
              <w:t>4.8</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5"/>
              </w:rPr>
              <w:t>Form of Common Stock Purchase Warrant (Incorporated by reference to the Company’s Current Report on Form 8-K as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Commission on November 20, 2015.)</w:t>
            </w:r>
          </w:p>
        </w:tc>
        <w:tc>
          <w:tcPr>
            <w:tcW w:w="0" w:type="dxa"/>
            <w:vAlign w:val="bottom"/>
          </w:tcPr>
          <w:p>
            <w:pPr>
              <w:spacing w:after="0"/>
              <w:rPr>
                <w:sz w:val="1"/>
                <w:szCs w:val="1"/>
                <w:color w:val="auto"/>
              </w:rPr>
            </w:pPr>
          </w:p>
        </w:tc>
      </w:tr>
      <w:tr>
        <w:trPr>
          <w:trHeight w:val="310"/>
        </w:trPr>
        <w:tc>
          <w:tcPr>
            <w:tcW w:w="500" w:type="dxa"/>
            <w:vAlign w:val="bottom"/>
            <w:gridSpan w:val="2"/>
          </w:tcPr>
          <w:p>
            <w:pPr>
              <w:jc w:val="center"/>
              <w:ind w:right="19"/>
              <w:spacing w:after="0"/>
              <w:rPr>
                <w:sz w:val="20"/>
                <w:szCs w:val="20"/>
                <w:color w:val="auto"/>
              </w:rPr>
            </w:pPr>
            <w:r>
              <w:rPr>
                <w:rFonts w:ascii="Arial" w:cs="Arial" w:eastAsia="Arial" w:hAnsi="Arial"/>
                <w:sz w:val="18"/>
                <w:szCs w:val="18"/>
                <w:color w:val="auto"/>
                <w:w w:val="95"/>
              </w:rPr>
              <w:t>4.9</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2"/>
              </w:rPr>
              <w:t>Form of Class B-3 Common Stock Purchase Warrant (Incorporated by reference to the Company’s Current Report on Form 8-K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the Commission on September 27, 2016.)</w:t>
            </w:r>
          </w:p>
        </w:tc>
        <w:tc>
          <w:tcPr>
            <w:tcW w:w="0" w:type="dxa"/>
            <w:vAlign w:val="bottom"/>
          </w:tcPr>
          <w:p>
            <w:pPr>
              <w:spacing w:after="0"/>
              <w:rPr>
                <w:sz w:val="1"/>
                <w:szCs w:val="1"/>
                <w:color w:val="auto"/>
              </w:rPr>
            </w:pPr>
          </w:p>
        </w:tc>
      </w:tr>
      <w:tr>
        <w:trPr>
          <w:trHeight w:val="310"/>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3"/>
              </w:rPr>
              <w:t>Form of Lock-Up Common Stock Purchase Warrant (Incorporated by reference to the Company’s Current Report on Form 8-K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the Commission on September 27, 2016.)</w:t>
            </w:r>
          </w:p>
        </w:tc>
        <w:tc>
          <w:tcPr>
            <w:tcW w:w="0" w:type="dxa"/>
            <w:vAlign w:val="bottom"/>
          </w:tcPr>
          <w:p>
            <w:pPr>
              <w:spacing w:after="0"/>
              <w:rPr>
                <w:sz w:val="1"/>
                <w:szCs w:val="1"/>
                <w:color w:val="auto"/>
              </w:rPr>
            </w:pPr>
          </w:p>
        </w:tc>
      </w:tr>
      <w:tr>
        <w:trPr>
          <w:trHeight w:val="310"/>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5"/>
              </w:rPr>
              <w:t>Form of Common Stock Purchase Warrant (Incorporated by reference to the Company’s Current Report on Form 8-K as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Commission on December 29, 2016.)</w:t>
            </w:r>
          </w:p>
        </w:tc>
        <w:tc>
          <w:tcPr>
            <w:tcW w:w="0" w:type="dxa"/>
            <w:vAlign w:val="bottom"/>
          </w:tcPr>
          <w:p>
            <w:pPr>
              <w:spacing w:after="0"/>
              <w:rPr>
                <w:sz w:val="1"/>
                <w:szCs w:val="1"/>
                <w:color w:val="auto"/>
              </w:rPr>
            </w:pPr>
          </w:p>
        </w:tc>
      </w:tr>
      <w:tr>
        <w:trPr>
          <w:trHeight w:val="310"/>
        </w:trPr>
        <w:tc>
          <w:tcPr>
            <w:tcW w:w="84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10.1†</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2"/>
              </w:rPr>
              <w:t>Pro-Pharmaceuticals, Inc. 2001 Stock Incentive Plan. (Incorporated by reference to the Company’s Quarterly Report on Form 10-QSB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the quarter ended September 30, 2001 filed with the Commission on November 14, 2001.)</w:t>
            </w:r>
          </w:p>
        </w:tc>
        <w:tc>
          <w:tcPr>
            <w:tcW w:w="0" w:type="dxa"/>
            <w:vAlign w:val="bottom"/>
          </w:tcPr>
          <w:p>
            <w:pPr>
              <w:spacing w:after="0"/>
              <w:rPr>
                <w:sz w:val="1"/>
                <w:szCs w:val="1"/>
                <w:color w:val="auto"/>
              </w:rPr>
            </w:pPr>
          </w:p>
        </w:tc>
      </w:tr>
      <w:tr>
        <w:trPr>
          <w:trHeight w:val="310"/>
        </w:trPr>
        <w:tc>
          <w:tcPr>
            <w:tcW w:w="84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10.2†</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3"/>
              </w:rPr>
              <w:t>Pro-Pharmaceuticals, Inc. 2003 Non-employee Director Stock Incentive Plan. (Incorporated by reference to the Company’s Registration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Statement on Form S-8, as filed with the Commission on October 22, 2003.)</w:t>
            </w:r>
          </w:p>
        </w:tc>
        <w:tc>
          <w:tcPr>
            <w:tcW w:w="0" w:type="dxa"/>
            <w:vAlign w:val="bottom"/>
          </w:tcPr>
          <w:p>
            <w:pPr>
              <w:spacing w:after="0"/>
              <w:rPr>
                <w:sz w:val="1"/>
                <w:szCs w:val="1"/>
                <w:color w:val="auto"/>
              </w:rPr>
            </w:pPr>
          </w:p>
        </w:tc>
      </w:tr>
      <w:tr>
        <w:trPr>
          <w:trHeight w:val="310"/>
        </w:trPr>
        <w:tc>
          <w:tcPr>
            <w:tcW w:w="84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10.3†</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2"/>
              </w:rPr>
              <w:t>Form of Incentive Stock Option Agreement (under the 2001 Stock Incentive Plan). (Incorporated by reference to the Company’s Quarterly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Report on Form 10-Q for the period ended September 30, 2004 as filed with the Commission on November 19, 2004.)</w:t>
            </w:r>
          </w:p>
        </w:tc>
        <w:tc>
          <w:tcPr>
            <w:tcW w:w="0" w:type="dxa"/>
            <w:vAlign w:val="bottom"/>
          </w:tcPr>
          <w:p>
            <w:pPr>
              <w:spacing w:after="0"/>
              <w:rPr>
                <w:sz w:val="1"/>
                <w:szCs w:val="1"/>
                <w:color w:val="auto"/>
              </w:rPr>
            </w:pPr>
          </w:p>
        </w:tc>
      </w:tr>
      <w:tr>
        <w:trPr>
          <w:trHeight w:val="310"/>
        </w:trPr>
        <w:tc>
          <w:tcPr>
            <w:tcW w:w="84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10.4†</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5"/>
              </w:rPr>
              <w:t>Form of Non-Qualified Stock Option Agreement (under the 2001 Stock Incentive Plan). (Incorporated by reference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9"/>
              </w:rPr>
              <w:t>Quarterly Report on Form 10-Q for the period ended September 30, 2004 as filed with the Commission on November 19, 2004.)</w:t>
            </w:r>
          </w:p>
        </w:tc>
        <w:tc>
          <w:tcPr>
            <w:tcW w:w="0" w:type="dxa"/>
            <w:vAlign w:val="bottom"/>
          </w:tcPr>
          <w:p>
            <w:pPr>
              <w:spacing w:after="0"/>
              <w:rPr>
                <w:sz w:val="1"/>
                <w:szCs w:val="1"/>
                <w:color w:val="auto"/>
              </w:rPr>
            </w:pPr>
          </w:p>
        </w:tc>
      </w:tr>
      <w:tr>
        <w:trPr>
          <w:trHeight w:val="310"/>
        </w:trPr>
        <w:tc>
          <w:tcPr>
            <w:tcW w:w="84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10.5†</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Form of Non-Qualified Stock Option Agreement (under the 2003 Non-Employee Director Stock Incentive Plan). (Incorporated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to the Company’s Quarterly Report on Form 10-Q for the period ended September 30, 2004 as filed with the Commission on November 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2004.)</w:t>
            </w:r>
          </w:p>
        </w:tc>
        <w:tc>
          <w:tcPr>
            <w:tcW w:w="15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4"/>
              </w:rPr>
              <w:t>Form of Common Stock Purchase Warrant. (Incorporated by reference to the Company’s Current Report on Form 8-K as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Commission on February 15, 2008.)</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Promissory Note dated February 12, 2009 issued by Pro Pharmaceuticals, Inc. in favor of 10X Fund, L.P. (Incorporated by reference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Company’s Current Report on Form 8-K filed with the Commission on February 18, 2009.)</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4"/>
              </w:rPr>
              <w:t>Security Agreement dated February 12, 2009 between Pro Pharmaceuticals, Inc. and 10X Fund, L.P. (Incorporated by reference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Company’s Current Report on Form 8-K filed with the Commission on February 18, 2009.)</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5"/>
              </w:rPr>
              <w:t>Escrow Agreement dated February 12, 2009 among Pro Pharmaceuticals, Inc., 10X Fund, L.P. and Investment Law Group of Gillett,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8"/>
              </w:rPr>
              <w:t>Mottern &amp; Walker, LLP, as Escrow Agent. (Incorporated by reference to the Company’s Current Report on Form 8-K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Commission on February 18, 2009.)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2"/>
          </w:tcPr>
          <w:p>
            <w:pPr>
              <w:ind w:left="4680"/>
              <w:spacing w:after="0"/>
              <w:rPr>
                <w:sz w:val="20"/>
                <w:szCs w:val="20"/>
                <w:color w:val="auto"/>
              </w:rPr>
            </w:pPr>
            <w:r>
              <w:rPr>
                <w:rFonts w:ascii="Arial" w:cs="Arial" w:eastAsia="Arial" w:hAnsi="Arial"/>
                <w:sz w:val="18"/>
                <w:szCs w:val="18"/>
                <w:color w:val="auto"/>
              </w:rPr>
              <w:t>46</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92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92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0" w:type="dxa"/>
            <w:vAlign w:val="bottom"/>
            <w:gridSpan w:val="2"/>
          </w:tcPr>
          <w:p>
            <w:pPr>
              <w:spacing w:after="0" w:line="195" w:lineRule="exact"/>
              <w:rPr>
                <w:sz w:val="20"/>
                <w:szCs w:val="20"/>
                <w:color w:val="auto"/>
              </w:rPr>
            </w:pPr>
            <w:r>
              <w:rPr>
                <w:rFonts w:ascii="Arial" w:cs="Arial" w:eastAsia="Arial" w:hAnsi="Arial"/>
                <w:sz w:val="18"/>
                <w:szCs w:val="18"/>
                <w:color w:val="auto"/>
              </w:rPr>
              <w:t>10.10</w:t>
            </w:r>
          </w:p>
        </w:tc>
        <w:tc>
          <w:tcPr>
            <w:tcW w:w="10680" w:type="dxa"/>
            <w:vAlign w:val="bottom"/>
            <w:gridSpan w:val="3"/>
          </w:tcPr>
          <w:p>
            <w:pPr>
              <w:ind w:left="600"/>
              <w:spacing w:after="0" w:line="195" w:lineRule="exact"/>
              <w:rPr>
                <w:sz w:val="20"/>
                <w:szCs w:val="20"/>
                <w:color w:val="auto"/>
              </w:rPr>
            </w:pPr>
            <w:r>
              <w:rPr>
                <w:rFonts w:ascii="Arial" w:cs="Arial" w:eastAsia="Arial" w:hAnsi="Arial"/>
                <w:sz w:val="18"/>
                <w:szCs w:val="18"/>
                <w:color w:val="auto"/>
                <w:w w:val="90"/>
              </w:rPr>
              <w:t>Registration Rights Agreement dated February 12, 2009 between Pro Pharmaceuticals, Inc. and 10X Fund, L.P. (Incorporated by reference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to the Company’s Current Report on Form 8-K filed with the Commission on February 18, 2009.)</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10.11†</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2"/>
              </w:rPr>
              <w:t>Pro-Pharmaceuticals, Inc. 2009 Incentive Compensation Plan. (Incorporated by reference to the Company’s Current Report on Form 8-K</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filed with the Commission on February 18, 2009.)</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10.12†</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2"/>
              </w:rPr>
              <w:t>Form of Restricted Stock Grant Agreement (under the 2009 Incentive Compensation Plan). (Incorporated by reference to the Company’s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Annual Report on Form 10-K as filed with the Commission on March 30, 2009.)</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10.13†</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3"/>
              </w:rPr>
              <w:t>Form of Non-Qualified Stock Option Grant Agreement (under the 2009 Incentive Compensation Plan). (Incorporated by reference to the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Company’s Annual Report on Form 10-K as filed with the Commission on March 30, 2009.)</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10.14†</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6"/>
              </w:rPr>
              <w:t>Form of Incentive Stock Option Grant Agreement (under the 2009 Incentive Compensation Plan). (Incorporated by reference to the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Company’s Annual Report on Form 10-K as filed with the Commission on March 30, 2009.)</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1"/>
              </w:rPr>
              <w:t>Agreement with the 10X Fund L.P., dated February 11, 2010. (Incorporated by reference to the Company’s Current Report on Form 8-K as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filed with the Commission on February 17, 2010.)</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10.16†</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3"/>
              </w:rPr>
              <w:t>Common Stock Purchase Warrant dated August 3, 2010 issued to Peter Traber. (Incorporated by reference to the Company’s Quarterly</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Report on Form 10-Q as filed with the Commission on August 13, 2010.)</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0"/>
              </w:rPr>
              <w:t>Letter Agreement Between 10X Fund, L.P. and Pro-Pharmaceuticals, Inc. (Incorporated by reference to the Company’s Quarterly Report on</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Form 10-Q as filed with the Commission on August 13, 2010.)</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6"/>
              </w:rPr>
              <w:t>Form of Securities Purchase Agreement for Series C Super Dividend Convertible Preferred Stock (Incorporated by reference to the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Company’s Current Report on Form 8-K as filed with the Commission on January 6, 2011.)</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2"/>
              </w:rPr>
              <w:t>Agreement dated January 21, 2011, between Pro-Pharmaceuticals, Inc. and 10X Fund L.P. (Incorporated by reference to the Company’s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Current Report on Form 8-K as filed with the Commission on January 27, 2011.)</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10.20†</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1"/>
              </w:rPr>
              <w:t>Non-Qualified Stock Option Agreement dated March 7, 2011 (Incorporated by reference to the Company’s Current Report on Form 8-K as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filed with the Commission on March 9, 2011.)</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10.21†</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6"/>
              </w:rPr>
              <w:t>Employment Agreement dated March 31, 2011 between Eli Zomer and Pro-Pharmaceuticals, Inc. (Incorporated by reference to the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Company’s Current Report on Form 8-K as filed with the Commission on April 6, 2011.)</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10.22</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1"/>
              </w:rPr>
              <w:t>Agreement dated April 22, 2011, between Pro-Pharmaceuticals, Inc. and Sigma-Aldrich, Inc. (Incorporated by reference to the Company’s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Current Report on Form 8-K as filed with the Commission on April 28, 2011.)</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10.23†</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6"/>
              </w:rPr>
              <w:t>Employment Agreement dated May 6, 2016 between Peter Traber, and Galectin Therapeutics Inc. (Incorporated by reference to the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Company’s Quarterly Report on Form 10-Q as filed with the Commission on May 10, 2016.)</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10.24†</w:t>
            </w: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w w:val="93"/>
              </w:rPr>
              <w:t>Employment Agreement dated June 28, 2011 between James C. Czirr, and Galectin Therapeutics Inc. (Incorporated by reference to the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80" w:type="dxa"/>
            <w:vAlign w:val="bottom"/>
            <w:gridSpan w:val="3"/>
          </w:tcPr>
          <w:p>
            <w:pPr>
              <w:ind w:left="600"/>
              <w:spacing w:after="0"/>
              <w:rPr>
                <w:sz w:val="20"/>
                <w:szCs w:val="20"/>
                <w:color w:val="auto"/>
              </w:rPr>
            </w:pPr>
            <w:r>
              <w:rPr>
                <w:rFonts w:ascii="Arial" w:cs="Arial" w:eastAsia="Arial" w:hAnsi="Arial"/>
                <w:sz w:val="18"/>
                <w:szCs w:val="18"/>
                <w:color w:val="auto"/>
              </w:rPr>
              <w:t>Company’s Current Report on Form 8-K as filed with the Commission on July 5, 2011.)</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2"/>
          </w:tcPr>
          <w:p>
            <w:pPr>
              <w:ind w:left="4960"/>
              <w:spacing w:after="0"/>
              <w:rPr>
                <w:sz w:val="20"/>
                <w:szCs w:val="20"/>
                <w:color w:val="auto"/>
              </w:rPr>
            </w:pPr>
            <w:r>
              <w:rPr>
                <w:rFonts w:ascii="Arial" w:cs="Arial" w:eastAsia="Arial" w:hAnsi="Arial"/>
                <w:sz w:val="18"/>
                <w:szCs w:val="18"/>
                <w:color w:val="auto"/>
              </w:rPr>
              <w:t>47</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92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92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0" w:type="dxa"/>
            <w:vAlign w:val="bottom"/>
            <w:gridSpan w:val="2"/>
          </w:tcPr>
          <w:p>
            <w:pPr>
              <w:spacing w:after="0" w:line="195" w:lineRule="exact"/>
              <w:rPr>
                <w:sz w:val="20"/>
                <w:szCs w:val="20"/>
                <w:color w:val="auto"/>
              </w:rPr>
            </w:pPr>
            <w:r>
              <w:rPr>
                <w:rFonts w:ascii="Arial" w:cs="Arial" w:eastAsia="Arial" w:hAnsi="Arial"/>
                <w:sz w:val="18"/>
                <w:szCs w:val="18"/>
                <w:color w:val="auto"/>
                <w:w w:val="98"/>
              </w:rPr>
              <w:t>10.25†</w:t>
            </w:r>
          </w:p>
        </w:tc>
        <w:tc>
          <w:tcPr>
            <w:tcW w:w="10720" w:type="dxa"/>
            <w:vAlign w:val="bottom"/>
            <w:gridSpan w:val="3"/>
          </w:tcPr>
          <w:p>
            <w:pPr>
              <w:ind w:left="600"/>
              <w:spacing w:after="0" w:line="195" w:lineRule="exact"/>
              <w:rPr>
                <w:sz w:val="20"/>
                <w:szCs w:val="20"/>
                <w:color w:val="auto"/>
              </w:rPr>
            </w:pPr>
            <w:r>
              <w:rPr>
                <w:rFonts w:ascii="Arial" w:cs="Arial" w:eastAsia="Arial" w:hAnsi="Arial"/>
                <w:sz w:val="18"/>
                <w:szCs w:val="18"/>
                <w:color w:val="auto"/>
                <w:w w:val="92"/>
              </w:rPr>
              <w:t>Non-Qualified Stock Option Agreement for Peter G. Traber, M.D. (Incorporated by reference to the Company’s Current Report on Form 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K as filed with the Commission on August 15, 2011.)</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10.26†</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3"/>
              </w:rPr>
              <w:t>Non-Qualified Stock Option Agreement for James C. Czirr (Incorporated by reference to the Company’s Current Report on Form 8-K as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filed with the Commission on August 15, 2011.)</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10.27†</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1"/>
              </w:rPr>
              <w:t>Independent Consulting Agreement dated April 30, 2012, between Scott L. Friedman, M.D. and Galectin Therapeutics Inc. (Incorporated by</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reference to the Company’s Quarterly Report on Form 10-Q as filed with the Commission on November 9, 2012.)</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10.28†</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4"/>
              </w:rPr>
              <w:t>Amended and Restated Employment Agreement dated December 11, 2014 between Harold H. Shlevin and Galectin Therapeutics Inc.</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9"/>
              </w:rPr>
              <w:t>(Incorporated by reference to the Company’s Current Report on Form 8-K as filed with the Commission on December 12, 2014.)</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10.29</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4"/>
              </w:rPr>
              <w:t>Amended and Restated Master Services Agreement dated February 1, 2013 between Galectin Therapeutics Inc. and CTI Clinical Trial</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3"/>
              </w:rPr>
              <w:t>Services, Inc. and CTI Clinical Consulting Services Inc. (Incorporated by reference to the Company’s Quarterly Report on Form 10-Q as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filed with the Commission on May 10, 2013.)</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10.30</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1"/>
              </w:rPr>
              <w:t>Amended Form of Class A-2 Common Stock Purchase Warrant (Incorporated by reference to the Company’s Quarterly Report on Form 10-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Q as filed with the Commission on August 14, 2013.)</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10.31</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1"/>
              </w:rPr>
              <w:t>Amended Form of Class B Common Stock Purchase Warrant (Incorporated by reference to the Company’s Quarterly Report on Form 10-Q</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as filed with the Commission on August 14, 2013.)</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10.32†</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2"/>
              </w:rPr>
              <w:t>Employment Agreement dated June 20, 2013 between Jack W. Callicutt and Galectin Therapeutics Inc. (Incorporated by reference to the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Company’s Quarterly Report on Form 10-Q as filed with the Commission on August 14, 2013.)</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10.33†</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1"/>
              </w:rPr>
              <w:t>Stock Option Agreement with Thomas A. McGauley dated June 19, 2013 (Incorporated by reference to the Company’s Quarterly Report on</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Form 10-Q as filed with the Commission on August 14, 2013.)</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10.34</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9"/>
              </w:rPr>
              <w:t>At Market Issuance Sales Agreement, dated October 25, 2013, by and between Galectin Therapeutics Inc. and MLV &amp; Co. LLC</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rPr>
              <w:t>(Incorporated by reference to the Company’s Current Report on Form 8-K as filed with the Commission on October 25, 2013.)</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10.35</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2"/>
              </w:rPr>
              <w:t>Amendment No. 1 to At Market Issuance Sales Agreement, dated March 21, 2014, by and between Galectin Therapeutics Inc. and MLV &amp;</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4"/>
              </w:rPr>
              <w:t>Co. LLC (Incorporated by reference to the Company’s Registration Statement on Form S-3 as filed with the Commission on March 21,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tcPr>
          <w:p>
            <w:pPr>
              <w:ind w:left="600"/>
              <w:spacing w:after="0"/>
              <w:rPr>
                <w:sz w:val="20"/>
                <w:szCs w:val="20"/>
                <w:color w:val="auto"/>
              </w:rPr>
            </w:pPr>
            <w:r>
              <w:rPr>
                <w:rFonts w:ascii="Arial" w:cs="Arial" w:eastAsia="Arial" w:hAnsi="Arial"/>
                <w:sz w:val="18"/>
                <w:szCs w:val="18"/>
                <w:color w:val="auto"/>
              </w:rPr>
              <w:t>2014.)</w:t>
            </w:r>
          </w:p>
        </w:tc>
        <w:tc>
          <w:tcPr>
            <w:tcW w:w="15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10.36</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8"/>
              </w:rPr>
              <w:t>Project Addendum (with Master Services Agreement), dated March 6, 2015, by and between Galectin Therapeutics Inc. and PPD</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3"/>
              </w:rPr>
              <w:t>Development, L.P. (Incorporated by reference to the Company’s Current Report on Form 8-K as filed with the Commission on March 12,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tcPr>
          <w:p>
            <w:pPr>
              <w:ind w:left="600"/>
              <w:spacing w:after="0"/>
              <w:rPr>
                <w:sz w:val="20"/>
                <w:szCs w:val="20"/>
                <w:color w:val="auto"/>
              </w:rPr>
            </w:pPr>
            <w:r>
              <w:rPr>
                <w:rFonts w:ascii="Arial" w:cs="Arial" w:eastAsia="Arial" w:hAnsi="Arial"/>
                <w:sz w:val="18"/>
                <w:szCs w:val="18"/>
                <w:color w:val="auto"/>
              </w:rPr>
              <w:t>2015.)***</w:t>
            </w:r>
          </w:p>
        </w:tc>
        <w:tc>
          <w:tcPr>
            <w:tcW w:w="15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10.37</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1"/>
              </w:rPr>
              <w:t>Securities Purchase Agreement, dated November 19, 2015, by and among Galectin Therapeutics Inc. and the Purchasers identified therein</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9"/>
              </w:rPr>
              <w:t>(Incorporated by reference to the Company’s Current Report on Form 8-K as filed with the Commission on November 20, 2015.)</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10.38</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4"/>
              </w:rPr>
              <w:t>Placement Agency Agreement, dated November 19, 2015, by and between Galectin Therapeutics Inc. and Roth Capital Partners, LLC</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9"/>
              </w:rPr>
              <w:t>(Incorporated by reference to the Company’s Current Report on Form 8-K as filed with the Commission on November 20, 2015.)</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10.39</w:t>
            </w: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0"/>
              </w:rPr>
              <w:t>Registration Rights Agreement, dated November 19, 2015, by and between Galectin Therapeutics Inc. and the Purchasers signatory thereto</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720" w:type="dxa"/>
            <w:vAlign w:val="bottom"/>
            <w:gridSpan w:val="3"/>
          </w:tcPr>
          <w:p>
            <w:pPr>
              <w:ind w:left="600"/>
              <w:spacing w:after="0"/>
              <w:rPr>
                <w:sz w:val="20"/>
                <w:szCs w:val="20"/>
                <w:color w:val="auto"/>
              </w:rPr>
            </w:pPr>
            <w:r>
              <w:rPr>
                <w:rFonts w:ascii="Arial" w:cs="Arial" w:eastAsia="Arial" w:hAnsi="Arial"/>
                <w:sz w:val="18"/>
                <w:szCs w:val="18"/>
                <w:color w:val="auto"/>
                <w:w w:val="99"/>
              </w:rPr>
              <w:t>(Incorporated by reference to the Company’s Current Report on Form 8-K as filed with the Commission on November 20, 2015.)</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2"/>
          </w:tcPr>
          <w:p>
            <w:pPr>
              <w:ind w:left="4960"/>
              <w:spacing w:after="0"/>
              <w:rPr>
                <w:sz w:val="20"/>
                <w:szCs w:val="20"/>
                <w:color w:val="auto"/>
              </w:rPr>
            </w:pPr>
            <w:r>
              <w:rPr>
                <w:rFonts w:ascii="Arial" w:cs="Arial" w:eastAsia="Arial" w:hAnsi="Arial"/>
                <w:sz w:val="18"/>
                <w:szCs w:val="18"/>
                <w:color w:val="auto"/>
              </w:rPr>
              <w:t>48</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280" w:type="dxa"/>
            <w:vAlign w:val="bottom"/>
            <w:gridSpan w:val="3"/>
            <w:vMerge w:val="restart"/>
          </w:tcPr>
          <w:p>
            <w:pPr>
              <w:ind w:left="45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ind w:left="100"/>
              <w:spacing w:after="0"/>
              <w:rPr>
                <w:sz w:val="20"/>
                <w:szCs w:val="20"/>
                <w:color w:val="auto"/>
              </w:rPr>
            </w:pPr>
            <w:r>
              <w:rPr>
                <w:rFonts w:ascii="Arial" w:cs="Arial" w:eastAsia="Arial" w:hAnsi="Arial"/>
                <w:sz w:val="16"/>
                <w:szCs w:val="16"/>
                <w:color w:val="auto"/>
                <w:w w:val="71"/>
              </w:rPr>
              <w:t>10.</w:t>
            </w: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200" w:type="dxa"/>
            <w:vAlign w:val="bottom"/>
            <w:vMerge w:val="restart"/>
          </w:tcPr>
          <w:p>
            <w:pPr>
              <w:ind w:left="200"/>
              <w:spacing w:after="0"/>
              <w:rPr>
                <w:sz w:val="20"/>
                <w:szCs w:val="20"/>
                <w:color w:val="auto"/>
              </w:rPr>
            </w:pPr>
            <w:r>
              <w:rPr>
                <w:rFonts w:ascii="Arial" w:cs="Arial" w:eastAsia="Arial" w:hAnsi="Arial"/>
                <w:sz w:val="18"/>
                <w:szCs w:val="18"/>
                <w:color w:val="auto"/>
              </w:rPr>
              <w:t>Therapeutics, Inc. and PPD Development, L.P.***</w:t>
            </w:r>
          </w:p>
        </w:tc>
        <w:tc>
          <w:tcPr>
            <w:tcW w:w="0" w:type="dxa"/>
            <w:vAlign w:val="bottom"/>
          </w:tcPr>
          <w:p>
            <w:pPr>
              <w:spacing w:after="0" w:line="20" w:lineRule="exact"/>
              <w:rPr>
                <w:sz w:val="1"/>
                <w:szCs w:val="1"/>
                <w:color w:val="auto"/>
              </w:rPr>
            </w:pPr>
          </w:p>
        </w:tc>
      </w:tr>
      <w:tr>
        <w:trPr>
          <w:trHeight w:val="224"/>
        </w:trPr>
        <w:tc>
          <w:tcPr>
            <w:tcW w:w="280" w:type="dxa"/>
            <w:vAlign w:val="bottom"/>
            <w:vMerge w:val="continue"/>
          </w:tcPr>
          <w:p>
            <w:pPr>
              <w:spacing w:after="0"/>
              <w:rPr>
                <w:sz w:val="19"/>
                <w:szCs w:val="19"/>
                <w:color w:val="auto"/>
              </w:rPr>
            </w:pPr>
          </w:p>
        </w:tc>
        <w:tc>
          <w:tcPr>
            <w:tcW w:w="500" w:type="dxa"/>
            <w:vAlign w:val="bottom"/>
          </w:tcPr>
          <w:p>
            <w:pPr>
              <w:jc w:val="right"/>
              <w:ind w:right="202"/>
              <w:spacing w:after="0"/>
              <w:rPr>
                <w:sz w:val="20"/>
                <w:szCs w:val="20"/>
                <w:color w:val="auto"/>
              </w:rPr>
            </w:pPr>
            <w:r>
              <w:rPr>
                <w:rFonts w:ascii="Arial" w:cs="Arial" w:eastAsia="Arial" w:hAnsi="Arial"/>
                <w:sz w:val="18"/>
                <w:szCs w:val="18"/>
                <w:color w:val="auto"/>
                <w:w w:val="99"/>
              </w:rPr>
              <w:t>40</w:t>
            </w:r>
          </w:p>
        </w:tc>
        <w:tc>
          <w:tcPr>
            <w:tcW w:w="360" w:type="dxa"/>
            <w:vAlign w:val="bottom"/>
          </w:tcPr>
          <w:p>
            <w:pPr>
              <w:spacing w:after="0"/>
              <w:rPr>
                <w:sz w:val="19"/>
                <w:szCs w:val="19"/>
                <w:color w:val="auto"/>
              </w:rPr>
            </w:pPr>
          </w:p>
        </w:tc>
        <w:tc>
          <w:tcPr>
            <w:tcW w:w="6080" w:type="dxa"/>
            <w:vAlign w:val="bottom"/>
            <w:gridSpan w:val="2"/>
          </w:tcPr>
          <w:p>
            <w:pPr>
              <w:ind w:left="360"/>
              <w:spacing w:after="0"/>
              <w:rPr>
                <w:sz w:val="20"/>
                <w:szCs w:val="20"/>
                <w:color w:val="auto"/>
              </w:rPr>
            </w:pPr>
            <w:r>
              <w:rPr>
                <w:rFonts w:ascii="Arial" w:cs="Arial" w:eastAsia="Arial" w:hAnsi="Arial"/>
                <w:sz w:val="18"/>
                <w:szCs w:val="18"/>
                <w:color w:val="auto"/>
                <w:w w:val="88"/>
              </w:rPr>
              <w:t>Project Addendum Modification, dated March 11, 2016, by and between Galectin</w:t>
            </w:r>
          </w:p>
        </w:tc>
        <w:tc>
          <w:tcPr>
            <w:tcW w:w="4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10.41†</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2"/>
              </w:rPr>
              <w:t>Jack W. Callicutt Retention Bonus Letter Agreement (Incorporated by reference to the Company’s Current Report on Form 8-K as filed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with the Commission on June 20, 2016.)</w:t>
            </w:r>
          </w:p>
        </w:tc>
        <w:tc>
          <w:tcPr>
            <w:tcW w:w="0" w:type="dxa"/>
            <w:vAlign w:val="bottom"/>
          </w:tcPr>
          <w:p>
            <w:pPr>
              <w:spacing w:after="0"/>
              <w:rPr>
                <w:sz w:val="1"/>
                <w:szCs w:val="1"/>
                <w:color w:val="auto"/>
              </w:rPr>
            </w:pPr>
          </w:p>
        </w:tc>
      </w:tr>
      <w:tr>
        <w:trPr>
          <w:trHeight w:val="310"/>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10.42†</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2"/>
              </w:rPr>
              <w:t>Harold H. Shlevin, Ph.D. Retention Bonus Letter Agreement (Incorporated by reference to the Company’s Current Report on Form 8-K</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as filed with the Commission on June 20, 2016.)</w:t>
            </w:r>
          </w:p>
        </w:tc>
        <w:tc>
          <w:tcPr>
            <w:tcW w:w="0" w:type="dxa"/>
            <w:vAlign w:val="bottom"/>
          </w:tcPr>
          <w:p>
            <w:pPr>
              <w:spacing w:after="0"/>
              <w:rPr>
                <w:sz w:val="1"/>
                <w:szCs w:val="1"/>
                <w:color w:val="auto"/>
              </w:rPr>
            </w:pPr>
          </w:p>
        </w:tc>
      </w:tr>
      <w:tr>
        <w:trPr>
          <w:trHeight w:val="310"/>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10.43</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0"/>
              </w:rPr>
              <w:t>Securities Purchase Agreement, dated September 22, 2016, by and between Galectin Therapeutics Inc. and 10X Fund, L.P. (Incorporated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by reference to the Company’s Current Report on Form 8-K as filed with the Commission on September 27, 2016.)</w:t>
            </w:r>
          </w:p>
        </w:tc>
        <w:tc>
          <w:tcPr>
            <w:tcW w:w="0" w:type="dxa"/>
            <w:vAlign w:val="bottom"/>
          </w:tcPr>
          <w:p>
            <w:pPr>
              <w:spacing w:after="0"/>
              <w:rPr>
                <w:sz w:val="1"/>
                <w:szCs w:val="1"/>
                <w:color w:val="auto"/>
              </w:rPr>
            </w:pPr>
          </w:p>
        </w:tc>
      </w:tr>
      <w:tr>
        <w:trPr>
          <w:trHeight w:val="310"/>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10.44</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0"/>
              </w:rPr>
              <w:t>Registration Rights Agreement, dated September 22, 2016, by and between Galectin Therapeutics Inc. and 10X Fund, L.P. (Incorporated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by reference to the Company’s Current Report on Form 8-K as filed with the Commission on September 27, 2016.)</w:t>
            </w:r>
          </w:p>
        </w:tc>
        <w:tc>
          <w:tcPr>
            <w:tcW w:w="0" w:type="dxa"/>
            <w:vAlign w:val="bottom"/>
          </w:tcPr>
          <w:p>
            <w:pPr>
              <w:spacing w:after="0"/>
              <w:rPr>
                <w:sz w:val="1"/>
                <w:szCs w:val="1"/>
                <w:color w:val="auto"/>
              </w:rPr>
            </w:pPr>
          </w:p>
        </w:tc>
      </w:tr>
      <w:tr>
        <w:trPr>
          <w:trHeight w:val="310"/>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10.45</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6"/>
              </w:rPr>
              <w:t>Lock-Up Agreement, dated September 22, 2016, by and between Galectin Therapeutics Inc. and 10X Fund, L.P. (Incorporated by</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reference to the Company’s Current Report on Form 8-K as filed with the Commission on September 27, 2016.)</w:t>
            </w:r>
          </w:p>
        </w:tc>
        <w:tc>
          <w:tcPr>
            <w:tcW w:w="0" w:type="dxa"/>
            <w:vAlign w:val="bottom"/>
          </w:tcPr>
          <w:p>
            <w:pPr>
              <w:spacing w:after="0"/>
              <w:rPr>
                <w:sz w:val="1"/>
                <w:szCs w:val="1"/>
                <w:color w:val="auto"/>
              </w:rPr>
            </w:pPr>
          </w:p>
        </w:tc>
      </w:tr>
      <w:tr>
        <w:trPr>
          <w:trHeight w:val="310"/>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10.46</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2"/>
              </w:rPr>
              <w:t>Form of Subscription Agreement entered into between Galectin Therapeutics Inc. and certain purchasers (Incorporated by reference to</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the Company’s Current Report on Form 8-K as filed with the Commission on December 29, 2016.)</w:t>
            </w:r>
          </w:p>
        </w:tc>
        <w:tc>
          <w:tcPr>
            <w:tcW w:w="0" w:type="dxa"/>
            <w:vAlign w:val="bottom"/>
          </w:tcPr>
          <w:p>
            <w:pPr>
              <w:spacing w:after="0"/>
              <w:rPr>
                <w:sz w:val="1"/>
                <w:szCs w:val="1"/>
                <w:color w:val="auto"/>
              </w:rPr>
            </w:pPr>
          </w:p>
        </w:tc>
      </w:tr>
      <w:tr>
        <w:trPr>
          <w:trHeight w:val="310"/>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10.47</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89"/>
              </w:rPr>
              <w:t>Amendment to Securities Purchase Agreement, dated December 23, 2016, by and between Galectin Therapeutics Inc. and 10X Fund, L.P.</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7"/>
              </w:rPr>
              <w:t>(Incorporated by reference to the Company’s Current Report on Form 8-K as filed with the Commission on December 29, 2016.)</w:t>
            </w:r>
          </w:p>
        </w:tc>
        <w:tc>
          <w:tcPr>
            <w:tcW w:w="0" w:type="dxa"/>
            <w:vAlign w:val="bottom"/>
          </w:tcPr>
          <w:p>
            <w:pPr>
              <w:spacing w:after="0"/>
              <w:rPr>
                <w:sz w:val="1"/>
                <w:szCs w:val="1"/>
                <w:color w:val="auto"/>
              </w:rPr>
            </w:pPr>
          </w:p>
        </w:tc>
      </w:tr>
      <w:tr>
        <w:trPr>
          <w:trHeight w:val="324"/>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Subsidiaries of Galectin Therapeutics Inc.</w:t>
            </w:r>
          </w:p>
        </w:tc>
        <w:tc>
          <w:tcPr>
            <w:tcW w:w="0" w:type="dxa"/>
            <w:vAlign w:val="bottom"/>
          </w:tcPr>
          <w:p>
            <w:pPr>
              <w:spacing w:after="0"/>
              <w:rPr>
                <w:sz w:val="1"/>
                <w:szCs w:val="1"/>
                <w:color w:val="auto"/>
              </w:rPr>
            </w:pPr>
          </w:p>
        </w:tc>
      </w:tr>
      <w:tr>
        <w:trPr>
          <w:trHeight w:val="324"/>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Consent of Cherry Bekaert LLP, an independent registered public accounting firm.</w:t>
            </w:r>
          </w:p>
        </w:tc>
        <w:tc>
          <w:tcPr>
            <w:tcW w:w="0" w:type="dxa"/>
            <w:vAlign w:val="bottom"/>
          </w:tcPr>
          <w:p>
            <w:pPr>
              <w:spacing w:after="0"/>
              <w:rPr>
                <w:sz w:val="1"/>
                <w:szCs w:val="1"/>
                <w:color w:val="auto"/>
              </w:rPr>
            </w:pPr>
          </w:p>
        </w:tc>
      </w:tr>
      <w:tr>
        <w:trPr>
          <w:trHeight w:val="324"/>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0" w:type="dxa"/>
            <w:vAlign w:val="bottom"/>
          </w:tcPr>
          <w:p>
            <w:pPr>
              <w:spacing w:after="0"/>
              <w:rPr>
                <w:sz w:val="1"/>
                <w:szCs w:val="1"/>
                <w:color w:val="auto"/>
              </w:rPr>
            </w:pPr>
          </w:p>
        </w:tc>
      </w:tr>
      <w:tr>
        <w:trPr>
          <w:trHeight w:val="324"/>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0" w:type="dxa"/>
            <w:vAlign w:val="bottom"/>
          </w:tcPr>
          <w:p>
            <w:pPr>
              <w:spacing w:after="0"/>
              <w:rPr>
                <w:sz w:val="1"/>
                <w:szCs w:val="1"/>
                <w:color w:val="auto"/>
              </w:rPr>
            </w:pPr>
          </w:p>
        </w:tc>
      </w:tr>
      <w:tr>
        <w:trPr>
          <w:trHeight w:val="324"/>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7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460" w:right="400" w:hanging="459"/>
        <w:spacing w:after="0" w:line="250" w:lineRule="auto"/>
        <w:tabs>
          <w:tab w:leader="none" w:pos="440" w:val="left"/>
        </w:tabs>
        <w:rPr>
          <w:sz w:val="20"/>
          <w:szCs w:val="20"/>
          <w:color w:val="auto"/>
        </w:rPr>
      </w:pPr>
      <w:r>
        <w:rPr>
          <w:rFonts w:ascii="Arial" w:cs="Arial" w:eastAsia="Arial" w:hAnsi="Arial"/>
          <w:sz w:val="18"/>
          <w:szCs w:val="18"/>
          <w:color w:val="auto"/>
        </w:rPr>
        <w:t>***</w:t>
        <w:tab/>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5620" w:right="4600" w:hanging="5612"/>
        <w:spacing w:after="0" w:line="473" w:lineRule="auto"/>
        <w:tabs>
          <w:tab w:leader="none" w:pos="4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Executive Compensation Arrangement pursuant to 601(b)(10)(iii)(A) of Regulation S-K 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28, 2017.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P</w:t>
      </w:r>
      <w:r>
        <w:rPr>
          <w:rFonts w:ascii="Arial" w:cs="Arial" w:eastAsia="Arial" w:hAnsi="Arial"/>
          <w:sz w:val="15"/>
          <w:szCs w:val="15"/>
          <w:color w:val="auto"/>
        </w:rPr>
        <w:t>ETER</w:t>
      </w:r>
      <w:r>
        <w:rPr>
          <w:rFonts w:ascii="Arial" w:cs="Arial" w:eastAsia="Arial" w:hAnsi="Arial"/>
          <w:sz w:val="18"/>
          <w:szCs w:val="18"/>
          <w:color w:val="auto"/>
        </w:rPr>
        <w:t xml:space="preserve"> G. T</w:t>
      </w:r>
      <w:r>
        <w:rPr>
          <w:rFonts w:ascii="Arial" w:cs="Arial" w:eastAsia="Arial" w:hAnsi="Arial"/>
          <w:sz w:val="15"/>
          <w:szCs w:val="15"/>
          <w:color w:val="auto"/>
        </w:rPr>
        <w:t>RABER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Peter G. Traber,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 and President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60" w:type="dxa"/>
            <w:vAlign w:val="bottom"/>
            <w:gridSpan w:val="2"/>
          </w:tcPr>
          <w:p>
            <w:pPr>
              <w:ind w:left="12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5"/>
                <w:szCs w:val="15"/>
                <w:color w:val="auto"/>
              </w:rPr>
              <w:t>ETER</w:t>
            </w:r>
            <w:r>
              <w:rPr>
                <w:rFonts w:ascii="Arial" w:cs="Arial" w:eastAsia="Arial" w:hAnsi="Arial"/>
                <w:sz w:val="18"/>
                <w:szCs w:val="18"/>
                <w:color w:val="auto"/>
              </w:rPr>
              <w:t xml:space="preserve"> G. T</w:t>
            </w:r>
            <w:r>
              <w:rPr>
                <w:rFonts w:ascii="Arial" w:cs="Arial" w:eastAsia="Arial" w:hAnsi="Arial"/>
                <w:sz w:val="15"/>
                <w:szCs w:val="15"/>
                <w:color w:val="auto"/>
              </w:rPr>
              <w:t>RABER</w:t>
            </w:r>
          </w:p>
        </w:tc>
        <w:tc>
          <w:tcPr>
            <w:tcW w:w="600" w:type="dxa"/>
            <w:vAlign w:val="bottom"/>
            <w:shd w:val="clear" w:color="auto" w:fill="000000"/>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1920" w:type="dxa"/>
            <w:vAlign w:val="bottom"/>
            <w:vMerge w:val="restart"/>
          </w:tcPr>
          <w:p>
            <w:pPr>
              <w:ind w:left="100"/>
              <w:spacing w:after="0"/>
              <w:rPr>
                <w:sz w:val="20"/>
                <w:szCs w:val="20"/>
                <w:color w:val="auto"/>
              </w:rPr>
            </w:pPr>
            <w:r>
              <w:rPr>
                <w:rFonts w:ascii="Arial" w:cs="Arial" w:eastAsia="Arial" w:hAnsi="Arial"/>
                <w:sz w:val="18"/>
                <w:szCs w:val="18"/>
                <w:color w:val="auto"/>
                <w:w w:val="95"/>
              </w:rPr>
              <w:t>Chief Executive Officer,</w:t>
            </w: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Peter G. Traber, M.D.</w:t>
            </w:r>
          </w:p>
        </w:tc>
        <w:tc>
          <w:tcPr>
            <w:tcW w:w="2240" w:type="dxa"/>
            <w:vAlign w:val="bottom"/>
            <w:tcBorders>
              <w:top w:val="single" w:sz="8" w:color="auto"/>
            </w:tcBorders>
          </w:tcPr>
          <w:p>
            <w:pPr>
              <w:spacing w:after="0"/>
              <w:rPr>
                <w:sz w:val="19"/>
                <w:szCs w:val="19"/>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5"/>
                <w:szCs w:val="15"/>
                <w:color w:val="auto"/>
              </w:rPr>
              <w:t>ACK</w:t>
            </w:r>
            <w:r>
              <w:rPr>
                <w:rFonts w:ascii="Arial" w:cs="Arial" w:eastAsia="Arial" w:hAnsi="Arial"/>
                <w:sz w:val="18"/>
                <w:szCs w:val="18"/>
                <w:color w:val="auto"/>
              </w:rPr>
              <w:t xml:space="preserve"> W. C</w:t>
            </w:r>
            <w:r>
              <w:rPr>
                <w:rFonts w:ascii="Arial" w:cs="Arial" w:eastAsia="Arial" w:hAnsi="Arial"/>
                <w:sz w:val="15"/>
                <w:szCs w:val="15"/>
                <w:color w:val="auto"/>
              </w:rPr>
              <w:t>ALLICUTT</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2240" w:type="dxa"/>
            <w:vAlign w:val="bottom"/>
          </w:tcPr>
          <w:p>
            <w:pPr>
              <w:spacing w:after="0"/>
              <w:rPr>
                <w:sz w:val="19"/>
                <w:szCs w:val="19"/>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5"/>
                <w:szCs w:val="15"/>
                <w:color w:val="auto"/>
              </w:rPr>
              <w:t>ARC</w:t>
            </w:r>
            <w:r>
              <w:rPr>
                <w:rFonts w:ascii="Arial" w:cs="Arial" w:eastAsia="Arial" w:hAnsi="Arial"/>
                <w:sz w:val="18"/>
                <w:szCs w:val="18"/>
                <w:color w:val="auto"/>
              </w:rPr>
              <w:t xml:space="preserve"> R</w:t>
            </w:r>
            <w:r>
              <w:rPr>
                <w:rFonts w:ascii="Arial" w:cs="Arial" w:eastAsia="Arial" w:hAnsi="Arial"/>
                <w:sz w:val="15"/>
                <w:szCs w:val="15"/>
                <w:color w:val="auto"/>
              </w:rPr>
              <w:t>UBIN</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Board</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5"/>
                <w:szCs w:val="15"/>
                <w:color w:val="auto"/>
              </w:rPr>
              <w:t>AMES</w:t>
            </w:r>
            <w:r>
              <w:rPr>
                <w:rFonts w:ascii="Arial" w:cs="Arial" w:eastAsia="Arial" w:hAnsi="Arial"/>
                <w:sz w:val="18"/>
                <w:szCs w:val="18"/>
                <w:color w:val="auto"/>
              </w:rPr>
              <w:t xml:space="preserve"> C. C</w:t>
            </w:r>
            <w:r>
              <w:rPr>
                <w:rFonts w:ascii="Arial" w:cs="Arial" w:eastAsia="Arial" w:hAnsi="Arial"/>
                <w:sz w:val="15"/>
                <w:szCs w:val="15"/>
                <w:color w:val="auto"/>
              </w:rPr>
              <w:t>ZIRR</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ILBERT</w:t>
            </w:r>
            <w:r>
              <w:rPr>
                <w:rFonts w:ascii="Arial" w:cs="Arial" w:eastAsia="Arial" w:hAnsi="Arial"/>
                <w:sz w:val="18"/>
                <w:szCs w:val="18"/>
                <w:color w:val="auto"/>
              </w:rPr>
              <w:t xml:space="preserve"> F. A</w:t>
            </w:r>
            <w:r>
              <w:rPr>
                <w:rFonts w:ascii="Arial" w:cs="Arial" w:eastAsia="Arial" w:hAnsi="Arial"/>
                <w:sz w:val="15"/>
                <w:szCs w:val="15"/>
                <w:color w:val="auto"/>
              </w:rPr>
              <w:t>MELIO</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Gilbert F. Amelio</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A</w:t>
            </w:r>
            <w:r>
              <w:rPr>
                <w:rFonts w:ascii="Arial" w:cs="Arial" w:eastAsia="Arial" w:hAnsi="Arial"/>
                <w:sz w:val="15"/>
                <w:szCs w:val="15"/>
                <w:color w:val="auto"/>
              </w:rPr>
              <w:t>RTHUR</w:t>
            </w:r>
            <w:r>
              <w:rPr>
                <w:rFonts w:ascii="Arial" w:cs="Arial" w:eastAsia="Arial" w:hAnsi="Arial"/>
                <w:sz w:val="18"/>
                <w:szCs w:val="18"/>
                <w:color w:val="auto"/>
              </w:rPr>
              <w:t xml:space="preserve"> R. G</w:t>
            </w:r>
            <w:r>
              <w:rPr>
                <w:rFonts w:ascii="Arial" w:cs="Arial" w:eastAsia="Arial" w:hAnsi="Arial"/>
                <w:sz w:val="15"/>
                <w:szCs w:val="15"/>
                <w:color w:val="auto"/>
              </w:rPr>
              <w:t>REENBERG</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Arthur R. Greenberg</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5"/>
                <w:szCs w:val="15"/>
                <w:color w:val="auto"/>
              </w:rPr>
              <w:t>EVIN</w:t>
            </w:r>
            <w:r>
              <w:rPr>
                <w:rFonts w:ascii="Arial" w:cs="Arial" w:eastAsia="Arial" w:hAnsi="Arial"/>
                <w:sz w:val="18"/>
                <w:szCs w:val="18"/>
                <w:color w:val="auto"/>
              </w:rPr>
              <w:t xml:space="preserve"> D. F</w:t>
            </w:r>
            <w:r>
              <w:rPr>
                <w:rFonts w:ascii="Arial" w:cs="Arial" w:eastAsia="Arial" w:hAnsi="Arial"/>
                <w:sz w:val="15"/>
                <w:szCs w:val="15"/>
                <w:color w:val="auto"/>
              </w:rPr>
              <w:t>REEMAN</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5"/>
                <w:szCs w:val="15"/>
                <w:color w:val="auto"/>
              </w:rPr>
              <w:t>OHN</w:t>
            </w:r>
            <w:r>
              <w:rPr>
                <w:rFonts w:ascii="Arial" w:cs="Arial" w:eastAsia="Arial" w:hAnsi="Arial"/>
                <w:sz w:val="18"/>
                <w:szCs w:val="18"/>
                <w:color w:val="auto"/>
              </w:rPr>
              <w:t xml:space="preserve"> M</w:t>
            </w:r>
            <w:r>
              <w:rPr>
                <w:rFonts w:ascii="Arial" w:cs="Arial" w:eastAsia="Arial" w:hAnsi="Arial"/>
                <w:sz w:val="15"/>
                <w:szCs w:val="15"/>
                <w:color w:val="auto"/>
              </w:rPr>
              <w:t>AULDIN</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John Mauldin</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ILBERT</w:t>
            </w:r>
            <w:r>
              <w:rPr>
                <w:rFonts w:ascii="Arial" w:cs="Arial" w:eastAsia="Arial" w:hAnsi="Arial"/>
                <w:sz w:val="18"/>
                <w:szCs w:val="18"/>
                <w:color w:val="auto"/>
              </w:rPr>
              <w:t xml:space="preserve"> S. O</w:t>
            </w:r>
            <w:r>
              <w:rPr>
                <w:rFonts w:ascii="Arial" w:cs="Arial" w:eastAsia="Arial" w:hAnsi="Arial"/>
                <w:sz w:val="15"/>
                <w:szCs w:val="15"/>
                <w:color w:val="auto"/>
              </w:rPr>
              <w:t>MENN</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Gilbert S. Omenn, M.D, Ph.D.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TEVEN</w:t>
            </w:r>
            <w:r>
              <w:rPr>
                <w:rFonts w:ascii="Arial" w:cs="Arial" w:eastAsia="Arial" w:hAnsi="Arial"/>
                <w:sz w:val="18"/>
                <w:szCs w:val="18"/>
                <w:color w:val="auto"/>
              </w:rPr>
              <w:t xml:space="preserve"> P</w:t>
            </w:r>
            <w:r>
              <w:rPr>
                <w:rFonts w:ascii="Arial" w:cs="Arial" w:eastAsia="Arial" w:hAnsi="Arial"/>
                <w:sz w:val="15"/>
                <w:szCs w:val="15"/>
                <w:color w:val="auto"/>
              </w:rPr>
              <w:t>RELACK</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Theodore Zucconi</w:t>
            </w:r>
          </w:p>
        </w:tc>
        <w:tc>
          <w:tcPr>
            <w:tcW w:w="2240" w:type="dxa"/>
            <w:vAlign w:val="bottom"/>
            <w:tcBorders>
              <w:bottom w:val="single" w:sz="8" w:color="auto"/>
            </w:tcBorders>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March 28, 2017</w:t>
            </w:r>
          </w:p>
        </w:tc>
        <w:tc>
          <w:tcPr>
            <w:tcW w:w="0" w:type="dxa"/>
            <w:vAlign w:val="bottom"/>
          </w:tcPr>
          <w:p>
            <w:pPr>
              <w:spacing w:after="0"/>
              <w:rPr>
                <w:sz w:val="1"/>
                <w:szCs w:val="1"/>
                <w:color w:val="auto"/>
              </w:rPr>
            </w:pP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Theodore Zucconi</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60" w:type="dxa"/>
            <w:vAlign w:val="bottom"/>
            <w:gridSpan w:val="2"/>
          </w:tcPr>
          <w:p>
            <w:pPr>
              <w:jc w:val="right"/>
              <w:ind w:right="111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640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Reports of Independent Registered Public Accounting Firm</w:t>
              </w:r>
            </w:hyperlink>
          </w:p>
        </w:tc>
        <w:tc>
          <w:tcPr>
            <w:tcW w:w="4680" w:type="dxa"/>
            <w:vAlign w:val="bottom"/>
          </w:tcPr>
          <w:p>
            <w:pPr>
              <w:ind w:left="4420"/>
              <w:spacing w:after="0"/>
              <w:rPr>
                <w:sz w:val="20"/>
                <w:szCs w:val="20"/>
                <w:color w:val="auto"/>
              </w:rPr>
            </w:pPr>
            <w:r>
              <w:rPr>
                <w:rFonts w:ascii="Arial" w:cs="Arial" w:eastAsia="Arial" w:hAnsi="Arial"/>
                <w:sz w:val="18"/>
                <w:szCs w:val="18"/>
                <w:color w:val="auto"/>
                <w:w w:val="88"/>
              </w:rPr>
              <w:t>F-1</w:t>
            </w:r>
          </w:p>
        </w:tc>
      </w:tr>
      <w:tr>
        <w:trPr>
          <w:trHeight w:val="20"/>
        </w:trPr>
        <w:tc>
          <w:tcPr>
            <w:tcW w:w="26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30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46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Balance Sheets as of December 31, 2016 and 2015</w:t>
              </w:r>
            </w:hyperlink>
          </w:p>
        </w:tc>
        <w:tc>
          <w:tcPr>
            <w:tcW w:w="1760" w:type="dxa"/>
            <w:vAlign w:val="bottom"/>
          </w:tcPr>
          <w:p>
            <w:pPr>
              <w:spacing w:after="0"/>
              <w:rPr>
                <w:sz w:val="24"/>
                <w:szCs w:val="24"/>
                <w:color w:val="auto"/>
              </w:rPr>
            </w:pPr>
          </w:p>
        </w:tc>
        <w:tc>
          <w:tcPr>
            <w:tcW w:w="4680" w:type="dxa"/>
            <w:vAlign w:val="bottom"/>
          </w:tcPr>
          <w:p>
            <w:pPr>
              <w:ind w:left="4420"/>
              <w:spacing w:after="0"/>
              <w:rPr>
                <w:sz w:val="20"/>
                <w:szCs w:val="20"/>
                <w:color w:val="auto"/>
              </w:rPr>
            </w:pPr>
            <w:r>
              <w:rPr>
                <w:rFonts w:ascii="Arial" w:cs="Arial" w:eastAsia="Arial" w:hAnsi="Arial"/>
                <w:sz w:val="18"/>
                <w:szCs w:val="18"/>
                <w:color w:val="auto"/>
                <w:w w:val="88"/>
              </w:rPr>
              <w:t>F-2</w:t>
            </w:r>
          </w:p>
        </w:tc>
      </w:tr>
      <w:tr>
        <w:trPr>
          <w:trHeight w:val="30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64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Operations for the years ended December 31, 2016 and 2015</w:t>
              </w:r>
            </w:hyperlink>
          </w:p>
        </w:tc>
        <w:tc>
          <w:tcPr>
            <w:tcW w:w="4680" w:type="dxa"/>
            <w:vAlign w:val="bottom"/>
          </w:tcPr>
          <w:p>
            <w:pPr>
              <w:ind w:left="4420"/>
              <w:spacing w:after="0"/>
              <w:rPr>
                <w:sz w:val="20"/>
                <w:szCs w:val="20"/>
                <w:color w:val="auto"/>
              </w:rPr>
            </w:pPr>
            <w:r>
              <w:rPr>
                <w:rFonts w:ascii="Arial" w:cs="Arial" w:eastAsia="Arial" w:hAnsi="Arial"/>
                <w:sz w:val="18"/>
                <w:szCs w:val="18"/>
                <w:color w:val="auto"/>
                <w:w w:val="88"/>
              </w:rPr>
              <w:t>F-3</w:t>
            </w:r>
          </w:p>
        </w:tc>
      </w:tr>
    </w:tbl>
    <w:p>
      <w:pPr>
        <w:spacing w:after="0" w:line="12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Consolidated Statements of Changes in Redeemable Convertible Preferred Stock and Stockholders’ Equity for the years ended December 31, 2016</w:t>
        </w:r>
      </w:hyperlink>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660" w:type="dxa"/>
            <w:vAlign w:val="bottom"/>
            <w:tcBorders>
              <w:bottom w:val="single" w:sz="8" w:color="0000EE"/>
            </w:tcBorders>
          </w:tcPr>
          <w:p>
            <w:pPr>
              <w:spacing w:after="0"/>
              <w:rPr>
                <w:rFonts w:ascii="Arial" w:cs="Arial" w:eastAsia="Arial" w:hAnsi="Arial"/>
                <w:sz w:val="18"/>
                <w:szCs w:val="18"/>
                <w:color w:val="0000EE"/>
                <w:w w:val="85"/>
              </w:rPr>
            </w:pPr>
            <w:hyperlink w:anchor="page57">
              <w:r>
                <w:rPr>
                  <w:rFonts w:ascii="Arial" w:cs="Arial" w:eastAsia="Arial" w:hAnsi="Arial"/>
                  <w:sz w:val="18"/>
                  <w:szCs w:val="18"/>
                  <w:color w:val="0000EE"/>
                  <w:w w:val="85"/>
                </w:rPr>
                <w:t>and 2015</w:t>
              </w:r>
            </w:hyperlink>
          </w:p>
        </w:tc>
        <w:tc>
          <w:tcPr>
            <w:tcW w:w="7980" w:type="dxa"/>
            <w:vAlign w:val="bottom"/>
            <w:gridSpan w:val="3"/>
          </w:tcPr>
          <w:p>
            <w:pPr>
              <w:spacing w:after="0"/>
              <w:rPr>
                <w:sz w:val="17"/>
                <w:szCs w:val="17"/>
                <w:color w:val="auto"/>
              </w:rPr>
            </w:pPr>
          </w:p>
        </w:tc>
        <w:tc>
          <w:tcPr>
            <w:tcW w:w="2440" w:type="dxa"/>
            <w:vAlign w:val="bottom"/>
          </w:tcPr>
          <w:p>
            <w:pPr>
              <w:ind w:left="2180"/>
              <w:spacing w:after="0"/>
              <w:rPr>
                <w:sz w:val="20"/>
                <w:szCs w:val="20"/>
                <w:color w:val="auto"/>
              </w:rPr>
            </w:pPr>
            <w:r>
              <w:rPr>
                <w:rFonts w:ascii="Arial" w:cs="Arial" w:eastAsia="Arial" w:hAnsi="Arial"/>
                <w:sz w:val="18"/>
                <w:szCs w:val="18"/>
                <w:color w:val="auto"/>
                <w:w w:val="88"/>
              </w:rPr>
              <w:t>F-4</w:t>
            </w:r>
          </w:p>
        </w:tc>
      </w:tr>
      <w:tr>
        <w:trPr>
          <w:trHeight w:val="30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8640" w:type="dxa"/>
            <w:vAlign w:val="bottom"/>
            <w:gridSpan w:val="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 for the years ended December 31, 2016 and 2015</w:t>
              </w:r>
            </w:hyperlink>
          </w:p>
        </w:tc>
        <w:tc>
          <w:tcPr>
            <w:tcW w:w="2440" w:type="dxa"/>
            <w:vAlign w:val="bottom"/>
          </w:tcPr>
          <w:p>
            <w:pPr>
              <w:ind w:left="2180"/>
              <w:spacing w:after="0"/>
              <w:rPr>
                <w:sz w:val="20"/>
                <w:szCs w:val="20"/>
                <w:color w:val="auto"/>
              </w:rPr>
            </w:pPr>
            <w:r>
              <w:rPr>
                <w:rFonts w:ascii="Arial" w:cs="Arial" w:eastAsia="Arial" w:hAnsi="Arial"/>
                <w:sz w:val="18"/>
                <w:szCs w:val="18"/>
                <w:color w:val="auto"/>
                <w:w w:val="88"/>
              </w:rPr>
              <w:t>F-7</w:t>
            </w:r>
          </w:p>
        </w:tc>
      </w:tr>
      <w:tr>
        <w:trPr>
          <w:trHeight w:val="30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6440" w:type="dxa"/>
            <w:vAlign w:val="bottom"/>
            <w:tcBorders>
              <w:top w:val="single" w:sz="8" w:color="0000EE"/>
            </w:tcBorders>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2200" w:type="dxa"/>
            <w:vAlign w:val="bottom"/>
          </w:tcPr>
          <w:p>
            <w:pPr>
              <w:spacing w:after="0"/>
              <w:rPr>
                <w:sz w:val="24"/>
                <w:szCs w:val="24"/>
                <w:color w:val="auto"/>
              </w:rPr>
            </w:pPr>
          </w:p>
        </w:tc>
        <w:tc>
          <w:tcPr>
            <w:tcW w:w="2440" w:type="dxa"/>
            <w:vAlign w:val="bottom"/>
          </w:tcPr>
          <w:p>
            <w:pPr>
              <w:ind w:left="2180"/>
              <w:spacing w:after="0"/>
              <w:rPr>
                <w:sz w:val="20"/>
                <w:szCs w:val="20"/>
                <w:color w:val="auto"/>
              </w:rPr>
            </w:pPr>
            <w:r>
              <w:rPr>
                <w:rFonts w:ascii="Arial" w:cs="Arial" w:eastAsia="Arial" w:hAnsi="Arial"/>
                <w:sz w:val="18"/>
                <w:szCs w:val="18"/>
                <w:color w:val="auto"/>
                <w:w w:val="88"/>
              </w:rPr>
              <w:t>F-8</w:t>
            </w:r>
          </w:p>
        </w:tc>
      </w:tr>
      <w:tr>
        <w:trPr>
          <w:trHeight w:val="385"/>
        </w:trPr>
        <w:tc>
          <w:tcPr>
            <w:tcW w:w="260" w:type="dxa"/>
            <w:vAlign w:val="bottom"/>
          </w:tcPr>
          <w:p>
            <w:pPr>
              <w:spacing w:after="0"/>
              <w:rPr>
                <w:sz w:val="24"/>
                <w:szCs w:val="24"/>
                <w:color w:val="auto"/>
              </w:rPr>
            </w:pPr>
          </w:p>
        </w:tc>
        <w:tc>
          <w:tcPr>
            <w:tcW w:w="3140" w:type="dxa"/>
            <w:vAlign w:val="bottom"/>
            <w:tcBorders>
              <w:top w:val="single" w:sz="8" w:color="0000EE"/>
            </w:tcBorders>
            <w:gridSpan w:val="2"/>
          </w:tcPr>
          <w:p>
            <w:pPr>
              <w:spacing w:after="0"/>
              <w:rPr>
                <w:sz w:val="24"/>
                <w:szCs w:val="24"/>
                <w:color w:val="auto"/>
              </w:rPr>
            </w:pPr>
          </w:p>
        </w:tc>
        <w:tc>
          <w:tcPr>
            <w:tcW w:w="3300" w:type="dxa"/>
            <w:vAlign w:val="bottom"/>
          </w:tcPr>
          <w:p>
            <w:pPr>
              <w:jc w:val="right"/>
              <w:ind w:right="810"/>
              <w:spacing w:after="0"/>
              <w:rPr>
                <w:sz w:val="20"/>
                <w:szCs w:val="20"/>
                <w:color w:val="auto"/>
              </w:rPr>
            </w:pPr>
            <w:r>
              <w:rPr>
                <w:rFonts w:ascii="Arial" w:cs="Arial" w:eastAsia="Arial" w:hAnsi="Arial"/>
                <w:sz w:val="18"/>
                <w:szCs w:val="18"/>
                <w:color w:val="auto"/>
              </w:rPr>
              <w:t>51</w:t>
            </w:r>
          </w:p>
        </w:tc>
        <w:tc>
          <w:tcPr>
            <w:tcW w:w="22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right="52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Galectin Therapeutics, Inc.</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consolidated balance sheets of Galectin Therapeutics, Inc. and subsidiaries (the “Company) as of December 31, 2016 and 2015, and the related consolidated statements of operations, changes in redeemable convertible preferred stock and stockholders’ equity, and cash flows for the years then ended. The Company’s management is responsible for these financial statements. Our responsibility is to express an opinion on these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2016 and 2015, and the results of their operations and their cash flows for the years then ended,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9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right"/>
              <w:ind w:right="49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25,846</w:t>
            </w: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0"/>
        </w:trPr>
        <w:tc>
          <w:tcPr>
            <w:tcW w:w="92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0"/>
                <w:szCs w:val="20"/>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 12% redeemable convertible preferred stock; 900,000 shares authorized,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rPr>
              <w:t>Series B-2 12% redeemable convertible preferred stock; 2,100,000 shares authorized,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80" w:type="dxa"/>
            <w:vAlign w:val="bottom"/>
          </w:tcPr>
          <w:p>
            <w:pPr>
              <w:ind w:left="180"/>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20"/>
                <w:szCs w:val="20"/>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3,537</w:t>
            </w: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C super dividend convertible preferred stock; 1,000 shares authorized, 176 issued and outstanding at December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and 2015, redemption value: $7,262,000, liquidation value: $1,786,000 at December 31, 2016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2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Undesignated stock, $0.01 par value; 20,000,000 shares authorized at December 31, 2016 and 2015, 14,001,000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shares designated at December 31, 2016 and 2015</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280" w:type="dxa"/>
            <w:vAlign w:val="bottom"/>
          </w:tcPr>
          <w:p>
            <w:pPr>
              <w:ind w:left="720"/>
              <w:spacing w:after="0" w:line="201" w:lineRule="exact"/>
              <w:rPr>
                <w:sz w:val="20"/>
                <w:szCs w:val="20"/>
                <w:color w:val="auto"/>
              </w:rPr>
            </w:pPr>
            <w:r>
              <w:rPr>
                <w:rFonts w:ascii="Arial" w:cs="Arial" w:eastAsia="Arial" w:hAnsi="Arial"/>
                <w:sz w:val="18"/>
                <w:szCs w:val="18"/>
                <w:color w:val="auto"/>
                <w:w w:val="98"/>
              </w:rPr>
              <w:t>Series A 12% convertible preferred stock; 5,000,000 shares authorized, 1,377,500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80" w:type="dxa"/>
            <w:vAlign w:val="bottom"/>
          </w:tcPr>
          <w:p>
            <w:pPr>
              <w:ind w:left="900"/>
              <w:spacing w:after="0"/>
              <w:rPr>
                <w:sz w:val="20"/>
                <w:szCs w:val="20"/>
                <w:color w:val="auto"/>
              </w:rPr>
            </w:pPr>
            <w:r>
              <w:rPr>
                <w:rFonts w:ascii="Arial" w:cs="Arial" w:eastAsia="Arial" w:hAnsi="Arial"/>
                <w:sz w:val="18"/>
                <w:szCs w:val="18"/>
                <w:color w:val="auto"/>
              </w:rPr>
              <w:t>December 31, 2016 and 2015, respectively, liquidation value $1,418,000 at December 31, 2016</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r>
      <w:tr>
        <w:trPr>
          <w:trHeight w:val="202"/>
        </w:trPr>
        <w:tc>
          <w:tcPr>
            <w:tcW w:w="92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5"/>
              </w:rPr>
              <w:t>Series B-1 12% convertible preferred stock; 900,000 shares authorized, issued and outstanding at December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2016, liquidation value $1,800,000 at December 31, 2016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280" w:type="dxa"/>
            <w:vAlign w:val="bottom"/>
          </w:tcPr>
          <w:p>
            <w:pPr>
              <w:ind w:left="720"/>
              <w:spacing w:after="0" w:line="201" w:lineRule="exact"/>
              <w:rPr>
                <w:sz w:val="20"/>
                <w:szCs w:val="20"/>
                <w:color w:val="auto"/>
              </w:rPr>
            </w:pPr>
            <w:r>
              <w:rPr>
                <w:rFonts w:ascii="Arial" w:cs="Arial" w:eastAsia="Arial" w:hAnsi="Arial"/>
                <w:sz w:val="18"/>
                <w:szCs w:val="18"/>
                <w:color w:val="auto"/>
              </w:rPr>
              <w:t>Series B-2 12% convertible preferred stock; 2,100,000 shares authorized,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80" w:type="dxa"/>
            <w:vAlign w:val="bottom"/>
          </w:tcPr>
          <w:p>
            <w:pPr>
              <w:ind w:left="900"/>
              <w:spacing w:after="0"/>
              <w:rPr>
                <w:sz w:val="20"/>
                <w:szCs w:val="20"/>
                <w:color w:val="auto"/>
              </w:rPr>
            </w:pPr>
            <w:r>
              <w:rPr>
                <w:rFonts w:ascii="Arial" w:cs="Arial" w:eastAsia="Arial" w:hAnsi="Arial"/>
                <w:sz w:val="18"/>
                <w:szCs w:val="18"/>
                <w:color w:val="auto"/>
              </w:rPr>
              <w:t>December 31, 2016, liquidation value $4,200,000 at December 31, 2016</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3,697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2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8"/>
              </w:rPr>
              <w:t>Series B-3 8% convertible preferred stock; 6,000,000 shares authorized, 2,508,000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December 31, 2016, liquidation value $2,508,000 at December 31, 2016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280" w:type="dxa"/>
            <w:vAlign w:val="bottom"/>
          </w:tcPr>
          <w:p>
            <w:pPr>
              <w:ind w:left="720"/>
              <w:spacing w:after="0" w:line="201" w:lineRule="exact"/>
              <w:rPr>
                <w:sz w:val="20"/>
                <w:szCs w:val="20"/>
                <w:color w:val="auto"/>
              </w:rPr>
            </w:pPr>
            <w:r>
              <w:rPr>
                <w:rFonts w:ascii="Arial" w:cs="Arial" w:eastAsia="Arial" w:hAnsi="Arial"/>
                <w:sz w:val="18"/>
                <w:szCs w:val="18"/>
                <w:color w:val="auto"/>
                <w:w w:val="97"/>
              </w:rPr>
              <w:t>Common stock, $0.001 par value; 50,000,000 shares authorized at December 31, 2016 and 2015, 32,912,942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80" w:type="dxa"/>
            <w:vAlign w:val="bottom"/>
          </w:tcPr>
          <w:p>
            <w:pPr>
              <w:ind w:left="900"/>
              <w:spacing w:after="0"/>
              <w:rPr>
                <w:sz w:val="20"/>
                <w:szCs w:val="20"/>
                <w:color w:val="auto"/>
              </w:rPr>
            </w:pPr>
            <w:r>
              <w:rPr>
                <w:rFonts w:ascii="Arial" w:cs="Arial" w:eastAsia="Arial" w:hAnsi="Arial"/>
                <w:sz w:val="18"/>
                <w:szCs w:val="18"/>
                <w:color w:val="auto"/>
              </w:rPr>
              <w:t>and 28,825,033 issued and outstanding at December 31, 2016 and 2015,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166,721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157,504</w:t>
            </w:r>
          </w:p>
        </w:tc>
      </w:tr>
      <w:tr>
        <w:trPr>
          <w:trHeight w:val="223"/>
        </w:trPr>
        <w:tc>
          <w:tcPr>
            <w:tcW w:w="9280" w:type="dxa"/>
            <w:vAlign w:val="bottom"/>
          </w:tcPr>
          <w:p>
            <w:pPr>
              <w:ind w:left="720"/>
              <w:spacing w:after="0"/>
              <w:rPr>
                <w:sz w:val="20"/>
                <w:szCs w:val="20"/>
                <w:color w:val="auto"/>
              </w:rPr>
            </w:pPr>
            <w:r>
              <w:rPr>
                <w:rFonts w:ascii="Arial" w:cs="Arial" w:eastAsia="Arial" w:hAnsi="Arial"/>
                <w:sz w:val="18"/>
                <w:szCs w:val="18"/>
                <w:color w:val="auto"/>
              </w:rPr>
              <w:t>Retained deficit</w:t>
            </w:r>
          </w:p>
        </w:tc>
        <w:tc>
          <w:tcPr>
            <w:tcW w:w="10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(163,701)</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(140,049)</w:t>
            </w: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5"/>
          </w:tcPr>
          <w:p>
            <w:pPr>
              <w:jc w:val="center"/>
              <w:ind w:right="51"/>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share amounts)</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15,325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13,114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6,965</w:t>
            </w:r>
          </w:p>
        </w:tc>
      </w:tr>
      <w:tr>
        <w:trPr>
          <w:trHeight w:val="230"/>
        </w:trPr>
        <w:tc>
          <w:tcPr>
            <w:tcW w:w="20" w:type="dxa"/>
            <w:vAlign w:val="bottom"/>
          </w:tcPr>
          <w:p>
            <w:pPr>
              <w:spacing w:after="0"/>
              <w:rPr>
                <w:sz w:val="20"/>
                <w:szCs w:val="20"/>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(21,481)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(20,079)</w:t>
            </w: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20"/>
                <w:szCs w:val="20"/>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(21,436)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(20,027)</w:t>
            </w: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20" w:type="dxa"/>
            <w:vAlign w:val="bottom"/>
          </w:tcPr>
          <w:p>
            <w:pPr>
              <w:spacing w:after="0"/>
              <w:rPr>
                <w:sz w:val="19"/>
                <w:szCs w:val="19"/>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(22,350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(21,124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29,216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24,120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80" w:type="dxa"/>
            <w:vAlign w:val="bottom"/>
          </w:tcPr>
          <w:p>
            <w:pPr>
              <w:spacing w:after="0"/>
              <w:rPr>
                <w:sz w:val="13"/>
                <w:szCs w:val="13"/>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7"/>
              </w:rPr>
              <w:t>Series B-1 12%</w:t>
            </w:r>
          </w:p>
        </w:tc>
        <w:tc>
          <w:tcPr>
            <w:tcW w:w="120" w:type="dxa"/>
            <w:vAlign w:val="bottom"/>
          </w:tcPr>
          <w:p>
            <w:pPr>
              <w:spacing w:after="0"/>
              <w:rPr>
                <w:sz w:val="13"/>
                <w:szCs w:val="13"/>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87"/>
              </w:rPr>
              <w:t>Series B-2 12%</w:t>
            </w:r>
          </w:p>
        </w:tc>
        <w:tc>
          <w:tcPr>
            <w:tcW w:w="1220" w:type="dxa"/>
            <w:vAlign w:val="bottom"/>
            <w:tcBorders>
              <w:right w:val="single" w:sz="8" w:color="auto"/>
            </w:tcBorders>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6"/>
              </w:rPr>
              <w:t>Series C Super</w:t>
            </w:r>
          </w:p>
        </w:tc>
        <w:tc>
          <w:tcPr>
            <w:tcW w:w="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8"/>
          </w:tcPr>
          <w:p>
            <w:pPr>
              <w:ind w:left="560"/>
              <w:spacing w:after="0"/>
              <w:rPr>
                <w:sz w:val="20"/>
                <w:szCs w:val="20"/>
                <w:color w:val="auto"/>
              </w:rPr>
            </w:pPr>
            <w:r>
              <w:rPr>
                <w:rFonts w:ascii="Arial" w:cs="Arial" w:eastAsia="Arial" w:hAnsi="Arial"/>
                <w:sz w:val="13"/>
                <w:szCs w:val="13"/>
                <w:b w:val="1"/>
                <w:bCs w:val="1"/>
                <w:color w:val="auto"/>
              </w:rPr>
              <w:t>Stockholders’ Equity</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122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1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1"/>
                <w:szCs w:val="11"/>
                <w:color w:val="auto"/>
              </w:rPr>
            </w:pPr>
          </w:p>
        </w:tc>
        <w:tc>
          <w:tcPr>
            <w:tcW w:w="134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220" w:type="dxa"/>
            <w:vAlign w:val="bottom"/>
            <w:tcBorders>
              <w:right w:val="single" w:sz="8" w:color="auto"/>
            </w:tcBorders>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Dividend</w:t>
            </w:r>
          </w:p>
        </w:tc>
        <w:tc>
          <w:tcPr>
            <w:tcW w:w="60" w:type="dxa"/>
            <w:vAlign w:val="bottom"/>
          </w:tcPr>
          <w:p>
            <w:pPr>
              <w:spacing w:after="0"/>
              <w:rPr>
                <w:sz w:val="11"/>
                <w:szCs w:val="11"/>
                <w:color w:val="auto"/>
              </w:rPr>
            </w:pPr>
          </w:p>
        </w:tc>
        <w:tc>
          <w:tcPr>
            <w:tcW w:w="1020" w:type="dxa"/>
            <w:vAlign w:val="bottom"/>
            <w:gridSpan w:val="3"/>
          </w:tcPr>
          <w:p>
            <w:pPr>
              <w:jc w:val="center"/>
              <w:ind w:left="190"/>
              <w:spacing w:after="0" w:line="135" w:lineRule="exact"/>
              <w:rPr>
                <w:sz w:val="20"/>
                <w:szCs w:val="20"/>
                <w:color w:val="auto"/>
              </w:rPr>
            </w:pPr>
            <w:r>
              <w:rPr>
                <w:rFonts w:ascii="Arial" w:cs="Arial" w:eastAsia="Arial" w:hAnsi="Arial"/>
                <w:sz w:val="13"/>
                <w:szCs w:val="13"/>
                <w:b w:val="1"/>
                <w:bCs w:val="1"/>
                <w:color w:val="auto"/>
                <w:w w:val="88"/>
              </w:rPr>
              <w:t>Series A 12%</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1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Convertible</w:t>
            </w:r>
          </w:p>
        </w:tc>
        <w:tc>
          <w:tcPr>
            <w:tcW w:w="120" w:type="dxa"/>
            <w:vAlign w:val="bottom"/>
          </w:tcPr>
          <w:p>
            <w:pPr>
              <w:spacing w:after="0"/>
              <w:rPr>
                <w:sz w:val="11"/>
                <w:szCs w:val="11"/>
                <w:color w:val="auto"/>
              </w:rPr>
            </w:pPr>
          </w:p>
        </w:tc>
        <w:tc>
          <w:tcPr>
            <w:tcW w:w="13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220" w:type="dxa"/>
            <w:vAlign w:val="bottom"/>
            <w:tcBorders>
              <w:right w:val="single" w:sz="8" w:color="auto"/>
            </w:tcBorders>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1"/>
                <w:szCs w:val="11"/>
                <w:color w:val="auto"/>
              </w:rPr>
            </w:pPr>
          </w:p>
        </w:tc>
        <w:tc>
          <w:tcPr>
            <w:tcW w:w="1020" w:type="dxa"/>
            <w:vAlign w:val="bottom"/>
            <w:gridSpan w:val="3"/>
          </w:tcPr>
          <w:p>
            <w:pPr>
              <w:jc w:val="center"/>
              <w:ind w:left="19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11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20" w:type="dxa"/>
            <w:vAlign w:val="bottom"/>
          </w:tcPr>
          <w:p>
            <w:pPr>
              <w:spacing w:after="0"/>
              <w:rPr>
                <w:sz w:val="13"/>
                <w:szCs w:val="13"/>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Preferred Stock</w:t>
            </w:r>
          </w:p>
        </w:tc>
        <w:tc>
          <w:tcPr>
            <w:tcW w:w="122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3"/>
                <w:szCs w:val="13"/>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6"/>
              </w:rPr>
              <w:t>Preferred Stock</w:t>
            </w:r>
          </w:p>
        </w:tc>
        <w:tc>
          <w:tcPr>
            <w:tcW w:w="2080" w:type="dxa"/>
            <w:vAlign w:val="bottom"/>
            <w:gridSpan w:val="8"/>
          </w:tcPr>
          <w:p>
            <w:pPr>
              <w:ind w:left="60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70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w w:val="86"/>
              </w:rPr>
              <w:t>Number of</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2"/>
              </w:rPr>
              <w:t>Number of</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1"/>
                <w:szCs w:val="11"/>
                <w:color w:val="auto"/>
              </w:rPr>
            </w:pPr>
          </w:p>
        </w:tc>
        <w:tc>
          <w:tcPr>
            <w:tcW w:w="820" w:type="dxa"/>
            <w:vAlign w:val="bottom"/>
            <w:gridSpan w:val="2"/>
          </w:tcPr>
          <w:p>
            <w:pPr>
              <w:jc w:val="right"/>
              <w:ind w:right="159"/>
              <w:spacing w:after="0" w:line="135" w:lineRule="exact"/>
              <w:rPr>
                <w:sz w:val="20"/>
                <w:szCs w:val="20"/>
                <w:color w:val="auto"/>
              </w:rPr>
            </w:pPr>
            <w:r>
              <w:rPr>
                <w:rFonts w:ascii="Arial" w:cs="Arial" w:eastAsia="Arial" w:hAnsi="Arial"/>
                <w:sz w:val="13"/>
                <w:szCs w:val="13"/>
                <w:b w:val="1"/>
                <w:bCs w:val="1"/>
                <w:color w:val="auto"/>
              </w:rPr>
              <w:t>Retained</w:t>
            </w: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70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600" w:type="dxa"/>
            <w:vAlign w:val="bottom"/>
          </w:tcPr>
          <w:p>
            <w:pPr>
              <w:jc w:val="right"/>
              <w:ind w:right="52"/>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5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3"/>
                <w:szCs w:val="13"/>
                <w:color w:val="auto"/>
              </w:rPr>
            </w:pPr>
          </w:p>
        </w:tc>
        <w:tc>
          <w:tcPr>
            <w:tcW w:w="82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8"/>
              </w:rPr>
              <w:t>Balance at December 31, 2014</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900,000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5"/>
              </w:rPr>
              <w:t>$1,731</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2,100,000</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$3,325</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5"/>
              </w:rPr>
              <w:t>$1,723</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1,402,500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567</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22,277,283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$139,531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2"/>
              </w:rPr>
              <w:t>$(118,925)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w w:val="94"/>
              </w:rPr>
              <w:t>Accretion of Series B redeemable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convertible preferred stock</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6"/>
                <w:szCs w:val="16"/>
                <w:color w:val="auto"/>
              </w:rPr>
              <w:t>156</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Accretion of beneficial</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conversion feature for Series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Series A 12% convertible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preferred stock dividend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80</w:t>
            </w: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Series B-1 12% redeemable</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 preferred stock</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208</w:t>
            </w:r>
          </w:p>
        </w:tc>
        <w:tc>
          <w:tcPr>
            <w:tcW w:w="8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Series B-2 12% redeemable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Arial" w:cs="Arial" w:eastAsia="Arial" w:hAnsi="Arial"/>
                <w:sz w:val="16"/>
                <w:szCs w:val="16"/>
                <w:color w:val="auto"/>
              </w:rPr>
              <w:t>convertible preferred stock</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dividend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205,788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479</w:t>
            </w: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(479)</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Series C super dividend</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 preferred stock</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8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w w:val="98"/>
              </w:rPr>
              <w:t>Issuance of common stock upon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exercise of options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95,574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6,059,116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13,695</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Issuance of common stock to</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consultants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Conversion of Series A to</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expense</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3,329</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(20,027)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(20,027)</w:t>
            </w: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6"/>
                <w:szCs w:val="16"/>
                <w:b w:val="1"/>
                <w:bCs w:val="1"/>
                <w:color w:val="auto"/>
                <w:w w:val="98"/>
              </w:rPr>
              <w:t>Balance at December 31, 2015</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900,000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1,748</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2,100,000</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3,537</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1,723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1,377,500</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557</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28,825,033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157,504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(140,049</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Series B-1 12%</w:t>
            </w: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Series B-2 12%</w:t>
            </w: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7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200" w:type="dxa"/>
            <w:vAlign w:val="bottom"/>
            <w:gridSpan w:val="3"/>
          </w:tcPr>
          <w:p>
            <w:pPr>
              <w:jc w:val="center"/>
              <w:ind w:left="343"/>
              <w:spacing w:after="0" w:line="149" w:lineRule="exact"/>
              <w:rPr>
                <w:sz w:val="20"/>
                <w:szCs w:val="20"/>
                <w:color w:val="auto"/>
              </w:rPr>
            </w:pPr>
            <w:r>
              <w:rPr>
                <w:rFonts w:ascii="Arial" w:cs="Arial" w:eastAsia="Arial" w:hAnsi="Arial"/>
                <w:sz w:val="14"/>
                <w:szCs w:val="14"/>
                <w:b w:val="1"/>
                <w:bCs w:val="1"/>
                <w:color w:val="auto"/>
                <w:w w:val="89"/>
              </w:rPr>
              <w:t>Redeemable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7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00" w:type="dxa"/>
            <w:vAlign w:val="bottom"/>
            <w:gridSpan w:val="3"/>
          </w:tcPr>
          <w:p>
            <w:pPr>
              <w:jc w:val="center"/>
              <w:ind w:left="343"/>
              <w:spacing w:after="0" w:line="149" w:lineRule="exact"/>
              <w:rPr>
                <w:sz w:val="20"/>
                <w:szCs w:val="20"/>
                <w:color w:val="auto"/>
              </w:rPr>
            </w:pPr>
            <w:r>
              <w:rPr>
                <w:rFonts w:ascii="Arial" w:cs="Arial" w:eastAsia="Arial" w:hAnsi="Arial"/>
                <w:sz w:val="14"/>
                <w:szCs w:val="14"/>
                <w:b w:val="1"/>
                <w:bCs w:val="1"/>
                <w:color w:val="auto"/>
                <w:w w:val="96"/>
              </w:rPr>
              <w:t>Convertible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220" w:type="dxa"/>
            <w:vAlign w:val="bottom"/>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22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9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Number of</w:t>
            </w: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continue"/>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continue"/>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1,748</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3,537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Accretion of Series B redeemable convertible preferred stock</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Accretion of beneficial conversion feature for Series B-2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w w:val="96"/>
              </w:rPr>
              <w:t>Reclassification of Series B-1 and B-2 convertible stock to stockholders’ equity upon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elimination of redemption feature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(900,000)</w:t>
            </w: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(1,761)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(2,100,000)</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(3,697)</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40" w:type="dxa"/>
            <w:vAlign w:val="bottom"/>
            <w:gridSpan w:val="3"/>
          </w:tcPr>
          <w:p>
            <w:pPr>
              <w:jc w:val="center"/>
              <w:ind w:left="147"/>
              <w:spacing w:after="0"/>
              <w:rPr>
                <w:sz w:val="20"/>
                <w:szCs w:val="20"/>
                <w:color w:val="auto"/>
              </w:rPr>
            </w:pPr>
            <w:r>
              <w:rPr>
                <w:rFonts w:ascii="Arial" w:cs="Arial" w:eastAsia="Arial" w:hAnsi="Arial"/>
                <w:sz w:val="14"/>
                <w:szCs w:val="14"/>
                <w:b w:val="1"/>
                <w:bCs w:val="1"/>
                <w:color w:val="auto"/>
                <w:w w:val="88"/>
              </w:rPr>
              <w:t>Series A 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Series B-1 12%</w:t>
            </w:r>
          </w:p>
        </w:tc>
        <w:tc>
          <w:tcPr>
            <w:tcW w:w="10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Series B-2 12%</w:t>
            </w: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Series B-3 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40" w:type="dxa"/>
            <w:vAlign w:val="bottom"/>
            <w:gridSpan w:val="3"/>
          </w:tcPr>
          <w:p>
            <w:pPr>
              <w:jc w:val="center"/>
              <w:ind w:left="167"/>
              <w:spacing w:after="0" w:line="149" w:lineRule="exact"/>
              <w:rPr>
                <w:sz w:val="20"/>
                <w:szCs w:val="20"/>
                <w:color w:val="auto"/>
              </w:rPr>
            </w:pPr>
            <w:r>
              <w:rPr>
                <w:rFonts w:ascii="Arial" w:cs="Arial" w:eastAsia="Arial" w:hAnsi="Arial"/>
                <w:sz w:val="14"/>
                <w:szCs w:val="14"/>
                <w:b w:val="1"/>
                <w:bCs w:val="1"/>
                <w:color w:val="auto"/>
                <w:w w:val="88"/>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0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4"/>
                <w:szCs w:val="14"/>
                <w:color w:val="auto"/>
              </w:rPr>
            </w:pPr>
          </w:p>
        </w:tc>
        <w:tc>
          <w:tcPr>
            <w:tcW w:w="1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0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Preferred Stock</w:t>
            </w: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180" w:type="dxa"/>
            <w:vAlign w:val="bottom"/>
            <w:gridSpan w:val="3"/>
          </w:tcPr>
          <w:p>
            <w:pPr>
              <w:ind w:left="240"/>
              <w:spacing w:after="0"/>
              <w:rPr>
                <w:sz w:val="20"/>
                <w:szCs w:val="20"/>
                <w:color w:val="auto"/>
              </w:rPr>
            </w:pPr>
            <w:r>
              <w:rPr>
                <w:rFonts w:ascii="Arial" w:cs="Arial" w:eastAsia="Arial" w:hAnsi="Arial"/>
                <w:sz w:val="14"/>
                <w:szCs w:val="14"/>
                <w:b w:val="1"/>
                <w:bCs w:val="1"/>
                <w:color w:val="auto"/>
                <w:w w:val="89"/>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8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18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6"/>
              </w:rPr>
              <w:t>Balance at December 31,</w:t>
            </w: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2015</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1,377,500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2"/>
              </w:rPr>
              <w:t>557</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28,825,033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$ 157,504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5"/>
              </w:rPr>
              <w:t>$(140,049)</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Arial" w:cs="Arial" w:eastAsia="Arial" w:hAnsi="Arial"/>
                <w:sz w:val="16"/>
                <w:szCs w:val="16"/>
                <w:color w:val="auto"/>
              </w:rPr>
              <w:t>Accretion of Series B</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6"/>
                <w:szCs w:val="16"/>
                <w:color w:val="auto"/>
                <w:w w:val="98"/>
              </w:rPr>
              <w:t>redeemable convertible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99"/>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Accretion of beneficial</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conversion feature for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Series B-2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Arial" w:cs="Arial" w:eastAsia="Arial" w:hAnsi="Arial"/>
                <w:sz w:val="16"/>
                <w:szCs w:val="16"/>
                <w:color w:val="auto"/>
              </w:rPr>
              <w:t>Reclassification of Series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6"/>
                <w:szCs w:val="16"/>
                <w:color w:val="auto"/>
                <w:w w:val="98"/>
              </w:rPr>
              <w:t>B-1 and B-2 convertible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6"/>
                <w:szCs w:val="16"/>
                <w:color w:val="auto"/>
              </w:rPr>
              <w:t>stock to stockholders’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6"/>
                <w:szCs w:val="16"/>
                <w:color w:val="auto"/>
              </w:rPr>
              <w:t>equity upon elimination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rPr>
              <w:t>of redemption feature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900,000</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1,761</w:t>
            </w: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w w:val="89"/>
              </w:rPr>
              <w:t>2,100,000</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3,697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w w:val="96"/>
              </w:rPr>
              <w:t>Issuance of Series B-3 8%</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 preferred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2,508,000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1,224</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2,585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Arial" w:cs="Arial" w:eastAsia="Arial" w:hAnsi="Arial"/>
                <w:sz w:val="16"/>
                <w:szCs w:val="16"/>
                <w:color w:val="auto"/>
              </w:rPr>
              <w:t>Series A 12% convertible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w w:val="96"/>
              </w:rPr>
              <w:t>preferred stock dividend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27,550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34</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Series B-1 12%</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 preferred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dividend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Arial" w:cs="Arial" w:eastAsia="Arial" w:hAnsi="Arial"/>
                <w:sz w:val="16"/>
                <w:szCs w:val="16"/>
                <w:color w:val="auto"/>
              </w:rPr>
              <w:t>Series B-2 12%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6"/>
                <w:szCs w:val="16"/>
                <w:color w:val="auto"/>
              </w:rPr>
              <w:t>convertible preferred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rPr>
              <w:t>stock dividend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361,713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446</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(447)</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B-3 8% convertible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preferred stock dividend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Arial" w:cs="Arial" w:eastAsia="Arial" w:hAnsi="Arial"/>
                <w:sz w:val="16"/>
                <w:szCs w:val="16"/>
                <w:color w:val="auto"/>
              </w:rPr>
              <w:t>Series C super dividend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6"/>
                <w:szCs w:val="16"/>
                <w:color w:val="auto"/>
              </w:rPr>
              <w:t>convertible preferred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rPr>
              <w:t>stock dividend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38</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w w:val="96"/>
              </w:rPr>
              <w:t>Issuance of common stock</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warrants in private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placements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2,997</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Arial" w:cs="Arial" w:eastAsia="Arial" w:hAnsi="Arial"/>
                <w:sz w:val="16"/>
                <w:szCs w:val="16"/>
                <w:color w:val="auto"/>
                <w:w w:val="96"/>
              </w:rPr>
              <w:t>Issuance of common stock</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329,234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416</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w w:val="96"/>
              </w:rPr>
              <w:t>Issuance of common stock</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upon vesting of stock</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grants to directors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Arial" w:cs="Arial" w:eastAsia="Arial" w:hAnsi="Arial"/>
                <w:sz w:val="16"/>
                <w:szCs w:val="16"/>
                <w:color w:val="auto"/>
                <w:w w:val="94"/>
              </w:rPr>
              <w:t>Stock-based compensation</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rPr>
              <w:t>expense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2,479</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(21,436)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(21,436)</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6"/>
                <w:szCs w:val="16"/>
                <w:b w:val="1"/>
                <w:bCs w:val="1"/>
                <w:color w:val="auto"/>
                <w:w w:val="96"/>
              </w:rPr>
              <w:t>Balance at December 31,</w:t>
            </w: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40" w:type="dxa"/>
            <w:vAlign w:val="bottom"/>
          </w:tcPr>
          <w:p>
            <w:pPr>
              <w:ind w:left="180"/>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1,377,500</w:t>
            </w:r>
          </w:p>
        </w:tc>
        <w:tc>
          <w:tcPr>
            <w:tcW w:w="3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2"/>
              </w:rPr>
              <w:t>557</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900,000</w:t>
            </w: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$ 1,761</w:t>
            </w:r>
          </w:p>
        </w:tc>
        <w:tc>
          <w:tcPr>
            <w:tcW w:w="8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2,100,000</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$ 3,697</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2,508,000</w:t>
            </w:r>
          </w:p>
        </w:tc>
        <w:tc>
          <w:tcPr>
            <w:tcW w:w="7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$ 1,224</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4"/>
              </w:rPr>
              <w:t>32,912,942</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$ 166,721</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b w:val="1"/>
                <w:bCs w:val="1"/>
                <w:u w:val="single" w:color="auto"/>
                <w:color w:val="auto"/>
                <w:w w:val="95"/>
              </w:rPr>
              <w:t>$</w:t>
            </w:r>
            <w:r>
              <w:rPr>
                <w:rFonts w:ascii="Arial" w:cs="Arial" w:eastAsia="Arial" w:hAnsi="Arial"/>
                <w:sz w:val="16"/>
                <w:szCs w:val="16"/>
                <w:b w:val="1"/>
                <w:bCs w:val="1"/>
                <w:color w:val="auto"/>
                <w:w w:val="95"/>
              </w:rPr>
              <w:t>(163,701)</w:t>
            </w: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(21,436)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0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(16,409)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(16,983)</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cash from investing activities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proceeds from issuance of common stock and warrants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780"/>
              <w:spacing w:after="0"/>
              <w:rPr>
                <w:sz w:val="20"/>
                <w:szCs w:val="20"/>
                <w:color w:val="auto"/>
              </w:rPr>
            </w:pPr>
            <w:r>
              <w:rPr>
                <w:rFonts w:ascii="Arial" w:cs="Arial" w:eastAsia="Arial" w:hAnsi="Arial"/>
                <w:sz w:val="18"/>
                <w:szCs w:val="18"/>
                <w:color w:val="auto"/>
              </w:rPr>
              <w:t>Net cash from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(10,484)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25,846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15,362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25,846</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 of preferred stock dividends in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78" w:lineRule="exact"/>
        <w:rPr>
          <w:rFonts w:ascii="Arial" w:cs="Arial" w:eastAsia="Arial" w:hAnsi="Arial"/>
          <w:sz w:val="18"/>
          <w:szCs w:val="18"/>
          <w:b w:val="1"/>
          <w:bCs w:val="1"/>
          <w:color w:val="auto"/>
        </w:rPr>
      </w:pPr>
    </w:p>
    <w:p>
      <w:pPr>
        <w:jc w:val="both"/>
        <w:ind w:left="460" w:right="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was founded in July 2000, was incorporated in the State of Nevada in January 2001 under the name “Pro-Pharmaceuticals, Inc.,” and changed its name to “Galectin Therapeutics Inc.” on May 26, 2011. On March 23, 2012, the Company effected a one-for-six reverse stock split. All common share and per share amounts in these financial statements have been adjusted to reflect the effect of the reverse split.</w:t>
      </w:r>
    </w:p>
    <w:p>
      <w:pPr>
        <w:spacing w:after="0" w:line="57"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December 31, 2016, the Company had $15,362,000 of unrestricted cash and cash equivalents available to fund future operations. Additionally, from January 1, 2017 through March 1, 2017, the Company raised $1,247,000 in net proceeds from the issuance of common stock under its At the Market sales arrangement (See Note 5). On February 28, 2017, the Company closed a transactions with individual investors through private placements of common stock and warrants. In total, the Company issued 102,368 shares of common stock for proceeds of $200,000. The Company also issued, to the investors, warrants to purchase 76,776 shares of common stock at $5.00 per share. The Company believes there is sufficient cash to fund currently planned operations through December 31, 2017.</w:t>
      </w:r>
    </w:p>
    <w:p>
      <w:pPr>
        <w:spacing w:after="0" w:line="69"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w:t>
      </w:r>
    </w:p>
    <w:p>
      <w:pPr>
        <w:spacing w:after="0" w:line="62" w:lineRule="exact"/>
        <w:rPr>
          <w:rFonts w:ascii="Arial" w:cs="Arial" w:eastAsia="Arial" w:hAnsi="Arial"/>
          <w:sz w:val="18"/>
          <w:szCs w:val="18"/>
          <w:b w:val="1"/>
          <w:bCs w:val="1"/>
          <w:color w:val="auto"/>
        </w:rPr>
      </w:pPr>
    </w:p>
    <w:p>
      <w:pPr>
        <w:ind w:left="460" w:right="34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Basis of Consolidation. </w:t>
      </w:r>
      <w:r>
        <w:rPr>
          <w:rFonts w:ascii="Arial" w:cs="Arial" w:eastAsia="Arial" w:hAnsi="Arial"/>
          <w:sz w:val="18"/>
          <w:szCs w:val="18"/>
          <w:color w:val="auto"/>
        </w:rPr>
        <w:t>The consolidated financial statements include the accounts of the Company and Galectin Therapeutics Security Corp.,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subsidiary, which was incorporated in Delaware on December 23, 2003 and Galectin Sciences LLC (see Note 10). All intercompany transactions have been eliminated.</w:t>
      </w:r>
    </w:p>
    <w:p>
      <w:pPr>
        <w:spacing w:after="0" w:line="73" w:lineRule="exact"/>
        <w:rPr>
          <w:rFonts w:ascii="Arial" w:cs="Arial" w:eastAsia="Arial" w:hAnsi="Arial"/>
          <w:sz w:val="18"/>
          <w:szCs w:val="18"/>
          <w:b w:val="1"/>
          <w:bCs w:val="1"/>
          <w:color w:val="auto"/>
        </w:rPr>
      </w:pPr>
    </w:p>
    <w:p>
      <w:pPr>
        <w:ind w:left="460" w:right="100"/>
        <w:spacing w:after="0" w:line="297"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accounting principles generally accepted in the United States of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and judgments that may affect the reported amounts of assets, liabilities, equity, revenue, expenses and related disclosure of contingent assets and liabilities. Management’s estimates and judgments include assumptions used in stock option and warrant liability valuations, useful lives of property and equipment and intangible assets, accrued liabilities, deferred income taxes and various other assumptions that are believed to be reasonable under the circumstances. Actual results may differ from those estimates under different assumptions or conditions.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Company has certain financial assets and liabilities recorded at fair value. Fair values determined by Level 1 inputs</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There were no Level 2 or 3 assets or liabilities at December 31, 2016 or 2015.</w:t>
      </w:r>
    </w:p>
    <w:p>
      <w:pPr>
        <w:spacing w:after="0" w:line="85"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original maturities of 90 days or less at the time of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be cash equivalents. The Company had no cash equivalents at December 31, 2016 or 2015.</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Prepaid Expenses and Other Current Assets. </w:t>
      </w:r>
      <w:r>
        <w:rPr>
          <w:rFonts w:ascii="Arial" w:cs="Arial" w:eastAsia="Arial" w:hAnsi="Arial"/>
          <w:sz w:val="18"/>
          <w:szCs w:val="18"/>
          <w:color w:val="auto"/>
        </w:rPr>
        <w:t>Prepaid expenses and other assets consist principally of prepaid insurance.</w:t>
      </w:r>
    </w:p>
    <w:p>
      <w:pPr>
        <w:spacing w:after="0" w:line="117"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including leasehold improvements, are stated at cost, net of accumulated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7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i w:val="1"/>
          <w:iCs w:val="1"/>
          <w:color w:val="auto"/>
        </w:rPr>
        <w:t xml:space="preserve">Security Deposit. </w:t>
      </w:r>
      <w:r>
        <w:rPr>
          <w:rFonts w:ascii="Arial" w:cs="Arial" w:eastAsia="Arial" w:hAnsi="Arial"/>
          <w:sz w:val="18"/>
          <w:szCs w:val="18"/>
          <w:color w:val="auto"/>
        </w:rPr>
        <w:t>At December 31, 2016 and 2015, the Company had a security deposit of $6,000 for leased office space included in Prepaid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Current Assets.</w:t>
      </w:r>
    </w:p>
    <w:p>
      <w:pPr>
        <w:spacing w:after="0" w:line="62"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patent costs, consisting primarily of related capitalized legal fees, which are amortized over an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life of five years from issuance. Amortization expense in 2016 and 2015 was approximately $7,000 and $7,000, respectively. Gross intangible assets at December 31, 2016 and 2015 totaled $78,000 each year, and accumulated amortization at December 31, 2016 and 2015 totaled $76,000 and $69,000, respectively.</w:t>
      </w:r>
    </w:p>
    <w:p>
      <w:pPr>
        <w:spacing w:after="0" w:line="79"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The Company reviews all long-lived assets for impairment whenever events or circumstances indicate the carrying amount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w:t>
      </w:r>
    </w:p>
    <w:p>
      <w:pPr>
        <w:spacing w:after="0" w:line="46"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i w:val="1"/>
          <w:iCs w:val="1"/>
          <w:color w:val="auto"/>
        </w:rPr>
        <w:t>Accrued Expenses</w:t>
      </w:r>
      <w:r>
        <w:rPr>
          <w:rFonts w:ascii="Arial" w:cs="Arial" w:eastAsia="Arial" w:hAnsi="Arial"/>
          <w:sz w:val="17"/>
          <w:szCs w:val="17"/>
          <w:color w:val="auto"/>
        </w:rPr>
        <w:t>. As part of the process of preparing our consolidated financial statements, we are required to estimate accrued expenses. This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70" w:lineRule="exact"/>
        <w:rPr>
          <w:sz w:val="20"/>
          <w:szCs w:val="20"/>
          <w:color w:val="auto"/>
        </w:rPr>
      </w:pPr>
    </w:p>
    <w:p>
      <w:pPr>
        <w:ind w:left="460" w:right="180"/>
        <w:spacing w:after="0" w:line="286" w:lineRule="auto"/>
        <w:rPr>
          <w:sz w:val="20"/>
          <w:szCs w:val="20"/>
          <w:color w:val="auto"/>
        </w:rPr>
      </w:pPr>
      <w:r>
        <w:rPr>
          <w:rFonts w:ascii="Arial" w:cs="Arial" w:eastAsia="Arial" w:hAnsi="Arial"/>
          <w:sz w:val="17"/>
          <w:szCs w:val="17"/>
          <w:i w:val="1"/>
          <w:iCs w:val="1"/>
          <w:color w:val="auto"/>
        </w:rPr>
        <w:t xml:space="preserve">Warrants Modification. </w:t>
      </w:r>
      <w:r>
        <w:rPr>
          <w:rFonts w:ascii="Arial" w:cs="Arial" w:eastAsia="Arial" w:hAnsi="Arial"/>
          <w:sz w:val="17"/>
          <w:szCs w:val="17"/>
          <w:color w:val="auto"/>
        </w:rPr>
        <w:t>The Company has issued common stock warrants in connection with the execution of certain equity and debt financings.</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warrants were accounted for as derivative liabilities at fair value. Such warrants did not meet the accounting criteria that a contract should not be considered a derivative instrument if it is (1) indexed to its own stock and (2) classified in stockholders’ equity. Changes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in fair value of derivative liabilities are recorded in the consolidated statement of operations under the caption “Change in fair value of warrant liabilities.” Warrants that are not considered derivative liabilities are accounted for at fair value at the date of issuance in additional paid-in capital. The fair value of warrants was determined using the Black-Scholes option-pricing model using assumptions regarding volatility of our common share price, remaining life of the warrant, and risk-free interest rates at each period end. There were no warrant liabilities as of December 31, 2016 or 2015.</w:t>
      </w:r>
    </w:p>
    <w:p>
      <w:pPr>
        <w:spacing w:after="0" w:line="46"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among other costs, salaries and other personnel-related costs, and costs incurred by outside laboratories and other accredited facilities in connection with clinical trials and preclinical studies.</w:t>
      </w:r>
    </w:p>
    <w:p>
      <w:pPr>
        <w:spacing w:after="0" w:line="73"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accounts for income taxes in accordance with the accounting rules that requires an asset and liability approach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64" w:lineRule="exact"/>
        <w:rPr>
          <w:sz w:val="20"/>
          <w:szCs w:val="20"/>
          <w:color w:val="auto"/>
        </w:rPr>
      </w:pPr>
    </w:p>
    <w:p>
      <w:pPr>
        <w:ind w:left="460" w:right="400"/>
        <w:spacing w:after="0" w:line="286"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Financial instruments that subject the Company to credit risk consist of cash and cash equivalents and certificates of</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The Company maintains cash and cash equivalents and certificates of deposit with well-capitalized financial institutions. At times, those amounts may exceed federally insured limits. The Company has no significant concentrations of credit risk.</w:t>
      </w:r>
    </w:p>
    <w:p>
      <w:pPr>
        <w:spacing w:after="0" w:line="57" w:lineRule="exact"/>
        <w:rPr>
          <w:sz w:val="20"/>
          <w:szCs w:val="20"/>
          <w:color w:val="auto"/>
        </w:rPr>
      </w:pPr>
    </w:p>
    <w:p>
      <w:pPr>
        <w:ind w:left="460" w:right="100"/>
        <w:spacing w:after="0" w:line="28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over the service period, which 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valuing the stock options using an option pricing model (the Company uses Black-Scholes) and measuring such stock options to their current fair value when they vest.</w:t>
      </w:r>
    </w:p>
    <w:p>
      <w:pPr>
        <w:spacing w:after="0" w:line="59"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i w:val="1"/>
          <w:iCs w:val="1"/>
          <w:color w:val="auto"/>
        </w:rPr>
        <w:t xml:space="preserve">New Accounting Pronouncements. </w:t>
      </w:r>
      <w:r>
        <w:rPr>
          <w:rFonts w:ascii="Arial" w:cs="Arial" w:eastAsia="Arial" w:hAnsi="Arial"/>
          <w:sz w:val="17"/>
          <w:szCs w:val="17"/>
          <w:color w:val="auto"/>
        </w:rPr>
        <w:t>In August 2014, the FASB issued Accounting Standard Update No. 2014-15,</w:t>
      </w:r>
      <w:r>
        <w:rPr>
          <w:rFonts w:ascii="Arial" w:cs="Arial" w:eastAsia="Arial" w:hAnsi="Arial"/>
          <w:sz w:val="17"/>
          <w:szCs w:val="17"/>
          <w:i w:val="1"/>
          <w:iCs w:val="1"/>
          <w:color w:val="auto"/>
        </w:rPr>
        <w:t xml:space="preserve"> Disclosure of Uncertainties About an Entity’s Ability to Continue as a Going Concern. </w:t>
      </w:r>
      <w:r>
        <w:rPr>
          <w:rFonts w:ascii="Arial" w:cs="Arial" w:eastAsia="Arial" w:hAnsi="Arial"/>
          <w:sz w:val="17"/>
          <w:szCs w:val="17"/>
          <w:color w:val="auto"/>
        </w:rPr>
        <w:t>The amendments require management to perform interim and annual assessments of an entity’s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continue as a going concern and provides guidance on determining when and how to disclose going concern uncertainties in the financial statements. The standard applies to all entities and is effective for annual and interim reporting periods ending after December 15, 2016, with early adoption permitted. The Company has adopted this standard for its year ended December 31, 2016 financial statements.</w:t>
      </w:r>
    </w:p>
    <w:p>
      <w:pPr>
        <w:spacing w:after="0" w:line="64"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the most leases on the balance sheet. The provisions of this guidance are effective for the annual periods beginning after December 15, 2018, and interim periods within those years, with early adoption permitted. The Company is evaluating the requirements of this guidance and has not yet determined the impact of the adoption on the our financial position or results of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at December 31: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42"/>
        </w:trPr>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5"/>
          </w:tcPr>
          <w:p>
            <w:pPr>
              <w:jc w:val="right"/>
              <w:ind w:right="13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(74)</w:t>
            </w: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color w:val="auto"/>
              </w:rPr>
              <w:t>Property and equipment—net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for the years ended December 31, 2016 and 2015 was $0 and $1,000, respectively.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8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00" w:type="dxa"/>
            <w:vAlign w:val="bottom"/>
          </w:tcPr>
          <w:p>
            <w:pPr>
              <w:spacing w:after="0"/>
              <w:rPr>
                <w:sz w:val="24"/>
                <w:szCs w:val="24"/>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 at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2016</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2,802</w:t>
            </w:r>
          </w:p>
        </w:tc>
        <w:tc>
          <w:tcPr>
            <w:tcW w:w="5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845</w:t>
            </w:r>
          </w:p>
        </w:tc>
        <w:tc>
          <w:tcPr>
            <w:tcW w:w="6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At December 31, 2016, the Company had 50,000,000 shares of common stock and 20,000,000 undesignated shares authorized. As of December 31, 2016, 5,000,000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6,000,000 shares have been designated for Series B-3 Convertible Preferred Stock and 5,999,000 remain undesignated.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Market Issuances of Common Stock</w:t>
      </w:r>
    </w:p>
    <w:p>
      <w:pPr>
        <w:spacing w:after="0" w:line="11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2016 and 2015, the Company issued 329,234 and 1,297,216 shares of common stock for net proceeds of approximately $416,000 and $4,571,000, respectively, under the 2014 At Market Agreement.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Registered Direct Offering</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On November 25, 2015, the Company completed an offering of 4,761,900 shares of common stock to three institutional investors at $2.06 per share for net proceeds of approximately $9,130,000. The Company also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20"/>
        <w:spacing w:after="0" w:line="285" w:lineRule="auto"/>
        <w:rPr>
          <w:sz w:val="20"/>
          <w:szCs w:val="20"/>
          <w:color w:val="auto"/>
        </w:rPr>
      </w:pPr>
      <w:r>
        <w:rPr>
          <w:rFonts w:ascii="Arial" w:cs="Arial" w:eastAsia="Arial" w:hAnsi="Arial"/>
          <w:sz w:val="16"/>
          <w:szCs w:val="16"/>
          <w:color w:val="auto"/>
        </w:rPr>
        <w:t>issued, to the three investors, warrants to purchase 3,571,425 shares of common stock at $2.50 per share. The warrants have an expiration date of May 25, 2021. The warrants are exercisable beginning on May 25, 2016. The warrants provide for cashless exercise if at any time during the term of the warrants if there is no effective registration statement for the issuance or resale of the underlying warrant shares. The exercise price of each warrant is adjustable in the event of a stock split or stock combination, capital reorganization, merger or similar event. The warrants were valued at $5,893,000 as of the issuance date of November 25, 2015, using the closing price of $2.28, a life of 5.5 years, a volatility of 93% and a risk free interest rate of</w:t>
      </w:r>
    </w:p>
    <w:p>
      <w:pPr>
        <w:spacing w:after="0" w:line="2" w:lineRule="exact"/>
        <w:rPr>
          <w:sz w:val="20"/>
          <w:szCs w:val="20"/>
          <w:color w:val="auto"/>
        </w:rPr>
      </w:pPr>
    </w:p>
    <w:p>
      <w:pPr>
        <w:jc w:val="both"/>
        <w:ind w:left="460" w:right="280"/>
        <w:spacing w:after="0" w:line="255" w:lineRule="auto"/>
        <w:rPr>
          <w:sz w:val="20"/>
          <w:szCs w:val="20"/>
          <w:color w:val="auto"/>
        </w:rPr>
      </w:pPr>
      <w:r>
        <w:rPr>
          <w:rFonts w:ascii="Arial" w:cs="Arial" w:eastAsia="Arial" w:hAnsi="Arial"/>
          <w:sz w:val="18"/>
          <w:szCs w:val="18"/>
          <w:color w:val="auto"/>
        </w:rPr>
        <w:t>1.84%.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2016 Private Placement</w:t>
      </w:r>
    </w:p>
    <w:p>
      <w:pPr>
        <w:spacing w:after="0" w:line="117"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In December 2016, the Company closed two transactions with individual investors through private placements of common stock and warrants. In total, the Company issued approximately 2,814,000 shares of common stock for proceeds of $3,000,000. The Company also issued, to the two investors, warrants to purchase 2,110,672 shares of common stock at $5.00 per share. The warrants have an expiration date in late December 2023. The warrants are exercisable beginning in late June 2017. The exercise price of each warrant is adjustable in the event of a stock split or stock combination, capital reorganization, merger or similar event. The warrants were valued at $1,258,000 as of the issuance dates in late December 2016, using a weighted average closing price of $0.97, a life of 7 years, a volatility of 96% and a risk free interest rate of 1.90%.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A 12% Convertible Preferred Stock — February 4, 2008 Private Placement</w:t>
      </w:r>
    </w:p>
    <w:p>
      <w:pPr>
        <w:spacing w:after="0" w:line="117"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7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70" w:lineRule="exact"/>
        <w:rPr>
          <w:sz w:val="20"/>
          <w:szCs w:val="20"/>
          <w:color w:val="auto"/>
        </w:rPr>
      </w:pPr>
    </w:p>
    <w:p>
      <w:pPr>
        <w:ind w:left="460" w:right="60"/>
        <w:spacing w:after="0" w:line="312" w:lineRule="auto"/>
        <w:rPr>
          <w:sz w:val="20"/>
          <w:szCs w:val="20"/>
          <w:color w:val="auto"/>
        </w:rPr>
      </w:pPr>
      <w:r>
        <w:rPr>
          <w:rFonts w:ascii="Arial" w:cs="Arial" w:eastAsia="Arial" w:hAnsi="Arial"/>
          <w:sz w:val="16"/>
          <w:szCs w:val="16"/>
          <w:color w:val="auto"/>
        </w:rPr>
        <w:t>As of December 31, 2007, the Company had received subscription advances of $1,667,500 for Series A. In 2008, the Company received additional subscription advances of $75,000 resulting in total gross proceeds of $1,742,500. On February 4, 2008 the Company closed the private placement. The Company incurred $52,000 of cash transaction costs resulting in net cash proceeds of $1,691,000. In addition, the Company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40"/>
        <w:spacing w:after="0" w:line="287" w:lineRule="auto"/>
        <w:rPr>
          <w:sz w:val="20"/>
          <w:szCs w:val="20"/>
          <w:color w:val="auto"/>
        </w:rPr>
      </w:pPr>
      <w:r>
        <w:rPr>
          <w:rFonts w:ascii="Arial" w:cs="Arial" w:eastAsia="Arial" w:hAnsi="Arial"/>
          <w:sz w:val="16"/>
          <w:szCs w:val="16"/>
          <w:color w:val="auto"/>
        </w:rPr>
        <w:t>incurred $3,000 of costs for 1,400 warrants exercisable at $9.00 issued to placement agents. Proceeds of $984,000 were allocated to investor warrants using the Black-Scholes method with the following assumptions as of February 4, 2008: risk free interest rate 2.51%, volatility 95%, fair market value of the Company’s common stock on February 4, 2008, and the share price on the closing date of the transaction of $3.54. The warrants were originally accounted for as freestanding derivative instruments in the consolidated balance sheet formerly under the caption “Warrant Liabilities”. These warrants were originally classified as a liability because the February 2006 warrants contain an anti-dilution provision in the event of a subsequent dilutive issuance and the potential number of shares issuable exceeded the Company’s authorized shares. Changes in fair value were recognized as either a gain or loss in the consolidated statement of operations under the caption “Change in fair value of warrant liabilities”. In the second quarter of 2008, the warrants were reclassified to equity as a result of an amendment to the Company’s articles of incorporation approved at the May 21, 2008 annual meeting of shareholders increasing the Company’s authorized common. Through May 21, 2008, these warrants were marked to market resulting in a reduction in warrant liabilities in the balance sheet and an offsetting credit to change in fair value of warrant liabilities in the statement of operations in the amount of $100,000. The remaining fair value of $502,000 was credited to additional paid-in capital in the balance sheet.</w:t>
      </w:r>
    </w:p>
    <w:p>
      <w:pPr>
        <w:spacing w:after="0" w:line="65"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In 2015, 25,000 shares of Series A were converted into 4,167 shares of common stock. Prior to 2015, a total of 340,000 shares of Series A had been converted into 56,721 shares of common stock.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On February 12, 2009, the Company entered into a securities purchase agreement (the “10X Agreement”) pursuant to which it agreed to issue and sell to 10X Fund LP, at two or more closings, up to: (i) 3,000,000 shares its Series B-1 and B-2 convertible preferred stock with an aggregate stated value of $6.0 million and convertible into 2,000,000 shares of common stock at December 31, 2011 and (ii) warrants to purchase 6,000,000 shares of common stock.</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a series of closings from February 2009 through May 2010, the Company issued and sold, pursuant to the 10X Agreement, a total of</w:t>
      </w:r>
    </w:p>
    <w:p>
      <w:pPr>
        <w:spacing w:after="0" w:line="35" w:lineRule="exact"/>
        <w:rPr>
          <w:sz w:val="20"/>
          <w:szCs w:val="20"/>
          <w:color w:val="auto"/>
        </w:rPr>
      </w:pPr>
    </w:p>
    <w:p>
      <w:pPr>
        <w:ind w:left="460" w:right="200" w:firstLine="4"/>
        <w:spacing w:after="0" w:line="277" w:lineRule="auto"/>
        <w:tabs>
          <w:tab w:leader="none" w:pos="6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900,000 shares of Series B-1 convertible preferred stock (“Series B-1 convertible preferred stock” or “Series B-1”) and related common stock warrants for 1,800,000 shares of common stock and (ii) 2,100,000 shares of Series B-2 convertible preferred stock (“Series B-2 convertible preferred stock” or “Series B-2”) and related warrants for 4,200,000 shares of common stock for total net proceeds of $5,483,000.</w:t>
      </w:r>
    </w:p>
    <w:p>
      <w:pPr>
        <w:spacing w:after="0" w:line="65"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On September 22, 2016, the Company entered into a securities purchase agreement (the “B-3 Agreement”) pursuant to which it agreed to issue and sell to 10X Fund LP: (i) 1,500,000 shares its Series B-3 convertible preferred stock (“Series B-3 preferred stock” or “Series B-3”) with an aggregate stated value and proceeds of $1.5 million and convertible into 892,349 shares of common stock, and (ii) warrants to purchase up to 669,262 shares of common stock. Also, pursuant to agreements signed on September 22, 2016 with 10X Fund LP, the Company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B-1, Series B-2 and Series B-3 preferred stock (collectively, with the Series B-1 and Series B-2, the “Series B”), in the Second Amended and Restated Certificate of Designation of Preferences, Rights and Limitations of Series B preferred stock we removed the ability of the holders of the Series B to cause a redemption of their shares of Series B. Accordingly, the Company accounted for the removal of this redemption feature as a modification and reclassified the Series B-1 and Series B-2 preferred stock into permanent equity at September 30, 2016 and forward.</w:t>
      </w:r>
    </w:p>
    <w:p>
      <w:pPr>
        <w:spacing w:after="0" w:line="61"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color w:val="auto"/>
        </w:rPr>
        <w:t>On December 23, 2016, the Company and 10X Fund LP amended the B-3 Agreement whereby the Company agreed to issue and sell to 10X Fund LP an additional (i) 1,008,000 shares of its B-3 preferred stock with an aggregate stated value and proceeds of $1.0 million and convertible into 896,997 shares of common stock, and (ii) warrants to purchase up to 924,780 shares of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Series B are as follows:</w:t>
      </w:r>
    </w:p>
    <w:p>
      <w:pPr>
        <w:spacing w:after="0" w:line="11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Series B will be entitled to receive cumulative dividends at the rate of 12% for Series B-1 and B-2 and 8% for Series B-3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 (compounding monthly) payable quarterly which may, at the Company’s option, be paid in cash or common stock. Pursuant to an agreement with the holder of all shares of Series B, on January 26, 2011, the Company amended and restated the Certificate of Designation of Preferences, Rights and Limitations for the Series B-1 and Series B-2, to provide that dividends are payable in cash or shares of Common Stock valued at 100% of the volume weighted average price of the Common Stock for the 20 consecutive trading days prior to the dividend payment date on and after September 30, 2011. If the Company does not pay any dividend on the Series B, dividends will accrue at the rate of 15% per annum (compounding monthly).</w:t>
      </w:r>
    </w:p>
    <w:p>
      <w:pPr>
        <w:spacing w:after="0" w:line="8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Each share of Series B-1 and B-2 is convertible into two-thirds (approximately 0.667) shares of common stock at the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$3.00 per share at the option of the holder, at any time. The shares of Series B-3 are convertible into 1,789,346 shares of common stock at the option of the holder, at any time.</w:t>
      </w:r>
    </w:p>
    <w:p>
      <w:pPr>
        <w:spacing w:after="0" w:line="73" w:lineRule="exact"/>
        <w:rPr>
          <w:sz w:val="20"/>
          <w:szCs w:val="20"/>
          <w:color w:val="auto"/>
        </w:rPr>
      </w:pPr>
    </w:p>
    <w:p>
      <w:pPr>
        <w:jc w:val="both"/>
        <w:ind w:left="460" w:right="140"/>
        <w:spacing w:after="0" w:line="312"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liquidation, dissolution or winding up of the Company, either voluntarily or involuntarily, the holders of Series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B-1 and B-2 will receive $2 per share and holders of B-3 will receive $1 per share plus accrued and unpaid dividends, payable prior and in preference to any distributions to the holders of Common Stock but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holders of the Series A 12% Convertible Preferred Stock.</w:t>
      </w:r>
    </w:p>
    <w:p>
      <w:pPr>
        <w:spacing w:after="0" w:line="39"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Except as noted below, the holder of each share of Series B-3 shall be entitled to the number of votes equal to the number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into which such share of Series B-3 would be convertible, and shall otherwise have voting rights and powers equal to the voting rights and powers of the Common Stock. With respect to the election of directors, the holders of the Series B-3, together with the holders of Series B-1 and Series B-2, shall vote together as a separate class to elect two (2) members of the Board of Directors (the “Series B Directors”), and the Company shall take all reasonably necessary or desirable actions within its control (including, without limitation, calling special meetings of the Board of Directors, nominating such persons designated by the holders of the Series B as directors on the applicable proxy statements and recommending their election) to permit the holders of the Series B to appoint three additional (3) members of the Board of Directors (the “Series B Nominees”), who shall be subject to election by all shares of voting stock of the Company voting together as a single group,) until there are no longer any shares of Series B outstanding. The holders of Series B shall vote together with the holders of Common Stock and other voting capital stock of the Company to elect all other members of the Board of Directors.</w:t>
      </w:r>
    </w:p>
    <w:p>
      <w:pPr>
        <w:spacing w:after="0" w:line="70"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i w:val="1"/>
          <w:iCs w:val="1"/>
          <w:color w:val="auto"/>
        </w:rPr>
        <w:t>Other Restrictions</w:t>
      </w:r>
      <w:r>
        <w:rPr>
          <w:rFonts w:ascii="Arial" w:cs="Arial" w:eastAsia="Arial" w:hAnsi="Arial"/>
          <w:sz w:val="16"/>
          <w:szCs w:val="16"/>
          <w:color w:val="auto"/>
        </w:rPr>
        <w:t>. So long as any shares of the Series B remain outstanding, the Company may not, without the approval of the holders of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shares of Series B outstanding, among other things, (i) change the size of the Company’s Board of Directors; (ii) amend or repeal the Company’s Articles of Incorporation or Bylaws or file any articles of amendment designating the preferences, limitations and relative rights of any series of preferred stock, that would alter or change the preferences, rights, privileges or powers of, or restriction provided for the benefit of the Series B;</w:t>
      </w:r>
    </w:p>
    <w:p>
      <w:pPr>
        <w:spacing w:after="0" w:line="2" w:lineRule="exact"/>
        <w:rPr>
          <w:sz w:val="20"/>
          <w:szCs w:val="20"/>
          <w:color w:val="auto"/>
        </w:rPr>
      </w:pPr>
    </w:p>
    <w:p>
      <w:pPr>
        <w:ind w:left="460" w:right="140" w:firstLine="4"/>
        <w:spacing w:after="0" w:line="281" w:lineRule="auto"/>
        <w:tabs>
          <w:tab w:leader="none" w:pos="7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create or increase the authorized amount of any additional class or series of shares of stock that is equal to or senior to Series B; (iv) increase or decrease the authorized number of shares of the Series B; (v) purchase, redeem or otherwise acquire for value any shares of any class of capital stock;</w:t>
      </w:r>
    </w:p>
    <w:p>
      <w:pPr>
        <w:spacing w:after="0" w:line="1" w:lineRule="exact"/>
        <w:rPr>
          <w:rFonts w:ascii="Arial" w:cs="Arial" w:eastAsia="Arial" w:hAnsi="Arial"/>
          <w:sz w:val="16"/>
          <w:szCs w:val="16"/>
          <w:color w:val="auto"/>
        </w:rPr>
      </w:pPr>
    </w:p>
    <w:p>
      <w:pPr>
        <w:ind w:left="460" w:right="40" w:firstLine="4"/>
        <w:spacing w:after="0" w:line="281" w:lineRule="auto"/>
        <w:tabs>
          <w:tab w:leader="none" w:pos="7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 (viii) pay or declare dividends on any capital stock other than the Preferred Stock, unless the Series B share ratably in such dividend and all accrued dividends payable with respect to the Series B have been paid prior to the payment or declaration of such dividend;</w:t>
      </w:r>
    </w:p>
    <w:p>
      <w:pPr>
        <w:spacing w:after="0" w:line="2" w:lineRule="exact"/>
        <w:rPr>
          <w:rFonts w:ascii="Arial" w:cs="Arial" w:eastAsia="Arial" w:hAnsi="Arial"/>
          <w:sz w:val="16"/>
          <w:szCs w:val="16"/>
          <w:color w:val="auto"/>
        </w:rPr>
      </w:pPr>
    </w:p>
    <w:p>
      <w:pPr>
        <w:ind w:left="460" w:right="120" w:firstLine="4"/>
        <w:spacing w:after="0" w:line="261" w:lineRule="auto"/>
        <w:tabs>
          <w:tab w:leader="none" w:pos="7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an equitable interest in, or the assets or business of any other entity in any form of transaction; (x) create or commit us to enter into a joint venture, licensing agreement or exclusive marketing or other distribution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180"/>
        <w:spacing w:after="0" w:line="288" w:lineRule="auto"/>
        <w:rPr>
          <w:sz w:val="20"/>
          <w:szCs w:val="20"/>
          <w:color w:val="auto"/>
        </w:rPr>
      </w:pPr>
      <w:r>
        <w:rPr>
          <w:rFonts w:ascii="Arial" w:cs="Arial" w:eastAsia="Arial" w:hAnsi="Arial"/>
          <w:sz w:val="16"/>
          <w:szCs w:val="16"/>
          <w:color w:val="auto"/>
        </w:rPr>
        <w:t>agreement with respect to the Company’s products, 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w:t>
      </w:r>
    </w:p>
    <w:p>
      <w:pPr>
        <w:ind w:left="460" w:right="320" w:firstLine="4"/>
        <w:spacing w:after="0" w:line="273" w:lineRule="auto"/>
        <w:tabs>
          <w:tab w:leader="none" w:pos="8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enter into, create, incur or assume any liens of any kind (other than certain permitted liens); (xiv) issue any common stock or common stock equivalents; (xv) increase the number of shares of the Company’s common stock that may be issued pursuant to options, warrants or rights to employees, directors, officers, consultants or advisors above the number of shares that were authorized for issuance under our 2001 Stock Incentive Plan, 2003 Non-Employee Director Stock Incentive Plan and 2009 Incentive Compensation Plan as of September 9, 2016.</w:t>
      </w:r>
    </w:p>
    <w:p>
      <w:pPr>
        <w:spacing w:after="0" w:line="69"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Each Series B-1 or B-2 related warrant is exercisable at $3.00 per share of common stock at any time on or after the date of issuance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fifth anniversary of the respective issue date. The Company may, upon 30 days’ notice and so long as an effective registration statement regarding the underlying shares of common stock is in effect, issue a termination notice with respect to (i) each Class A-1 warrant on any trading day on which the market value of the common stock for each of the 15 previous trading days exceeded $7.50 per share and (ii) each Class A-2 warrant on any trading day on which the market value of the common stock for each of the 15 previous trading days exceeded $10.50 per share. All Class A-1 warrants were exercised for cash proceeds of $3,000,000 in 2011 and 500,000 of the Class A-2 warrants were exercised for cash proceeds of $1,500,000 in 2013. Subsequently, in January 2014, the remaining 500,000 Class A-2 warrants were exercised for cash proceeds of $1,500,000.</w:t>
      </w:r>
    </w:p>
    <w:p>
      <w:pPr>
        <w:spacing w:after="0" w:line="59"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The fair value of the warrants issued in connection with the Series B-1 was $1,296,000 at the date of issuance based on the following assumptions: an expected life of 5 years, volatility of 118%, risk free interest rate of 1.79% and zero dividends. The Company allocated the gross proceeds based on the relative fair value of the Series B-1 and the related warrants, resulting in $1,105,000 of the proceeds being allocated to additional paid-in capital. The Company analyzed the Series B-1, post-allocation of the gross proceeds, and determined that there was no beneficial conversion feature at the date of issuance. The issuance costs of the Series B-1 and the amounts allocated to warrants were recorded as a reduction to the carrying value of the Series B-1 when issued, and are accreted to the redemption value of the Series B-1 through the earliest redemption date. Due to the redemption feature, the Company has presented the Series B-1 outside of permanent equity, in the mezzanine of the consolidated balance sheets at December 31, 2015. As noted above, the Series B-1 preferred was reclassified to permanent equity as of September 30, 2016 and forward and accretion was ended.</w:t>
      </w:r>
    </w:p>
    <w:p>
      <w:pPr>
        <w:spacing w:after="0" w:line="58"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The fair value of the warrants issued during the year ended December 31, 2010 in connection with the Series B-2 was $4,148,000 at the dates of issuance based on the following assumptions: an expected life of 5 years, volatility of 126% to 129%, risk free interest rates of 2.27% to 2.43% and zero dividends. The fair value of the warrants issued during the year ended December 31, 2009 in connection with the Series B-2 was $5,333,000 at the dates of issuance based on the following assumptions: an expected life of 5 years, volatility of 124% to 127%, risk free interest rates of 1.98% to 2.70% and zero dividends. The Company allocated the gross proceeds based on the relative fair value of the Series B-2 and the related warrants, resulting in $1,028,000 and $1,732,000 of the proceeds being allocated to additional paid-in capital for the years ended December 31, 2010 and 2009, respectively. The issuance costs of the Series B-2 and the amounts allocated to warrants were recorded as a reduction to the carrying value of the Series B-2 when issued, and are accreted to the redemption value of the Series B-2 through the earliest redemption dates. Due to the redemption feature, the Company has presented the Series B-2 outside of permanent equity, in the mezzanine of the consolidated balance sheets at December 31, 2015. As noted above, the Series B-2 preferred was reclassified to permanent equity as of September 30, 2016 and forward and accretion was ended.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The Company analyzed the Series B-2, post-allocation of the gross proceeds, and determined that there was a beneficial conversion feature at the dates of issuance. Because the closing price of the common stock on the closing date was greater than the effective conversion price, $388,000 and $628,000 of the proceeds (limited to the allocation of the proceeds) during the years ended December 31, 2010 and 2009, respectively, were allocated to an embedded beneficial conversion feature of the Series B-2. The amount allocated to the beneficial conversion feature was recorded as a discount to the Series B-2 is being accreted, with such accretion being charged through the earliest redemption dates. As noted above, the Series B-2 preferred was reclassified to permanent equity as of September 30, 2016 and forward and accretion was ended.</w:t>
      </w:r>
    </w:p>
    <w:p>
      <w:pPr>
        <w:spacing w:after="0" w:line="7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All warrants issued in the Series B-3 transaction are exercisable at $3.00 per share of common stock at any time on or after the date of issuance until the seventh anniversary of the respective issue date.</w:t>
      </w:r>
    </w:p>
    <w:p>
      <w:pPr>
        <w:spacing w:after="0" w:line="62"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The fair value of the warrants issued in connection with the September 22, 2016, Series B-3 was $2,262,000 at the date of issuance based on the following assumptions: an expected life of 7 years, volatility of 95%, risk free interest rate of 1.42% and zero dividends. The Company allocated the gross proceeds of $1.5 million based on the relative fair value of the Series B-3 and the related warrants, resulting in $890,000 of the proceeds being allocated to additional paid-in capital and $610,000 being allocated to the Series B-3.</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analyzed the September 22, 2016, Series B-3, post-allocation of the gross proceeds, and determined that there was a beneficial conversion feature at the dates of issuance. Because the closing price of the common stock on the closing date was greater than the effective conversion price, an embedded beneficial conversion feature of the Series B-3 amounting to $991,000 was charged to additional paid in capital and accumulated deficit.</w:t>
      </w:r>
    </w:p>
    <w:p>
      <w:pPr>
        <w:spacing w:after="0" w:line="7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fair value of the warrants issued in connection with the December 23, 2016, Series B-3 was $658,000 at the date of issuance based on the following assumptions: an expected life of 7 years, volatility of 96%, risk free interest rate of 2.35% and zero dividends. The Company allocated the gross proceeds of $1.008 million based on the relative fair value of the Series B-3 and the related warrants, resulting in $394,000 of the proceeds being allocated to additional paid-in capital and $614,000 being allocated to the Series B-3.</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analyzed the December 23, 2016, Series B-3, post-allocation of the gross proceeds, and determined that there was a beneficial conversion feature at the dates of issuance. Because the closing price of the common stock on the closing date was greater than the effective conversion price, an embedded beneficial conversion feature of the Series B-3 amounting to $310,000 was charged to additional paid in capital and accumulated deficit.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6% Super Dividend Convertible Preferred Stock</w:t>
      </w:r>
    </w:p>
    <w:p>
      <w:pPr>
        <w:spacing w:after="0" w:line="117"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On December 29, 2010, the Company designated and authorized the sale and issuance of up to 1,000 shares of Series C Super Dividend Convertible Preferred Stock (“Series C”) with a par value of $0.01 and a stated value equal to $10,000 (the “Stated Value”).</w:t>
      </w:r>
    </w:p>
    <w:p>
      <w:pPr>
        <w:spacing w:after="0" w:line="62"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Series C are as follows:</w:t>
      </w:r>
    </w:p>
    <w:p>
      <w:pPr>
        <w:spacing w:after="0" w:line="117"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i w:val="1"/>
          <w:iCs w:val="1"/>
          <w:color w:val="auto"/>
        </w:rPr>
        <w:t>Conversion Rights</w:t>
      </w:r>
      <w:r>
        <w:rPr>
          <w:rFonts w:ascii="Arial" w:cs="Arial" w:eastAsia="Arial" w:hAnsi="Arial"/>
          <w:sz w:val="17"/>
          <w:szCs w:val="17"/>
          <w:color w:val="auto"/>
        </w:rPr>
        <w:t>. Each holder of Series C may convert all, but not less than all, of his Series C shares plus accrued and unpaid dividends into</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2016 and 2015, the 176 outstanding shares of Series C were convertible into a total of approximately 293,340 shares of Common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73"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Holders of Series C shall be entitled to receive cumulative non-compounding dividends at the rate per share of Series C equal to the greater</w:t>
      </w:r>
      <w:r>
        <w:rPr>
          <w:rFonts w:ascii="Arial" w:cs="Arial" w:eastAsia="Arial" w:hAnsi="Arial"/>
          <w:sz w:val="17"/>
          <w:szCs w:val="17"/>
          <w:i w:val="1"/>
          <w:iCs w:val="1"/>
          <w:color w:val="auto"/>
        </w:rPr>
        <w:t xml:space="preserve"> </w:t>
      </w:r>
      <w:r>
        <w:rPr>
          <w:rFonts w:ascii="Arial" w:cs="Arial" w:eastAsia="Arial" w:hAnsi="Arial"/>
          <w:sz w:val="17"/>
          <w:szCs w:val="17"/>
          <w:color w:val="auto"/>
        </w:rPr>
        <w:t>of (i) 6% per annum of the Stated 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4"/>
          <w:szCs w:val="14"/>
          <w:color w:val="auto"/>
        </w:rPr>
        <w:t>®</w:t>
      </w:r>
      <w:r>
        <w:rPr>
          <w:rFonts w:ascii="Arial" w:cs="Arial" w:eastAsia="Arial" w:hAnsi="Arial"/>
          <w:sz w:val="17"/>
          <w:szCs w:val="17"/>
          <w:color w:val="auto"/>
        </w:rPr>
        <w:t xml:space="preserve"> (GM-CT-01), less chargebacks, returns, expenses attributable to product recalls, duties, customs, sales tax, freight, insurance, shipping expenses, allowances and other customary deductions.</w:t>
      </w:r>
    </w:p>
    <w:p>
      <w:pPr>
        <w:spacing w:after="0" w:line="70" w:lineRule="exact"/>
        <w:rPr>
          <w:sz w:val="20"/>
          <w:szCs w:val="20"/>
          <w:color w:val="auto"/>
        </w:rPr>
      </w:pPr>
    </w:p>
    <w:p>
      <w:pPr>
        <w:jc w:val="both"/>
        <w:ind w:left="460" w:right="180"/>
        <w:spacing w:after="0" w:line="286" w:lineRule="auto"/>
        <w:rPr>
          <w:sz w:val="20"/>
          <w:szCs w:val="20"/>
          <w:color w:val="auto"/>
        </w:rPr>
      </w:pPr>
      <w:r>
        <w:rPr>
          <w:rFonts w:ascii="Arial" w:cs="Arial" w:eastAsia="Arial" w:hAnsi="Arial"/>
          <w:sz w:val="16"/>
          <w:szCs w:val="16"/>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w:t>
      </w:r>
    </w:p>
    <w:p>
      <w:pPr>
        <w:spacing w:after="0" w:line="2" w:lineRule="exact"/>
        <w:rPr>
          <w:sz w:val="20"/>
          <w:szCs w:val="20"/>
          <w:color w:val="auto"/>
        </w:rPr>
      </w:pPr>
    </w:p>
    <w:p>
      <w:pPr>
        <w:ind w:left="460" w:right="360" w:firstLine="4"/>
        <w:spacing w:after="0" w:line="261"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$3.00 per share or (ii) the average of the Common Stock trading price for the ten (10) consecutive trading days ending on the trading day that is immediately prior to the dividend payment date.</w:t>
      </w:r>
    </w:p>
    <w:p>
      <w:pPr>
        <w:spacing w:after="0" w:line="7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i w:val="1"/>
          <w:iCs w:val="1"/>
          <w:color w:val="auto"/>
        </w:rPr>
        <w:t>Series C Post Conversion Dividend Right</w:t>
      </w:r>
      <w:r>
        <w:rPr>
          <w:rFonts w:ascii="Arial" w:cs="Arial" w:eastAsia="Arial" w:hAnsi="Arial"/>
          <w:sz w:val="16"/>
          <w:szCs w:val="16"/>
          <w:color w:val="auto"/>
        </w:rPr>
        <w:t>. In the event that any share of Series C is converted into Common Stock before the Maximum Payout is paid</w:t>
      </w:r>
      <w:r>
        <w:rPr>
          <w:rFonts w:ascii="Arial" w:cs="Arial" w:eastAsia="Arial" w:hAnsi="Arial"/>
          <w:sz w:val="16"/>
          <w:szCs w:val="16"/>
          <w:i w:val="1"/>
          <w:iCs w:val="1"/>
          <w:color w:val="auto"/>
        </w:rPr>
        <w:t xml:space="preserve"> </w:t>
      </w:r>
      <w:r>
        <w:rPr>
          <w:rFonts w:ascii="Arial" w:cs="Arial" w:eastAsia="Arial" w:hAnsi="Arial"/>
          <w:sz w:val="16"/>
          <w:szCs w:val="16"/>
          <w:color w:val="auto"/>
        </w:rPr>
        <w:t>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61"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80"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any liquidation, dissolution or winding up of the Company, either voluntarily or involuntarily, the holders of Series</w:t>
      </w:r>
      <w:r>
        <w:rPr>
          <w:rFonts w:ascii="Arial" w:cs="Arial" w:eastAsia="Arial" w:hAnsi="Arial"/>
          <w:sz w:val="18"/>
          <w:szCs w:val="18"/>
          <w:i w:val="1"/>
          <w:iCs w:val="1"/>
          <w:color w:val="auto"/>
        </w:rPr>
        <w:t xml:space="preserve"> </w:t>
      </w:r>
      <w:r>
        <w:rPr>
          <w:rFonts w:ascii="Arial" w:cs="Arial" w:eastAsia="Arial" w:hAnsi="Arial"/>
          <w:sz w:val="18"/>
          <w:szCs w:val="18"/>
          <w:color w:val="auto"/>
        </w:rPr>
        <w:t>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87"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Upon a sale of the Company, the Company shall redeem all of the then outstanding shares of Series C and Series C Preferred Stock Post</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w:t>
      </w:r>
    </w:p>
    <w:p>
      <w:pPr>
        <w:spacing w:after="0" w:line="2" w:lineRule="exact"/>
        <w:rPr>
          <w:sz w:val="20"/>
          <w:szCs w:val="20"/>
          <w:color w:val="auto"/>
        </w:rPr>
      </w:pPr>
    </w:p>
    <w:p>
      <w:pPr>
        <w:ind w:left="460" w:right="200" w:firstLine="4"/>
        <w:spacing w:after="0" w:line="261" w:lineRule="auto"/>
        <w:tabs>
          <w:tab w:leader="none" w:pos="7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average market price for the ten consecutive trading days ending immediately prior to the date of redemption. The ROI Percentage shall mean the percentage that applies as of the redemption date,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color w:val="auto"/>
              </w:rPr>
              <w:t>ROI Percentage</w:t>
            </w:r>
          </w:p>
        </w:tc>
        <w:tc>
          <w:tcPr>
            <w:tcW w:w="7420" w:type="dxa"/>
            <w:vAlign w:val="bottom"/>
          </w:tcPr>
          <w:p>
            <w:pPr>
              <w:spacing w:after="0"/>
              <w:rPr>
                <w:sz w:val="17"/>
                <w:szCs w:val="17"/>
                <w:color w:val="auto"/>
              </w:rPr>
            </w:pPr>
          </w:p>
        </w:tc>
      </w:tr>
      <w:tr>
        <w:trPr>
          <w:trHeight w:val="465"/>
        </w:trPr>
        <w:tc>
          <w:tcPr>
            <w:tcW w:w="1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4"/>
                <w:szCs w:val="24"/>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before the second anniversary of the date of issuance;</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1"/>
              </w:rPr>
              <w:t>on or after the second anniversary of the date of issuance, but before the third anniversary of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date of issuance;</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3"/>
              </w:rPr>
              <w:t>on or after the third anniversary of the date of issuance, but before the fourth anniversary of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date of issuance;</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4"/>
              </w:rPr>
              <w:t>on or after the fourth anniversary of the date of issuance, but before the fifth anniversary of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date of issuance;</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5"/>
              </w:rPr>
              <w:t>on or after the fifth anniversary of the date of issuance, but before the sixth anniversary of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date of issuance;</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1"/>
              </w:rPr>
              <w:t>on or after the sixth anniversary of the date of issuance, but before the seventh anniversary of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date of issuance;</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89"/>
              </w:rPr>
              <w:t>on or after the seventh anniversary of the date of issuance, but before the eighth anniversary of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date of issuance; and</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2"/>
              </w:rPr>
              <w:t>on or after the eighth anniversary of the date of issuance, but before the ninth anniversary of the</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date of issuance.</w:t>
            </w:r>
          </w:p>
        </w:tc>
      </w:tr>
    </w:tbl>
    <w:p>
      <w:pPr>
        <w:spacing w:after="0" w:line="202" w:lineRule="exact"/>
        <w:rPr>
          <w:sz w:val="20"/>
          <w:szCs w:val="20"/>
          <w:color w:val="auto"/>
        </w:rPr>
      </w:pPr>
    </w:p>
    <w:p>
      <w:pPr>
        <w:ind w:left="460" w:right="440"/>
        <w:spacing w:after="0" w:line="308" w:lineRule="auto"/>
        <w:rPr>
          <w:sz w:val="20"/>
          <w:szCs w:val="20"/>
          <w:color w:val="auto"/>
        </w:rPr>
      </w:pPr>
      <w:r>
        <w:rPr>
          <w:rFonts w:ascii="Arial" w:cs="Arial" w:eastAsia="Arial" w:hAnsi="Arial"/>
          <w:sz w:val="17"/>
          <w:szCs w:val="17"/>
          <w:color w:val="auto"/>
        </w:rPr>
        <w:t>Due to the redemption feature, the Company has presented the Series C outside of permanent equity, in the mezzanine of the consolidated balance sheets at December 31, 2016 and 2015. At December 31, 2016, the Series C redemption value was $7,262,000.</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Series C shares have no voting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06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300" w:type="dxa"/>
            <w:vAlign w:val="bottom"/>
            <w:tcBorders>
              <w:bottom w:val="single" w:sz="8" w:color="0000EE"/>
            </w:tcBorders>
            <w:gridSpan w:val="3"/>
          </w:tcPr>
          <w:p>
            <w:pPr>
              <w:spacing w:after="0"/>
              <w:rPr>
                <w:rFonts w:ascii="Arial" w:cs="Arial" w:eastAsia="Arial" w:hAnsi="Arial"/>
                <w:sz w:val="18"/>
                <w:szCs w:val="18"/>
                <w:b w:val="1"/>
                <w:bCs w:val="1"/>
                <w:color w:val="0000EE"/>
                <w:w w:val="89"/>
              </w:rPr>
            </w:pPr>
            <w:hyperlink w:anchor="page53">
              <w:r>
                <w:rPr>
                  <w:rFonts w:ascii="Arial" w:cs="Arial" w:eastAsia="Arial" w:hAnsi="Arial"/>
                  <w:sz w:val="18"/>
                  <w:szCs w:val="18"/>
                  <w:b w:val="1"/>
                  <w:bCs w:val="1"/>
                  <w:color w:val="0000EE"/>
                  <w:w w:val="89"/>
                </w:rPr>
                <w:t>Index to Financial Statements</w:t>
              </w:r>
            </w:hyperlink>
          </w:p>
        </w:tc>
        <w:tc>
          <w:tcPr>
            <w:tcW w:w="6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420" w:type="dxa"/>
            <w:vAlign w:val="bottom"/>
            <w:gridSpan w:val="4"/>
          </w:tcPr>
          <w:p>
            <w:pPr>
              <w:spacing w:after="0"/>
              <w:rPr>
                <w:sz w:val="20"/>
                <w:szCs w:val="20"/>
                <w:color w:val="auto"/>
              </w:rPr>
            </w:pPr>
            <w:r>
              <w:rPr>
                <w:rFonts w:ascii="Arial" w:cs="Arial" w:eastAsia="Arial" w:hAnsi="Arial"/>
                <w:sz w:val="18"/>
                <w:szCs w:val="18"/>
                <w:b w:val="1"/>
                <w:bCs w:val="1"/>
                <w:color w:val="auto"/>
              </w:rPr>
              <w:t>6. Warrants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gridSpan w:val="4"/>
          </w:tcPr>
          <w:p>
            <w:pPr>
              <w:ind w:left="460"/>
              <w:spacing w:after="0"/>
              <w:rPr>
                <w:sz w:val="20"/>
                <w:szCs w:val="20"/>
                <w:color w:val="auto"/>
              </w:rPr>
            </w:pPr>
            <w:r>
              <w:rPr>
                <w:rFonts w:ascii="Arial" w:cs="Arial" w:eastAsia="Arial" w:hAnsi="Arial"/>
                <w:sz w:val="18"/>
                <w:szCs w:val="18"/>
                <w:color w:val="auto"/>
              </w:rPr>
              <w:t>Warrant activity is summarized as follows: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46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5,470,995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3,571,425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(133,834)</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060" w:type="dxa"/>
            <w:vAlign w:val="bottom"/>
            <w:gridSpan w:val="3"/>
          </w:tcPr>
          <w:p>
            <w:pPr>
              <w:ind w:left="480"/>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4,579,710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13,488,296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40"/>
        <w:spacing w:after="0" w:line="277" w:lineRule="auto"/>
        <w:rPr>
          <w:sz w:val="20"/>
          <w:szCs w:val="20"/>
          <w:color w:val="auto"/>
        </w:rPr>
      </w:pPr>
      <w:r>
        <w:rPr>
          <w:rFonts w:ascii="Arial" w:cs="Arial" w:eastAsia="Arial" w:hAnsi="Arial"/>
          <w:sz w:val="18"/>
          <w:szCs w:val="18"/>
          <w:color w:val="auto"/>
        </w:rPr>
        <w:t>The following table summarizes information with regard to outstanding warrants issued in connection with equity and debt financings and consultants as of December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Issued in Connection With</w:t>
            </w:r>
          </w:p>
        </w:tc>
        <w:tc>
          <w:tcPr>
            <w:tcW w:w="1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Exercise</w:t>
            </w:r>
          </w:p>
        </w:tc>
        <w:tc>
          <w:tcPr>
            <w:tcW w:w="20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Exercisable Date</w:t>
            </w:r>
          </w:p>
        </w:tc>
        <w:tc>
          <w:tcPr>
            <w:tcW w:w="1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58"/>
        </w:trPr>
        <w:tc>
          <w:tcPr>
            <w:tcW w:w="448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9"/>
              </w:rPr>
              <w:t>Price</w:t>
            </w:r>
          </w:p>
        </w:tc>
        <w:tc>
          <w:tcPr>
            <w:tcW w:w="2000" w:type="dxa"/>
            <w:vAlign w:val="bottom"/>
            <w:gridSpan w:val="2"/>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February 12, 2009 Series B-1 Transaction</w:t>
            </w: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February 12, 2009</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February 12, 2019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13, 2009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600,000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May 13, 2009</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2009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333,333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June 30, 2009</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2009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August 12, 2009</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August 12, 2019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216,666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September 30, 2009</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September 30, 2019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2009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206,666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November 4, 2009</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November 4, 2019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8, 2009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216,667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December 8, 2009</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8, 2019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2010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216,667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January 29, 2010</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2010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223,334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March 8, 2010</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March 8, 2020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2010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206,667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April 30, 2010</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10, 2010 Series B-2 Transaction</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$3.00 Investor Warrants—Class B</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380,000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May 10, 2010</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May 10, 2020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2012 Offering Warrants</w:t>
            </w:r>
          </w:p>
        </w:tc>
        <w:tc>
          <w:tcPr>
            <w:tcW w:w="2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1,317,161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March 28, 2012</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28, 2017</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October 30, 2014 Consultant Warrants</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October 30, 2014</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October 30, 2017</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25, 2015 Offering Warrants</w:t>
            </w:r>
          </w:p>
        </w:tc>
        <w:tc>
          <w:tcPr>
            <w:tcW w:w="2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3,571,425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25, 2016</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May 25, 2021</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September 22, 2016 Series B-3 Transaction</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$3.00 Investor Warrants</w:t>
            </w:r>
          </w:p>
        </w:tc>
        <w:tc>
          <w:tcPr>
            <w:tcW w:w="2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698,158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September 22, 2016</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September 22, 2023</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September 29, 2016 Series B-3 Transaction</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$3.00 Investor Warrants</w:t>
            </w:r>
          </w:p>
        </w:tc>
        <w:tc>
          <w:tcPr>
            <w:tcW w:w="2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846,100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September 29, 2016</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September 29, 2023</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December 22, 2016 Private placement warrants</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1,466,204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December 22, 2016</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20" w:type="dxa"/>
            <w:vAlign w:val="bottom"/>
            <w:gridSpan w:val="3"/>
          </w:tcPr>
          <w:p>
            <w:pPr>
              <w:jc w:val="right"/>
              <w:ind w:right="720"/>
              <w:spacing w:after="0"/>
              <w:rPr>
                <w:sz w:val="20"/>
                <w:szCs w:val="20"/>
                <w:color w:val="auto"/>
              </w:rPr>
            </w:pPr>
            <w:r>
              <w:rPr>
                <w:rFonts w:ascii="Arial" w:cs="Arial" w:eastAsia="Arial" w:hAnsi="Arial"/>
                <w:sz w:val="18"/>
                <w:szCs w:val="18"/>
                <w:color w:val="auto"/>
              </w:rPr>
              <w:t>F-19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Issued in Connection With</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Exercise</w:t>
            </w:r>
          </w:p>
        </w:tc>
        <w:tc>
          <w:tcPr>
            <w:tcW w:w="19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Exercisable Date</w:t>
            </w:r>
          </w:p>
        </w:tc>
        <w:tc>
          <w:tcPr>
            <w:tcW w:w="1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58"/>
        </w:trPr>
        <w:tc>
          <w:tcPr>
            <w:tcW w:w="5460" w:type="dxa"/>
            <w:vAlign w:val="bottom"/>
            <w:gridSpan w:val="2"/>
            <w:vMerge w:val="continue"/>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Issued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Price</w:t>
            </w:r>
          </w:p>
        </w:tc>
        <w:tc>
          <w:tcPr>
            <w:tcW w:w="1980" w:type="dxa"/>
            <w:vAlign w:val="bottom"/>
            <w:gridSpan w:val="2"/>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shd w:val="clear" w:color="auto" w:fill="000000"/>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December 23, 2016 Series B-3 Transaction</w:t>
            </w: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60"/>
              <w:spacing w:after="0"/>
              <w:rPr>
                <w:sz w:val="20"/>
                <w:szCs w:val="20"/>
                <w:color w:val="auto"/>
              </w:rPr>
            </w:pPr>
            <w:r>
              <w:rPr>
                <w:rFonts w:ascii="Arial" w:cs="Arial" w:eastAsia="Arial" w:hAnsi="Arial"/>
                <w:sz w:val="18"/>
                <w:szCs w:val="18"/>
                <w:color w:val="auto"/>
              </w:rPr>
              <w:t>$3.00 Investor Warrants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924,780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1980" w:type="dxa"/>
            <w:vAlign w:val="bottom"/>
            <w:gridSpan w:val="2"/>
          </w:tcPr>
          <w:p>
            <w:pPr>
              <w:ind w:left="300"/>
              <w:spacing w:after="0"/>
              <w:rPr>
                <w:sz w:val="20"/>
                <w:szCs w:val="20"/>
                <w:color w:val="auto"/>
              </w:rPr>
            </w:pPr>
            <w:r>
              <w:rPr>
                <w:rFonts w:ascii="Arial" w:cs="Arial" w:eastAsia="Arial" w:hAnsi="Arial"/>
                <w:sz w:val="18"/>
                <w:szCs w:val="18"/>
                <w:color w:val="auto"/>
              </w:rPr>
              <w:t>December 23, 2016</w:t>
            </w: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w w:val="92"/>
              </w:rPr>
              <w:t>December 23, 2023</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2016 Private placement warrants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644,468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December 28, 2016</w:t>
            </w:r>
          </w:p>
        </w:tc>
        <w:tc>
          <w:tcPr>
            <w:tcW w:w="1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December 28, 2023</w:t>
            </w:r>
          </w:p>
        </w:tc>
        <w:tc>
          <w:tcPr>
            <w:tcW w:w="0" w:type="dxa"/>
            <w:vAlign w:val="bottom"/>
          </w:tcPr>
          <w:p>
            <w:pPr>
              <w:spacing w:after="0"/>
              <w:rPr>
                <w:sz w:val="1"/>
                <w:szCs w:val="1"/>
                <w:color w:val="auto"/>
              </w:rPr>
            </w:pPr>
          </w:p>
        </w:tc>
      </w:tr>
      <w:tr>
        <w:trPr>
          <w:trHeight w:val="223"/>
        </w:trPr>
        <w:tc>
          <w:tcPr>
            <w:tcW w:w="5460" w:type="dxa"/>
            <w:vAlign w:val="bottom"/>
            <w:gridSpan w:val="2"/>
          </w:tcPr>
          <w:p>
            <w:pPr>
              <w:ind w:left="720"/>
              <w:spacing w:after="0"/>
              <w:rPr>
                <w:sz w:val="20"/>
                <w:szCs w:val="20"/>
                <w:color w:val="auto"/>
              </w:rPr>
            </w:pPr>
            <w:r>
              <w:rPr>
                <w:rFonts w:ascii="Arial" w:cs="Arial" w:eastAsia="Arial" w:hAnsi="Arial"/>
                <w:sz w:val="18"/>
                <w:szCs w:val="18"/>
                <w:color w:val="auto"/>
              </w:rPr>
              <w:t>Total outstanding warrants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13,488,296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Consultant Warrants</w:t>
      </w:r>
    </w:p>
    <w:p>
      <w:pPr>
        <w:spacing w:after="0" w:line="117" w:lineRule="exact"/>
        <w:rPr>
          <w:sz w:val="20"/>
          <w:szCs w:val="20"/>
          <w:color w:val="auto"/>
        </w:rPr>
      </w:pPr>
    </w:p>
    <w:p>
      <w:pPr>
        <w:ind w:left="460" w:right="240"/>
        <w:spacing w:after="0" w:line="279" w:lineRule="auto"/>
        <w:rPr>
          <w:sz w:val="20"/>
          <w:szCs w:val="20"/>
          <w:color w:val="auto"/>
        </w:rPr>
      </w:pPr>
      <w:r>
        <w:rPr>
          <w:rFonts w:ascii="Arial" w:cs="Arial" w:eastAsia="Arial" w:hAnsi="Arial"/>
          <w:sz w:val="17"/>
          <w:szCs w:val="17"/>
          <w:color w:val="auto"/>
        </w:rPr>
        <w:t>In October 2014, the Company granted warrants to a consultant for the purchase of 20,000 shares of common stock at an exercise price of $5.45 per share. The warrants were valued at $76,000 on issuance based on the following assumptions: an expected life of 3 years, volatility of 117%, risk free interest rate of 0.91% and zero dividends. The warrants vested immediately and the Company recognized an expense of $76,000 related to these warrants during the year ended December 31, 2014. These warrants remain outstanding at December 31, 2016.</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Offering Warrants</w:t>
      </w:r>
    </w:p>
    <w:p>
      <w:pPr>
        <w:spacing w:after="0" w:line="117"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 At December 31, 2016, 1,317,161 of these warrants remain outstanding and have an expiration date of March 28, 2017.</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Stock-Based Compensation Plans</w:t>
      </w:r>
    </w:p>
    <w:p>
      <w:pPr>
        <w:spacing w:after="0" w:line="117" w:lineRule="exact"/>
        <w:rPr>
          <w:sz w:val="20"/>
          <w:szCs w:val="20"/>
          <w:color w:val="auto"/>
        </w:rPr>
      </w:pPr>
    </w:p>
    <w:p>
      <w:pPr>
        <w:ind w:left="460" w:right="200"/>
        <w:spacing w:after="0" w:line="297" w:lineRule="auto"/>
        <w:rPr>
          <w:sz w:val="20"/>
          <w:szCs w:val="20"/>
          <w:color w:val="auto"/>
        </w:rPr>
      </w:pPr>
      <w:r>
        <w:rPr>
          <w:rFonts w:ascii="Arial" w:cs="Arial" w:eastAsia="Arial" w:hAnsi="Arial"/>
          <w:sz w:val="16"/>
          <w:szCs w:val="16"/>
          <w:color w:val="auto"/>
        </w:rPr>
        <w:t>At December 31, 2016, the Company has a stock-based compensation plan where the Company’s common stock has been made available for equity-based incentive grants as part of the Company’s compensation programs. In February 2009, the Company adopted the 2009 Incentive Compensation Plan (the “2009 Plan”) which originally provided for the issuance of up to 3,333,334, which was subsequently increased to 4,733,334 in May 2014, shares of the Company’s common stock in the form of options, stock appreciation rights, restricted stock and other stock-based awards to employees, officers, directors, consultants and other eligible persons. At December 31, 2016, 166 shares were available for future grant under the 2009 Plan.</w:t>
      </w:r>
    </w:p>
    <w:p>
      <w:pPr>
        <w:spacing w:after="0" w:line="5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2016, 1,416,669 non-plan grants were outstanding.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is the stock-based compensation expense related to common stock options, restricted common stock and common stock warrants: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60" w:type="dxa"/>
            <w:vAlign w:val="bottom"/>
            <w:shd w:val="clear" w:color="auto" w:fill="CCEEFF"/>
          </w:tcPr>
          <w:p>
            <w:pPr>
              <w:spacing w:after="0"/>
              <w:rPr>
                <w:sz w:val="18"/>
                <w:szCs w:val="18"/>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60" w:type="dxa"/>
            <w:vAlign w:val="bottom"/>
          </w:tcPr>
          <w:p>
            <w:pPr>
              <w:spacing w:after="0"/>
              <w:rPr>
                <w:sz w:val="19"/>
                <w:szCs w:val="19"/>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fair value of the options granted is determined using the Black-Scholes option-pricing model. The following weighted average assumptions were used: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6 years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 years</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in the foreseeable future. At December 31, 2016, the Company does not anticipate any option awards will be forfeited in the calculation of compensation expense due to the limited number of employees that receive stock option grants and the Company’s historical employee turnover.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stock option activity in the stock based compensation plans: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Remaining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5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Life</w:t>
            </w:r>
          </w:p>
        </w:tc>
        <w:tc>
          <w:tcPr>
            <w:tcW w:w="3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 years)</w:t>
            </w:r>
          </w:p>
        </w:tc>
        <w:tc>
          <w:tcPr>
            <w:tcW w:w="3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Outstanding,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3,332,617</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5"/>
              </w:rPr>
              <w:t>5.79</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72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454,000</w:t>
            </w:r>
          </w:p>
        </w:tc>
        <w:tc>
          <w:tcPr>
            <w:tcW w:w="100" w:type="dxa"/>
            <w:vAlign w:val="bottom"/>
          </w:tcPr>
          <w:p>
            <w:pPr>
              <w:spacing w:after="0"/>
              <w:rPr>
                <w:sz w:val="18"/>
                <w:szCs w:val="18"/>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3.23</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Forfeited/Cancelled</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(348,718)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5"/>
              </w:rPr>
              <w:t>4.42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720"/>
              <w:spacing w:after="0"/>
              <w:rPr>
                <w:sz w:val="20"/>
                <w:szCs w:val="20"/>
                <w:color w:val="auto"/>
              </w:rPr>
            </w:pPr>
            <w:r>
              <w:rPr>
                <w:rFonts w:ascii="Arial" w:cs="Arial" w:eastAsia="Arial" w:hAnsi="Arial"/>
                <w:sz w:val="18"/>
                <w:szCs w:val="18"/>
                <w:color w:val="auto"/>
              </w:rPr>
              <w:t>Exercised</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(95,574)</w:t>
            </w:r>
          </w:p>
        </w:tc>
        <w:tc>
          <w:tcPr>
            <w:tcW w:w="100" w:type="dxa"/>
            <w:vAlign w:val="bottom"/>
          </w:tcPr>
          <w:p>
            <w:pPr>
              <w:spacing w:after="0"/>
              <w:rPr>
                <w:sz w:val="18"/>
                <w:szCs w:val="18"/>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1.80</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3,342,325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5"/>
              </w:rPr>
              <w:t>5.70</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72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1,434,750</w:t>
            </w:r>
          </w:p>
        </w:tc>
        <w:tc>
          <w:tcPr>
            <w:tcW w:w="100" w:type="dxa"/>
            <w:vAlign w:val="bottom"/>
          </w:tcPr>
          <w:p>
            <w:pPr>
              <w:spacing w:after="0"/>
              <w:rPr>
                <w:sz w:val="18"/>
                <w:szCs w:val="18"/>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0.97</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Forfeited/Cancelled</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(120,187)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5"/>
              </w:rPr>
              <w:t>3.41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720"/>
              <w:spacing w:after="0"/>
              <w:rPr>
                <w:sz w:val="20"/>
                <w:szCs w:val="20"/>
                <w:color w:val="auto"/>
              </w:rPr>
            </w:pPr>
            <w:r>
              <w:rPr>
                <w:rFonts w:ascii="Arial" w:cs="Arial" w:eastAsia="Arial" w:hAnsi="Arial"/>
                <w:sz w:val="18"/>
                <w:szCs w:val="18"/>
                <w:color w:val="auto"/>
              </w:rPr>
              <w:t>Exercised</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5"/>
              </w:rPr>
              <w:t>4.30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Exercisable, December 31, 2016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3,384,238</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5.44</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460" w:right="26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2016, based on the closing price of the Company’s common stock of $0.98 on that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weighted-average grant-date fair values of options granted during 2016 and 2015 were $0.97 and $2.57, respectively. As of December 31, 2016 and 2015, there were unvested options to purchase 1,272,650 and 801,026 shares of common stock, respectively. Total expected unrecognized compensation cost related to such unvested options is $1,194,000 at December 31, 2016, which is expected to be recognized over a weighted-average period of 1.14 years.</w:t>
      </w:r>
    </w:p>
    <w:p>
      <w:pPr>
        <w:spacing w:after="0" w:line="7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During the year ended December 31, 2015, the Company issued shares totaling 95,574 upon the exercise of options valued at $146,000. During the year ended December 31, 2015, the Company received $0 for the exercise of stock options. During 2015, 212,501 options were exercised on a cashless basis resulting in the issuance of 95,574 shares. The intrinsic value of options exercised during the year ended December 31, 2015, was $313,000. There were no options exercised during the year ended December 31, 2016.</w:t>
      </w:r>
    </w:p>
    <w:p>
      <w:pPr>
        <w:spacing w:after="0" w:line="79" w:lineRule="exact"/>
        <w:rPr>
          <w:sz w:val="20"/>
          <w:szCs w:val="20"/>
          <w:color w:val="auto"/>
        </w:rPr>
      </w:pPr>
    </w:p>
    <w:p>
      <w:pPr>
        <w:ind w:left="460" w:right="460"/>
        <w:spacing w:after="0" w:line="308" w:lineRule="auto"/>
        <w:rPr>
          <w:sz w:val="20"/>
          <w:szCs w:val="20"/>
          <w:color w:val="auto"/>
        </w:rPr>
      </w:pPr>
      <w:r>
        <w:rPr>
          <w:rFonts w:ascii="Arial" w:cs="Arial" w:eastAsia="Arial" w:hAnsi="Arial"/>
          <w:sz w:val="17"/>
          <w:szCs w:val="17"/>
          <w:color w:val="auto"/>
        </w:rPr>
        <w:t>During the years ended December 31, 2016 and 2015, 963,126 and 535,692 options became vested, respectively. The total grant date fair value of options vested during the years ended December 31, 2016 and 2015 was $3,682,000 and $2,753,000,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additional information regarding outstanding and exercisable options under our stock based compensation plans at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Number of</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60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40" w:type="dxa"/>
            <w:vAlign w:val="bottom"/>
            <w:gridSpan w:val="3"/>
          </w:tcPr>
          <w:p>
            <w:pPr>
              <w:jc w:val="center"/>
              <w:ind w:right="440"/>
              <w:spacing w:after="0" w:line="145"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vMerge w:val="continue"/>
          </w:tcPr>
          <w:p>
            <w:pPr>
              <w:spacing w:after="0"/>
              <w:rPr>
                <w:sz w:val="12"/>
                <w:szCs w:val="12"/>
                <w:color w:val="auto"/>
              </w:rPr>
            </w:pPr>
          </w:p>
        </w:tc>
        <w:tc>
          <w:tcPr>
            <w:tcW w:w="64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5"/>
              </w:rPr>
              <w:t>Price (Range)</w:t>
            </w:r>
          </w:p>
        </w:tc>
        <w:tc>
          <w:tcPr>
            <w:tcW w:w="5180" w:type="dxa"/>
            <w:vAlign w:val="bottom"/>
          </w:tcPr>
          <w:p>
            <w:pPr>
              <w:spacing w:after="0"/>
              <w:rPr>
                <w:sz w:val="11"/>
                <w:szCs w:val="11"/>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1"/>
                <w:szCs w:val="11"/>
                <w:color w:val="auto"/>
              </w:rPr>
            </w:pPr>
          </w:p>
        </w:tc>
        <w:tc>
          <w:tcPr>
            <w:tcW w:w="5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$0.87 – 1.00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1,157,250</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0.88</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206,250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$1.37 – 1.83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341,668</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1.45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197,147</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$2.08 – 2.79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810,000</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2.28</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703,999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$3.45 – 4.41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564,517</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3.82</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498,712</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$6.24 – 7.56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1,466,953</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6.99</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1,466,953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$13.38</w:t>
            </w:r>
          </w:p>
        </w:tc>
        <w:tc>
          <w:tcPr>
            <w:tcW w:w="5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316,500</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13.38</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311,177</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4,656,888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3,384,238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440"/>
        <w:spacing w:after="0" w:line="277" w:lineRule="auto"/>
        <w:rPr>
          <w:sz w:val="20"/>
          <w:szCs w:val="20"/>
          <w:color w:val="auto"/>
        </w:rPr>
      </w:pPr>
      <w:r>
        <w:rPr>
          <w:rFonts w:ascii="Arial" w:cs="Arial" w:eastAsia="Arial" w:hAnsi="Arial"/>
          <w:sz w:val="18"/>
          <w:szCs w:val="18"/>
          <w:color w:val="auto"/>
        </w:rPr>
        <w:t>The following table summarizes the restricted stock grant activity in the Company’s equity incentive plans from December 31, 2014 through December 31, 2016:</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416,670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Granted</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337,935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754,605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754,605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December 15, 2016, when the restricted shares vested in full. A total of 3,568 shares were issued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two directors, who were not nominated for reelection, representing non-cash compensation cost of $12,845 that will be recognized on a straight-line basis from the grant date through December 15, 2016, when the restricted shares vested in full.</w:t>
      </w:r>
    </w:p>
    <w:p>
      <w:pPr>
        <w:spacing w:after="0" w:line="6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On April 8, 2015, the Company granted 177,618 shares of restricted stock to non-employee directors in exchange for cancelation of 222,615 stock options. As the exchange was made at fair value, there was no additional non-cash compensation expense recorded in accordance with FASB ASC 718-</w:t>
      </w:r>
    </w:p>
    <w:p>
      <w:pPr>
        <w:ind w:left="460" w:firstLine="4"/>
        <w:spacing w:after="0" w:line="253" w:lineRule="auto"/>
        <w:tabs>
          <w:tab w:leader="none" w:pos="7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Additionally, on April 8, 2015, the Company granted 71,378 shares of restricted stock to one non-employee director representing $236,975 of non-cash compensation expense which was recorded on a straight-line basis from grant date to December 15, 2016, when the restricted shares vested in full. Also, in April and May 2015, the Company granted a total of 7,587 shares of restricted stock to four non-employee directors for service as committee chairs or lead independent director representing $23,500 of non-cash compensation expense which was be recorded on a straight-line basis from grant date to December 15, 2016, when the restricted shares vested in full.</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Stock Based Compensation Transactions</w:t>
      </w:r>
    </w:p>
    <w:p>
      <w:pPr>
        <w:spacing w:after="0" w:line="117" w:lineRule="exact"/>
        <w:rPr>
          <w:sz w:val="20"/>
          <w:szCs w:val="20"/>
          <w:color w:val="auto"/>
        </w:rPr>
      </w:pPr>
    </w:p>
    <w:p>
      <w:pPr>
        <w:ind w:left="460" w:right="680"/>
        <w:spacing w:after="0" w:line="342" w:lineRule="auto"/>
        <w:rPr>
          <w:sz w:val="20"/>
          <w:szCs w:val="20"/>
          <w:color w:val="auto"/>
        </w:rPr>
      </w:pPr>
      <w:r>
        <w:rPr>
          <w:rFonts w:ascii="Arial" w:cs="Arial" w:eastAsia="Arial" w:hAnsi="Arial"/>
          <w:sz w:val="16"/>
          <w:szCs w:val="16"/>
          <w:color w:val="auto"/>
        </w:rPr>
        <w:t>In October 2015, the Company entered into an agreement with a consultant that provided for the grant of 30,000 shares of common stock. The Company recognized an expense of $71,000, representing the fair value of the common stock at issuance, during the fourth quarter of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w:t>
      </w:r>
    </w:p>
    <w:p>
      <w:pPr>
        <w:spacing w:after="0" w:line="121"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19"/>
        </w:trPr>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120" w:type="dxa"/>
            <w:vAlign w:val="bottom"/>
          </w:tcPr>
          <w:p>
            <w:pPr>
              <w:spacing w:after="0"/>
              <w:rPr>
                <w:sz w:val="10"/>
                <w:szCs w:val="10"/>
                <w:color w:val="auto"/>
              </w:rPr>
            </w:pPr>
          </w:p>
        </w:tc>
      </w:tr>
      <w:tr>
        <w:trPr>
          <w:trHeight w:val="171"/>
        </w:trPr>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and per share amounts)</w:t>
            </w:r>
          </w:p>
        </w:tc>
      </w:tr>
      <w:tr>
        <w:trPr>
          <w:trHeight w:val="142"/>
        </w:trPr>
        <w:tc>
          <w:tcPr>
            <w:tcW w:w="56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(20,027)</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5640" w:type="dxa"/>
            <w:vAlign w:val="bottom"/>
          </w:tcPr>
          <w:p>
            <w:pPr>
              <w:ind w:left="720"/>
              <w:spacing w:after="0"/>
              <w:rPr>
                <w:sz w:val="20"/>
                <w:szCs w:val="20"/>
                <w:color w:val="auto"/>
              </w:rPr>
            </w:pPr>
            <w:r>
              <w:rPr>
                <w:rFonts w:ascii="Arial" w:cs="Arial" w:eastAsia="Arial" w:hAnsi="Arial"/>
                <w:sz w:val="18"/>
                <w:szCs w:val="18"/>
                <w:color w:val="auto"/>
              </w:rPr>
              <w:t>Net loss applicable to common stockholders</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(22,350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(21,124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Shares used in computing basic and diluted net loss per share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29,216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24,120</w:t>
            </w:r>
          </w:p>
        </w:tc>
        <w:tc>
          <w:tcPr>
            <w:tcW w:w="120" w:type="dxa"/>
            <w:vAlign w:val="bottom"/>
          </w:tcPr>
          <w:p>
            <w:pPr>
              <w:spacing w:after="0"/>
              <w:rPr>
                <w:sz w:val="20"/>
                <w:szCs w:val="20"/>
                <w:color w:val="auto"/>
              </w:rPr>
            </w:pPr>
          </w:p>
        </w:tc>
      </w:tr>
      <w:tr>
        <w:trPr>
          <w:trHeight w:val="350"/>
        </w:trPr>
        <w:tc>
          <w:tcPr>
            <w:tcW w:w="5640" w:type="dxa"/>
            <w:vAlign w:val="bottom"/>
          </w:tcPr>
          <w:p>
            <w:pPr>
              <w:ind w:left="4160"/>
              <w:spacing w:after="0"/>
              <w:rPr>
                <w:sz w:val="20"/>
                <w:szCs w:val="20"/>
                <w:color w:val="auto"/>
              </w:rPr>
            </w:pPr>
            <w:r>
              <w:rPr>
                <w:rFonts w:ascii="Arial" w:cs="Arial" w:eastAsia="Arial" w:hAnsi="Arial"/>
                <w:sz w:val="18"/>
                <w:szCs w:val="18"/>
                <w:color w:val="auto"/>
              </w:rPr>
              <w:t>F-23</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9"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Year Ended</w:t>
      </w:r>
    </w:p>
    <w:p>
      <w:pPr>
        <w:jc w:val="center"/>
        <w:ind w:left="59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6060" w:type="dxa"/>
            <w:vAlign w:val="bottom"/>
          </w:tcPr>
          <w:p>
            <w:pPr>
              <w:spacing w:after="0"/>
              <w:rPr>
                <w:sz w:val="10"/>
                <w:szCs w:val="10"/>
                <w:color w:val="auto"/>
              </w:rPr>
            </w:pPr>
          </w:p>
        </w:tc>
        <w:tc>
          <w:tcPr>
            <w:tcW w:w="106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2016</w:t>
            </w:r>
          </w:p>
        </w:tc>
        <w:tc>
          <w:tcPr>
            <w:tcW w:w="1480" w:type="dxa"/>
            <w:vAlign w:val="bottom"/>
            <w:tcBorders>
              <w:top w:val="single" w:sz="8" w:color="auto"/>
            </w:tcBorders>
            <w:gridSpan w:val="2"/>
          </w:tcPr>
          <w:p>
            <w:pPr>
              <w:jc w:val="right"/>
              <w:ind w:right="316"/>
              <w:spacing w:after="0" w:line="119" w:lineRule="exact"/>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0"/>
                <w:szCs w:val="10"/>
                <w:color w:val="auto"/>
              </w:rPr>
            </w:pPr>
          </w:p>
        </w:tc>
      </w:tr>
      <w:tr>
        <w:trPr>
          <w:trHeight w:val="171"/>
        </w:trPr>
        <w:tc>
          <w:tcPr>
            <w:tcW w:w="606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13,488,296</w:t>
            </w:r>
          </w:p>
        </w:tc>
        <w:tc>
          <w:tcPr>
            <w:tcW w:w="4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4,656,888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3,342,325</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preferred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2,522,936</w:t>
            </w:r>
          </w:p>
        </w:tc>
        <w:tc>
          <w:tcPr>
            <w:tcW w:w="8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22,457,466</w:t>
            </w:r>
          </w:p>
        </w:tc>
        <w:tc>
          <w:tcPr>
            <w:tcW w:w="4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14,807,681</w:t>
            </w: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In September 2012, the Company entered into an operating lease for office space in Norcross, GA for a term of twenty-six months, beginning on October 1, 2012 and ending November 30, 2014 at a rate of approximately $3,000 per month. In June 2014, the Company signed an amendment to the lease extending the term through November 30, 2017 with a base monthly rental of approximately $3,300 through the extended term. The original lease provided for free rent for the first two months of the lease and required a security deposit of $6,000. In addition to base rental payments included in the contractual obligations table above, the Company is responsible for our pro-rata share of the operating expenses for the building.</w:t>
      </w:r>
    </w:p>
    <w:p>
      <w:pPr>
        <w:spacing w:after="0" w:line="50"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Rent expense under this operating lease was $50,000 and $47,000 for the years ended December 31, 2016 and 2015, respectively. Future minimum payments under this lease as of December 31, 2016 are as follows (in thousands):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r>
      <w:tr>
        <w:trPr>
          <w:trHeight w:val="223"/>
        </w:trPr>
        <w:tc>
          <w:tcPr>
            <w:tcW w:w="1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Between July 30, 2014, and August 6, 2014, three putative class action complaints were filed in the United States District Court for the District of Nevada (the “Nevada District Court”) alleging claims for purported violations of the federal securities laws against the Company and certain of its officers and directors on behalf of all persons who purchased or otherwise acquired the Company’s stock between January 6, 2014 and July 28, 2014. On August 22, 2014, the Nevada District Court entered an order consolidating the three cases, relieving the defendants of any obligation to respond to the complaints then on file, and providing that defendants may respond to a consolidated amended complaint to be filed by a lead plaintiff(s) to be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On March 24, 2015, the Court appointed a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10(b)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10(b) and Rule 10b-5 violations pursuant to Section 20(a) of the Exchange Act. The Complaint seeks class certification, unspecified monetary damages, costs, and attorneys’ fees. The Company disputes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allegations and filed a motion to dismiss the Complaint on June 26, 2015. On December 30, 2015, the Court dismissed the putative class action with prejudice and entered a final judgment in favor of the defendants. Plaintiff filed a notice of appeal seeking review of the dismissal order and final judgment. Following full briefing and oral argument of the appeal, the United States Court of Appeals for the Eleventh Circuit entered an order on December 15, 2016, affirming the judgment dismissing all claims against the defendants with prejudice.</w:t>
      </w:r>
    </w:p>
    <w:p>
      <w:pPr>
        <w:spacing w:after="0" w:line="18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Following full briefing and a hearing on March 3, 2016, the Nevada State Court granted dismissal of the Nevada State Court litigation. Notice of Entry of the Nevada State Court’s order dismissing the Nevada State Court litigation was docketed on June 21, 2016. The Nevada plaintiff and Intervenor Plaintiffs (“Appellants”) have filed notices of appeal seeking review of the Nevada State Court’s dismissal order. It is expected that the appeal will be fully briefed by May 2017.</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Galectin Sciences LLC</w:t>
      </w:r>
    </w:p>
    <w:p>
      <w:pPr>
        <w:spacing w:after="0" w:line="121" w:lineRule="exact"/>
        <w:rPr>
          <w:sz w:val="20"/>
          <w:szCs w:val="20"/>
          <w:color w:val="auto"/>
        </w:rPr>
      </w:pPr>
    </w:p>
    <w:p>
      <w:pPr>
        <w:ind w:left="460" w:right="260"/>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w:t>
      </w:r>
    </w:p>
    <w:p>
      <w:pPr>
        <w:spacing w:after="0" w:line="2"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The Company contributed $659,000 and $687,000 for the LLC expenses in 2016 and 2015, respectively, and SBH contributed $50,000 in 2016. As of December 31, 2016, the Company’s ownership percentage in the LLC was 80.3%.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are as follows at December 31: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44,219</w:t>
            </w: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51,121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43,395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(51,121)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(43,395)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920"/>
              <w:spacing w:after="0"/>
              <w:rPr>
                <w:sz w:val="20"/>
                <w:szCs w:val="20"/>
                <w:color w:val="auto"/>
              </w:rPr>
            </w:pPr>
            <w:r>
              <w:rPr>
                <w:rFonts w:ascii="Arial" w:cs="Arial" w:eastAsia="Arial" w:hAnsi="Arial"/>
                <w:sz w:val="18"/>
                <w:szCs w:val="18"/>
                <w:color w:val="auto"/>
              </w:rPr>
              <w:t>Net deferred tax asset</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The primary factors affecting the Company’s income tax rates were as follows:</w:t>
            </w: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at U.S. statutory rates</w:t>
            </w: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State tax benefit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Expiring state NOL’s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As of December 31, 2016, the Company has federal and state net operating loss carryforwards totaling $135,945,000 and $97,530,000 respectively, which expire through 2035. The net operating losses include Federal and State excess benefits related to stock options of $707,000 that will be charged to additional paid-in capital when utilized. In addition, the Company has federal and state research and development credits of $998,000 and $196,000, respectively, which expire through 2034. Ownership changes, as defined by Section 382 of the Internal Revenue Code, may have limited the amount of net operating loss carryforwards that can be utilized annually to offset future taxable income.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70" w:lineRule="exact"/>
        <w:rPr>
          <w:sz w:val="20"/>
          <w:szCs w:val="20"/>
          <w:color w:val="auto"/>
        </w:rPr>
      </w:pPr>
    </w:p>
    <w:p>
      <w:pPr>
        <w:jc w:val="both"/>
        <w:ind w:left="460" w:right="220"/>
        <w:spacing w:after="0" w:line="264" w:lineRule="auto"/>
        <w:rPr>
          <w:sz w:val="20"/>
          <w:szCs w:val="20"/>
          <w:color w:val="auto"/>
        </w:rPr>
      </w:pPr>
      <w:r>
        <w:rPr>
          <w:rFonts w:ascii="Arial" w:cs="Arial" w:eastAsia="Arial" w:hAnsi="Arial"/>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2016 and 2015, the Company does not have any significant uncertain tax positions.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is a list of the Corporation’s subsidiaries as of December 31, 2016. The Corporation owns, directly or indirectly, 100% of the voting securities of each subsidiary, unless noted otherwise.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b w:val="1"/>
                <w:bCs w:val="1"/>
                <w:color w:val="auto"/>
              </w:rPr>
              <w:t>STATE OR JURISDICTION</w:t>
            </w:r>
          </w:p>
        </w:tc>
        <w:tc>
          <w:tcPr>
            <w:tcW w:w="0" w:type="dxa"/>
            <w:vAlign w:val="bottom"/>
          </w:tcPr>
          <w:p>
            <w:pPr>
              <w:spacing w:after="0"/>
              <w:rPr>
                <w:sz w:val="1"/>
                <w:szCs w:val="1"/>
                <w:color w:val="auto"/>
              </w:rPr>
            </w:pPr>
          </w:p>
        </w:tc>
      </w:tr>
      <w:tr>
        <w:trPr>
          <w:trHeight w:val="171"/>
        </w:trPr>
        <w:tc>
          <w:tcPr>
            <w:tcW w:w="60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OF ORGANIZATION</w:t>
            </w: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line="20" w:lineRule="exact"/>
              <w:rPr>
                <w:sz w:val="1"/>
                <w:szCs w:val="1"/>
                <w:color w:val="auto"/>
              </w:rPr>
            </w:pPr>
          </w:p>
        </w:tc>
      </w:tr>
      <w:tr>
        <w:trPr>
          <w:trHeight w:val="182"/>
        </w:trPr>
        <w:tc>
          <w:tcPr>
            <w:tcW w:w="6060" w:type="dxa"/>
            <w:vAlign w:val="bottom"/>
            <w:gridSpan w:val="2"/>
          </w:tcPr>
          <w:p>
            <w:pPr>
              <w:spacing w:after="0" w:line="182" w:lineRule="exact"/>
              <w:rPr>
                <w:sz w:val="20"/>
                <w:szCs w:val="20"/>
                <w:color w:val="auto"/>
              </w:rPr>
            </w:pPr>
            <w:r>
              <w:rPr>
                <w:rFonts w:ascii="Arial" w:cs="Arial" w:eastAsia="Arial" w:hAnsi="Arial"/>
                <w:sz w:val="18"/>
                <w:szCs w:val="18"/>
                <w:color w:val="auto"/>
              </w:rPr>
              <w:t>Galectin Therapeutics Security Corp.</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Galectin Sciences LLC</w:t>
            </w:r>
          </w:p>
        </w:tc>
        <w:tc>
          <w:tcPr>
            <w:tcW w:w="18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 Nos. 333-116629, 333-109893, 333-159247, 333-198070, 333-176306, and 333-176305 on Form S-8, and Registration Statement Nos. 333-194747, 333-172849, 333-150898, 333-148911, 333-132459, 333-118907, 333-115118,</w:t>
      </w:r>
    </w:p>
    <w:p>
      <w:pPr>
        <w:ind w:right="100"/>
        <w:spacing w:after="0" w:line="254" w:lineRule="auto"/>
        <w:rPr>
          <w:sz w:val="20"/>
          <w:szCs w:val="20"/>
          <w:color w:val="auto"/>
        </w:rPr>
      </w:pPr>
      <w:r>
        <w:rPr>
          <w:rFonts w:ascii="Arial" w:cs="Arial" w:eastAsia="Arial" w:hAnsi="Arial"/>
          <w:sz w:val="18"/>
          <w:szCs w:val="18"/>
          <w:color w:val="auto"/>
        </w:rPr>
        <w:t>333-111650, 333-109887, 333-208674 and 333-213138, on Form S-3 of our report dated March 28, 2017 included in this Annual Report on Form 10-K of Galectin Therapeutics, Inc. and subsidiaries (the “Company”) relating to the consolidated balance sheets of the Company as of December 31, 2016, and the related consolidated statements of operations, changes in redeemable convertible preferred stock and stockholders’ equity, and cash flows for each of the two years in the period ended December 31,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2017</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March 28, 2017</w:t>
      </w:r>
      <w:r>
        <w:rPr>
          <w:sz w:val="20"/>
          <w:szCs w:val="20"/>
          <w:color w:val="auto"/>
        </w:rPr>
        <w:tab/>
      </w:r>
      <w:r>
        <w:rPr>
          <w:rFonts w:ascii="Arial" w:cs="Arial" w:eastAsia="Arial" w:hAnsi="Arial"/>
          <w:sz w:val="15"/>
          <w:szCs w:val="15"/>
          <w:color w:val="auto"/>
        </w:rPr>
        <w:t>/s/ Peter G. Traber</w:t>
      </w:r>
    </w:p>
    <w:p>
      <w:pPr>
        <w:spacing w:after="0" w:line="23" w:lineRule="exact"/>
        <w:rPr>
          <w:sz w:val="20"/>
          <w:szCs w:val="20"/>
          <w:color w:val="auto"/>
        </w:rPr>
      </w:pPr>
    </w:p>
    <w:tbl>
      <w:tblPr>
        <w:tblLayout w:type="fixed"/>
        <w:tblInd w:w="584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Peter G. Traber, M.D.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March 28, 2017</w:t>
      </w:r>
      <w:r>
        <w:rPr>
          <w:sz w:val="20"/>
          <w:szCs w:val="20"/>
          <w:color w:val="auto"/>
        </w:rPr>
        <w:tab/>
      </w:r>
      <w:r>
        <w:rPr>
          <w:rFonts w:ascii="Arial" w:cs="Arial" w:eastAsia="Arial" w:hAnsi="Arial"/>
          <w:sz w:val="16"/>
          <w:szCs w:val="16"/>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6" w:lineRule="exact"/>
        <w:rPr>
          <w:sz w:val="20"/>
          <w:szCs w:val="20"/>
          <w:color w:val="auto"/>
        </w:rPr>
      </w:pPr>
    </w:p>
    <w:p>
      <w:pPr>
        <w:ind w:left="5840"/>
        <w:spacing w:after="0"/>
        <w:tabs>
          <w:tab w:leader="none" w:pos="6500" w:val="left"/>
        </w:tabs>
        <w:rPr>
          <w:sz w:val="20"/>
          <w:szCs w:val="20"/>
          <w:color w:val="auto"/>
        </w:rPr>
      </w:pPr>
      <w:r>
        <w:rPr>
          <w:rFonts w:ascii="Arial" w:cs="Arial" w:eastAsia="Arial" w:hAnsi="Arial"/>
          <w:sz w:val="18"/>
          <w:szCs w:val="18"/>
          <w:color w:val="auto"/>
        </w:rPr>
        <w:t>Name:</w:t>
        <w:tab/>
        <w:t>Jack W. Callicutt</w:t>
      </w:r>
    </w:p>
    <w:p>
      <w:pPr>
        <w:spacing w:after="0" w:line="23" w:lineRule="exact"/>
        <w:rPr>
          <w:sz w:val="20"/>
          <w:szCs w:val="20"/>
          <w:color w:val="auto"/>
        </w:rPr>
      </w:pPr>
    </w:p>
    <w:p>
      <w:pPr>
        <w:ind w:left="584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In connection with the Annual Report of Galectin Therapeutics Inc. (the “Company”) on Form 10-K for the period ended December 31, 2016 as filed with the Securities and Exchange Commission on the date hereof (the “Report”), I, Peter G. Traber, Chief Executive Officer and President of the Company, certify, pursuant to 18 U.S.C. §1350, as adopted pursuant to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March 28, 2017</w:t>
      </w:r>
      <w:r>
        <w:rPr>
          <w:sz w:val="20"/>
          <w:szCs w:val="20"/>
          <w:color w:val="auto"/>
        </w:rPr>
        <w:tab/>
      </w:r>
      <w:r>
        <w:rPr>
          <w:rFonts w:ascii="Arial" w:cs="Arial" w:eastAsia="Arial" w:hAnsi="Arial"/>
          <w:sz w:val="15"/>
          <w:szCs w:val="15"/>
          <w:color w:val="auto"/>
        </w:rPr>
        <w:t>/s/ Peter G. Traber</w:t>
      </w:r>
    </w:p>
    <w:p>
      <w:pPr>
        <w:spacing w:after="0" w:line="23" w:lineRule="exact"/>
        <w:rPr>
          <w:sz w:val="20"/>
          <w:szCs w:val="20"/>
          <w:color w:val="auto"/>
        </w:rPr>
      </w:pPr>
    </w:p>
    <w:tbl>
      <w:tblPr>
        <w:tblLayout w:type="fixed"/>
        <w:tblInd w:w="584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Peter G. Traber, M.D.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connection with the Annual Report of Galectin Therapeutics Inc. (the “Company”) on Form 10-K for the period ended December 31, 2016 as filed with the Securities and Exchange Commission on the date hereof (the “Report”), I, Jack W. Callicutt, Chief Financial Officer of the Company, certify, pursuant to 18 U.S.C. §1350, as adopted pursuant to §906 of the Sarbanes-Oxley Act of 2002, that, to my knowledge:</w:t>
      </w:r>
    </w:p>
    <w:p>
      <w:pPr>
        <w:spacing w:after="0" w:line="8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March 28, 2017</w:t>
      </w:r>
      <w:r>
        <w:rPr>
          <w:sz w:val="20"/>
          <w:szCs w:val="20"/>
          <w:color w:val="auto"/>
        </w:rPr>
        <w:tab/>
      </w:r>
      <w:r>
        <w:rPr>
          <w:rFonts w:ascii="Arial" w:cs="Arial" w:eastAsia="Arial" w:hAnsi="Arial"/>
          <w:sz w:val="16"/>
          <w:szCs w:val="16"/>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6" w:lineRule="exact"/>
        <w:rPr>
          <w:sz w:val="20"/>
          <w:szCs w:val="20"/>
          <w:color w:val="auto"/>
        </w:rPr>
      </w:pPr>
    </w:p>
    <w:p>
      <w:pPr>
        <w:ind w:left="5840"/>
        <w:spacing w:after="0"/>
        <w:tabs>
          <w:tab w:leader="none" w:pos="6500" w:val="left"/>
        </w:tabs>
        <w:rPr>
          <w:sz w:val="20"/>
          <w:szCs w:val="20"/>
          <w:color w:val="auto"/>
        </w:rPr>
      </w:pPr>
      <w:r>
        <w:rPr>
          <w:rFonts w:ascii="Arial" w:cs="Arial" w:eastAsia="Arial" w:hAnsi="Arial"/>
          <w:sz w:val="18"/>
          <w:szCs w:val="18"/>
          <w:color w:val="auto"/>
        </w:rPr>
        <w:t>Name:</w:t>
        <w:tab/>
        <w:t>Jack W. Callicutt</w:t>
      </w:r>
    </w:p>
    <w:p>
      <w:pPr>
        <w:spacing w:after="0" w:line="23" w:lineRule="exact"/>
        <w:rPr>
          <w:sz w:val="20"/>
          <w:szCs w:val="20"/>
          <w:color w:val="auto"/>
        </w:rPr>
      </w:pPr>
    </w:p>
    <w:p>
      <w:pPr>
        <w:ind w:left="584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Roman"/>
      <w:start w:val="4"/>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3"/>
    </w:lvl>
  </w:abstractNum>
  <w:abstractNum w:abstractNumId="21">
    <w:nsid w:val="2CA88611"/>
    <w:multiLevelType w:val="hybridMultilevel"/>
    <w:lvl w:ilvl="0">
      <w:lvlJc w:val="left"/>
      <w:lvlText w:val="%1."/>
      <w:numFmt w:val="decimal"/>
      <w:start w:val="5"/>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lowerRoman"/>
      <w:start w:val="6"/>
    </w:lvl>
  </w:abstractNum>
  <w:abstractNum w:abstractNumId="25">
    <w:nsid w:val="8138641"/>
    <w:multiLevelType w:val="hybridMultilevel"/>
    <w:lvl w:ilvl="0">
      <w:lvlJc w:val="left"/>
      <w:lvlText w:val="(%1)"/>
      <w:numFmt w:val="lowerRoman"/>
      <w:start w:val="9"/>
    </w:lvl>
  </w:abstractNum>
  <w:abstractNum w:abstractNumId="26">
    <w:nsid w:val="1E7FF521"/>
    <w:multiLevelType w:val="hybridMultilevel"/>
    <w:lvl w:ilvl="0">
      <w:lvlJc w:val="left"/>
      <w:lvlText w:val="(%1)"/>
      <w:numFmt w:val="lowerRoman"/>
      <w:start w:val="13"/>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lowerRoman"/>
      <w:start w:val="2"/>
    </w:lvl>
  </w:abstractNum>
  <w:abstractNum w:abstractNumId="29">
    <w:nsid w:val="6CEAF087"/>
    <w:multiLevelType w:val="hybridMultilevel"/>
    <w:lvl w:ilvl="0">
      <w:lvlJc w:val="left"/>
      <w:lvlText w:val="%1."/>
      <w:numFmt w:val="decimal"/>
      <w:start w:val="20"/>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2019-12-29T06:33:35Z</dcterms:created>
  <dcterms:modified xsi:type="dcterms:W3CDTF">2019-12-29T06:33:35Z</dcterms:modified>
</cp:coreProperties>
</file>